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3266380">
      <w:pPr>
        <w:tabs>
          <w:tab w:val="left" w:pos="630"/>
        </w:tabs>
        <w:spacing w:line="360" w:lineRule="auto"/>
        <w:rPr>
          <w:rFonts w:hint="eastAsia" w:ascii="宋体" w:hAnsi="宋体" w:cs="宋体"/>
          <w:b/>
          <w:bCs/>
          <w:color w:val="000000"/>
          <w:sz w:val="44"/>
          <w:szCs w:val="44"/>
        </w:rPr>
      </w:pPr>
    </w:p>
    <w:p w14:paraId="25CDD842">
      <w:pPr>
        <w:widowControl/>
        <w:shd w:val="clear" w:color="auto" w:fill="FFFFFF"/>
        <w:spacing w:line="360" w:lineRule="auto"/>
        <w:jc w:val="center"/>
        <w:rPr>
          <w:rFonts w:hint="eastAsia" w:ascii="宋体" w:hAnsi="宋体" w:cs="宋体"/>
          <w:b/>
          <w:bCs/>
          <w:sz w:val="36"/>
          <w:szCs w:val="36"/>
        </w:rPr>
      </w:pPr>
    </w:p>
    <w:p w14:paraId="77A9BD11">
      <w:pPr>
        <w:widowControl/>
        <w:shd w:val="clear" w:color="auto" w:fill="FFFFFF"/>
        <w:spacing w:line="360" w:lineRule="auto"/>
        <w:jc w:val="center"/>
        <w:rPr>
          <w:rFonts w:hint="eastAsia" w:ascii="宋体" w:hAnsi="宋体" w:cs="宋体"/>
          <w:b/>
          <w:bCs/>
          <w:sz w:val="44"/>
          <w:szCs w:val="44"/>
          <w:lang w:val="zh-CN"/>
        </w:rPr>
      </w:pPr>
      <w:r>
        <w:rPr>
          <w:rFonts w:hint="eastAsia" w:ascii="宋体" w:hAnsi="宋体" w:cs="宋体"/>
          <w:b/>
          <w:bCs/>
          <w:sz w:val="44"/>
          <w:szCs w:val="44"/>
        </w:rPr>
        <w:t>江苏卫生健康职业学院人体结构教学科普馆场馆改造</w:t>
      </w:r>
    </w:p>
    <w:p w14:paraId="2D793E86">
      <w:pPr>
        <w:tabs>
          <w:tab w:val="left" w:pos="390"/>
          <w:tab w:val="center" w:pos="4404"/>
        </w:tabs>
        <w:spacing w:line="360" w:lineRule="auto"/>
        <w:rPr>
          <w:rFonts w:hint="eastAsia" w:ascii="宋体" w:hAnsi="宋体" w:cs="宋体"/>
          <w:b/>
          <w:bCs/>
          <w:color w:val="000000"/>
          <w:sz w:val="44"/>
          <w:szCs w:val="44"/>
        </w:rPr>
      </w:pPr>
    </w:p>
    <w:p w14:paraId="39D60FF7">
      <w:pPr>
        <w:tabs>
          <w:tab w:val="left" w:pos="390"/>
          <w:tab w:val="center" w:pos="4404"/>
        </w:tabs>
        <w:spacing w:line="360" w:lineRule="auto"/>
        <w:jc w:val="center"/>
        <w:rPr>
          <w:rFonts w:hint="eastAsia" w:ascii="宋体" w:hAnsi="宋体" w:cs="宋体"/>
          <w:b/>
          <w:bCs/>
          <w:color w:val="000000"/>
          <w:sz w:val="44"/>
          <w:szCs w:val="44"/>
        </w:rPr>
      </w:pPr>
    </w:p>
    <w:p w14:paraId="0304F362">
      <w:pPr>
        <w:tabs>
          <w:tab w:val="left" w:pos="390"/>
          <w:tab w:val="center" w:pos="4404"/>
        </w:tabs>
        <w:spacing w:line="360" w:lineRule="auto"/>
        <w:jc w:val="center"/>
        <w:rPr>
          <w:rFonts w:hint="eastAsia" w:ascii="宋体" w:hAnsi="宋体" w:cs="宋体"/>
          <w:b/>
          <w:bCs/>
          <w:color w:val="000000"/>
          <w:sz w:val="44"/>
          <w:szCs w:val="44"/>
        </w:rPr>
      </w:pPr>
      <w:r>
        <w:rPr>
          <w:rFonts w:hint="eastAsia" w:ascii="宋体" w:hAnsi="宋体" w:cs="宋体"/>
          <w:b/>
          <w:bCs/>
          <w:color w:val="000000"/>
          <w:sz w:val="44"/>
          <w:szCs w:val="44"/>
        </w:rPr>
        <w:t>竞争性磋商文件</w:t>
      </w:r>
    </w:p>
    <w:p w14:paraId="5C06818B">
      <w:pPr>
        <w:tabs>
          <w:tab w:val="left" w:pos="390"/>
          <w:tab w:val="center" w:pos="4404"/>
        </w:tabs>
        <w:spacing w:line="360" w:lineRule="auto"/>
        <w:jc w:val="center"/>
        <w:rPr>
          <w:rFonts w:hint="eastAsia" w:ascii="宋体" w:hAnsi="宋体" w:cs="宋体"/>
          <w:b/>
          <w:bCs/>
          <w:color w:val="000000"/>
          <w:sz w:val="44"/>
          <w:szCs w:val="44"/>
        </w:rPr>
      </w:pPr>
      <w:r>
        <w:rPr>
          <w:rFonts w:hint="eastAsia" w:ascii="宋体" w:hAnsi="宋体" w:cs="宋体"/>
          <w:b/>
          <w:bCs/>
          <w:color w:val="000000"/>
          <w:sz w:val="44"/>
          <w:szCs w:val="44"/>
        </w:rPr>
        <w:t>（工程类）</w:t>
      </w:r>
    </w:p>
    <w:p w14:paraId="06313DBA">
      <w:pPr>
        <w:spacing w:line="360" w:lineRule="auto"/>
        <w:jc w:val="center"/>
        <w:rPr>
          <w:rFonts w:hint="eastAsia" w:ascii="宋体" w:hAnsi="宋体" w:eastAsia="宋体" w:cs="宋体"/>
          <w:b/>
          <w:bCs/>
          <w:color w:val="000000"/>
          <w:sz w:val="40"/>
          <w:szCs w:val="40"/>
          <w:lang w:eastAsia="zh-CN"/>
        </w:rPr>
      </w:pPr>
      <w:r>
        <w:rPr>
          <w:rFonts w:hint="eastAsia" w:ascii="宋体" w:hAnsi="宋体" w:cs="宋体"/>
          <w:b/>
          <w:bCs/>
          <w:color w:val="000000"/>
          <w:sz w:val="36"/>
          <w:szCs w:val="36"/>
        </w:rPr>
        <w:t>项目编号：</w:t>
      </w:r>
      <w:r>
        <w:rPr>
          <w:rFonts w:hint="eastAsia" w:ascii="宋体" w:hAnsi="宋体" w:cs="宋体"/>
          <w:b/>
          <w:bCs/>
          <w:color w:val="000000"/>
          <w:sz w:val="36"/>
          <w:szCs w:val="36"/>
          <w:lang w:eastAsia="zh-CN"/>
        </w:rPr>
        <w:t>JSZC-320000-NJJC-C2026-0072</w:t>
      </w:r>
    </w:p>
    <w:p w14:paraId="67A1C49C">
      <w:pPr>
        <w:spacing w:line="360" w:lineRule="auto"/>
        <w:jc w:val="center"/>
        <w:rPr>
          <w:rFonts w:hint="eastAsia" w:ascii="宋体" w:hAnsi="宋体" w:cs="宋体"/>
          <w:b/>
          <w:bCs/>
          <w:color w:val="000000"/>
          <w:sz w:val="40"/>
          <w:szCs w:val="40"/>
        </w:rPr>
      </w:pPr>
    </w:p>
    <w:p w14:paraId="0F2009BA">
      <w:pPr>
        <w:spacing w:line="360" w:lineRule="auto"/>
        <w:jc w:val="center"/>
        <w:rPr>
          <w:rFonts w:hint="eastAsia" w:ascii="宋体" w:hAnsi="宋体" w:cs="宋体"/>
          <w:color w:val="000000"/>
          <w:sz w:val="48"/>
          <w:szCs w:val="48"/>
        </w:rPr>
      </w:pPr>
    </w:p>
    <w:p w14:paraId="79270B7A">
      <w:pPr>
        <w:spacing w:line="360" w:lineRule="auto"/>
        <w:jc w:val="center"/>
        <w:rPr>
          <w:rFonts w:hint="eastAsia" w:ascii="宋体" w:hAnsi="宋体" w:cs="宋体"/>
          <w:color w:val="000000"/>
          <w:sz w:val="48"/>
          <w:szCs w:val="48"/>
        </w:rPr>
      </w:pPr>
    </w:p>
    <w:p w14:paraId="7A5431E4">
      <w:pPr>
        <w:spacing w:line="360" w:lineRule="auto"/>
        <w:jc w:val="center"/>
        <w:rPr>
          <w:rFonts w:hint="eastAsia" w:ascii="宋体" w:hAnsi="宋体" w:cs="宋体"/>
          <w:color w:val="000000"/>
          <w:sz w:val="48"/>
          <w:szCs w:val="48"/>
        </w:rPr>
      </w:pPr>
    </w:p>
    <w:p w14:paraId="5C24711B">
      <w:pPr>
        <w:pStyle w:val="141"/>
        <w:ind w:firstLine="1285"/>
        <w:rPr>
          <w:rFonts w:hint="eastAsia" w:ascii="宋体" w:hAnsi="宋体" w:cs="宋体"/>
          <w:b/>
          <w:sz w:val="32"/>
          <w:szCs w:val="32"/>
        </w:rPr>
      </w:pPr>
      <w:r>
        <w:rPr>
          <w:rFonts w:hint="eastAsia" w:ascii="宋体" w:hAnsi="宋体" w:cs="宋体"/>
          <w:b/>
          <w:sz w:val="32"/>
          <w:szCs w:val="32"/>
        </w:rPr>
        <w:t>采   购   人：江苏卫生健康职业学院</w:t>
      </w:r>
    </w:p>
    <w:p w14:paraId="25CCAC71">
      <w:pPr>
        <w:pStyle w:val="141"/>
        <w:ind w:firstLine="1285"/>
        <w:rPr>
          <w:rFonts w:hint="eastAsia" w:ascii="宋体" w:hAnsi="宋体" w:cs="宋体"/>
          <w:b/>
          <w:sz w:val="32"/>
          <w:szCs w:val="32"/>
        </w:rPr>
      </w:pPr>
      <w:r>
        <w:rPr>
          <w:rFonts w:hint="eastAsia" w:ascii="宋体" w:hAnsi="宋体" w:cs="宋体"/>
          <w:b/>
          <w:sz w:val="32"/>
          <w:szCs w:val="32"/>
        </w:rPr>
        <w:t>采购代理机构：</w:t>
      </w:r>
      <w:bookmarkStart w:id="0" w:name="_Toc29585"/>
      <w:r>
        <w:rPr>
          <w:rFonts w:hint="eastAsia" w:ascii="宋体" w:hAnsi="宋体" w:cs="宋体"/>
          <w:b/>
          <w:sz w:val="32"/>
          <w:szCs w:val="32"/>
        </w:rPr>
        <w:t>南京江城工程项目管理有限公司</w:t>
      </w:r>
    </w:p>
    <w:p w14:paraId="51BCE7F2">
      <w:pPr>
        <w:pStyle w:val="141"/>
        <w:ind w:firstLine="0"/>
        <w:jc w:val="center"/>
        <w:rPr>
          <w:rFonts w:hint="eastAsia" w:ascii="宋体" w:hAnsi="宋体" w:cs="宋体"/>
          <w:b/>
          <w:sz w:val="32"/>
          <w:szCs w:val="32"/>
        </w:rPr>
      </w:pPr>
      <w:r>
        <w:rPr>
          <w:rFonts w:hint="eastAsia" w:ascii="宋体" w:hAnsi="宋体" w:cs="宋体"/>
          <w:b/>
          <w:sz w:val="32"/>
          <w:szCs w:val="32"/>
        </w:rPr>
        <w:t>2026年</w:t>
      </w:r>
      <w:r>
        <w:rPr>
          <w:rFonts w:hint="eastAsia" w:ascii="宋体" w:hAnsi="宋体" w:cs="宋体"/>
          <w:b/>
          <w:sz w:val="32"/>
          <w:szCs w:val="32"/>
          <w:lang w:val="en-US" w:eastAsia="zh-CN"/>
        </w:rPr>
        <w:t>6</w:t>
      </w:r>
      <w:r>
        <w:rPr>
          <w:rFonts w:hint="eastAsia" w:ascii="宋体" w:hAnsi="宋体" w:cs="宋体"/>
          <w:b/>
          <w:sz w:val="32"/>
          <w:szCs w:val="32"/>
        </w:rPr>
        <w:t>月</w:t>
      </w:r>
      <w:r>
        <w:rPr>
          <w:rFonts w:hint="eastAsia" w:ascii="宋体" w:hAnsi="宋体" w:cs="宋体"/>
          <w:b/>
          <w:sz w:val="32"/>
          <w:szCs w:val="32"/>
        </w:rPr>
        <w:br w:type="page" w:clear="all"/>
      </w:r>
    </w:p>
    <w:p w14:paraId="19B6F233">
      <w:pPr>
        <w:pStyle w:val="353"/>
        <w:numPr>
          <w:ilvl w:val="0"/>
          <w:numId w:val="0"/>
        </w:numPr>
        <w:spacing w:after="624" w:line="360" w:lineRule="auto"/>
        <w:jc w:val="center"/>
        <w:rPr>
          <w:rFonts w:hint="eastAsia" w:ascii="宋体" w:hAnsi="宋体" w:cs="宋体"/>
          <w:color w:val="000000"/>
          <w:sz w:val="36"/>
          <w:lang w:val="zh-CN"/>
        </w:rPr>
      </w:pPr>
      <w:r>
        <w:rPr>
          <w:rFonts w:hint="eastAsia" w:ascii="宋体" w:hAnsi="宋体" w:cs="宋体"/>
          <w:color w:val="000000"/>
          <w:sz w:val="36"/>
          <w:lang w:val="zh-CN"/>
        </w:rPr>
        <w:t>目</w:t>
      </w:r>
      <w:r>
        <w:rPr>
          <w:rFonts w:hint="eastAsia" w:ascii="宋体" w:hAnsi="宋体" w:cs="宋体"/>
          <w:color w:val="000000"/>
          <w:sz w:val="36"/>
        </w:rPr>
        <w:t xml:space="preserve"> </w:t>
      </w:r>
      <w:r>
        <w:rPr>
          <w:rFonts w:hint="eastAsia" w:ascii="宋体" w:hAnsi="宋体" w:cs="宋体"/>
          <w:color w:val="000000"/>
          <w:sz w:val="36"/>
          <w:lang w:val="zh-CN"/>
        </w:rPr>
        <w:t>录</w:t>
      </w:r>
      <w:bookmarkEnd w:id="0"/>
    </w:p>
    <w:p w14:paraId="715E6A11">
      <w:pPr>
        <w:pStyle w:val="116"/>
        <w:tabs>
          <w:tab w:val="right" w:leader="dot" w:pos="8496"/>
        </w:tabs>
        <w:spacing w:before="0" w:after="0" w:line="360" w:lineRule="auto"/>
        <w:jc w:val="both"/>
        <w:rPr>
          <w:rStyle w:val="151"/>
          <w:rFonts w:hint="eastAsia" w:ascii="宋体" w:hAnsi="宋体" w:cs="宋体"/>
          <w:b w:val="0"/>
          <w:bCs/>
          <w:caps w:val="0"/>
          <w:color w:val="000000"/>
          <w:sz w:val="28"/>
          <w:szCs w:val="28"/>
        </w:rPr>
      </w:pPr>
      <w:r>
        <w:rPr>
          <w:rStyle w:val="151"/>
          <w:rFonts w:hint="eastAsia" w:ascii="宋体" w:hAnsi="宋体" w:cs="宋体"/>
          <w:b w:val="0"/>
          <w:bCs/>
          <w:caps w:val="0"/>
          <w:color w:val="000000"/>
          <w:sz w:val="28"/>
          <w:szCs w:val="28"/>
        </w:rPr>
        <w:fldChar w:fldCharType="begin"/>
      </w:r>
      <w:r>
        <w:rPr>
          <w:rStyle w:val="151"/>
          <w:rFonts w:hint="eastAsia" w:ascii="宋体" w:hAnsi="宋体" w:cs="宋体"/>
          <w:b w:val="0"/>
          <w:bCs/>
          <w:caps w:val="0"/>
          <w:color w:val="000000"/>
          <w:sz w:val="28"/>
          <w:szCs w:val="28"/>
        </w:rPr>
        <w:instrText xml:space="preserve"> TOC \o "1-3" \h \z \u </w:instrText>
      </w:r>
      <w:r>
        <w:rPr>
          <w:rStyle w:val="151"/>
          <w:rFonts w:hint="eastAsia" w:ascii="宋体" w:hAnsi="宋体" w:cs="宋体"/>
          <w:b w:val="0"/>
          <w:bCs/>
          <w:caps w:val="0"/>
          <w:color w:val="000000"/>
          <w:sz w:val="28"/>
          <w:szCs w:val="28"/>
        </w:rPr>
        <w:fldChar w:fldCharType="separate"/>
      </w:r>
      <w:r>
        <w:fldChar w:fldCharType="begin"/>
      </w:r>
      <w:r>
        <w:instrText xml:space="preserve"> HYPERLINK \l "_Toc22476" \o "#_Toc22476" </w:instrText>
      </w:r>
      <w:r>
        <w:fldChar w:fldCharType="separate"/>
      </w:r>
      <w:r>
        <w:rPr>
          <w:rStyle w:val="151"/>
          <w:rFonts w:hint="eastAsia" w:ascii="宋体" w:hAnsi="宋体" w:cs="宋体"/>
          <w:b w:val="0"/>
          <w:bCs/>
          <w:caps w:val="0"/>
          <w:color w:val="000000"/>
          <w:sz w:val="28"/>
          <w:szCs w:val="28"/>
        </w:rPr>
        <w:t>第一章  竞争性磋商公告</w:t>
      </w:r>
      <w:r>
        <w:rPr>
          <w:rStyle w:val="151"/>
          <w:rFonts w:hint="eastAsia" w:ascii="宋体" w:hAnsi="宋体" w:cs="宋体"/>
          <w:b w:val="0"/>
          <w:bCs/>
          <w:caps w:val="0"/>
          <w:color w:val="000000"/>
          <w:sz w:val="28"/>
          <w:szCs w:val="28"/>
        </w:rPr>
        <w:fldChar w:fldCharType="end"/>
      </w:r>
    </w:p>
    <w:p w14:paraId="0E6401C0">
      <w:pPr>
        <w:pStyle w:val="116"/>
        <w:tabs>
          <w:tab w:val="right" w:leader="dot" w:pos="8496"/>
        </w:tabs>
        <w:spacing w:before="0" w:after="0" w:line="360" w:lineRule="auto"/>
        <w:jc w:val="both"/>
        <w:rPr>
          <w:rStyle w:val="151"/>
          <w:rFonts w:hint="eastAsia" w:ascii="宋体" w:hAnsi="宋体" w:cs="宋体"/>
          <w:b w:val="0"/>
          <w:bCs/>
          <w:caps w:val="0"/>
          <w:color w:val="000000"/>
          <w:sz w:val="28"/>
          <w:szCs w:val="28"/>
        </w:rPr>
      </w:pPr>
      <w:r>
        <w:fldChar w:fldCharType="begin"/>
      </w:r>
      <w:r>
        <w:instrText xml:space="preserve"> HYPERLINK \l "_Toc349" \o "#_Toc349" </w:instrText>
      </w:r>
      <w:r>
        <w:fldChar w:fldCharType="separate"/>
      </w:r>
      <w:r>
        <w:rPr>
          <w:rStyle w:val="151"/>
          <w:rFonts w:hint="eastAsia" w:ascii="宋体" w:hAnsi="宋体" w:cs="宋体"/>
          <w:b w:val="0"/>
          <w:bCs/>
          <w:caps w:val="0"/>
          <w:color w:val="000000"/>
          <w:sz w:val="28"/>
          <w:szCs w:val="28"/>
        </w:rPr>
        <w:t>第二章  竞争性磋商须知</w:t>
      </w:r>
      <w:r>
        <w:rPr>
          <w:rStyle w:val="151"/>
          <w:rFonts w:hint="eastAsia" w:ascii="宋体" w:hAnsi="宋体" w:cs="宋体"/>
          <w:b w:val="0"/>
          <w:bCs/>
          <w:caps w:val="0"/>
          <w:color w:val="000000"/>
          <w:sz w:val="28"/>
          <w:szCs w:val="28"/>
        </w:rPr>
        <w:fldChar w:fldCharType="end"/>
      </w:r>
    </w:p>
    <w:p w14:paraId="5BFCE244">
      <w:pPr>
        <w:pStyle w:val="116"/>
        <w:tabs>
          <w:tab w:val="right" w:leader="dot" w:pos="8496"/>
        </w:tabs>
        <w:spacing w:before="0" w:after="0" w:line="360" w:lineRule="auto"/>
        <w:jc w:val="both"/>
        <w:rPr>
          <w:rStyle w:val="151"/>
          <w:rFonts w:hint="eastAsia" w:ascii="宋体" w:hAnsi="宋体" w:cs="宋体"/>
          <w:b w:val="0"/>
          <w:bCs/>
          <w:caps w:val="0"/>
          <w:color w:val="000000"/>
          <w:sz w:val="28"/>
          <w:szCs w:val="28"/>
        </w:rPr>
      </w:pPr>
      <w:r>
        <w:fldChar w:fldCharType="begin"/>
      </w:r>
      <w:r>
        <w:instrText xml:space="preserve"> HYPERLINK \l "_Toc614" \o "#_Toc614" </w:instrText>
      </w:r>
      <w:r>
        <w:fldChar w:fldCharType="separate"/>
      </w:r>
      <w:r>
        <w:rPr>
          <w:rStyle w:val="151"/>
          <w:rFonts w:hint="eastAsia" w:ascii="宋体" w:hAnsi="宋体" w:cs="宋体"/>
          <w:b w:val="0"/>
          <w:bCs/>
          <w:caps w:val="0"/>
          <w:color w:val="000000"/>
          <w:sz w:val="28"/>
          <w:szCs w:val="28"/>
        </w:rPr>
        <w:t>第三章  评标标准</w:t>
      </w:r>
      <w:r>
        <w:rPr>
          <w:rStyle w:val="151"/>
          <w:rFonts w:hint="eastAsia" w:ascii="宋体" w:hAnsi="宋体" w:cs="宋体"/>
          <w:b w:val="0"/>
          <w:bCs/>
          <w:caps w:val="0"/>
          <w:color w:val="000000"/>
          <w:sz w:val="28"/>
          <w:szCs w:val="28"/>
        </w:rPr>
        <w:fldChar w:fldCharType="end"/>
      </w:r>
    </w:p>
    <w:p w14:paraId="20534E39">
      <w:pPr>
        <w:pStyle w:val="116"/>
        <w:tabs>
          <w:tab w:val="right" w:leader="dot" w:pos="8496"/>
        </w:tabs>
        <w:spacing w:before="0" w:after="0" w:line="360" w:lineRule="auto"/>
        <w:jc w:val="both"/>
        <w:rPr>
          <w:rStyle w:val="151"/>
          <w:rFonts w:hint="eastAsia" w:ascii="宋体" w:hAnsi="宋体" w:cs="宋体"/>
          <w:b w:val="0"/>
          <w:bCs/>
          <w:caps w:val="0"/>
          <w:color w:val="000000"/>
          <w:sz w:val="28"/>
          <w:szCs w:val="28"/>
        </w:rPr>
      </w:pPr>
      <w:r>
        <w:fldChar w:fldCharType="begin"/>
      </w:r>
      <w:r>
        <w:instrText xml:space="preserve"> HYPERLINK \l "_Toc7631" \o "#_Toc7631" </w:instrText>
      </w:r>
      <w:r>
        <w:fldChar w:fldCharType="separate"/>
      </w:r>
      <w:r>
        <w:rPr>
          <w:rStyle w:val="151"/>
          <w:rFonts w:hint="eastAsia" w:ascii="宋体" w:hAnsi="宋体" w:cs="宋体"/>
          <w:b w:val="0"/>
          <w:bCs/>
          <w:caps w:val="0"/>
          <w:color w:val="000000"/>
          <w:sz w:val="28"/>
          <w:szCs w:val="28"/>
        </w:rPr>
        <w:t>第四章  采购需求</w:t>
      </w:r>
      <w:r>
        <w:rPr>
          <w:rStyle w:val="151"/>
          <w:rFonts w:hint="eastAsia" w:ascii="宋体" w:hAnsi="宋体" w:cs="宋体"/>
          <w:b w:val="0"/>
          <w:bCs/>
          <w:caps w:val="0"/>
          <w:color w:val="000000"/>
          <w:sz w:val="28"/>
          <w:szCs w:val="28"/>
        </w:rPr>
        <w:fldChar w:fldCharType="end"/>
      </w:r>
    </w:p>
    <w:p w14:paraId="5D7AFCBD">
      <w:pPr>
        <w:pStyle w:val="116"/>
        <w:tabs>
          <w:tab w:val="right" w:leader="dot" w:pos="8496"/>
        </w:tabs>
        <w:spacing w:before="0" w:after="0" w:line="360" w:lineRule="auto"/>
        <w:jc w:val="both"/>
        <w:rPr>
          <w:rStyle w:val="151"/>
          <w:rFonts w:hint="eastAsia" w:ascii="宋体" w:hAnsi="宋体" w:cs="宋体"/>
          <w:b w:val="0"/>
          <w:bCs/>
          <w:caps w:val="0"/>
          <w:color w:val="000000"/>
          <w:sz w:val="28"/>
          <w:szCs w:val="28"/>
        </w:rPr>
      </w:pPr>
      <w:r>
        <w:fldChar w:fldCharType="begin"/>
      </w:r>
      <w:r>
        <w:instrText xml:space="preserve"> HYPERLINK \l "_Toc13426" \o "#_Toc13426" </w:instrText>
      </w:r>
      <w:r>
        <w:fldChar w:fldCharType="separate"/>
      </w:r>
      <w:r>
        <w:rPr>
          <w:rStyle w:val="151"/>
          <w:rFonts w:hint="eastAsia" w:ascii="宋体" w:hAnsi="宋体" w:cs="宋体"/>
          <w:b w:val="0"/>
          <w:bCs/>
          <w:caps w:val="0"/>
          <w:color w:val="000000"/>
          <w:sz w:val="28"/>
          <w:szCs w:val="28"/>
        </w:rPr>
        <w:t>第五章  合同主要条款</w:t>
      </w:r>
      <w:r>
        <w:rPr>
          <w:rStyle w:val="151"/>
          <w:rFonts w:hint="eastAsia" w:ascii="宋体" w:hAnsi="宋体" w:cs="宋体"/>
          <w:b w:val="0"/>
          <w:bCs/>
          <w:caps w:val="0"/>
          <w:color w:val="000000"/>
          <w:sz w:val="28"/>
          <w:szCs w:val="28"/>
        </w:rPr>
        <w:fldChar w:fldCharType="end"/>
      </w:r>
    </w:p>
    <w:p w14:paraId="4F610979">
      <w:pPr>
        <w:pStyle w:val="116"/>
        <w:tabs>
          <w:tab w:val="right" w:leader="dot" w:pos="8496"/>
        </w:tabs>
        <w:spacing w:before="0" w:after="0" w:line="360" w:lineRule="auto"/>
        <w:jc w:val="both"/>
        <w:rPr>
          <w:rStyle w:val="151"/>
          <w:rFonts w:hint="eastAsia" w:ascii="宋体" w:hAnsi="宋体" w:cs="宋体"/>
          <w:b w:val="0"/>
          <w:bCs/>
          <w:caps w:val="0"/>
          <w:color w:val="000000"/>
          <w:sz w:val="28"/>
          <w:szCs w:val="28"/>
        </w:rPr>
      </w:pPr>
      <w:r>
        <w:fldChar w:fldCharType="begin"/>
      </w:r>
      <w:r>
        <w:instrText xml:space="preserve"> HYPERLINK \l "_Toc10404" \o "#_Toc10404" </w:instrText>
      </w:r>
      <w:r>
        <w:fldChar w:fldCharType="separate"/>
      </w:r>
      <w:r>
        <w:rPr>
          <w:rStyle w:val="151"/>
          <w:rFonts w:hint="eastAsia" w:ascii="宋体" w:hAnsi="宋体" w:cs="宋体"/>
          <w:b w:val="0"/>
          <w:bCs/>
          <w:caps w:val="0"/>
          <w:color w:val="000000"/>
          <w:sz w:val="28"/>
          <w:szCs w:val="28"/>
        </w:rPr>
        <w:t>第六章  磋商响应文件格式及附件</w:t>
      </w:r>
      <w:r>
        <w:rPr>
          <w:rStyle w:val="151"/>
          <w:rFonts w:hint="eastAsia" w:ascii="宋体" w:hAnsi="宋体" w:cs="宋体"/>
          <w:b w:val="0"/>
          <w:bCs/>
          <w:caps w:val="0"/>
          <w:color w:val="000000"/>
          <w:sz w:val="28"/>
          <w:szCs w:val="28"/>
        </w:rPr>
        <w:fldChar w:fldCharType="end"/>
      </w:r>
    </w:p>
    <w:p w14:paraId="4630A98F">
      <w:pPr>
        <w:pStyle w:val="116"/>
        <w:tabs>
          <w:tab w:val="right" w:leader="dot" w:pos="8496"/>
        </w:tabs>
        <w:spacing w:before="0" w:after="0" w:line="360" w:lineRule="auto"/>
        <w:jc w:val="both"/>
        <w:rPr>
          <w:rFonts w:hint="eastAsia" w:ascii="宋体" w:hAnsi="宋体" w:cs="宋体"/>
          <w:b w:val="0"/>
          <w:bCs/>
          <w:sz w:val="72"/>
          <w:szCs w:val="30"/>
          <w:lang w:val="zh-CN"/>
        </w:rPr>
      </w:pPr>
      <w:r>
        <w:rPr>
          <w:rStyle w:val="151"/>
          <w:rFonts w:hint="eastAsia" w:ascii="宋体" w:hAnsi="宋体" w:cs="宋体"/>
          <w:b w:val="0"/>
          <w:bCs/>
          <w:caps w:val="0"/>
          <w:color w:val="000000"/>
          <w:sz w:val="28"/>
          <w:szCs w:val="28"/>
        </w:rPr>
        <w:fldChar w:fldCharType="end"/>
      </w:r>
    </w:p>
    <w:p w14:paraId="561F5FBD">
      <w:pPr>
        <w:pStyle w:val="137"/>
        <w:rPr>
          <w:rFonts w:hint="eastAsia" w:ascii="宋体" w:hAnsi="宋体" w:cs="宋体"/>
          <w:lang w:val="zh-CN"/>
        </w:rPr>
        <w:sectPr>
          <w:footerReference r:id="rId3" w:type="default"/>
          <w:type w:val="continuous"/>
          <w:pgSz w:w="11906" w:h="16838"/>
          <w:pgMar w:top="1440" w:right="1486" w:bottom="1440" w:left="1600" w:header="851" w:footer="992" w:gutter="0"/>
          <w:pgNumType w:start="1"/>
          <w:cols w:space="1701" w:num="1"/>
          <w:titlePg/>
          <w:docGrid w:linePitch="360" w:charSpace="0"/>
        </w:sectPr>
      </w:pPr>
      <w:bookmarkStart w:id="1" w:name="_Toc22476"/>
      <w:r>
        <w:rPr>
          <w:rFonts w:hint="eastAsia" w:ascii="宋体" w:hAnsi="宋体" w:cs="宋体"/>
          <w:lang w:val="zh-CN"/>
        </w:rPr>
        <w:br w:type="page" w:clear="all"/>
      </w:r>
    </w:p>
    <w:p w14:paraId="3F668AC4">
      <w:pPr>
        <w:pStyle w:val="137"/>
        <w:rPr>
          <w:rFonts w:hint="eastAsia" w:ascii="宋体" w:hAnsi="宋体" w:cs="宋体"/>
          <w:color w:val="000000"/>
          <w:sz w:val="24"/>
          <w:szCs w:val="24"/>
          <w:lang w:val="zh-CN"/>
        </w:rPr>
      </w:pPr>
      <w:r>
        <w:rPr>
          <w:rFonts w:hint="eastAsia" w:ascii="宋体" w:hAnsi="宋体" w:cs="宋体"/>
          <w:lang w:val="zh-CN"/>
        </w:rPr>
        <w:t>第一章 竞争性磋商公告</w:t>
      </w:r>
      <w:bookmarkEnd w:id="1"/>
    </w:p>
    <w:p w14:paraId="093DD449">
      <w:pPr>
        <w:widowControl/>
        <w:shd w:val="clear" w:color="auto" w:fill="FFFFFF"/>
        <w:spacing w:line="360" w:lineRule="auto"/>
        <w:ind w:firstLine="452"/>
        <w:rPr>
          <w:rFonts w:hint="eastAsia" w:ascii="宋体" w:hAnsi="宋体" w:cs="宋体"/>
          <w:szCs w:val="21"/>
        </w:rPr>
      </w:pPr>
      <w:r>
        <w:rPr>
          <w:rFonts w:hint="eastAsia" w:ascii="宋体" w:hAnsi="宋体" w:cs="宋体"/>
          <w:spacing w:val="8"/>
          <w:szCs w:val="21"/>
        </w:rPr>
        <w:t>江苏卫生健康职业学院人体结构教学科普馆场馆改造</w:t>
      </w:r>
      <w:r>
        <w:rPr>
          <w:rFonts w:hint="eastAsia" w:ascii="宋体" w:hAnsi="宋体" w:cs="宋体"/>
          <w:szCs w:val="21"/>
        </w:rPr>
        <w:t>的潜在供应商应在</w:t>
      </w:r>
      <w:r>
        <w:rPr>
          <w:rFonts w:hint="eastAsia" w:ascii="宋体" w:hAnsi="宋体" w:cs="宋体"/>
          <w:spacing w:val="15"/>
          <w:szCs w:val="21"/>
          <w:u w:val="single"/>
          <w:shd w:val="clear" w:color="auto" w:fill="FFFFFF"/>
        </w:rPr>
        <w:t>江苏政府采购网（http://www.ccgp-jiangsu.gov.cn/）</w:t>
      </w:r>
      <w:r>
        <w:fldChar w:fldCharType="begin"/>
      </w:r>
      <w:r>
        <w:instrText xml:space="preserve"> HYPERLINK "http://nynct.jiangsu.gov.cn）获取采购文件，并于2025年" \o "http://nynct.jiangsu.gov.cn）获取采购文件，并于2025年" </w:instrText>
      </w:r>
      <w:r>
        <w:fldChar w:fldCharType="separate"/>
      </w:r>
      <w:r>
        <w:rPr>
          <w:rStyle w:val="147"/>
          <w:rFonts w:hint="eastAsia" w:ascii="宋体" w:hAnsi="宋体" w:cs="宋体"/>
          <w:color w:val="000000"/>
          <w:szCs w:val="21"/>
        </w:rPr>
        <w:t>获取采购文件，并于</w:t>
      </w:r>
      <w:r>
        <w:rPr>
          <w:rStyle w:val="147"/>
          <w:rFonts w:hint="eastAsia" w:ascii="宋体" w:hAnsi="宋体" w:cs="宋体"/>
          <w:iCs/>
          <w:color w:val="000000"/>
          <w:spacing w:val="8"/>
          <w:szCs w:val="21"/>
        </w:rPr>
        <w:t>202</w:t>
      </w:r>
      <w:r>
        <w:rPr>
          <w:rStyle w:val="147"/>
          <w:rFonts w:hint="eastAsia" w:ascii="宋体" w:hAnsi="宋体" w:cs="宋体"/>
          <w:iCs/>
          <w:color w:val="000000"/>
          <w:spacing w:val="8"/>
          <w:szCs w:val="21"/>
          <w:lang w:val="en-US" w:eastAsia="zh-CN"/>
        </w:rPr>
        <w:t>6</w:t>
      </w:r>
      <w:r>
        <w:rPr>
          <w:rStyle w:val="147"/>
          <w:rFonts w:hint="eastAsia" w:ascii="宋体" w:hAnsi="宋体" w:cs="宋体"/>
          <w:iCs/>
          <w:color w:val="000000"/>
          <w:spacing w:val="8"/>
          <w:szCs w:val="21"/>
        </w:rPr>
        <w:t>年</w:t>
      </w:r>
      <w:r>
        <w:rPr>
          <w:rStyle w:val="151"/>
          <w:rFonts w:hint="eastAsia" w:ascii="宋体" w:hAnsi="宋体" w:cs="宋体"/>
          <w:iCs/>
          <w:color w:val="000000"/>
          <w:spacing w:val="8"/>
          <w:szCs w:val="21"/>
        </w:rPr>
        <w:fldChar w:fldCharType="end"/>
      </w:r>
      <w:r>
        <w:rPr>
          <w:rFonts w:hint="eastAsia" w:ascii="宋体" w:hAnsi="宋体" w:cs="宋体"/>
          <w:iCs/>
          <w:spacing w:val="8"/>
          <w:szCs w:val="21"/>
          <w:u w:val="single"/>
          <w:lang w:val="en-US" w:eastAsia="zh-CN"/>
        </w:rPr>
        <w:t>7</w:t>
      </w:r>
      <w:r>
        <w:rPr>
          <w:rFonts w:hint="eastAsia" w:ascii="宋体" w:hAnsi="宋体" w:cs="宋体"/>
          <w:iCs/>
          <w:spacing w:val="8"/>
          <w:szCs w:val="21"/>
          <w:u w:val="single"/>
        </w:rPr>
        <w:t>月</w:t>
      </w:r>
      <w:r>
        <w:rPr>
          <w:rFonts w:hint="eastAsia" w:ascii="宋体" w:hAnsi="宋体" w:cs="宋体"/>
          <w:iCs/>
          <w:spacing w:val="8"/>
          <w:szCs w:val="21"/>
          <w:u w:val="single"/>
          <w:lang w:val="en-US" w:eastAsia="zh-CN"/>
        </w:rPr>
        <w:t>10</w:t>
      </w:r>
      <w:r>
        <w:rPr>
          <w:rFonts w:hint="eastAsia" w:ascii="宋体" w:hAnsi="宋体" w:cs="宋体"/>
          <w:iCs/>
          <w:spacing w:val="8"/>
          <w:szCs w:val="21"/>
          <w:u w:val="single"/>
        </w:rPr>
        <w:t>日</w:t>
      </w:r>
      <w:r>
        <w:rPr>
          <w:rFonts w:hint="eastAsia" w:ascii="宋体" w:hAnsi="宋体" w:cs="宋体"/>
          <w:iCs/>
          <w:spacing w:val="8"/>
          <w:szCs w:val="21"/>
          <w:u w:val="single"/>
          <w:lang w:val="en-US" w:eastAsia="zh-CN"/>
        </w:rPr>
        <w:t>9</w:t>
      </w:r>
      <w:r>
        <w:rPr>
          <w:rFonts w:hint="eastAsia" w:ascii="宋体" w:hAnsi="宋体" w:cs="宋体"/>
          <w:iCs/>
          <w:spacing w:val="8"/>
          <w:szCs w:val="21"/>
          <w:u w:val="single"/>
        </w:rPr>
        <w:t>时</w:t>
      </w:r>
      <w:r>
        <w:rPr>
          <w:rFonts w:hint="eastAsia" w:ascii="宋体" w:hAnsi="宋体" w:cs="宋体"/>
          <w:iCs/>
          <w:spacing w:val="8"/>
          <w:szCs w:val="21"/>
          <w:u w:val="single"/>
          <w:lang w:val="en-US" w:eastAsia="zh-CN"/>
        </w:rPr>
        <w:t>30</w:t>
      </w:r>
      <w:r>
        <w:rPr>
          <w:rFonts w:hint="eastAsia" w:ascii="宋体" w:hAnsi="宋体" w:cs="宋体"/>
          <w:iCs/>
          <w:spacing w:val="8"/>
          <w:szCs w:val="21"/>
          <w:u w:val="single"/>
        </w:rPr>
        <w:t>分</w:t>
      </w:r>
      <w:r>
        <w:rPr>
          <w:rFonts w:hint="eastAsia" w:ascii="宋体" w:hAnsi="宋体" w:cs="宋体"/>
          <w:bCs/>
          <w:szCs w:val="21"/>
          <w:u w:val="single"/>
        </w:rPr>
        <w:t>（北京时间）</w:t>
      </w:r>
      <w:r>
        <w:rPr>
          <w:rFonts w:hint="eastAsia" w:ascii="宋体" w:hAnsi="宋体" w:cs="宋体"/>
          <w:bCs/>
          <w:szCs w:val="21"/>
        </w:rPr>
        <w:t>前提交响应文件</w:t>
      </w:r>
      <w:r>
        <w:rPr>
          <w:rFonts w:hint="eastAsia" w:ascii="宋体" w:hAnsi="宋体" w:cs="宋体"/>
          <w:szCs w:val="21"/>
        </w:rPr>
        <w:t>。</w:t>
      </w:r>
    </w:p>
    <w:p w14:paraId="1A1A954E">
      <w:pPr>
        <w:widowControl/>
        <w:shd w:val="clear" w:color="auto" w:fill="FFFFFF"/>
        <w:spacing w:line="360" w:lineRule="auto"/>
        <w:outlineLvl w:val="1"/>
        <w:rPr>
          <w:rFonts w:hint="eastAsia" w:ascii="宋体" w:hAnsi="宋体" w:cs="宋体"/>
          <w:b/>
          <w:spacing w:val="8"/>
          <w:sz w:val="24"/>
        </w:rPr>
      </w:pPr>
      <w:bookmarkStart w:id="2" w:name="_Toc1270"/>
      <w:bookmarkStart w:id="3" w:name="_Toc19084"/>
      <w:r>
        <w:rPr>
          <w:rFonts w:hint="eastAsia" w:ascii="宋体" w:hAnsi="宋体" w:cs="宋体"/>
          <w:b/>
          <w:spacing w:val="8"/>
          <w:sz w:val="24"/>
        </w:rPr>
        <w:t>一、项目基本情况</w:t>
      </w:r>
      <w:bookmarkEnd w:id="2"/>
      <w:bookmarkEnd w:id="3"/>
    </w:p>
    <w:p w14:paraId="7ED548BC">
      <w:pPr>
        <w:widowControl/>
        <w:spacing w:line="360" w:lineRule="auto"/>
        <w:ind w:firstLine="420"/>
        <w:rPr>
          <w:rFonts w:hint="eastAsia" w:ascii="宋体" w:hAnsi="宋体" w:eastAsia="宋体" w:cs="宋体"/>
          <w:szCs w:val="21"/>
          <w:lang w:eastAsia="zh-CN"/>
        </w:rPr>
      </w:pPr>
      <w:r>
        <w:rPr>
          <w:rFonts w:hint="eastAsia" w:ascii="宋体" w:hAnsi="宋体" w:cs="宋体"/>
          <w:szCs w:val="21"/>
        </w:rPr>
        <w:t>1.1项目编号：</w:t>
      </w:r>
      <w:r>
        <w:rPr>
          <w:rFonts w:hint="eastAsia" w:ascii="宋体" w:hAnsi="宋体" w:cs="宋体"/>
          <w:szCs w:val="21"/>
          <w:lang w:eastAsia="zh-CN"/>
        </w:rPr>
        <w:t>JSZC-320000-NJJC-C2026-0072</w:t>
      </w:r>
    </w:p>
    <w:p w14:paraId="0BC68A12">
      <w:pPr>
        <w:widowControl/>
        <w:spacing w:line="360" w:lineRule="auto"/>
        <w:ind w:firstLine="420"/>
        <w:rPr>
          <w:rFonts w:hint="eastAsia" w:ascii="宋体" w:hAnsi="宋体" w:cs="宋体"/>
          <w:szCs w:val="21"/>
        </w:rPr>
      </w:pPr>
      <w:r>
        <w:rPr>
          <w:rFonts w:hint="eastAsia" w:ascii="宋体" w:hAnsi="宋体" w:cs="宋体"/>
          <w:szCs w:val="21"/>
        </w:rPr>
        <w:t>1.2项目名称：人体结构教学科普馆场馆改造</w:t>
      </w:r>
    </w:p>
    <w:p w14:paraId="22EE6188">
      <w:pPr>
        <w:widowControl/>
        <w:spacing w:line="360" w:lineRule="auto"/>
        <w:ind w:firstLine="420"/>
        <w:rPr>
          <w:rFonts w:hint="eastAsia" w:ascii="宋体" w:hAnsi="宋体" w:cs="宋体"/>
          <w:szCs w:val="21"/>
          <w:highlight w:val="none"/>
        </w:rPr>
      </w:pPr>
      <w:r>
        <w:rPr>
          <w:rFonts w:hint="eastAsia" w:ascii="宋体" w:hAnsi="宋体" w:cs="宋体"/>
          <w:szCs w:val="21"/>
        </w:rPr>
        <w:t>1.3预</w:t>
      </w:r>
      <w:r>
        <w:rPr>
          <w:rFonts w:hint="eastAsia" w:ascii="宋体" w:hAnsi="宋体" w:cs="宋体"/>
          <w:szCs w:val="21"/>
          <w:highlight w:val="none"/>
        </w:rPr>
        <w:t>算金额：195万元。</w:t>
      </w:r>
    </w:p>
    <w:p w14:paraId="392F63AD">
      <w:pPr>
        <w:widowControl/>
        <w:spacing w:line="360" w:lineRule="auto"/>
        <w:ind w:firstLine="420"/>
        <w:rPr>
          <w:rFonts w:hint="eastAsia" w:ascii="宋体" w:hAnsi="宋体" w:cs="宋体"/>
          <w:szCs w:val="21"/>
        </w:rPr>
      </w:pPr>
      <w:r>
        <w:rPr>
          <w:rFonts w:hint="eastAsia" w:ascii="宋体" w:hAnsi="宋体" w:cs="宋体"/>
          <w:szCs w:val="21"/>
          <w:highlight w:val="none"/>
        </w:rPr>
        <w:t>1.4最高限价：19</w:t>
      </w:r>
      <w:r>
        <w:rPr>
          <w:rFonts w:hint="eastAsia" w:ascii="宋体" w:hAnsi="宋体" w:cs="宋体"/>
          <w:szCs w:val="21"/>
          <w:highlight w:val="none"/>
          <w:lang w:val="en-US" w:eastAsia="zh-CN"/>
        </w:rPr>
        <w:t>5</w:t>
      </w:r>
      <w:r>
        <w:rPr>
          <w:rFonts w:hint="eastAsia" w:ascii="宋体" w:hAnsi="宋体" w:cs="宋体"/>
          <w:szCs w:val="21"/>
          <w:highlight w:val="none"/>
        </w:rPr>
        <w:t>万元，超过最高限</w:t>
      </w:r>
      <w:r>
        <w:rPr>
          <w:rFonts w:hint="eastAsia" w:ascii="宋体" w:hAnsi="宋体" w:cs="宋体"/>
          <w:szCs w:val="21"/>
        </w:rPr>
        <w:t>价作无效响应处理。</w:t>
      </w:r>
    </w:p>
    <w:p w14:paraId="2CFF2A3A">
      <w:pPr>
        <w:widowControl/>
        <w:spacing w:line="360" w:lineRule="auto"/>
        <w:ind w:firstLine="420"/>
        <w:rPr>
          <w:rFonts w:hint="eastAsia" w:ascii="宋体" w:hAnsi="宋体" w:cs="宋体"/>
          <w:szCs w:val="21"/>
        </w:rPr>
      </w:pPr>
      <w:r>
        <w:rPr>
          <w:rFonts w:hint="eastAsia" w:ascii="宋体" w:hAnsi="宋体" w:cs="宋体"/>
          <w:szCs w:val="21"/>
        </w:rPr>
        <w:t>1.5采购需求：本项目为江苏卫生健康职业学院人体结构教学科普馆场馆改造，主要包</w:t>
      </w:r>
      <w:bookmarkStart w:id="4" w:name="_Hlk208912223"/>
      <w:r>
        <w:rPr>
          <w:rFonts w:hint="eastAsia" w:ascii="宋体" w:hAnsi="宋体" w:cs="宋体"/>
          <w:szCs w:val="21"/>
        </w:rPr>
        <w:t>含装饰、电气</w:t>
      </w:r>
      <w:bookmarkEnd w:id="4"/>
      <w:r>
        <w:rPr>
          <w:rFonts w:hint="eastAsia" w:ascii="宋体" w:hAnsi="宋体" w:cs="宋体"/>
          <w:szCs w:val="21"/>
        </w:rPr>
        <w:t>、暖通。具体详见图纸及工程量清单。</w:t>
      </w:r>
    </w:p>
    <w:p w14:paraId="0B9A97C5">
      <w:pPr>
        <w:widowControl/>
        <w:spacing w:line="360" w:lineRule="auto"/>
        <w:ind w:firstLine="420"/>
        <w:rPr>
          <w:rFonts w:hint="eastAsia" w:ascii="宋体" w:hAnsi="宋体" w:cs="宋体"/>
          <w:szCs w:val="21"/>
        </w:rPr>
      </w:pPr>
      <w:r>
        <w:rPr>
          <w:rFonts w:hint="eastAsia" w:ascii="宋体" w:hAnsi="宋体" w:cs="宋体"/>
          <w:szCs w:val="21"/>
        </w:rPr>
        <w:t>1.6合同履行期限：45日历天。</w:t>
      </w:r>
    </w:p>
    <w:p w14:paraId="1C1D0184">
      <w:pPr>
        <w:widowControl/>
        <w:spacing w:line="360" w:lineRule="auto"/>
        <w:ind w:firstLine="420"/>
        <w:rPr>
          <w:rFonts w:hint="eastAsia" w:ascii="宋体" w:hAnsi="宋体" w:cs="宋体"/>
          <w:szCs w:val="21"/>
        </w:rPr>
      </w:pPr>
      <w:r>
        <w:rPr>
          <w:rFonts w:hint="eastAsia" w:ascii="宋体" w:hAnsi="宋体" w:cs="宋体"/>
          <w:szCs w:val="21"/>
        </w:rPr>
        <w:t>1.7行业划分：建筑业。</w:t>
      </w:r>
    </w:p>
    <w:p w14:paraId="07151E77">
      <w:pPr>
        <w:widowControl/>
        <w:spacing w:line="360" w:lineRule="auto"/>
        <w:ind w:firstLine="420"/>
        <w:rPr>
          <w:rFonts w:hint="eastAsia" w:ascii="宋体" w:hAnsi="宋体" w:cs="宋体"/>
          <w:szCs w:val="21"/>
        </w:rPr>
      </w:pPr>
      <w:r>
        <w:rPr>
          <w:rFonts w:hint="eastAsia" w:ascii="宋体" w:hAnsi="宋体" w:cs="宋体"/>
          <w:szCs w:val="21"/>
        </w:rPr>
        <w:t>1.8本项目非专门面向中小企业（或监狱企业或残疾人福利性单位）采购。</w:t>
      </w:r>
    </w:p>
    <w:p w14:paraId="4111D201">
      <w:pPr>
        <w:widowControl/>
        <w:spacing w:line="360" w:lineRule="auto"/>
        <w:ind w:firstLine="420"/>
        <w:rPr>
          <w:rFonts w:hint="eastAsia" w:ascii="宋体" w:hAnsi="宋体" w:cs="宋体"/>
          <w:spacing w:val="8"/>
          <w:szCs w:val="21"/>
        </w:rPr>
      </w:pPr>
      <w:r>
        <w:rPr>
          <w:rFonts w:hint="eastAsia" w:ascii="宋体" w:hAnsi="宋体" w:cs="宋体"/>
          <w:szCs w:val="21"/>
        </w:rPr>
        <w:t>1.9本项目不接受联合体响应，不允许转包、分包。</w:t>
      </w:r>
    </w:p>
    <w:p w14:paraId="4EC22F3D">
      <w:pPr>
        <w:widowControl/>
        <w:shd w:val="clear" w:color="auto" w:fill="FFFFFF"/>
        <w:spacing w:line="360" w:lineRule="auto"/>
        <w:outlineLvl w:val="1"/>
        <w:rPr>
          <w:rFonts w:hint="eastAsia" w:ascii="宋体" w:hAnsi="宋体" w:cs="宋体"/>
          <w:b/>
          <w:spacing w:val="8"/>
          <w:sz w:val="24"/>
        </w:rPr>
      </w:pPr>
      <w:bookmarkStart w:id="5" w:name="_Toc26468"/>
      <w:bookmarkStart w:id="6" w:name="_Toc1756"/>
      <w:r>
        <w:rPr>
          <w:rFonts w:hint="eastAsia" w:ascii="宋体" w:hAnsi="宋体" w:cs="宋体"/>
          <w:b/>
          <w:spacing w:val="8"/>
          <w:sz w:val="24"/>
        </w:rPr>
        <w:t>二、申请人的资格要求：</w:t>
      </w:r>
      <w:bookmarkEnd w:id="5"/>
      <w:bookmarkEnd w:id="6"/>
    </w:p>
    <w:p w14:paraId="72343672">
      <w:pPr>
        <w:widowControl/>
        <w:spacing w:line="360" w:lineRule="auto"/>
        <w:ind w:firstLine="422"/>
        <w:rPr>
          <w:rFonts w:hint="eastAsia" w:ascii="宋体" w:hAnsi="宋体" w:cs="宋体"/>
          <w:b/>
          <w:bCs/>
          <w:szCs w:val="21"/>
        </w:rPr>
      </w:pPr>
      <w:r>
        <w:rPr>
          <w:rFonts w:hint="eastAsia" w:ascii="宋体" w:hAnsi="宋体" w:cs="宋体"/>
          <w:b/>
          <w:bCs/>
          <w:szCs w:val="21"/>
        </w:rPr>
        <w:t>2.1满足《中华人民共和国政府采购法》第二十二条规定；</w:t>
      </w:r>
    </w:p>
    <w:p w14:paraId="6222A23F">
      <w:pPr>
        <w:widowControl/>
        <w:spacing w:line="360" w:lineRule="auto"/>
        <w:ind w:firstLine="422"/>
        <w:rPr>
          <w:rFonts w:hint="eastAsia" w:ascii="宋体" w:hAnsi="宋体" w:cs="宋体"/>
          <w:szCs w:val="21"/>
        </w:rPr>
      </w:pPr>
      <w:r>
        <w:rPr>
          <w:rFonts w:hint="eastAsia" w:ascii="宋体" w:hAnsi="宋体" w:cs="宋体"/>
          <w:szCs w:val="21"/>
        </w:rPr>
        <w:t>（1）具有独立承担民事责任的能力（提供法人或者其他组织的营业执照，自然人的身份证明</w:t>
      </w:r>
      <w:r>
        <w:rPr>
          <w:rFonts w:hint="eastAsia" w:ascii="宋体" w:hAnsi="宋体" w:cs="宋体"/>
          <w:szCs w:val="21"/>
          <w:lang w:eastAsia="zh-CN"/>
        </w:rPr>
        <w:t>扫描件加盖电子公章</w:t>
      </w:r>
      <w:r>
        <w:rPr>
          <w:rFonts w:hint="eastAsia" w:ascii="宋体" w:hAnsi="宋体" w:cs="宋体"/>
          <w:szCs w:val="21"/>
        </w:rPr>
        <w:t>）；</w:t>
      </w:r>
    </w:p>
    <w:p w14:paraId="548E9EA7">
      <w:pPr>
        <w:widowControl/>
        <w:spacing w:line="360" w:lineRule="auto"/>
        <w:ind w:firstLine="422"/>
        <w:rPr>
          <w:rFonts w:hint="eastAsia" w:ascii="宋体" w:hAnsi="宋体" w:cs="宋体"/>
          <w:szCs w:val="21"/>
        </w:rPr>
      </w:pPr>
      <w:r>
        <w:rPr>
          <w:rFonts w:hint="eastAsia" w:ascii="宋体" w:hAnsi="宋体" w:cs="宋体"/>
          <w:szCs w:val="21"/>
        </w:rPr>
        <w:t>（2）具有良好的商业信誉和健全的财务会计制度（提供经审计的2025年度财务报告</w:t>
      </w:r>
      <w:r>
        <w:rPr>
          <w:rFonts w:hint="eastAsia" w:ascii="宋体" w:hAnsi="宋体" w:cs="宋体"/>
          <w:szCs w:val="21"/>
          <w:lang w:eastAsia="zh-CN"/>
        </w:rPr>
        <w:t>扫描件加盖电子公章</w:t>
      </w:r>
      <w:r>
        <w:rPr>
          <w:rFonts w:hint="eastAsia" w:ascii="宋体" w:hAnsi="宋体" w:cs="宋体"/>
          <w:szCs w:val="21"/>
        </w:rPr>
        <w:t>，或提供投标截止时间前6个月内</w:t>
      </w:r>
      <w:bookmarkStart w:id="7" w:name="_Hlk212586715"/>
      <w:r>
        <w:rPr>
          <w:rFonts w:hint="eastAsia" w:ascii="宋体" w:hAnsi="宋体" w:cs="宋体"/>
          <w:szCs w:val="21"/>
        </w:rPr>
        <w:t>（即202</w:t>
      </w:r>
      <w:r>
        <w:rPr>
          <w:rFonts w:hint="eastAsia" w:ascii="宋体" w:hAnsi="宋体" w:cs="宋体"/>
          <w:szCs w:val="21"/>
          <w:lang w:val="en-US" w:eastAsia="zh-CN"/>
        </w:rPr>
        <w:t>6</w:t>
      </w:r>
      <w:r>
        <w:rPr>
          <w:rFonts w:hint="eastAsia" w:ascii="宋体" w:hAnsi="宋体" w:cs="宋体"/>
          <w:szCs w:val="21"/>
        </w:rPr>
        <w:t>年1月以来</w:t>
      </w:r>
      <w:bookmarkEnd w:id="7"/>
      <w:r>
        <w:rPr>
          <w:rFonts w:hint="eastAsia" w:ascii="宋体" w:hAnsi="宋体" w:cs="宋体"/>
          <w:szCs w:val="21"/>
        </w:rPr>
        <w:t>）任意一个月的财务报表（至少包含利润表和资产负债表）</w:t>
      </w:r>
      <w:r>
        <w:rPr>
          <w:rFonts w:hint="eastAsia" w:ascii="宋体" w:hAnsi="宋体" w:cs="宋体"/>
          <w:szCs w:val="21"/>
          <w:lang w:eastAsia="zh-CN"/>
        </w:rPr>
        <w:t>扫描件加盖电子公章</w:t>
      </w:r>
      <w:r>
        <w:rPr>
          <w:rFonts w:hint="eastAsia" w:ascii="宋体" w:hAnsi="宋体" w:cs="宋体"/>
          <w:szCs w:val="21"/>
        </w:rPr>
        <w:t>，</w:t>
      </w:r>
      <w:r>
        <w:rPr>
          <w:rFonts w:hint="eastAsia" w:ascii="宋体" w:hAnsi="宋体" w:cs="宋体"/>
          <w:szCs w:val="21"/>
          <w:lang w:val="zh-TW"/>
        </w:rPr>
        <w:t>或银行出具的</w:t>
      </w:r>
      <w:r>
        <w:rPr>
          <w:rFonts w:hint="eastAsia" w:ascii="宋体" w:hAnsi="宋体" w:cs="宋体"/>
          <w:szCs w:val="21"/>
        </w:rPr>
        <w:t>磋商</w:t>
      </w:r>
      <w:r>
        <w:rPr>
          <w:rFonts w:hint="eastAsia" w:ascii="宋体" w:hAnsi="宋体" w:cs="宋体"/>
          <w:szCs w:val="21"/>
          <w:lang w:val="zh-TW"/>
        </w:rPr>
        <w:t>截止时间前6个月</w:t>
      </w:r>
      <w:r>
        <w:rPr>
          <w:rFonts w:hint="eastAsia" w:ascii="宋体" w:hAnsi="宋体" w:cs="宋体"/>
          <w:szCs w:val="21"/>
        </w:rPr>
        <w:t>（即202</w:t>
      </w:r>
      <w:r>
        <w:rPr>
          <w:rFonts w:hint="eastAsia" w:ascii="宋体" w:hAnsi="宋体" w:cs="宋体"/>
          <w:szCs w:val="21"/>
          <w:lang w:val="en-US" w:eastAsia="zh-CN"/>
        </w:rPr>
        <w:t>6</w:t>
      </w:r>
      <w:r>
        <w:rPr>
          <w:rFonts w:hint="eastAsia" w:ascii="宋体" w:hAnsi="宋体" w:cs="宋体"/>
          <w:szCs w:val="21"/>
        </w:rPr>
        <w:t>年1月以来）</w:t>
      </w:r>
      <w:r>
        <w:rPr>
          <w:rFonts w:hint="eastAsia" w:ascii="宋体" w:hAnsi="宋体" w:cs="宋体"/>
          <w:szCs w:val="21"/>
          <w:lang w:val="zh-TW"/>
        </w:rPr>
        <w:t>内资信证书</w:t>
      </w:r>
      <w:r>
        <w:rPr>
          <w:rFonts w:hint="eastAsia" w:ascii="宋体" w:hAnsi="宋体" w:cs="宋体"/>
          <w:szCs w:val="21"/>
          <w:lang w:val="zh-TW" w:eastAsia="zh-CN"/>
        </w:rPr>
        <w:t>扫描件加盖电子公章</w:t>
      </w:r>
      <w:r>
        <w:rPr>
          <w:rFonts w:hint="eastAsia" w:ascii="宋体" w:hAnsi="宋体" w:cs="宋体"/>
          <w:szCs w:val="21"/>
          <w:lang w:val="zh-TW"/>
        </w:rPr>
        <w:t>，</w:t>
      </w:r>
      <w:r>
        <w:rPr>
          <w:rFonts w:hint="eastAsia" w:ascii="宋体" w:hAnsi="宋体" w:cs="宋体"/>
          <w:szCs w:val="21"/>
        </w:rPr>
        <w:t>或财政部门认可的政府采购专业担保</w:t>
      </w:r>
      <w:bookmarkStart w:id="117" w:name="_GoBack"/>
      <w:bookmarkEnd w:id="117"/>
      <w:r>
        <w:rPr>
          <w:rFonts w:hint="eastAsia" w:ascii="宋体" w:hAnsi="宋体" w:cs="宋体"/>
          <w:szCs w:val="21"/>
        </w:rPr>
        <w:t>机构出具的投标担保函）；</w:t>
      </w:r>
    </w:p>
    <w:p w14:paraId="16A1A80E">
      <w:pPr>
        <w:widowControl/>
        <w:spacing w:line="360" w:lineRule="auto"/>
        <w:ind w:firstLine="422"/>
        <w:rPr>
          <w:rFonts w:hint="eastAsia" w:ascii="宋体" w:hAnsi="宋体" w:cs="宋体"/>
          <w:szCs w:val="21"/>
        </w:rPr>
      </w:pPr>
      <w:r>
        <w:rPr>
          <w:rFonts w:hint="eastAsia" w:ascii="宋体" w:hAnsi="宋体" w:cs="宋体"/>
          <w:szCs w:val="21"/>
        </w:rPr>
        <w:t>（3）具有履行合同所必需的设备和专业技术能力（根据项目需求提供履行合同所必需的设备和专业技术能力的证明材料的承诺书原件）；</w:t>
      </w:r>
    </w:p>
    <w:p w14:paraId="26F5D2D0">
      <w:pPr>
        <w:widowControl/>
        <w:spacing w:line="360" w:lineRule="auto"/>
        <w:ind w:firstLine="422"/>
        <w:rPr>
          <w:rFonts w:hint="eastAsia" w:ascii="宋体" w:hAnsi="宋体" w:cs="宋体"/>
          <w:szCs w:val="21"/>
        </w:rPr>
      </w:pPr>
      <w:r>
        <w:rPr>
          <w:rFonts w:hint="eastAsia" w:ascii="宋体" w:hAnsi="宋体" w:cs="宋体"/>
          <w:szCs w:val="21"/>
        </w:rPr>
        <w:t>（4）有依法缴纳税收和社会保障资金的良好记录（提供参加本次政府采购活动前半年内（即202</w:t>
      </w:r>
      <w:r>
        <w:rPr>
          <w:rFonts w:hint="eastAsia" w:ascii="宋体" w:hAnsi="宋体" w:cs="宋体"/>
          <w:szCs w:val="21"/>
          <w:lang w:val="en-US" w:eastAsia="zh-CN"/>
        </w:rPr>
        <w:t>6</w:t>
      </w:r>
      <w:r>
        <w:rPr>
          <w:rFonts w:hint="eastAsia" w:ascii="宋体" w:hAnsi="宋体" w:cs="宋体"/>
          <w:szCs w:val="21"/>
        </w:rPr>
        <w:t>年1月以来），至少1个月缴纳税收和社会保险的凭证</w:t>
      </w:r>
      <w:r>
        <w:rPr>
          <w:rFonts w:hint="eastAsia" w:ascii="宋体" w:hAnsi="宋体" w:cs="宋体"/>
          <w:szCs w:val="21"/>
          <w:lang w:eastAsia="zh-CN"/>
        </w:rPr>
        <w:t>扫描件加盖电子公章</w:t>
      </w:r>
      <w:r>
        <w:rPr>
          <w:rFonts w:hint="eastAsia" w:ascii="宋体" w:hAnsi="宋体" w:cs="宋体"/>
          <w:szCs w:val="21"/>
        </w:rPr>
        <w:t>，依法享受免缴、缓缴的，提供证明材料</w:t>
      </w:r>
      <w:r>
        <w:rPr>
          <w:rFonts w:hint="eastAsia" w:ascii="宋体" w:hAnsi="宋体" w:cs="宋体"/>
          <w:szCs w:val="21"/>
          <w:lang w:eastAsia="zh-CN"/>
        </w:rPr>
        <w:t>扫描件加盖电子公章</w:t>
      </w:r>
      <w:r>
        <w:rPr>
          <w:rFonts w:hint="eastAsia" w:ascii="宋体" w:hAnsi="宋体" w:cs="宋体"/>
          <w:szCs w:val="21"/>
        </w:rPr>
        <w:t>）；</w:t>
      </w:r>
    </w:p>
    <w:p w14:paraId="74A45EA8">
      <w:pPr>
        <w:widowControl/>
        <w:spacing w:line="360" w:lineRule="auto"/>
        <w:ind w:firstLine="422"/>
        <w:rPr>
          <w:rFonts w:hint="eastAsia" w:ascii="宋体" w:hAnsi="宋体" w:cs="宋体"/>
          <w:szCs w:val="21"/>
        </w:rPr>
      </w:pPr>
      <w:r>
        <w:rPr>
          <w:rFonts w:hint="eastAsia" w:ascii="宋体" w:hAnsi="宋体" w:cs="宋体"/>
          <w:szCs w:val="21"/>
        </w:rPr>
        <w:t>（5）参加政府采购活动前三年内，在经营活动中没有重大违法记录（提供参加本次政府采购活动前3年内在经营活动中没有重大违法记录的书面声明）（格式见后附件）；</w:t>
      </w:r>
    </w:p>
    <w:p w14:paraId="10222C30">
      <w:pPr>
        <w:widowControl/>
        <w:spacing w:line="360" w:lineRule="auto"/>
        <w:ind w:firstLine="422"/>
        <w:rPr>
          <w:rFonts w:hint="eastAsia" w:ascii="宋体" w:hAnsi="宋体" w:cs="宋体"/>
          <w:szCs w:val="21"/>
        </w:rPr>
      </w:pPr>
      <w:r>
        <w:rPr>
          <w:rFonts w:hint="eastAsia" w:ascii="宋体" w:hAnsi="宋体" w:cs="宋体"/>
          <w:szCs w:val="21"/>
        </w:rPr>
        <w:t>（6）法律、行政法规规定的其他条件。</w:t>
      </w:r>
    </w:p>
    <w:p w14:paraId="32ECF41D">
      <w:pPr>
        <w:widowControl/>
        <w:spacing w:line="360" w:lineRule="auto"/>
        <w:ind w:firstLine="422"/>
        <w:rPr>
          <w:rFonts w:hint="eastAsia" w:ascii="宋体" w:hAnsi="宋体" w:cs="宋体"/>
          <w:b/>
          <w:bCs/>
          <w:szCs w:val="21"/>
        </w:rPr>
      </w:pPr>
      <w:r>
        <w:rPr>
          <w:rFonts w:hint="eastAsia" w:ascii="宋体" w:hAnsi="宋体" w:cs="宋体"/>
          <w:b/>
          <w:bCs/>
          <w:szCs w:val="21"/>
        </w:rPr>
        <w:t>2.2落实政府采购政策需满足的资格要求：无。</w:t>
      </w:r>
    </w:p>
    <w:p w14:paraId="44BF8713">
      <w:pPr>
        <w:widowControl/>
        <w:spacing w:line="360" w:lineRule="auto"/>
        <w:ind w:firstLine="422"/>
        <w:rPr>
          <w:rFonts w:hint="eastAsia" w:ascii="宋体" w:hAnsi="宋体" w:cs="宋体"/>
          <w:b/>
          <w:bCs/>
          <w:szCs w:val="21"/>
        </w:rPr>
      </w:pPr>
      <w:r>
        <w:rPr>
          <w:rFonts w:hint="eastAsia" w:ascii="宋体" w:hAnsi="宋体" w:cs="宋体"/>
          <w:b/>
          <w:bCs/>
          <w:szCs w:val="21"/>
        </w:rPr>
        <w:t>2.3采购人根据采购项目的特殊要求规定的特定条件：</w:t>
      </w:r>
    </w:p>
    <w:p w14:paraId="242E710F">
      <w:pPr>
        <w:spacing w:line="360" w:lineRule="auto"/>
        <w:ind w:firstLine="454"/>
        <w:rPr>
          <w:rFonts w:hint="eastAsia" w:ascii="宋体" w:hAnsi="宋体" w:cs="宋体"/>
          <w:b/>
          <w:bCs/>
          <w:spacing w:val="8"/>
          <w:szCs w:val="21"/>
        </w:rPr>
      </w:pPr>
      <w:r>
        <w:rPr>
          <w:rFonts w:hint="eastAsia" w:ascii="宋体" w:hAnsi="宋体" w:cs="宋体"/>
          <w:b/>
          <w:bCs/>
          <w:spacing w:val="8"/>
          <w:szCs w:val="21"/>
        </w:rPr>
        <w:t>（1）供应商须具有建筑装饰装修工程专业承包二级及以上资质并具有有效的安全生产许可证（提供证书</w:t>
      </w:r>
      <w:r>
        <w:rPr>
          <w:rFonts w:hint="eastAsia" w:ascii="宋体" w:hAnsi="宋体" w:cs="宋体"/>
          <w:b/>
          <w:bCs/>
          <w:spacing w:val="8"/>
          <w:szCs w:val="21"/>
          <w:lang w:eastAsia="zh-CN"/>
        </w:rPr>
        <w:t>扫描件</w:t>
      </w:r>
      <w:r>
        <w:rPr>
          <w:rFonts w:hint="eastAsia" w:ascii="宋体" w:hAnsi="宋体" w:cs="宋体"/>
          <w:b/>
          <w:bCs/>
          <w:spacing w:val="8"/>
          <w:szCs w:val="21"/>
        </w:rPr>
        <w:t>并</w:t>
      </w:r>
      <w:r>
        <w:rPr>
          <w:rFonts w:hint="eastAsia" w:ascii="宋体" w:hAnsi="宋体" w:cs="宋体"/>
          <w:b/>
          <w:bCs/>
          <w:spacing w:val="8"/>
          <w:szCs w:val="21"/>
          <w:lang w:eastAsia="zh-CN"/>
        </w:rPr>
        <w:t>加盖电子公章</w:t>
      </w:r>
      <w:r>
        <w:rPr>
          <w:rFonts w:hint="eastAsia" w:ascii="宋体" w:hAnsi="宋体" w:cs="宋体"/>
          <w:b/>
          <w:bCs/>
          <w:spacing w:val="8"/>
          <w:szCs w:val="21"/>
        </w:rPr>
        <w:t>）；</w:t>
      </w:r>
    </w:p>
    <w:p w14:paraId="7F9BC19B">
      <w:pPr>
        <w:spacing w:line="360" w:lineRule="auto"/>
        <w:ind w:firstLine="454"/>
        <w:rPr>
          <w:rFonts w:hint="eastAsia" w:ascii="宋体" w:hAnsi="宋体" w:cs="宋体"/>
          <w:b/>
        </w:rPr>
      </w:pPr>
      <w:r>
        <w:rPr>
          <w:rFonts w:hint="eastAsia" w:ascii="宋体" w:hAnsi="宋体" w:cs="宋体"/>
          <w:b/>
          <w:bCs/>
          <w:spacing w:val="8"/>
          <w:szCs w:val="21"/>
        </w:rPr>
        <w:t>（2）拟派项目经理</w:t>
      </w:r>
      <w:r>
        <w:rPr>
          <w:rFonts w:hint="eastAsia" w:ascii="宋体" w:hAnsi="宋体" w:cs="宋体"/>
          <w:b/>
          <w:spacing w:val="8"/>
          <w:szCs w:val="21"/>
        </w:rPr>
        <w:t>具有建筑工程专业注册建造师证二级（含）以上资格且具备有效的安全生产考核合格证书（B类证）</w:t>
      </w:r>
      <w:r>
        <w:rPr>
          <w:rFonts w:hint="eastAsia" w:ascii="宋体" w:hAnsi="宋体" w:cs="宋体"/>
          <w:b/>
          <w:bCs/>
          <w:spacing w:val="8"/>
          <w:szCs w:val="21"/>
        </w:rPr>
        <w:t>。（提供相关证书</w:t>
      </w:r>
      <w:r>
        <w:rPr>
          <w:rFonts w:hint="eastAsia" w:ascii="宋体" w:hAnsi="宋体" w:cs="宋体"/>
          <w:b/>
          <w:bCs/>
          <w:spacing w:val="8"/>
          <w:szCs w:val="21"/>
          <w:lang w:eastAsia="zh-CN"/>
        </w:rPr>
        <w:t>扫描件</w:t>
      </w:r>
      <w:r>
        <w:rPr>
          <w:rFonts w:hint="eastAsia" w:ascii="宋体" w:hAnsi="宋体" w:cs="宋体"/>
          <w:b/>
          <w:bCs/>
          <w:spacing w:val="8"/>
          <w:szCs w:val="21"/>
        </w:rPr>
        <w:t>并</w:t>
      </w:r>
      <w:r>
        <w:rPr>
          <w:rFonts w:hint="eastAsia" w:ascii="宋体" w:hAnsi="宋体" w:cs="宋体"/>
          <w:b/>
          <w:bCs/>
          <w:spacing w:val="8"/>
          <w:szCs w:val="21"/>
          <w:lang w:eastAsia="zh-CN"/>
        </w:rPr>
        <w:t>加盖电子公章</w:t>
      </w:r>
      <w:r>
        <w:rPr>
          <w:rFonts w:hint="eastAsia" w:ascii="宋体" w:hAnsi="宋体" w:cs="宋体"/>
          <w:b/>
          <w:bCs/>
          <w:spacing w:val="8"/>
          <w:szCs w:val="21"/>
        </w:rPr>
        <w:t>及</w:t>
      </w:r>
      <w:r>
        <w:rPr>
          <w:rFonts w:hint="eastAsia" w:cs="宋体"/>
          <w:b/>
          <w:szCs w:val="21"/>
        </w:rPr>
        <w:t>供应商为项目经理缴纳的近半年（202</w:t>
      </w:r>
      <w:r>
        <w:rPr>
          <w:rFonts w:hint="eastAsia" w:cs="宋体"/>
          <w:b/>
          <w:szCs w:val="21"/>
          <w:lang w:val="en-US" w:eastAsia="zh-CN"/>
        </w:rPr>
        <w:t>6</w:t>
      </w:r>
      <w:r>
        <w:rPr>
          <w:rFonts w:hint="eastAsia" w:cs="宋体"/>
          <w:b/>
          <w:szCs w:val="21"/>
        </w:rPr>
        <w:t>年1月—2026年</w:t>
      </w:r>
      <w:r>
        <w:rPr>
          <w:rFonts w:hint="eastAsia" w:cs="宋体"/>
          <w:b/>
          <w:szCs w:val="21"/>
          <w:lang w:val="en-US" w:eastAsia="zh-CN"/>
        </w:rPr>
        <w:t>6</w:t>
      </w:r>
      <w:r>
        <w:rPr>
          <w:rFonts w:hint="eastAsia" w:cs="宋体"/>
          <w:b/>
          <w:szCs w:val="21"/>
        </w:rPr>
        <w:t>月）任意一个月社保证明材料</w:t>
      </w:r>
      <w:r>
        <w:rPr>
          <w:rFonts w:hint="eastAsia" w:ascii="宋体" w:hAnsi="宋体" w:cs="宋体"/>
          <w:b/>
          <w:bCs/>
          <w:spacing w:val="8"/>
          <w:szCs w:val="21"/>
        </w:rPr>
        <w:t>）</w:t>
      </w:r>
    </w:p>
    <w:p w14:paraId="0FAD21E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2.4拒绝下述供应商参加本次招标活动：</w:t>
      </w:r>
    </w:p>
    <w:p w14:paraId="3D0AF23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（1）供应商单位负责人为同一人或者存在直接控股、管理关系的不同供应商，不得参加同一合同项下的政府采购活动。</w:t>
      </w:r>
    </w:p>
    <w:p w14:paraId="0E93318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（2）凡为采购项目提供整体设计、规范编制或者项目管理、监理、检测等服务的供应商，不得再参加本项目的采购活动。</w:t>
      </w:r>
    </w:p>
    <w:p w14:paraId="2A3B41CF">
      <w:pPr>
        <w:widowControl/>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b/>
          <w:szCs w:val="21"/>
          <w:lang w:val="zh-CN"/>
        </w:rPr>
      </w:pPr>
      <w:r>
        <w:rPr>
          <w:rFonts w:hint="eastAsia" w:ascii="宋体" w:hAnsi="宋体" w:cs="宋体"/>
          <w:szCs w:val="21"/>
        </w:rPr>
        <w:t>（3）供应商被“信用中国”网站（www.creditchina.gov.cn）、“中国政府采购网”（www.ccgp.gov.cn） 列入失信被执行人、重大税收违法失信主体名单、政府采购严重违法失信行为记录名单。磋商小组对响应文件进行审查时，代理机构依法通过“中国政府采购网”、“信用中国”网站渠道查询供应商信用记录并保存。</w:t>
      </w:r>
    </w:p>
    <w:p w14:paraId="4ADB1619">
      <w:pPr>
        <w:widowControl/>
        <w:shd w:val="clear" w:color="auto" w:fill="FFFFFF"/>
        <w:spacing w:line="360" w:lineRule="auto"/>
        <w:outlineLvl w:val="1"/>
        <w:rPr>
          <w:rFonts w:hint="eastAsia" w:ascii="宋体" w:hAnsi="宋体" w:cs="宋体"/>
          <w:b/>
          <w:spacing w:val="8"/>
          <w:sz w:val="24"/>
        </w:rPr>
      </w:pPr>
      <w:bookmarkStart w:id="8" w:name="_Toc24617"/>
      <w:bookmarkStart w:id="9" w:name="_Toc5823"/>
      <w:r>
        <w:rPr>
          <w:rFonts w:hint="eastAsia" w:ascii="宋体" w:hAnsi="宋体" w:cs="宋体"/>
          <w:b/>
          <w:spacing w:val="8"/>
          <w:sz w:val="24"/>
        </w:rPr>
        <w:t>三、获取采购文件</w:t>
      </w:r>
      <w:bookmarkEnd w:id="8"/>
      <w:bookmarkEnd w:id="9"/>
    </w:p>
    <w:p w14:paraId="6BCB47DC">
      <w:pPr>
        <w:widowControl/>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cs="宋体"/>
          <w:szCs w:val="21"/>
        </w:rPr>
      </w:pPr>
      <w:bookmarkStart w:id="10" w:name="_Toc21817"/>
      <w:bookmarkStart w:id="11" w:name="_Toc1456"/>
      <w:r>
        <w:rPr>
          <w:rFonts w:hint="eastAsia" w:ascii="宋体" w:hAnsi="宋体" w:cs="宋体"/>
          <w:szCs w:val="21"/>
        </w:rPr>
        <w:t>3.1时间：</w:t>
      </w:r>
      <w:r>
        <w:rPr>
          <w:rFonts w:hint="eastAsia" w:ascii="宋体" w:hAnsi="Arial" w:cs="宋体"/>
          <w:bCs/>
          <w:szCs w:val="21"/>
        </w:rPr>
        <w:t>自竞争性磋商文件公告发布之日起5个工作日。</w:t>
      </w:r>
    </w:p>
    <w:p w14:paraId="3C029840">
      <w:pPr>
        <w:widowControl/>
        <w:spacing w:line="360" w:lineRule="auto"/>
        <w:ind w:firstLine="420"/>
        <w:rPr>
          <w:rFonts w:hint="eastAsia" w:ascii="宋体" w:hAnsi="宋体" w:cs="宋体"/>
          <w:szCs w:val="21"/>
        </w:rPr>
      </w:pPr>
      <w:r>
        <w:rPr>
          <w:rFonts w:hint="eastAsia" w:ascii="宋体" w:hAnsi="宋体" w:cs="宋体"/>
          <w:szCs w:val="21"/>
        </w:rPr>
        <w:t>3.2地点：“苏采云”系统内免费下载（供应商必须在苏采云系统中获取采购文件，方能参与本次政府采购项目）</w:t>
      </w:r>
    </w:p>
    <w:p w14:paraId="7D7FCED9">
      <w:pPr>
        <w:keepNext/>
        <w:keepLines/>
        <w:widowControl/>
        <w:spacing w:before="20" w:after="20" w:line="360" w:lineRule="auto"/>
        <w:ind w:firstLine="420"/>
        <w:rPr>
          <w:rFonts w:ascii="宋体" w:hAnsi="Arial" w:cs="宋体"/>
          <w:bCs/>
          <w:szCs w:val="21"/>
        </w:rPr>
      </w:pPr>
      <w:r>
        <w:rPr>
          <w:rFonts w:hint="eastAsia" w:ascii="宋体" w:hAnsi="宋体" w:cs="宋体"/>
          <w:szCs w:val="21"/>
        </w:rPr>
        <w:t>3.3</w:t>
      </w:r>
      <w:r>
        <w:rPr>
          <w:rFonts w:hint="eastAsia" w:ascii="宋体" w:hAnsi="Arial" w:cs="宋体"/>
          <w:bCs/>
          <w:szCs w:val="21"/>
        </w:rPr>
        <w:t>方式：苏采云系统注册登记成功后系统内免费下载。</w:t>
      </w:r>
    </w:p>
    <w:p w14:paraId="3C584151">
      <w:pPr>
        <w:keepNext/>
        <w:keepLines/>
        <w:widowControl/>
        <w:spacing w:before="20" w:after="20" w:line="360" w:lineRule="auto"/>
        <w:ind w:firstLine="420"/>
        <w:rPr>
          <w:rFonts w:hint="eastAsia" w:ascii="宋体" w:hAnsi="宋体" w:cs="宋体"/>
          <w:szCs w:val="21"/>
        </w:rPr>
      </w:pPr>
      <w:r>
        <w:rPr>
          <w:rFonts w:hint="eastAsia" w:ascii="宋体" w:hAnsi="宋体" w:cs="宋体"/>
          <w:szCs w:val="21"/>
        </w:rPr>
        <w:t>3.4</w:t>
      </w:r>
      <w:r>
        <w:rPr>
          <w:rFonts w:hint="eastAsia" w:ascii="宋体" w:hAnsi="Arial" w:cs="宋体"/>
          <w:bCs/>
          <w:szCs w:val="21"/>
        </w:rPr>
        <w:t>售价：0元。</w:t>
      </w:r>
    </w:p>
    <w:p w14:paraId="5B7EFEFB">
      <w:pPr>
        <w:widowControl/>
        <w:shd w:val="clear" w:color="auto" w:fill="FFFFFF"/>
        <w:spacing w:line="360" w:lineRule="auto"/>
        <w:outlineLvl w:val="1"/>
        <w:rPr>
          <w:rFonts w:hint="eastAsia" w:ascii="宋体" w:hAnsi="宋体" w:cs="宋体"/>
          <w:b/>
          <w:spacing w:val="8"/>
          <w:sz w:val="24"/>
        </w:rPr>
      </w:pPr>
      <w:r>
        <w:rPr>
          <w:rFonts w:hint="eastAsia" w:ascii="宋体" w:hAnsi="宋体" w:cs="宋体"/>
          <w:b/>
          <w:spacing w:val="8"/>
          <w:sz w:val="24"/>
        </w:rPr>
        <w:t>四、响应文件提交</w:t>
      </w:r>
      <w:bookmarkEnd w:id="10"/>
      <w:bookmarkEnd w:id="11"/>
    </w:p>
    <w:p w14:paraId="6D248FEC">
      <w:pPr>
        <w:widowControl/>
        <w:spacing w:line="360" w:lineRule="auto"/>
        <w:ind w:firstLine="420"/>
        <w:rPr>
          <w:rFonts w:hint="eastAsia" w:ascii="宋体" w:hAnsi="宋体" w:cs="宋体"/>
          <w:szCs w:val="21"/>
        </w:rPr>
      </w:pPr>
      <w:r>
        <w:rPr>
          <w:rFonts w:hint="eastAsia" w:ascii="宋体" w:hAnsi="宋体" w:cs="宋体"/>
          <w:szCs w:val="21"/>
        </w:rPr>
        <w:t>4.1截止时间：2026年</w:t>
      </w:r>
      <w:r>
        <w:rPr>
          <w:rFonts w:hint="eastAsia" w:ascii="宋体" w:hAnsi="宋体" w:cs="宋体"/>
          <w:szCs w:val="21"/>
          <w:lang w:val="en-US" w:eastAsia="zh-CN"/>
        </w:rPr>
        <w:t>7</w:t>
      </w:r>
      <w:r>
        <w:rPr>
          <w:rFonts w:hint="eastAsia" w:ascii="宋体" w:hAnsi="宋体" w:cs="宋体"/>
          <w:szCs w:val="21"/>
        </w:rPr>
        <w:t>月</w:t>
      </w:r>
      <w:r>
        <w:rPr>
          <w:rFonts w:hint="eastAsia" w:ascii="宋体" w:hAnsi="宋体" w:cs="宋体"/>
          <w:szCs w:val="21"/>
          <w:lang w:val="en-US" w:eastAsia="zh-CN"/>
        </w:rPr>
        <w:t>10</w:t>
      </w:r>
      <w:r>
        <w:rPr>
          <w:rFonts w:hint="eastAsia" w:ascii="宋体" w:hAnsi="宋体" w:cs="宋体"/>
          <w:szCs w:val="21"/>
        </w:rPr>
        <w:t>日</w:t>
      </w:r>
      <w:r>
        <w:rPr>
          <w:rFonts w:hint="eastAsia" w:ascii="宋体" w:hAnsi="宋体" w:cs="宋体"/>
          <w:szCs w:val="21"/>
          <w:lang w:val="en-US" w:eastAsia="zh-CN"/>
        </w:rPr>
        <w:t>9</w:t>
      </w:r>
      <w:r>
        <w:rPr>
          <w:rFonts w:hint="eastAsia" w:ascii="宋体" w:hAnsi="宋体" w:cs="宋体"/>
          <w:szCs w:val="21"/>
        </w:rPr>
        <w:t>点</w:t>
      </w:r>
      <w:r>
        <w:rPr>
          <w:rFonts w:hint="eastAsia" w:ascii="宋体" w:hAnsi="宋体" w:cs="宋体"/>
          <w:szCs w:val="21"/>
          <w:lang w:val="en-US" w:eastAsia="zh-CN"/>
        </w:rPr>
        <w:t>30</w:t>
      </w:r>
      <w:r>
        <w:rPr>
          <w:rFonts w:hint="eastAsia" w:ascii="宋体" w:hAnsi="宋体" w:cs="宋体"/>
          <w:szCs w:val="21"/>
        </w:rPr>
        <w:t>分（北京时间）</w:t>
      </w:r>
    </w:p>
    <w:p w14:paraId="3CC061BC">
      <w:pPr>
        <w:widowControl/>
        <w:spacing w:line="360" w:lineRule="auto"/>
        <w:ind w:firstLine="420"/>
        <w:rPr>
          <w:rFonts w:hint="eastAsia" w:ascii="宋体" w:hAnsi="宋体" w:cs="宋体"/>
          <w:szCs w:val="21"/>
        </w:rPr>
      </w:pPr>
      <w:r>
        <w:rPr>
          <w:rFonts w:hint="eastAsia" w:ascii="宋体" w:hAnsi="宋体" w:cs="宋体"/>
          <w:szCs w:val="21"/>
        </w:rPr>
        <w:t>4.2提交响应文件地点：江苏省政府采购管理交易系统（苏采云）（以下简称“苏采云”）（网址：http：//jszfcg.jsczt.cn/）</w:t>
      </w:r>
    </w:p>
    <w:p w14:paraId="0BC4263D">
      <w:pPr>
        <w:widowControl/>
        <w:shd w:val="clear" w:color="auto" w:fill="FFFFFF"/>
        <w:spacing w:line="360" w:lineRule="auto"/>
        <w:outlineLvl w:val="1"/>
        <w:rPr>
          <w:rFonts w:hint="eastAsia" w:ascii="宋体" w:hAnsi="宋体" w:cs="宋体"/>
          <w:b/>
          <w:spacing w:val="8"/>
          <w:sz w:val="24"/>
        </w:rPr>
      </w:pPr>
      <w:bookmarkStart w:id="12" w:name="_Toc22940"/>
      <w:bookmarkStart w:id="13" w:name="_Toc21891"/>
      <w:r>
        <w:rPr>
          <w:rFonts w:hint="eastAsia" w:ascii="宋体" w:hAnsi="宋体" w:cs="宋体"/>
          <w:b/>
          <w:spacing w:val="8"/>
          <w:sz w:val="24"/>
        </w:rPr>
        <w:t>五、开启</w:t>
      </w:r>
      <w:bookmarkEnd w:id="12"/>
      <w:bookmarkEnd w:id="13"/>
    </w:p>
    <w:p w14:paraId="73A99A6E">
      <w:pPr>
        <w:widowControl/>
        <w:spacing w:line="360" w:lineRule="auto"/>
        <w:ind w:firstLine="420"/>
        <w:rPr>
          <w:rFonts w:hint="eastAsia" w:ascii="宋体" w:hAnsi="宋体" w:cs="宋体"/>
          <w:szCs w:val="21"/>
        </w:rPr>
      </w:pPr>
      <w:r>
        <w:rPr>
          <w:rFonts w:hint="eastAsia" w:ascii="宋体" w:hAnsi="宋体" w:cs="宋体"/>
          <w:szCs w:val="21"/>
        </w:rPr>
        <w:t>5.1时间：2026年</w:t>
      </w:r>
      <w:r>
        <w:rPr>
          <w:rFonts w:hint="eastAsia" w:ascii="宋体" w:hAnsi="宋体" w:cs="宋体"/>
          <w:szCs w:val="21"/>
          <w:lang w:val="en-US" w:eastAsia="zh-CN"/>
        </w:rPr>
        <w:t>7</w:t>
      </w:r>
      <w:r>
        <w:rPr>
          <w:rFonts w:hint="eastAsia" w:ascii="宋体" w:hAnsi="宋体" w:cs="宋体"/>
          <w:szCs w:val="21"/>
        </w:rPr>
        <w:t>月</w:t>
      </w:r>
      <w:r>
        <w:rPr>
          <w:rFonts w:hint="eastAsia" w:ascii="宋体" w:hAnsi="宋体" w:cs="宋体"/>
          <w:szCs w:val="21"/>
          <w:lang w:val="en-US" w:eastAsia="zh-CN"/>
        </w:rPr>
        <w:t>10</w:t>
      </w:r>
      <w:r>
        <w:rPr>
          <w:rFonts w:hint="eastAsia" w:ascii="宋体" w:hAnsi="宋体" w:cs="宋体"/>
          <w:szCs w:val="21"/>
        </w:rPr>
        <w:t>日</w:t>
      </w:r>
      <w:r>
        <w:rPr>
          <w:rFonts w:hint="eastAsia" w:ascii="宋体" w:hAnsi="宋体" w:cs="宋体"/>
          <w:szCs w:val="21"/>
          <w:lang w:val="en-US" w:eastAsia="zh-CN"/>
        </w:rPr>
        <w:t>9</w:t>
      </w:r>
      <w:r>
        <w:rPr>
          <w:rFonts w:hint="eastAsia" w:ascii="宋体" w:hAnsi="宋体" w:cs="宋体"/>
          <w:szCs w:val="21"/>
        </w:rPr>
        <w:t>点</w:t>
      </w:r>
      <w:r>
        <w:rPr>
          <w:rFonts w:hint="eastAsia" w:ascii="宋体" w:hAnsi="宋体" w:cs="宋体"/>
          <w:szCs w:val="21"/>
          <w:lang w:val="en-US" w:eastAsia="zh-CN"/>
        </w:rPr>
        <w:t>30</w:t>
      </w:r>
      <w:r>
        <w:rPr>
          <w:rFonts w:hint="eastAsia" w:ascii="宋体" w:hAnsi="宋体" w:cs="宋体"/>
          <w:szCs w:val="21"/>
        </w:rPr>
        <w:t>分（北京时间）</w:t>
      </w:r>
    </w:p>
    <w:p w14:paraId="40F785CC">
      <w:pPr>
        <w:widowControl/>
        <w:spacing w:line="360" w:lineRule="auto"/>
        <w:ind w:firstLine="420"/>
        <w:rPr>
          <w:rFonts w:hint="eastAsia" w:ascii="宋体" w:hAnsi="宋体" w:cs="宋体"/>
          <w:szCs w:val="21"/>
        </w:rPr>
      </w:pPr>
      <w:r>
        <w:rPr>
          <w:rFonts w:hint="eastAsia" w:ascii="宋体" w:hAnsi="宋体" w:cs="宋体"/>
          <w:szCs w:val="21"/>
        </w:rPr>
        <w:t>5.2地点：“苏采云”网上开标大厅</w:t>
      </w:r>
    </w:p>
    <w:p w14:paraId="5C54DDA6">
      <w:pPr>
        <w:widowControl/>
        <w:shd w:val="clear" w:color="auto" w:fill="FFFFFF"/>
        <w:spacing w:line="360" w:lineRule="auto"/>
        <w:outlineLvl w:val="1"/>
        <w:rPr>
          <w:rFonts w:hint="eastAsia" w:ascii="宋体" w:hAnsi="宋体" w:cs="宋体"/>
          <w:b/>
          <w:spacing w:val="8"/>
          <w:sz w:val="24"/>
        </w:rPr>
      </w:pPr>
      <w:bookmarkStart w:id="14" w:name="_Toc26308"/>
      <w:bookmarkStart w:id="15" w:name="_Toc23729"/>
      <w:r>
        <w:rPr>
          <w:rFonts w:hint="eastAsia" w:ascii="宋体" w:hAnsi="宋体" w:cs="宋体"/>
          <w:b/>
          <w:spacing w:val="8"/>
          <w:sz w:val="24"/>
        </w:rPr>
        <w:t>六、公告期限</w:t>
      </w:r>
      <w:bookmarkEnd w:id="14"/>
      <w:bookmarkEnd w:id="15"/>
    </w:p>
    <w:p w14:paraId="49D96247">
      <w:pPr>
        <w:widowControl/>
        <w:spacing w:line="360" w:lineRule="auto"/>
        <w:ind w:firstLine="420"/>
        <w:rPr>
          <w:rFonts w:hint="eastAsia" w:ascii="宋体" w:hAnsi="宋体" w:cs="宋体"/>
          <w:szCs w:val="21"/>
        </w:rPr>
      </w:pPr>
      <w:r>
        <w:rPr>
          <w:rFonts w:hint="eastAsia" w:ascii="宋体" w:hAnsi="宋体" w:cs="宋体"/>
          <w:szCs w:val="21"/>
        </w:rPr>
        <w:t>自本公告发布之日起3个工作日。</w:t>
      </w:r>
      <w:bookmarkStart w:id="16" w:name="_Toc11013"/>
      <w:bookmarkStart w:id="17" w:name="_Toc29605"/>
    </w:p>
    <w:p w14:paraId="06E58BD0">
      <w:pPr>
        <w:widowControl/>
        <w:shd w:val="clear" w:color="auto" w:fill="FFFFFF"/>
        <w:tabs>
          <w:tab w:val="left" w:pos="426"/>
        </w:tabs>
        <w:spacing w:line="360" w:lineRule="auto"/>
        <w:outlineLvl w:val="1"/>
        <w:rPr>
          <w:rFonts w:hint="eastAsia" w:ascii="宋体" w:hAnsi="宋体" w:cs="宋体"/>
          <w:b/>
          <w:spacing w:val="8"/>
          <w:sz w:val="24"/>
        </w:rPr>
      </w:pPr>
      <w:r>
        <w:rPr>
          <w:rFonts w:hint="eastAsia" w:ascii="宋体" w:hAnsi="宋体" w:cs="宋体"/>
          <w:b/>
          <w:spacing w:val="8"/>
          <w:sz w:val="24"/>
        </w:rPr>
        <w:t>七、其他补充事宜</w:t>
      </w:r>
      <w:bookmarkEnd w:id="16"/>
      <w:bookmarkEnd w:id="17"/>
    </w:p>
    <w:p w14:paraId="28D530CE">
      <w:pPr>
        <w:widowControl/>
        <w:spacing w:line="360" w:lineRule="auto"/>
        <w:ind w:firstLine="420"/>
        <w:rPr>
          <w:rFonts w:hint="eastAsia" w:ascii="宋体" w:hAnsi="宋体" w:cs="宋体"/>
          <w:szCs w:val="21"/>
        </w:rPr>
      </w:pPr>
      <w:bookmarkStart w:id="18" w:name="_Toc7011"/>
      <w:bookmarkStart w:id="19" w:name="_Toc18338"/>
      <w:r>
        <w:rPr>
          <w:rFonts w:hint="eastAsia" w:ascii="宋体" w:hAnsi="宋体" w:cs="宋体"/>
          <w:szCs w:val="21"/>
        </w:rPr>
        <w:t>7.1集中现场考察或答疑：本项目不</w:t>
      </w:r>
      <w:r>
        <w:rPr>
          <w:rFonts w:hint="eastAsia" w:ascii="宋体" w:hAnsi="宋体" w:cs="宋体"/>
          <w:szCs w:val="21"/>
          <w:lang w:val="en-US" w:eastAsia="zh-CN"/>
        </w:rPr>
        <w:t>集中</w:t>
      </w:r>
      <w:r>
        <w:rPr>
          <w:rFonts w:hint="eastAsia" w:ascii="宋体" w:hAnsi="宋体" w:cs="宋体"/>
          <w:szCs w:val="21"/>
        </w:rPr>
        <w:t>组织现场考察或答疑。</w:t>
      </w:r>
    </w:p>
    <w:p w14:paraId="4CEF123B">
      <w:pPr>
        <w:widowControl/>
        <w:spacing w:line="360" w:lineRule="auto"/>
        <w:ind w:firstLine="420"/>
        <w:rPr>
          <w:rFonts w:hint="eastAsia" w:ascii="宋体" w:hAnsi="宋体" w:cs="宋体"/>
          <w:szCs w:val="21"/>
        </w:rPr>
      </w:pPr>
      <w:r>
        <w:rPr>
          <w:rFonts w:hint="eastAsia" w:ascii="宋体" w:hAnsi="宋体" w:cs="宋体"/>
          <w:szCs w:val="21"/>
        </w:rPr>
        <w:t>7.2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供应商如确定参加投标，可自行下载采购文件及有关资料，按照《操作手册》进行注册，领取CA和办理电子签章，并按《操作手册》要求制作、上传电子投标文件。</w:t>
      </w:r>
    </w:p>
    <w:p w14:paraId="5E85BCD3">
      <w:pPr>
        <w:widowControl/>
        <w:spacing w:line="360" w:lineRule="auto"/>
        <w:ind w:firstLine="420"/>
        <w:rPr>
          <w:rFonts w:hint="eastAsia" w:ascii="宋体" w:hAnsi="宋体" w:cs="宋体"/>
          <w:szCs w:val="21"/>
        </w:rPr>
      </w:pPr>
      <w:r>
        <w:rPr>
          <w:rFonts w:hint="eastAsia" w:ascii="宋体" w:hAnsi="宋体" w:cs="宋体"/>
          <w:szCs w:val="21"/>
        </w:rPr>
        <w:t>7.3本次采购公告在“江苏政府采购网”上发布，有关本次采购的事项若存在变动或修改，敬请及时关注代理机构在“江苏政府采购网”发布的更正公告。</w:t>
      </w:r>
    </w:p>
    <w:p w14:paraId="64334274">
      <w:pPr>
        <w:widowControl/>
        <w:shd w:val="clear" w:color="auto" w:fill="FFFFFF"/>
        <w:tabs>
          <w:tab w:val="left" w:pos="426"/>
        </w:tabs>
        <w:spacing w:line="360" w:lineRule="auto"/>
        <w:outlineLvl w:val="1"/>
        <w:rPr>
          <w:rFonts w:hint="eastAsia" w:ascii="宋体" w:hAnsi="宋体" w:cs="宋体"/>
          <w:b/>
          <w:spacing w:val="8"/>
          <w:sz w:val="24"/>
        </w:rPr>
      </w:pPr>
      <w:r>
        <w:rPr>
          <w:rFonts w:hint="eastAsia" w:ascii="宋体" w:hAnsi="宋体" w:cs="宋体"/>
          <w:b/>
          <w:spacing w:val="8"/>
          <w:sz w:val="24"/>
        </w:rPr>
        <w:t>八、对本次采购提出询问，请按以下方式联系。</w:t>
      </w:r>
      <w:bookmarkEnd w:id="18"/>
      <w:bookmarkEnd w:id="19"/>
    </w:p>
    <w:p w14:paraId="54A453B5">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cs="宋体"/>
          <w:szCs w:val="21"/>
        </w:rPr>
      </w:pPr>
      <w:r>
        <w:rPr>
          <w:rFonts w:hint="eastAsia" w:ascii="宋体" w:hAnsi="宋体" w:cs="宋体"/>
          <w:szCs w:val="21"/>
        </w:rPr>
        <w:t>8.1采购人信息</w:t>
      </w:r>
    </w:p>
    <w:p w14:paraId="6DF890EA">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cs="宋体"/>
          <w:szCs w:val="21"/>
        </w:rPr>
      </w:pPr>
      <w:r>
        <w:rPr>
          <w:rFonts w:hint="eastAsia" w:ascii="宋体" w:hAnsi="宋体" w:cs="宋体"/>
          <w:szCs w:val="21"/>
        </w:rPr>
        <w:t>名称：江苏卫生健康职业学院</w:t>
      </w:r>
    </w:p>
    <w:p w14:paraId="5275C8BC">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cs="宋体"/>
          <w:szCs w:val="21"/>
        </w:rPr>
      </w:pPr>
      <w:r>
        <w:rPr>
          <w:rFonts w:hint="eastAsia" w:ascii="宋体" w:hAnsi="宋体" w:cs="宋体"/>
          <w:szCs w:val="21"/>
        </w:rPr>
        <w:t>地址：南京市浦口区黄山岭路69号</w:t>
      </w:r>
    </w:p>
    <w:p w14:paraId="56BDCE84">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cs="宋体"/>
          <w:szCs w:val="21"/>
        </w:rPr>
      </w:pPr>
      <w:r>
        <w:rPr>
          <w:rFonts w:hint="eastAsia" w:ascii="宋体" w:hAnsi="宋体" w:cs="宋体"/>
          <w:szCs w:val="21"/>
        </w:rPr>
        <w:t>联系人：钟老师</w:t>
      </w:r>
    </w:p>
    <w:p w14:paraId="4AF09193">
      <w:pPr>
        <w:pBdr>
          <w:top w:val="none" w:color="000000" w:sz="0" w:space="0"/>
          <w:left w:val="none" w:color="000000" w:sz="0" w:space="0"/>
          <w:bottom w:val="none" w:color="000000" w:sz="0" w:space="0"/>
          <w:right w:val="none" w:color="000000" w:sz="0" w:space="0"/>
        </w:pBdr>
        <w:spacing w:line="360" w:lineRule="auto"/>
        <w:ind w:firstLine="420"/>
      </w:pPr>
      <w:r>
        <w:rPr>
          <w:rFonts w:hint="eastAsia" w:ascii="宋体" w:hAnsi="宋体" w:cs="宋体"/>
          <w:szCs w:val="21"/>
        </w:rPr>
        <w:t>联系电话：025-68170931</w:t>
      </w:r>
    </w:p>
    <w:p w14:paraId="067BF757">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cs="宋体"/>
          <w:szCs w:val="21"/>
        </w:rPr>
      </w:pPr>
      <w:r>
        <w:rPr>
          <w:rFonts w:hint="eastAsia" w:ascii="宋体" w:hAnsi="宋体" w:cs="宋体"/>
          <w:szCs w:val="21"/>
        </w:rPr>
        <w:t>8.2招标代理机构</w:t>
      </w:r>
    </w:p>
    <w:p w14:paraId="527257E3">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cs="宋体"/>
          <w:szCs w:val="21"/>
        </w:rPr>
      </w:pPr>
      <w:r>
        <w:rPr>
          <w:rFonts w:hint="eastAsia" w:ascii="宋体" w:hAnsi="宋体" w:cs="宋体"/>
          <w:szCs w:val="21"/>
        </w:rPr>
        <w:t>名称：南京江城工程项目管理有限公司</w:t>
      </w:r>
    </w:p>
    <w:p w14:paraId="6F5A2B1D">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cs="宋体"/>
          <w:szCs w:val="21"/>
        </w:rPr>
      </w:pPr>
      <w:r>
        <w:rPr>
          <w:rFonts w:hint="eastAsia" w:ascii="宋体" w:hAnsi="宋体" w:cs="宋体"/>
          <w:szCs w:val="21"/>
        </w:rPr>
        <w:t>地址：南京市建邺区云龙山路89号龙湖时代1栋29楼</w:t>
      </w:r>
    </w:p>
    <w:p w14:paraId="1E837D3F">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cs="宋体"/>
          <w:szCs w:val="21"/>
        </w:rPr>
      </w:pPr>
      <w:r>
        <w:rPr>
          <w:rFonts w:hint="eastAsia" w:ascii="宋体" w:hAnsi="宋体" w:cs="宋体"/>
          <w:szCs w:val="21"/>
        </w:rPr>
        <w:t>联系人：汪丹丹</w:t>
      </w:r>
    </w:p>
    <w:p w14:paraId="7AE72155">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cs="宋体"/>
          <w:szCs w:val="21"/>
        </w:rPr>
      </w:pPr>
      <w:r>
        <w:rPr>
          <w:rFonts w:hint="eastAsia" w:ascii="宋体" w:hAnsi="宋体" w:cs="宋体"/>
          <w:szCs w:val="21"/>
        </w:rPr>
        <w:t>电话：025-58835827-8015</w:t>
      </w:r>
    </w:p>
    <w:p w14:paraId="091EF501">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cs="宋体"/>
          <w:szCs w:val="21"/>
        </w:rPr>
      </w:pPr>
      <w:r>
        <w:rPr>
          <w:rFonts w:hint="eastAsia" w:ascii="宋体" w:hAnsi="宋体" w:cs="宋体"/>
          <w:szCs w:val="21"/>
        </w:rPr>
        <w:t>8.3项目联系方式</w:t>
      </w:r>
    </w:p>
    <w:p w14:paraId="2606FEA9">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cs="宋体"/>
          <w:szCs w:val="21"/>
        </w:rPr>
      </w:pPr>
      <w:r>
        <w:rPr>
          <w:rFonts w:hint="eastAsia" w:ascii="宋体" w:hAnsi="宋体" w:cs="宋体"/>
          <w:szCs w:val="21"/>
        </w:rPr>
        <w:t>项目联系人：汪丹丹</w:t>
      </w:r>
    </w:p>
    <w:p w14:paraId="210B9DD8">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cs="宋体"/>
          <w:szCs w:val="21"/>
        </w:rPr>
      </w:pPr>
      <w:r>
        <w:rPr>
          <w:rFonts w:hint="eastAsia" w:ascii="宋体" w:hAnsi="宋体" w:cs="宋体"/>
          <w:szCs w:val="21"/>
        </w:rPr>
        <w:t>电　话： 025-58835827-8015</w:t>
      </w:r>
    </w:p>
    <w:p w14:paraId="688FC0DE">
      <w:pPr>
        <w:pStyle w:val="339"/>
        <w:ind w:firstLine="452"/>
        <w:rPr>
          <w:rFonts w:hint="eastAsia" w:ascii="宋体" w:hAnsi="宋体" w:cs="宋体"/>
          <w:spacing w:val="8"/>
        </w:rPr>
        <w:sectPr>
          <w:footerReference r:id="rId4" w:type="first"/>
          <w:pgSz w:w="11906" w:h="16838"/>
          <w:pgMar w:top="1440" w:right="1486" w:bottom="1440" w:left="1600" w:header="851" w:footer="992" w:gutter="0"/>
          <w:pgNumType w:start="1"/>
          <w:cols w:space="1701" w:num="1"/>
          <w:titlePg/>
          <w:docGrid w:linePitch="360" w:charSpace="0"/>
        </w:sectPr>
      </w:pPr>
    </w:p>
    <w:p w14:paraId="28FB0EFE">
      <w:pPr>
        <w:pStyle w:val="137"/>
        <w:rPr>
          <w:rFonts w:hint="eastAsia" w:ascii="宋体" w:hAnsi="宋体" w:cs="宋体"/>
          <w:lang w:val="zh-CN"/>
        </w:rPr>
      </w:pPr>
      <w:bookmarkStart w:id="20" w:name="_Toc349"/>
      <w:r>
        <w:rPr>
          <w:rFonts w:hint="eastAsia" w:ascii="宋体" w:hAnsi="宋体" w:cs="宋体"/>
          <w:lang w:val="zh-CN"/>
        </w:rPr>
        <w:br w:type="page" w:clear="all"/>
      </w:r>
      <w:r>
        <w:rPr>
          <w:rFonts w:hint="eastAsia" w:ascii="宋体" w:hAnsi="宋体" w:cs="宋体"/>
          <w:lang w:val="zh-CN"/>
        </w:rPr>
        <w:t>第二章  竞争性磋商须知</w:t>
      </w:r>
      <w:bookmarkEnd w:id="20"/>
    </w:p>
    <w:p w14:paraId="279AEE9A">
      <w:pPr>
        <w:widowControl/>
        <w:shd w:val="clear" w:color="auto" w:fill="FFFFFF"/>
        <w:tabs>
          <w:tab w:val="left" w:pos="426"/>
        </w:tabs>
        <w:spacing w:line="360" w:lineRule="auto"/>
        <w:outlineLvl w:val="1"/>
        <w:rPr>
          <w:rFonts w:hint="eastAsia" w:ascii="宋体" w:hAnsi="宋体" w:cs="宋体"/>
          <w:b/>
          <w:spacing w:val="8"/>
          <w:sz w:val="24"/>
        </w:rPr>
      </w:pPr>
      <w:r>
        <w:rPr>
          <w:rFonts w:hint="eastAsia" w:ascii="宋体" w:hAnsi="宋体" w:cs="宋体"/>
          <w:b/>
          <w:spacing w:val="8"/>
          <w:sz w:val="24"/>
        </w:rPr>
        <w:t>一、总    则</w:t>
      </w:r>
    </w:p>
    <w:p w14:paraId="1458C478">
      <w:pPr>
        <w:spacing w:line="360" w:lineRule="auto"/>
        <w:ind w:firstLine="422"/>
        <w:rPr>
          <w:rFonts w:hint="eastAsia" w:ascii="宋体" w:hAnsi="宋体" w:cs="宋体"/>
          <w:b/>
          <w:szCs w:val="21"/>
          <w:lang w:val="zh-CN"/>
        </w:rPr>
      </w:pPr>
      <w:r>
        <w:rPr>
          <w:rFonts w:hint="eastAsia" w:ascii="宋体" w:hAnsi="宋体" w:cs="宋体"/>
          <w:b/>
          <w:szCs w:val="21"/>
          <w:lang w:val="zh-CN"/>
        </w:rPr>
        <w:t>1</w:t>
      </w:r>
      <w:r>
        <w:rPr>
          <w:rFonts w:hint="eastAsia" w:ascii="宋体" w:hAnsi="宋体" w:cs="宋体"/>
          <w:b/>
          <w:szCs w:val="21"/>
        </w:rPr>
        <w:t>.</w:t>
      </w:r>
      <w:r>
        <w:rPr>
          <w:rFonts w:hint="eastAsia" w:ascii="宋体" w:hAnsi="宋体" w:cs="宋体"/>
          <w:b/>
          <w:szCs w:val="21"/>
          <w:lang w:val="zh-CN"/>
        </w:rPr>
        <w:t>适用法律</w:t>
      </w:r>
    </w:p>
    <w:p w14:paraId="60EF1026">
      <w:pPr>
        <w:spacing w:line="360" w:lineRule="auto"/>
        <w:ind w:firstLine="420"/>
        <w:rPr>
          <w:rFonts w:hint="eastAsia" w:ascii="宋体" w:hAnsi="宋体" w:cs="宋体"/>
          <w:sz w:val="24"/>
          <w:szCs w:val="24"/>
          <w:lang w:val="zh-CN"/>
        </w:rPr>
      </w:pPr>
      <w:r>
        <w:rPr>
          <w:rFonts w:hint="eastAsia" w:ascii="宋体" w:hAnsi="宋体" w:cs="宋体"/>
          <w:szCs w:val="21"/>
        </w:rPr>
        <w:t>本项目适用</w:t>
      </w:r>
      <w:r>
        <w:rPr>
          <w:rFonts w:hint="eastAsia" w:ascii="宋体" w:hAnsi="宋体" w:cs="宋体"/>
          <w:szCs w:val="21"/>
          <w:lang w:val="zh-CN"/>
        </w:rPr>
        <w:t>《中华人民共和国政府采购法》《中华人民共和国政府采购法实施条例》《</w:t>
      </w:r>
      <w:r>
        <w:rPr>
          <w:rFonts w:hint="eastAsia" w:ascii="宋体" w:hAnsi="宋体" w:cs="宋体"/>
          <w:szCs w:val="21"/>
        </w:rPr>
        <w:t>政府采购竞争性磋商采购方式管理暂行办法</w:t>
      </w:r>
      <w:r>
        <w:rPr>
          <w:rFonts w:hint="eastAsia" w:ascii="宋体" w:hAnsi="宋体" w:cs="宋体"/>
          <w:szCs w:val="21"/>
          <w:lang w:val="zh-CN"/>
        </w:rPr>
        <w:t>》</w:t>
      </w:r>
      <w:r>
        <w:rPr>
          <w:rFonts w:hint="eastAsia" w:ascii="宋体" w:hAnsi="宋体" w:cs="宋体"/>
          <w:szCs w:val="21"/>
        </w:rPr>
        <w:t>等</w:t>
      </w:r>
      <w:r>
        <w:rPr>
          <w:rFonts w:hint="eastAsia" w:ascii="宋体" w:hAnsi="宋体" w:cs="宋体"/>
          <w:szCs w:val="21"/>
          <w:lang w:val="zh-CN"/>
        </w:rPr>
        <w:t>有关法律、法规、规章和规定等。</w:t>
      </w:r>
    </w:p>
    <w:p w14:paraId="4C2FEF1F">
      <w:pPr>
        <w:spacing w:line="360" w:lineRule="auto"/>
        <w:ind w:firstLine="422"/>
        <w:rPr>
          <w:rFonts w:hint="eastAsia" w:ascii="宋体" w:hAnsi="宋体" w:cs="宋体"/>
          <w:b/>
          <w:szCs w:val="21"/>
          <w:lang w:val="zh-CN"/>
        </w:rPr>
      </w:pPr>
      <w:r>
        <w:rPr>
          <w:rFonts w:hint="eastAsia" w:ascii="宋体" w:hAnsi="宋体" w:cs="宋体"/>
          <w:b/>
          <w:szCs w:val="21"/>
          <w:lang w:val="zh-CN"/>
        </w:rPr>
        <w:t>2</w:t>
      </w:r>
      <w:r>
        <w:rPr>
          <w:rFonts w:hint="eastAsia" w:ascii="宋体" w:hAnsi="宋体" w:cs="宋体"/>
          <w:b/>
          <w:szCs w:val="21"/>
        </w:rPr>
        <w:t>.</w:t>
      </w:r>
      <w:r>
        <w:rPr>
          <w:rFonts w:hint="eastAsia" w:ascii="宋体" w:hAnsi="宋体" w:cs="宋体"/>
          <w:b/>
          <w:szCs w:val="21"/>
          <w:lang w:val="zh-CN"/>
        </w:rPr>
        <w:t>定义</w:t>
      </w:r>
    </w:p>
    <w:p w14:paraId="190F2C19">
      <w:pPr>
        <w:spacing w:line="360" w:lineRule="auto"/>
        <w:ind w:firstLine="420"/>
        <w:rPr>
          <w:rFonts w:hint="eastAsia" w:ascii="宋体" w:hAnsi="宋体" w:cs="宋体"/>
          <w:szCs w:val="21"/>
        </w:rPr>
      </w:pPr>
      <w:r>
        <w:rPr>
          <w:rFonts w:hint="eastAsia" w:ascii="宋体" w:hAnsi="宋体" w:cs="宋体"/>
          <w:szCs w:val="21"/>
        </w:rPr>
        <w:t>2.1 “采购人”是指依法进行政府采购的国家机关、事业单位、团体组织。</w:t>
      </w:r>
    </w:p>
    <w:p w14:paraId="4CAAECE6">
      <w:pPr>
        <w:spacing w:line="360" w:lineRule="auto"/>
        <w:ind w:firstLine="420"/>
        <w:rPr>
          <w:rFonts w:hint="eastAsia" w:ascii="宋体" w:hAnsi="宋体" w:cs="宋体"/>
          <w:szCs w:val="21"/>
        </w:rPr>
      </w:pPr>
      <w:r>
        <w:rPr>
          <w:rFonts w:hint="eastAsia" w:ascii="宋体" w:hAnsi="宋体" w:cs="宋体"/>
          <w:szCs w:val="21"/>
        </w:rPr>
        <w:t>2.2 “供应商”是指参加竞争性磋商，并符合采购文件规定资格条件的法人、其他组织或者自然人。</w:t>
      </w:r>
    </w:p>
    <w:p w14:paraId="6E4FA9DF">
      <w:pPr>
        <w:spacing w:line="360" w:lineRule="auto"/>
        <w:ind w:firstLine="420"/>
        <w:rPr>
          <w:rFonts w:hint="eastAsia" w:ascii="宋体" w:hAnsi="宋体" w:cs="宋体"/>
          <w:szCs w:val="21"/>
        </w:rPr>
      </w:pPr>
      <w:r>
        <w:rPr>
          <w:rFonts w:hint="eastAsia" w:ascii="宋体" w:hAnsi="宋体" w:cs="宋体"/>
          <w:szCs w:val="21"/>
        </w:rPr>
        <w:t>2.3 “采购代理机构”是指集中采购机构和集中采购机构以外的采购代理机构，集中采购机构以外的采购代理机构，是从事采购代理业务的社会中介机构。</w:t>
      </w:r>
    </w:p>
    <w:p w14:paraId="055026DF">
      <w:pPr>
        <w:spacing w:line="360" w:lineRule="auto"/>
        <w:ind w:firstLine="420"/>
        <w:rPr>
          <w:rFonts w:hint="eastAsia" w:ascii="宋体" w:hAnsi="宋体" w:cs="宋体"/>
          <w:szCs w:val="21"/>
        </w:rPr>
      </w:pPr>
      <w:r>
        <w:rPr>
          <w:rFonts w:hint="eastAsia" w:ascii="宋体" w:hAnsi="宋体" w:cs="宋体"/>
          <w:szCs w:val="21"/>
        </w:rPr>
        <w:t>2.4 “工程”指本采购文件中所述产工程。</w:t>
      </w:r>
    </w:p>
    <w:p w14:paraId="02A062BB">
      <w:pPr>
        <w:spacing w:line="360" w:lineRule="auto"/>
        <w:ind w:firstLine="420"/>
        <w:rPr>
          <w:rFonts w:hint="eastAsia" w:ascii="宋体" w:hAnsi="宋体" w:cs="宋体"/>
          <w:szCs w:val="21"/>
        </w:rPr>
      </w:pPr>
      <w:r>
        <w:rPr>
          <w:rFonts w:hint="eastAsia" w:ascii="宋体" w:hAnsi="宋体" w:cs="宋体"/>
          <w:szCs w:val="21"/>
        </w:rPr>
        <w:t>2.5 “用户或使用单位”是指使用服务的单位。</w:t>
      </w:r>
    </w:p>
    <w:p w14:paraId="30B90602">
      <w:pPr>
        <w:spacing w:line="360" w:lineRule="auto"/>
        <w:ind w:firstLine="422"/>
        <w:rPr>
          <w:rFonts w:hint="eastAsia" w:ascii="宋体" w:hAnsi="宋体" w:cs="宋体"/>
          <w:b/>
          <w:szCs w:val="21"/>
          <w:lang w:val="zh-CN"/>
        </w:rPr>
      </w:pPr>
      <w:r>
        <w:rPr>
          <w:rFonts w:hint="eastAsia" w:ascii="宋体" w:hAnsi="宋体" w:cs="宋体"/>
          <w:b/>
          <w:szCs w:val="21"/>
          <w:lang w:val="zh-CN"/>
        </w:rPr>
        <w:t>3</w:t>
      </w:r>
      <w:r>
        <w:rPr>
          <w:rFonts w:hint="eastAsia" w:ascii="宋体" w:hAnsi="宋体" w:cs="宋体"/>
          <w:b/>
          <w:szCs w:val="21"/>
        </w:rPr>
        <w:t>.</w:t>
      </w:r>
      <w:r>
        <w:rPr>
          <w:rFonts w:hint="eastAsia" w:ascii="宋体" w:hAnsi="宋体" w:cs="宋体"/>
          <w:b/>
          <w:szCs w:val="21"/>
          <w:lang w:val="zh-CN"/>
        </w:rPr>
        <w:t>政策功能</w:t>
      </w:r>
    </w:p>
    <w:p w14:paraId="650DF47E">
      <w:pPr>
        <w:spacing w:line="360" w:lineRule="auto"/>
        <w:ind w:firstLine="420"/>
        <w:rPr>
          <w:rFonts w:hint="eastAsia" w:ascii="宋体" w:hAnsi="宋体" w:cs="宋体"/>
          <w:szCs w:val="21"/>
        </w:rPr>
      </w:pPr>
      <w:r>
        <w:rPr>
          <w:rFonts w:hint="eastAsia" w:ascii="宋体" w:hAnsi="宋体" w:cs="宋体"/>
          <w:szCs w:val="21"/>
        </w:rPr>
        <w:t>3.1 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字〔2017〕213号）。</w:t>
      </w:r>
    </w:p>
    <w:p w14:paraId="197BACD1">
      <w:pPr>
        <w:spacing w:line="360" w:lineRule="auto"/>
        <w:ind w:firstLine="420"/>
        <w:rPr>
          <w:rFonts w:hint="eastAsia" w:ascii="宋体" w:hAnsi="宋体" w:cs="宋体"/>
          <w:szCs w:val="21"/>
        </w:rPr>
      </w:pPr>
      <w:r>
        <w:rPr>
          <w:rFonts w:hint="eastAsia" w:ascii="宋体" w:hAnsi="宋体" w:cs="宋体"/>
          <w:szCs w:val="21"/>
        </w:rPr>
        <w:t>3.2 政府采购支持监狱和戒毒企业发展政策，监狱和戒毒企业提供的产品和服务在评标时将获得优势，参加响应的监狱和戒毒企业，应当提供由省级以上监狱管理局、戒毒管理局（含新疆生产建设兵团）出具的属于监狱企业的证明文件，监狱和戒毒企业享受政府采购支持政策的要求详见《关于政府采购支持监狱企业发展管理有关问题的通知》（财库〔2014〕68号）。</w:t>
      </w:r>
    </w:p>
    <w:p w14:paraId="7EF056C2">
      <w:pPr>
        <w:spacing w:line="360" w:lineRule="auto"/>
        <w:ind w:firstLine="420"/>
        <w:rPr>
          <w:rFonts w:hint="eastAsia" w:ascii="宋体" w:hAnsi="宋体" w:cs="宋体"/>
          <w:szCs w:val="21"/>
        </w:rPr>
      </w:pPr>
      <w:r>
        <w:rPr>
          <w:rFonts w:hint="eastAsia" w:ascii="宋体" w:hAnsi="宋体" w:cs="宋体"/>
          <w:szCs w:val="21"/>
        </w:rPr>
        <w:t>3.3 政府采购促进残疾人就业政策，残疾人福利性单位提供的产品和服务在评标时将获得优势，参加响应的残疾人福利性单位，应当提供《残疾人福利性单位声明函》，残疾人福利性单位享受政府采购支持政策的要求详见《关于促进残疾人就业政府采购政策的通知》（财库〔2017〕141号）。</w:t>
      </w:r>
    </w:p>
    <w:p w14:paraId="69A0F1AE">
      <w:pPr>
        <w:spacing w:line="360" w:lineRule="auto"/>
        <w:ind w:firstLine="420"/>
        <w:rPr>
          <w:rFonts w:hint="eastAsia" w:ascii="宋体" w:hAnsi="宋体" w:cs="宋体"/>
          <w:szCs w:val="21"/>
        </w:rPr>
      </w:pPr>
      <w:r>
        <w:rPr>
          <w:rFonts w:hint="eastAsia" w:ascii="宋体" w:hAnsi="宋体" w:cs="宋体"/>
          <w:szCs w:val="21"/>
        </w:rPr>
        <w:t>3.4 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磋商文件第三章。参加政府采购活动的节能产品、环境标志产品供应商应当提供国家确定的认证机构出具的、处于有效期之内的节能产品、环境标志产品认证证书。</w:t>
      </w:r>
    </w:p>
    <w:p w14:paraId="4D9587F2">
      <w:pPr>
        <w:spacing w:line="360" w:lineRule="auto"/>
        <w:ind w:firstLine="420"/>
        <w:rPr>
          <w:rFonts w:hint="eastAsia" w:ascii="宋体" w:hAnsi="宋体" w:cs="宋体"/>
          <w:szCs w:val="21"/>
        </w:rPr>
      </w:pPr>
      <w:r>
        <w:rPr>
          <w:rFonts w:hint="eastAsia" w:ascii="宋体" w:hAnsi="宋体" w:cs="宋体"/>
          <w:szCs w:val="21"/>
        </w:rPr>
        <w:t>3.5 强制采购信息安全产品。参加政府采购活动的信息安全产品供应商应当选择经国家认证的信息安全产品响应，并提供由国家信息安全认证中心按国家标准认证颁发的有效认证证书。</w:t>
      </w:r>
    </w:p>
    <w:p w14:paraId="78982103">
      <w:pPr>
        <w:spacing w:line="360" w:lineRule="auto"/>
        <w:ind w:firstLine="420"/>
        <w:rPr>
          <w:rFonts w:hint="eastAsia" w:ascii="宋体" w:hAnsi="宋体" w:cs="宋体"/>
          <w:szCs w:val="21"/>
        </w:rPr>
      </w:pPr>
      <w:r>
        <w:rPr>
          <w:rFonts w:hint="eastAsia" w:ascii="宋体" w:hAnsi="宋体" w:cs="宋体"/>
          <w:szCs w:val="21"/>
        </w:rPr>
        <w:t>3.6 进口产品政策</w:t>
      </w:r>
    </w:p>
    <w:p w14:paraId="048D4EAF">
      <w:pPr>
        <w:spacing w:line="360" w:lineRule="auto"/>
        <w:ind w:firstLine="420"/>
        <w:rPr>
          <w:rFonts w:hint="eastAsia" w:ascii="宋体" w:hAnsi="宋体" w:cs="宋体"/>
          <w:szCs w:val="21"/>
        </w:rPr>
      </w:pPr>
      <w:r>
        <w:rPr>
          <w:rFonts w:hint="eastAsia" w:ascii="宋体" w:hAnsi="宋体" w:cs="宋体"/>
          <w:szCs w:val="21"/>
        </w:rPr>
        <w:t>（1）除采购公告载明接受进口产品参加外，不允许进口产品参加。进口产品认定依照《财政部关于政府采购进口产品管理有关问题的通知》（财办库〔2008〕248号）的规定。</w:t>
      </w:r>
    </w:p>
    <w:p w14:paraId="1247D9AB">
      <w:pPr>
        <w:spacing w:line="360" w:lineRule="auto"/>
        <w:ind w:firstLine="420"/>
        <w:rPr>
          <w:rFonts w:hint="eastAsia" w:ascii="宋体" w:hAnsi="宋体" w:cs="宋体"/>
          <w:szCs w:val="21"/>
        </w:rPr>
      </w:pPr>
      <w:r>
        <w:rPr>
          <w:rFonts w:hint="eastAsia" w:ascii="宋体" w:hAnsi="宋体" w:cs="宋体"/>
          <w:szCs w:val="21"/>
        </w:rPr>
        <w:t>（2）允许进口产品参加的，满足需求的国内产品可以参加。</w:t>
      </w:r>
    </w:p>
    <w:p w14:paraId="44EAE63C">
      <w:pPr>
        <w:spacing w:line="360" w:lineRule="auto"/>
        <w:ind w:firstLine="420"/>
        <w:rPr>
          <w:rFonts w:hint="eastAsia" w:ascii="宋体" w:hAnsi="宋体" w:cs="宋体"/>
          <w:szCs w:val="21"/>
        </w:rPr>
      </w:pPr>
      <w:r>
        <w:rPr>
          <w:rFonts w:hint="eastAsia" w:ascii="宋体" w:hAnsi="宋体" w:cs="宋体"/>
          <w:szCs w:val="21"/>
        </w:rPr>
        <w:t>（3）允许进口产品参加的，优先采购向我国企业转让技术、与我国企业签订消化吸收再创新方案的供应商的进口产品。</w:t>
      </w:r>
    </w:p>
    <w:p w14:paraId="2910042B">
      <w:pPr>
        <w:spacing w:line="360" w:lineRule="auto"/>
        <w:ind w:firstLine="420"/>
        <w:rPr>
          <w:rFonts w:hint="eastAsia" w:ascii="宋体" w:hAnsi="宋体" w:cs="宋体"/>
          <w:szCs w:val="21"/>
        </w:rPr>
      </w:pPr>
      <w:r>
        <w:rPr>
          <w:rFonts w:hint="eastAsia" w:ascii="宋体" w:hAnsi="宋体" w:cs="宋体"/>
          <w:szCs w:val="21"/>
        </w:rPr>
        <w:t>3.7 未按要求提供相关材料的，不享受相关政策。</w:t>
      </w:r>
    </w:p>
    <w:p w14:paraId="6EA14474">
      <w:pPr>
        <w:widowControl/>
        <w:numPr>
          <w:ilvl w:val="0"/>
          <w:numId w:val="6"/>
        </w:numPr>
        <w:shd w:val="clear" w:color="auto" w:fill="FFFFFF"/>
        <w:tabs>
          <w:tab w:val="left" w:pos="426"/>
        </w:tabs>
        <w:spacing w:line="360" w:lineRule="auto"/>
        <w:outlineLvl w:val="1"/>
        <w:rPr>
          <w:rFonts w:hint="eastAsia" w:ascii="宋体" w:hAnsi="宋体" w:cs="宋体"/>
          <w:b/>
          <w:spacing w:val="8"/>
          <w:sz w:val="24"/>
        </w:rPr>
      </w:pPr>
      <w:r>
        <w:rPr>
          <w:rFonts w:hint="eastAsia" w:ascii="宋体" w:hAnsi="宋体" w:cs="宋体"/>
          <w:b/>
          <w:spacing w:val="8"/>
          <w:sz w:val="24"/>
        </w:rPr>
        <w:t>磋商文件</w:t>
      </w:r>
    </w:p>
    <w:p w14:paraId="0E5AA5F3">
      <w:pPr>
        <w:spacing w:line="360" w:lineRule="auto"/>
        <w:ind w:firstLine="422"/>
        <w:rPr>
          <w:rFonts w:hint="eastAsia" w:ascii="宋体" w:hAnsi="宋体" w:cs="宋体"/>
          <w:b/>
          <w:szCs w:val="21"/>
          <w:lang w:val="zh-CN"/>
        </w:rPr>
      </w:pPr>
      <w:r>
        <w:rPr>
          <w:rFonts w:hint="eastAsia" w:ascii="宋体" w:hAnsi="宋体" w:cs="宋体"/>
          <w:b/>
          <w:szCs w:val="21"/>
          <w:lang w:val="zh-CN"/>
        </w:rPr>
        <w:t>4</w:t>
      </w:r>
      <w:r>
        <w:rPr>
          <w:rFonts w:hint="eastAsia" w:ascii="宋体" w:hAnsi="宋体" w:cs="宋体"/>
          <w:b/>
          <w:szCs w:val="21"/>
        </w:rPr>
        <w:t>.</w:t>
      </w:r>
      <w:r>
        <w:rPr>
          <w:rFonts w:hint="eastAsia" w:ascii="宋体" w:hAnsi="宋体" w:cs="宋体"/>
          <w:b/>
          <w:szCs w:val="21"/>
          <w:lang w:val="zh-CN"/>
        </w:rPr>
        <w:t>磋商文件构成</w:t>
      </w:r>
    </w:p>
    <w:p w14:paraId="59778E60">
      <w:pPr>
        <w:spacing w:line="360" w:lineRule="auto"/>
        <w:ind w:firstLine="420"/>
        <w:rPr>
          <w:rFonts w:hint="eastAsia" w:ascii="宋体" w:hAnsi="宋体" w:cs="宋体"/>
          <w:szCs w:val="21"/>
        </w:rPr>
      </w:pPr>
      <w:r>
        <w:rPr>
          <w:rFonts w:hint="eastAsia" w:ascii="宋体" w:hAnsi="宋体" w:cs="宋体"/>
          <w:szCs w:val="21"/>
        </w:rPr>
        <w:t>4.1 磋商文件包括以下主要内容：</w:t>
      </w:r>
    </w:p>
    <w:p w14:paraId="73B326ED">
      <w:pPr>
        <w:widowControl/>
        <w:shd w:val="clear" w:color="auto" w:fill="FFFFFF"/>
        <w:spacing w:line="360" w:lineRule="auto"/>
        <w:ind w:firstLine="779"/>
        <w:rPr>
          <w:rFonts w:hint="eastAsia" w:ascii="宋体" w:hAnsi="宋体" w:cs="宋体"/>
          <w:szCs w:val="21"/>
        </w:rPr>
      </w:pPr>
      <w:r>
        <w:rPr>
          <w:rFonts w:hint="eastAsia" w:ascii="宋体" w:hAnsi="宋体" w:cs="宋体"/>
          <w:szCs w:val="21"/>
        </w:rPr>
        <w:t>第一章  竞争性磋商公告</w:t>
      </w:r>
    </w:p>
    <w:p w14:paraId="1718D0F3">
      <w:pPr>
        <w:widowControl/>
        <w:shd w:val="clear" w:color="auto" w:fill="FFFFFF"/>
        <w:spacing w:line="360" w:lineRule="auto"/>
        <w:ind w:firstLine="779"/>
        <w:rPr>
          <w:rFonts w:hint="eastAsia" w:ascii="宋体" w:hAnsi="宋体" w:cs="宋体"/>
          <w:szCs w:val="21"/>
        </w:rPr>
      </w:pPr>
      <w:r>
        <w:fldChar w:fldCharType="begin"/>
      </w:r>
      <w:r>
        <w:instrText xml:space="preserve"> HYPERLINK \l "_Toc534273793" \o "#_Toc534273793" </w:instrText>
      </w:r>
      <w:r>
        <w:fldChar w:fldCharType="separate"/>
      </w:r>
      <w:r>
        <w:rPr>
          <w:rFonts w:hint="eastAsia" w:ascii="宋体" w:hAnsi="宋体" w:cs="宋体"/>
          <w:szCs w:val="21"/>
          <w:lang w:val="zh-CN"/>
        </w:rPr>
        <w:t>第二章  竞争性磋商须知</w:t>
      </w:r>
      <w:r>
        <w:rPr>
          <w:rFonts w:hint="eastAsia" w:ascii="宋体" w:hAnsi="宋体" w:cs="宋体"/>
          <w:szCs w:val="21"/>
          <w:lang w:val="zh-CN"/>
        </w:rPr>
        <w:fldChar w:fldCharType="end"/>
      </w:r>
    </w:p>
    <w:p w14:paraId="4D9C7BEC">
      <w:pPr>
        <w:widowControl/>
        <w:shd w:val="clear" w:color="auto" w:fill="FFFFFF"/>
        <w:spacing w:line="360" w:lineRule="auto"/>
        <w:ind w:firstLine="779"/>
        <w:rPr>
          <w:rFonts w:hint="eastAsia" w:ascii="宋体" w:hAnsi="宋体" w:cs="宋体"/>
          <w:szCs w:val="21"/>
        </w:rPr>
      </w:pPr>
      <w:r>
        <w:fldChar w:fldCharType="begin"/>
      </w:r>
      <w:r>
        <w:instrText xml:space="preserve"> HYPERLINK \l "_Toc534273794" \o "#_Toc534273794" </w:instrText>
      </w:r>
      <w:r>
        <w:fldChar w:fldCharType="separate"/>
      </w:r>
      <w:r>
        <w:rPr>
          <w:rFonts w:hint="eastAsia" w:ascii="宋体" w:hAnsi="宋体" w:cs="宋体"/>
          <w:szCs w:val="21"/>
          <w:lang w:val="zh-CN"/>
        </w:rPr>
        <w:t>第三章  评标标准</w:t>
      </w:r>
      <w:r>
        <w:rPr>
          <w:rFonts w:hint="eastAsia" w:ascii="宋体" w:hAnsi="宋体" w:cs="宋体"/>
          <w:szCs w:val="21"/>
          <w:lang w:val="zh-CN"/>
        </w:rPr>
        <w:fldChar w:fldCharType="end"/>
      </w:r>
    </w:p>
    <w:p w14:paraId="762B2FA5">
      <w:pPr>
        <w:widowControl/>
        <w:shd w:val="clear" w:color="auto" w:fill="FFFFFF"/>
        <w:spacing w:line="360" w:lineRule="auto"/>
        <w:ind w:firstLine="779"/>
        <w:rPr>
          <w:rFonts w:hint="eastAsia" w:ascii="宋体" w:hAnsi="宋体" w:cs="宋体"/>
          <w:szCs w:val="21"/>
        </w:rPr>
      </w:pPr>
      <w:r>
        <w:fldChar w:fldCharType="begin"/>
      </w:r>
      <w:r>
        <w:instrText xml:space="preserve"> HYPERLINK \l "_Toc534273795" \o "#_Toc534273795" </w:instrText>
      </w:r>
      <w:r>
        <w:fldChar w:fldCharType="separate"/>
      </w:r>
      <w:r>
        <w:rPr>
          <w:rFonts w:hint="eastAsia" w:ascii="宋体" w:hAnsi="宋体" w:cs="宋体"/>
          <w:szCs w:val="21"/>
          <w:lang w:val="zh-CN"/>
        </w:rPr>
        <w:t>第四章  采购需求</w:t>
      </w:r>
      <w:r>
        <w:rPr>
          <w:rFonts w:hint="eastAsia" w:ascii="宋体" w:hAnsi="宋体" w:cs="宋体"/>
          <w:szCs w:val="21"/>
          <w:lang w:val="zh-CN"/>
        </w:rPr>
        <w:fldChar w:fldCharType="end"/>
      </w:r>
    </w:p>
    <w:p w14:paraId="3E0CB5C1">
      <w:pPr>
        <w:widowControl/>
        <w:shd w:val="clear" w:color="auto" w:fill="FFFFFF"/>
        <w:spacing w:line="360" w:lineRule="auto"/>
        <w:ind w:firstLine="779"/>
        <w:rPr>
          <w:rFonts w:hint="eastAsia" w:ascii="宋体" w:hAnsi="宋体" w:cs="宋体"/>
          <w:szCs w:val="21"/>
        </w:rPr>
      </w:pPr>
      <w:r>
        <w:fldChar w:fldCharType="begin"/>
      </w:r>
      <w:r>
        <w:instrText xml:space="preserve"> HYPERLINK \l "_Toc534273796" \o "#_Toc534273796" </w:instrText>
      </w:r>
      <w:r>
        <w:fldChar w:fldCharType="separate"/>
      </w:r>
      <w:r>
        <w:rPr>
          <w:rFonts w:hint="eastAsia" w:ascii="宋体" w:hAnsi="宋体" w:cs="宋体"/>
          <w:szCs w:val="21"/>
          <w:lang w:val="zh-CN"/>
        </w:rPr>
        <w:t>第五章  合同主要条款</w:t>
      </w:r>
      <w:r>
        <w:rPr>
          <w:rFonts w:hint="eastAsia" w:ascii="宋体" w:hAnsi="宋体" w:cs="宋体"/>
          <w:szCs w:val="21"/>
          <w:lang w:val="zh-CN"/>
        </w:rPr>
        <w:fldChar w:fldCharType="end"/>
      </w:r>
    </w:p>
    <w:p w14:paraId="40F2250B">
      <w:pPr>
        <w:widowControl/>
        <w:shd w:val="clear" w:color="auto" w:fill="FFFFFF"/>
        <w:spacing w:line="360" w:lineRule="auto"/>
        <w:ind w:firstLine="779"/>
        <w:rPr>
          <w:rFonts w:hint="eastAsia" w:ascii="宋体" w:hAnsi="宋体" w:cs="宋体"/>
          <w:szCs w:val="21"/>
        </w:rPr>
      </w:pPr>
      <w:r>
        <w:fldChar w:fldCharType="begin"/>
      </w:r>
      <w:r>
        <w:instrText xml:space="preserve"> HYPERLINK \l "_Toc534273797" \o "#_Toc534273797" </w:instrText>
      </w:r>
      <w:r>
        <w:fldChar w:fldCharType="separate"/>
      </w:r>
      <w:r>
        <w:rPr>
          <w:rFonts w:hint="eastAsia" w:ascii="宋体" w:hAnsi="宋体" w:cs="宋体"/>
          <w:szCs w:val="21"/>
          <w:lang w:val="zh-CN"/>
        </w:rPr>
        <w:t xml:space="preserve">第六章  </w:t>
      </w:r>
      <w:r>
        <w:rPr>
          <w:rFonts w:hint="eastAsia" w:ascii="宋体" w:hAnsi="宋体" w:cs="宋体"/>
          <w:szCs w:val="21"/>
        </w:rPr>
        <w:t>磋商响应文件格式及附件</w:t>
      </w:r>
      <w:r>
        <w:rPr>
          <w:rFonts w:hint="eastAsia" w:ascii="宋体" w:hAnsi="宋体" w:cs="宋体"/>
          <w:szCs w:val="21"/>
        </w:rPr>
        <w:fldChar w:fldCharType="end"/>
      </w:r>
    </w:p>
    <w:p w14:paraId="6127AF05">
      <w:pPr>
        <w:spacing w:line="360" w:lineRule="auto"/>
        <w:ind w:firstLine="422"/>
        <w:rPr>
          <w:rFonts w:hint="eastAsia" w:ascii="宋体" w:hAnsi="宋体" w:cs="宋体"/>
          <w:b/>
          <w:szCs w:val="21"/>
        </w:rPr>
      </w:pPr>
      <w:r>
        <w:rPr>
          <w:rFonts w:hint="eastAsia" w:ascii="宋体" w:hAnsi="宋体" w:cs="宋体"/>
          <w:b/>
          <w:szCs w:val="21"/>
        </w:rPr>
        <w:t>5.</w:t>
      </w:r>
      <w:r>
        <w:rPr>
          <w:rFonts w:hint="eastAsia" w:ascii="宋体" w:hAnsi="宋体" w:cs="宋体"/>
          <w:b/>
          <w:szCs w:val="21"/>
          <w:lang w:val="zh-CN"/>
        </w:rPr>
        <w:t>磋商文件的澄清或者修改</w:t>
      </w:r>
    </w:p>
    <w:p w14:paraId="635CF644">
      <w:pPr>
        <w:spacing w:line="360" w:lineRule="auto"/>
        <w:ind w:firstLine="420"/>
        <w:rPr>
          <w:rFonts w:hint="eastAsia" w:ascii="宋体" w:hAnsi="宋体" w:cs="宋体"/>
          <w:szCs w:val="21"/>
        </w:rPr>
      </w:pPr>
      <w:r>
        <w:rPr>
          <w:rFonts w:hint="eastAsia" w:ascii="宋体" w:hAnsi="宋体" w:cs="宋体"/>
          <w:szCs w:val="21"/>
        </w:rPr>
        <w:t>5.1 采购人或者采购代理机构可以对已发出的磋商文件进行必要的澄清或者修改，但不得改变采购标的和资格条件。澄清或者修改应当在原竞争性磋商公告发布媒体上发布澄清公告。澄清或者修改的内容为磋商文件的组成部分。</w:t>
      </w:r>
    </w:p>
    <w:p w14:paraId="2BB561FE">
      <w:pPr>
        <w:spacing w:line="360" w:lineRule="auto"/>
        <w:ind w:firstLine="420"/>
        <w:rPr>
          <w:rFonts w:hint="eastAsia" w:ascii="宋体" w:hAnsi="宋体" w:cs="宋体"/>
          <w:szCs w:val="21"/>
        </w:rPr>
      </w:pPr>
      <w:r>
        <w:rPr>
          <w:rFonts w:hint="eastAsia" w:ascii="宋体" w:hAnsi="宋体" w:cs="宋体"/>
          <w:szCs w:val="21"/>
        </w:rPr>
        <w:t>5.2 澄清或者修改的内容可能影响响应文件编制的，采购人或者采购代理机构应当在提交首次响应文件截止时间至少5日前，以书面形式通知所有获取磋商文件的潜在供应商；不足5日的，采购人或者采购代理机构应当顺延首次提交响应文件的截止时间。</w:t>
      </w:r>
    </w:p>
    <w:p w14:paraId="3E4ACB78">
      <w:pPr>
        <w:widowControl/>
        <w:shd w:val="clear" w:color="auto" w:fill="FFFFFF"/>
        <w:tabs>
          <w:tab w:val="left" w:pos="426"/>
        </w:tabs>
        <w:spacing w:line="360" w:lineRule="auto"/>
        <w:outlineLvl w:val="1"/>
        <w:rPr>
          <w:rFonts w:hint="eastAsia" w:ascii="宋体" w:hAnsi="宋体" w:cs="宋体"/>
          <w:b/>
          <w:spacing w:val="8"/>
          <w:sz w:val="24"/>
        </w:rPr>
      </w:pPr>
      <w:r>
        <w:rPr>
          <w:rFonts w:hint="eastAsia" w:ascii="宋体" w:hAnsi="宋体" w:cs="宋体"/>
          <w:b/>
          <w:spacing w:val="8"/>
          <w:sz w:val="24"/>
        </w:rPr>
        <w:t>三、磋商响应文件编制</w:t>
      </w:r>
    </w:p>
    <w:p w14:paraId="40299674">
      <w:pPr>
        <w:spacing w:line="360" w:lineRule="auto"/>
        <w:ind w:firstLine="422"/>
        <w:rPr>
          <w:rFonts w:hint="eastAsia" w:ascii="宋体" w:hAnsi="宋体" w:cs="宋体"/>
          <w:b/>
          <w:szCs w:val="21"/>
          <w:lang w:val="zh-CN"/>
        </w:rPr>
      </w:pPr>
      <w:r>
        <w:rPr>
          <w:rFonts w:hint="eastAsia" w:ascii="宋体" w:hAnsi="宋体" w:cs="宋体"/>
          <w:b/>
          <w:szCs w:val="21"/>
          <w:lang w:val="zh-CN"/>
        </w:rPr>
        <w:t>6</w:t>
      </w:r>
      <w:r>
        <w:rPr>
          <w:rFonts w:hint="eastAsia" w:ascii="宋体" w:hAnsi="宋体" w:cs="宋体"/>
          <w:b/>
          <w:szCs w:val="21"/>
        </w:rPr>
        <w:t>.</w:t>
      </w:r>
      <w:r>
        <w:rPr>
          <w:rFonts w:hint="eastAsia" w:ascii="宋体" w:hAnsi="宋体" w:cs="宋体"/>
          <w:b/>
          <w:szCs w:val="21"/>
          <w:lang w:val="zh-CN"/>
        </w:rPr>
        <w:t>磋商响应文件的语言、计量单位、货币和编制</w:t>
      </w:r>
    </w:p>
    <w:p w14:paraId="3E964D5F">
      <w:pPr>
        <w:spacing w:line="360" w:lineRule="auto"/>
        <w:ind w:firstLine="420"/>
        <w:rPr>
          <w:rFonts w:hint="eastAsia" w:ascii="宋体" w:hAnsi="宋体" w:cs="宋体"/>
          <w:szCs w:val="21"/>
        </w:rPr>
      </w:pPr>
      <w:r>
        <w:rPr>
          <w:rFonts w:hint="eastAsia" w:ascii="宋体" w:hAnsi="宋体" w:cs="宋体"/>
          <w:szCs w:val="21"/>
        </w:rPr>
        <w:t>6.1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p>
    <w:p w14:paraId="77EBDFE7">
      <w:pPr>
        <w:spacing w:line="360" w:lineRule="auto"/>
        <w:ind w:firstLine="420"/>
        <w:rPr>
          <w:rFonts w:hint="eastAsia" w:ascii="宋体" w:hAnsi="宋体" w:cs="宋体"/>
          <w:szCs w:val="21"/>
        </w:rPr>
      </w:pPr>
      <w:r>
        <w:rPr>
          <w:rFonts w:hint="eastAsia" w:ascii="宋体" w:hAnsi="宋体" w:cs="宋体"/>
          <w:szCs w:val="21"/>
        </w:rPr>
        <w:t>6.2 供应商所使用的计量单位应为国家法定计量单位。</w:t>
      </w:r>
    </w:p>
    <w:p w14:paraId="7E140BF8">
      <w:pPr>
        <w:spacing w:line="360" w:lineRule="auto"/>
        <w:ind w:firstLine="420"/>
        <w:rPr>
          <w:rFonts w:hint="eastAsia" w:ascii="宋体" w:hAnsi="宋体" w:cs="宋体"/>
          <w:szCs w:val="21"/>
        </w:rPr>
      </w:pPr>
      <w:r>
        <w:rPr>
          <w:rFonts w:hint="eastAsia" w:ascii="宋体" w:hAnsi="宋体" w:cs="宋体"/>
          <w:szCs w:val="21"/>
        </w:rPr>
        <w:t>6.3 供应商应用人民币报价。报价产品如果是进口产品的，应提供人民币与外币之间的汇率。</w:t>
      </w:r>
    </w:p>
    <w:p w14:paraId="7F3FFBE1">
      <w:pPr>
        <w:spacing w:line="360" w:lineRule="auto"/>
        <w:ind w:firstLine="420"/>
        <w:rPr>
          <w:rFonts w:hint="eastAsia" w:ascii="宋体" w:hAnsi="宋体" w:cs="宋体"/>
          <w:szCs w:val="21"/>
        </w:rPr>
      </w:pPr>
      <w:r>
        <w:rPr>
          <w:rFonts w:hint="eastAsia" w:ascii="宋体" w:hAnsi="宋体" w:cs="宋体"/>
          <w:szCs w:val="21"/>
        </w:rPr>
        <w:t>6.4 磋商响应文件应按照竞争性磋商文件规定的顺序打印、装订成册并编制目录，由于编排混乱导致响应文件被误读或查找不到，责任由供应商承担。</w:t>
      </w:r>
    </w:p>
    <w:p w14:paraId="33D63D66">
      <w:pPr>
        <w:spacing w:line="360" w:lineRule="auto"/>
        <w:ind w:firstLine="420"/>
        <w:rPr>
          <w:rFonts w:hint="eastAsia" w:ascii="宋体" w:hAnsi="宋体" w:cs="宋体"/>
          <w:szCs w:val="21"/>
        </w:rPr>
      </w:pPr>
      <w:r>
        <w:rPr>
          <w:rFonts w:hint="eastAsia" w:ascii="宋体" w:hAnsi="宋体" w:cs="宋体"/>
          <w:szCs w:val="21"/>
        </w:rPr>
        <w:t>6.5 供应商应在磋商响应文件中写清相应的项目编号、项目名称、供应商全称、地址、电话、传真等。</w:t>
      </w:r>
    </w:p>
    <w:p w14:paraId="6EF417D3">
      <w:pPr>
        <w:spacing w:line="360" w:lineRule="auto"/>
        <w:ind w:firstLine="422"/>
        <w:rPr>
          <w:rFonts w:hint="eastAsia" w:ascii="宋体" w:hAnsi="宋体" w:cs="宋体"/>
          <w:b/>
          <w:szCs w:val="21"/>
          <w:lang w:val="zh-CN"/>
        </w:rPr>
      </w:pPr>
      <w:r>
        <w:rPr>
          <w:rFonts w:hint="eastAsia" w:ascii="宋体" w:hAnsi="宋体" w:cs="宋体"/>
          <w:b/>
          <w:szCs w:val="21"/>
          <w:lang w:val="zh-CN"/>
        </w:rPr>
        <w:t>7</w:t>
      </w:r>
      <w:r>
        <w:rPr>
          <w:rFonts w:hint="eastAsia" w:ascii="宋体" w:hAnsi="宋体" w:cs="宋体"/>
          <w:b/>
          <w:szCs w:val="21"/>
        </w:rPr>
        <w:t>.</w:t>
      </w:r>
      <w:r>
        <w:rPr>
          <w:rFonts w:hint="eastAsia" w:ascii="宋体" w:hAnsi="宋体" w:cs="宋体"/>
          <w:b/>
          <w:szCs w:val="21"/>
          <w:lang w:val="zh-CN"/>
        </w:rPr>
        <w:t>磋商响应文件的组成</w:t>
      </w:r>
    </w:p>
    <w:p w14:paraId="6BAF85CF">
      <w:pPr>
        <w:spacing w:line="360" w:lineRule="auto"/>
        <w:ind w:firstLine="420"/>
        <w:rPr>
          <w:rFonts w:hint="eastAsia" w:ascii="宋体" w:hAnsi="宋体" w:cs="宋体"/>
          <w:szCs w:val="21"/>
        </w:rPr>
      </w:pPr>
      <w:r>
        <w:rPr>
          <w:rFonts w:hint="eastAsia" w:ascii="宋体" w:hAnsi="宋体" w:cs="宋体"/>
          <w:szCs w:val="21"/>
        </w:rPr>
        <w:t>7.1 供应商应当根据磋商文件要求编制磋商响应文件，并根据自己的商务能力、技术水平对磋商文件提出的要求和条件逐条标明是否响应。</w:t>
      </w:r>
    </w:p>
    <w:p w14:paraId="7505D37C">
      <w:pPr>
        <w:spacing w:line="360" w:lineRule="auto"/>
        <w:ind w:firstLine="420"/>
        <w:rPr>
          <w:rFonts w:hint="eastAsia" w:ascii="宋体" w:hAnsi="宋体" w:cs="宋体"/>
          <w:szCs w:val="21"/>
        </w:rPr>
      </w:pPr>
      <w:r>
        <w:rPr>
          <w:rFonts w:hint="eastAsia" w:ascii="宋体" w:hAnsi="宋体" w:cs="宋体"/>
          <w:szCs w:val="21"/>
        </w:rPr>
        <w:t>7.2 磋商响应文件由商务、技术、价格，以及其他部分内容组成。磋商响应文件目录及有关格式按磋商文件“第六章磋商响应文件格式及附件”的要求编制。</w:t>
      </w:r>
    </w:p>
    <w:p w14:paraId="273B7925">
      <w:pPr>
        <w:spacing w:line="360" w:lineRule="auto"/>
        <w:ind w:firstLine="420"/>
        <w:rPr>
          <w:rFonts w:hint="eastAsia" w:ascii="宋体" w:hAnsi="宋体" w:cs="宋体"/>
          <w:szCs w:val="21"/>
        </w:rPr>
      </w:pPr>
      <w:r>
        <w:rPr>
          <w:rFonts w:hint="eastAsia" w:ascii="宋体" w:hAnsi="宋体" w:cs="宋体"/>
          <w:szCs w:val="21"/>
        </w:rPr>
        <w:t>7.3 本次采购的最小单位是标段。采购项目的技术要求中未分标段的，供应商对要求提供的服务不得部分响应；采购项目的技术要求中已经分标段的，可以以标段为单位响应。</w:t>
      </w:r>
    </w:p>
    <w:p w14:paraId="33E2D8D2">
      <w:pPr>
        <w:spacing w:line="360" w:lineRule="auto"/>
        <w:ind w:firstLine="420"/>
        <w:rPr>
          <w:rFonts w:hint="eastAsia" w:ascii="宋体" w:hAnsi="宋体"/>
          <w:szCs w:val="21"/>
          <w:lang w:val="zh-CN"/>
        </w:rPr>
      </w:pPr>
      <w:r>
        <w:rPr>
          <w:rFonts w:hint="eastAsia" w:ascii="宋体" w:hAnsi="宋体" w:cs="宋体"/>
          <w:szCs w:val="21"/>
        </w:rPr>
        <w:t xml:space="preserve">7.4 </w:t>
      </w:r>
      <w:r>
        <w:rPr>
          <w:rFonts w:hint="eastAsia" w:ascii="宋体" w:hAnsi="宋体" w:cs="宋体"/>
          <w:b/>
          <w:bCs/>
          <w:szCs w:val="21"/>
        </w:rPr>
        <w:t>磋商响应文件的商务内容。</w:t>
      </w:r>
      <w:r>
        <w:rPr>
          <w:rFonts w:hint="eastAsia" w:ascii="宋体" w:hAnsi="宋体" w:cs="宋体"/>
          <w:szCs w:val="21"/>
        </w:rPr>
        <w:t>商务部分内容是证明供应商有资格参加磋商和成交后有能力履行合同的文件，这些文件应能满足竞争性磋商采购的要求，包括但不限于下列文件</w:t>
      </w:r>
      <w:r>
        <w:rPr>
          <w:rFonts w:hint="eastAsia" w:ascii="宋体" w:hAnsi="宋体"/>
          <w:szCs w:val="21"/>
          <w:lang w:val="zh-CN"/>
        </w:rPr>
        <w:t>，其中加“★”项目不得有缺失或无效：</w:t>
      </w:r>
    </w:p>
    <w:p w14:paraId="66ACC2CE">
      <w:pPr>
        <w:spacing w:line="360" w:lineRule="auto"/>
        <w:ind w:firstLine="420"/>
        <w:jc w:val="left"/>
        <w:rPr>
          <w:rFonts w:hint="eastAsia" w:ascii="宋体" w:hAnsi="宋体" w:cs="宋体"/>
          <w:szCs w:val="21"/>
          <w:lang w:val="zh-CN"/>
        </w:rPr>
      </w:pPr>
      <w:r>
        <w:rPr>
          <w:rFonts w:hint="eastAsia" w:ascii="宋体" w:hAnsi="宋体"/>
          <w:szCs w:val="21"/>
          <w:lang w:val="zh-CN"/>
        </w:rPr>
        <w:t>★</w:t>
      </w:r>
      <w:r>
        <w:rPr>
          <w:rFonts w:hint="eastAsia" w:ascii="宋体" w:hAnsi="宋体" w:cs="宋体"/>
          <w:szCs w:val="21"/>
          <w:lang w:val="zh-CN"/>
        </w:rPr>
        <w:t>（1）竞争性磋商申请及声明</w:t>
      </w:r>
      <w:r>
        <w:rPr>
          <w:rFonts w:hint="eastAsia" w:ascii="宋体" w:hAnsi="宋体" w:cs="宋体"/>
          <w:b/>
          <w:bCs/>
          <w:szCs w:val="21"/>
        </w:rPr>
        <w:t>（格式见第六章）</w:t>
      </w:r>
      <w:r>
        <w:rPr>
          <w:rFonts w:hint="eastAsia" w:ascii="宋体" w:hAnsi="宋体" w:cs="宋体"/>
          <w:szCs w:val="21"/>
          <w:lang w:val="zh-CN"/>
        </w:rPr>
        <w:t>；</w:t>
      </w:r>
    </w:p>
    <w:p w14:paraId="069F234A">
      <w:pPr>
        <w:widowControl/>
        <w:spacing w:line="360" w:lineRule="auto"/>
        <w:ind w:firstLine="420"/>
        <w:jc w:val="left"/>
        <w:rPr>
          <w:rFonts w:hint="eastAsia" w:ascii="宋体" w:hAnsi="宋体" w:cs="宋体"/>
          <w:szCs w:val="21"/>
          <w:lang w:val="zh-CN"/>
        </w:rPr>
      </w:pPr>
      <w:r>
        <w:rPr>
          <w:rFonts w:hint="eastAsia" w:ascii="宋体" w:hAnsi="宋体"/>
          <w:szCs w:val="21"/>
          <w:lang w:val="zh-CN"/>
        </w:rPr>
        <w:t>★</w:t>
      </w:r>
      <w:r>
        <w:rPr>
          <w:rFonts w:hint="eastAsia" w:ascii="宋体" w:hAnsi="宋体" w:cs="宋体"/>
          <w:szCs w:val="21"/>
          <w:lang w:val="zh-CN"/>
        </w:rPr>
        <w:t>（2）法定代表人授权书及委托代理人的身份证扫描件</w:t>
      </w:r>
      <w:r>
        <w:rPr>
          <w:rFonts w:hint="eastAsia" w:ascii="宋体" w:hAnsi="宋体" w:cs="宋体"/>
          <w:b/>
          <w:bCs/>
          <w:szCs w:val="21"/>
        </w:rPr>
        <w:t>（格式见第六章）</w:t>
      </w:r>
      <w:r>
        <w:rPr>
          <w:rFonts w:hint="eastAsia" w:ascii="宋体" w:hAnsi="宋体" w:cs="宋体"/>
          <w:szCs w:val="21"/>
          <w:lang w:val="zh-CN"/>
        </w:rPr>
        <w:t>；</w:t>
      </w:r>
    </w:p>
    <w:p w14:paraId="2DB55293">
      <w:pPr>
        <w:widowControl/>
        <w:spacing w:line="360" w:lineRule="auto"/>
        <w:ind w:firstLine="420"/>
        <w:jc w:val="left"/>
        <w:rPr>
          <w:rFonts w:hint="eastAsia" w:ascii="宋体" w:hAnsi="宋体" w:cs="宋体"/>
          <w:szCs w:val="21"/>
          <w:lang w:val="zh-CN"/>
        </w:rPr>
      </w:pPr>
      <w:r>
        <w:rPr>
          <w:rFonts w:hint="eastAsia" w:ascii="宋体" w:hAnsi="宋体"/>
          <w:szCs w:val="21"/>
          <w:lang w:val="zh-CN"/>
        </w:rPr>
        <w:t>★</w:t>
      </w:r>
      <w:r>
        <w:rPr>
          <w:rFonts w:hint="eastAsia" w:ascii="宋体" w:hAnsi="宋体" w:cs="宋体"/>
          <w:szCs w:val="21"/>
          <w:lang w:val="zh-CN"/>
        </w:rPr>
        <w:t>（3）申请人资格资信证明文件：</w:t>
      </w:r>
    </w:p>
    <w:p w14:paraId="6FAA8B43">
      <w:pPr>
        <w:widowControl/>
        <w:spacing w:line="360" w:lineRule="auto"/>
        <w:ind w:firstLine="840"/>
        <w:jc w:val="left"/>
        <w:rPr>
          <w:rFonts w:hint="eastAsia" w:ascii="宋体" w:hAnsi="宋体" w:cs="宋体"/>
          <w:szCs w:val="21"/>
          <w:lang w:val="zh-CN"/>
        </w:rPr>
      </w:pPr>
      <w:r>
        <w:rPr>
          <w:rFonts w:hint="eastAsia" w:ascii="宋体" w:hAnsi="宋体" w:cs="宋体"/>
          <w:szCs w:val="21"/>
          <w:lang w:val="zh-CN"/>
        </w:rPr>
        <w:t>1）第一章竞争性磋商公告中2.1《中华人民共和国政府采购法》规定的资格条件证明文件；</w:t>
      </w:r>
    </w:p>
    <w:p w14:paraId="230407C2">
      <w:pPr>
        <w:widowControl/>
        <w:spacing w:line="360" w:lineRule="auto"/>
        <w:ind w:firstLine="840"/>
        <w:jc w:val="left"/>
        <w:rPr>
          <w:rFonts w:hint="eastAsia" w:ascii="宋体" w:hAnsi="宋体" w:cs="宋体"/>
          <w:szCs w:val="21"/>
          <w:lang w:val="zh-CN"/>
        </w:rPr>
      </w:pPr>
      <w:r>
        <w:rPr>
          <w:rFonts w:hint="eastAsia" w:ascii="宋体" w:hAnsi="宋体" w:cs="宋体"/>
          <w:szCs w:val="21"/>
          <w:lang w:val="zh-CN"/>
        </w:rPr>
        <w:t>2）第一章竞争性磋商公告中2.2落实政府采购政策需满足的资格要求；</w:t>
      </w:r>
    </w:p>
    <w:p w14:paraId="70D8B40C">
      <w:pPr>
        <w:widowControl/>
        <w:spacing w:line="360" w:lineRule="auto"/>
        <w:ind w:firstLine="840"/>
        <w:jc w:val="left"/>
        <w:rPr>
          <w:rFonts w:hint="eastAsia" w:ascii="宋体" w:hAnsi="宋体" w:cs="宋体"/>
          <w:szCs w:val="21"/>
          <w:lang w:val="zh-CN"/>
        </w:rPr>
      </w:pPr>
      <w:r>
        <w:rPr>
          <w:rFonts w:hint="eastAsia" w:ascii="宋体" w:hAnsi="宋体" w:cs="宋体"/>
          <w:szCs w:val="21"/>
          <w:lang w:val="zh-CN"/>
        </w:rPr>
        <w:t>3）第一章竞争性磋商公告中2.3采购人根据采购项目的特殊要求规定的特定条件证明文件；</w:t>
      </w:r>
    </w:p>
    <w:p w14:paraId="0EDED23C">
      <w:pPr>
        <w:widowControl/>
        <w:spacing w:line="360" w:lineRule="auto"/>
        <w:ind w:firstLine="420"/>
        <w:jc w:val="left"/>
        <w:rPr>
          <w:rFonts w:hint="eastAsia" w:ascii="宋体" w:hAnsi="宋体" w:cs="宋体"/>
          <w:szCs w:val="21"/>
          <w:lang w:val="zh-CN"/>
        </w:rPr>
      </w:pPr>
      <w:r>
        <w:rPr>
          <w:rFonts w:hint="eastAsia" w:ascii="宋体" w:hAnsi="宋体"/>
          <w:szCs w:val="21"/>
          <w:lang w:val="zh-CN"/>
        </w:rPr>
        <w:t>★</w:t>
      </w:r>
      <w:r>
        <w:rPr>
          <w:rFonts w:hint="eastAsia" w:ascii="宋体" w:hAnsi="宋体" w:cs="宋体"/>
          <w:szCs w:val="21"/>
        </w:rPr>
        <w:t>（4）报价一览表及附表</w:t>
      </w:r>
      <w:r>
        <w:rPr>
          <w:rFonts w:hint="eastAsia" w:ascii="宋体" w:hAnsi="宋体" w:cs="宋体"/>
          <w:b/>
          <w:bCs/>
          <w:szCs w:val="21"/>
        </w:rPr>
        <w:t>（格式见第六章）</w:t>
      </w:r>
      <w:r>
        <w:rPr>
          <w:rFonts w:hint="eastAsia" w:ascii="宋体" w:hAnsi="宋体" w:cs="宋体"/>
          <w:szCs w:val="21"/>
        </w:rPr>
        <w:t>；</w:t>
      </w:r>
    </w:p>
    <w:p w14:paraId="1319D82E">
      <w:pPr>
        <w:spacing w:line="360" w:lineRule="auto"/>
        <w:ind w:firstLine="420"/>
        <w:jc w:val="left"/>
        <w:rPr>
          <w:rFonts w:hint="eastAsia" w:ascii="宋体" w:hAnsi="宋体" w:cs="宋体"/>
          <w:szCs w:val="21"/>
          <w:lang w:val="zh-CN"/>
        </w:rPr>
      </w:pPr>
      <w:r>
        <w:rPr>
          <w:rFonts w:hint="eastAsia" w:ascii="宋体" w:hAnsi="宋体"/>
          <w:szCs w:val="21"/>
          <w:lang w:val="zh-CN"/>
        </w:rPr>
        <w:t>★</w:t>
      </w:r>
      <w:r>
        <w:rPr>
          <w:rFonts w:hint="eastAsia" w:ascii="宋体" w:hAnsi="宋体" w:cs="宋体"/>
          <w:szCs w:val="21"/>
        </w:rPr>
        <w:t>（5）</w:t>
      </w:r>
      <w:r>
        <w:rPr>
          <w:rFonts w:hint="eastAsia" w:ascii="宋体" w:hAnsi="宋体" w:cs="宋体"/>
          <w:szCs w:val="21"/>
          <w:lang w:val="zh-CN"/>
        </w:rPr>
        <w:t>《</w:t>
      </w:r>
      <w:r>
        <w:rPr>
          <w:rFonts w:hint="eastAsia" w:ascii="宋体" w:hAnsi="宋体" w:cs="宋体"/>
          <w:szCs w:val="21"/>
        </w:rPr>
        <w:t>商务</w:t>
      </w:r>
      <w:r>
        <w:rPr>
          <w:rFonts w:hint="eastAsia" w:ascii="宋体" w:hAnsi="宋体" w:cs="宋体"/>
          <w:szCs w:val="21"/>
          <w:lang w:val="zh-CN"/>
        </w:rPr>
        <w:t>条款偏离表》；</w:t>
      </w:r>
    </w:p>
    <w:p w14:paraId="2420F962">
      <w:pPr>
        <w:spacing w:line="360" w:lineRule="auto"/>
        <w:ind w:firstLine="420"/>
        <w:jc w:val="left"/>
        <w:rPr>
          <w:rFonts w:hint="eastAsia" w:ascii="宋体" w:hAnsi="宋体" w:cs="宋体"/>
          <w:szCs w:val="21"/>
          <w:lang w:val="zh-CN"/>
        </w:rPr>
      </w:pPr>
      <w:r>
        <w:rPr>
          <w:rFonts w:hint="eastAsia" w:ascii="宋体" w:hAnsi="宋体" w:cs="宋体"/>
          <w:szCs w:val="21"/>
          <w:lang w:val="zh-CN"/>
        </w:rPr>
        <w:t>（</w:t>
      </w:r>
      <w:r>
        <w:rPr>
          <w:rFonts w:hint="eastAsia" w:ascii="宋体" w:hAnsi="宋体" w:cs="宋体"/>
          <w:szCs w:val="21"/>
        </w:rPr>
        <w:t>6</w:t>
      </w:r>
      <w:r>
        <w:rPr>
          <w:rFonts w:hint="eastAsia" w:ascii="宋体" w:hAnsi="宋体" w:cs="宋体"/>
          <w:szCs w:val="21"/>
          <w:lang w:val="zh-CN"/>
        </w:rPr>
        <w:t>）供应商认为需要提供的其他资格证明文件和商务资料。</w:t>
      </w:r>
    </w:p>
    <w:p w14:paraId="6D8D69F7">
      <w:pPr>
        <w:spacing w:line="360" w:lineRule="auto"/>
        <w:ind w:firstLine="420"/>
        <w:rPr>
          <w:rFonts w:hint="eastAsia" w:ascii="宋体" w:hAnsi="宋体" w:cs="宋体"/>
          <w:bCs/>
          <w:szCs w:val="21"/>
        </w:rPr>
      </w:pPr>
      <w:r>
        <w:rPr>
          <w:rFonts w:hint="eastAsia" w:ascii="宋体" w:hAnsi="宋体" w:cs="宋体"/>
          <w:bCs/>
          <w:szCs w:val="21"/>
        </w:rPr>
        <w:t xml:space="preserve">7.5 </w:t>
      </w:r>
      <w:r>
        <w:rPr>
          <w:rFonts w:hint="eastAsia" w:ascii="宋体" w:hAnsi="宋体" w:cs="宋体"/>
          <w:b/>
          <w:szCs w:val="21"/>
        </w:rPr>
        <w:t>磋商响应文件的技术内容。</w:t>
      </w:r>
      <w:r>
        <w:rPr>
          <w:rFonts w:hint="eastAsia" w:ascii="宋体" w:hAnsi="宋体" w:cs="宋体"/>
          <w:bCs/>
          <w:szCs w:val="21"/>
        </w:rPr>
        <w:t>技术内容是证明供应商提供的服务是合格的、并符合磋商文件要求的证明文件，以及对服务的详细说明，这些文件可以是文字资料、图纸、数据或其他证明文件等。提供的服务如与磋商文件要求有不符之处，应说明其差别之所在。包括但不限于下列文件。</w:t>
      </w:r>
    </w:p>
    <w:p w14:paraId="4A395406">
      <w:pPr>
        <w:spacing w:line="360" w:lineRule="auto"/>
        <w:ind w:firstLine="420"/>
        <w:rPr>
          <w:rFonts w:hint="eastAsia" w:ascii="宋体" w:hAnsi="宋体" w:cs="宋体"/>
          <w:szCs w:val="21"/>
        </w:rPr>
      </w:pPr>
      <w:r>
        <w:rPr>
          <w:rFonts w:hint="eastAsia" w:ascii="宋体" w:hAnsi="宋体" w:cs="宋体"/>
          <w:szCs w:val="21"/>
        </w:rPr>
        <w:t>（1）项目技术方案或服务说明；</w:t>
      </w:r>
    </w:p>
    <w:p w14:paraId="02648D2D">
      <w:pPr>
        <w:spacing w:line="360" w:lineRule="auto"/>
        <w:ind w:firstLine="420"/>
        <w:rPr>
          <w:rFonts w:hint="eastAsia" w:ascii="宋体" w:hAnsi="宋体" w:cs="宋体"/>
          <w:szCs w:val="21"/>
        </w:rPr>
      </w:pPr>
      <w:r>
        <w:rPr>
          <w:rFonts w:hint="eastAsia" w:ascii="宋体" w:hAnsi="宋体" w:cs="宋体"/>
          <w:szCs w:val="21"/>
        </w:rPr>
        <w:t>（2）《采购需求条款偏离表》；</w:t>
      </w:r>
    </w:p>
    <w:p w14:paraId="7B6602E0">
      <w:pPr>
        <w:spacing w:line="360" w:lineRule="auto"/>
        <w:ind w:firstLine="420"/>
        <w:rPr>
          <w:rFonts w:hint="eastAsia" w:ascii="宋体" w:hAnsi="宋体" w:cs="宋体"/>
          <w:szCs w:val="21"/>
        </w:rPr>
      </w:pPr>
      <w:r>
        <w:rPr>
          <w:rFonts w:hint="eastAsia" w:ascii="宋体" w:hAnsi="宋体" w:cs="宋体"/>
          <w:szCs w:val="21"/>
        </w:rPr>
        <w:t>（3）供应商认为需要提供的其他技术资料。</w:t>
      </w:r>
    </w:p>
    <w:p w14:paraId="29B073AA">
      <w:pPr>
        <w:spacing w:line="360" w:lineRule="auto"/>
        <w:ind w:firstLine="420"/>
        <w:rPr>
          <w:rFonts w:hint="eastAsia" w:ascii="宋体" w:hAnsi="宋体" w:cs="宋体"/>
          <w:color w:val="000000"/>
          <w:szCs w:val="21"/>
        </w:rPr>
      </w:pPr>
      <w:r>
        <w:rPr>
          <w:rFonts w:hint="eastAsia" w:ascii="宋体" w:hAnsi="宋体" w:cs="宋体"/>
          <w:color w:val="000000"/>
          <w:szCs w:val="21"/>
        </w:rPr>
        <w:t>7.6 磋商响应文件的价格内容</w:t>
      </w:r>
    </w:p>
    <w:p w14:paraId="196A40C1">
      <w:pPr>
        <w:spacing w:line="360" w:lineRule="auto"/>
        <w:ind w:firstLine="420"/>
        <w:rPr>
          <w:rFonts w:hint="eastAsia" w:ascii="宋体" w:hAnsi="宋体" w:cs="宋体"/>
          <w:szCs w:val="21"/>
        </w:rPr>
      </w:pPr>
      <w:r>
        <w:rPr>
          <w:rFonts w:hint="eastAsia" w:ascii="宋体" w:hAnsi="宋体" w:cs="宋体"/>
          <w:szCs w:val="21"/>
        </w:rPr>
        <w:t>（1）价格部分内容是对标的价格构成的说明，磋商文件如没有特别说明的话，仅接受一个价格。</w:t>
      </w:r>
    </w:p>
    <w:p w14:paraId="1C00B171">
      <w:pPr>
        <w:spacing w:line="360" w:lineRule="auto"/>
        <w:ind w:firstLine="420"/>
        <w:rPr>
          <w:rFonts w:hint="eastAsia" w:ascii="宋体" w:hAnsi="宋体" w:cs="宋体"/>
          <w:szCs w:val="21"/>
        </w:rPr>
      </w:pPr>
      <w:r>
        <w:rPr>
          <w:rFonts w:hint="eastAsia" w:ascii="宋体" w:hAnsi="宋体" w:cs="宋体"/>
          <w:szCs w:val="21"/>
        </w:rPr>
        <w:t>（2）报价应包含为履行本项目合同项下所有义务的全部费用（包括但不限于技术资料、设计成果、人员培训等发生的所有含税费用、支付给员工的工资和国家强制缴纳的各种社会保障资金），以及供应商认为需要的其他费用等。</w:t>
      </w:r>
    </w:p>
    <w:p w14:paraId="6CD684A6">
      <w:pPr>
        <w:spacing w:line="360" w:lineRule="auto"/>
        <w:ind w:firstLine="420"/>
        <w:rPr>
          <w:rFonts w:hint="eastAsia" w:ascii="宋体" w:hAnsi="宋体" w:cs="宋体"/>
          <w:szCs w:val="21"/>
        </w:rPr>
      </w:pPr>
      <w:r>
        <w:rPr>
          <w:rFonts w:hint="eastAsia" w:ascii="宋体" w:hAnsi="宋体" w:cs="宋体"/>
          <w:szCs w:val="21"/>
        </w:rPr>
        <w:t>（3）供应商应在《报价一览表》《分项报价表》等标明标的的单价、总价以及分项报价等。</w:t>
      </w:r>
    </w:p>
    <w:p w14:paraId="2598E313">
      <w:pPr>
        <w:spacing w:line="360" w:lineRule="auto"/>
        <w:ind w:firstLine="422"/>
        <w:rPr>
          <w:rFonts w:hint="eastAsia" w:ascii="宋体" w:hAnsi="宋体" w:cs="宋体"/>
          <w:b/>
          <w:bCs/>
          <w:szCs w:val="21"/>
        </w:rPr>
      </w:pPr>
      <w:r>
        <w:rPr>
          <w:rFonts w:hint="eastAsia" w:ascii="宋体" w:hAnsi="宋体" w:cs="宋体"/>
          <w:b/>
          <w:bCs/>
          <w:szCs w:val="21"/>
        </w:rPr>
        <w:t>（4）响应文件所报的响应价格不得超过磋商文件规定的预算价、限价，超过磋商文件规定的，响应文件按无效处理。</w:t>
      </w:r>
    </w:p>
    <w:p w14:paraId="61F4E84F">
      <w:pPr>
        <w:spacing w:line="360" w:lineRule="auto"/>
        <w:ind w:firstLine="420"/>
        <w:rPr>
          <w:rFonts w:hint="eastAsia" w:ascii="宋体" w:hAnsi="宋体" w:cs="宋体"/>
          <w:b/>
          <w:bCs/>
          <w:szCs w:val="21"/>
          <w:lang w:val="zh-CN"/>
        </w:rPr>
      </w:pPr>
      <w:r>
        <w:rPr>
          <w:rFonts w:hint="eastAsia" w:ascii="宋体" w:hAnsi="宋体" w:cs="宋体"/>
          <w:szCs w:val="21"/>
        </w:rPr>
        <w:t>（5）经磋商后，如果成交价低于供应商首次响应报价的话，除特别注明外</w:t>
      </w:r>
      <w:r>
        <w:rPr>
          <w:rFonts w:hint="eastAsia" w:ascii="宋体" w:hAnsi="宋体" w:cs="宋体"/>
          <w:szCs w:val="21"/>
          <w:lang w:val="zh-CN"/>
        </w:rPr>
        <w:t>，</w:t>
      </w:r>
      <w:r>
        <w:rPr>
          <w:rFonts w:hint="eastAsia" w:ascii="宋体" w:hAnsi="宋体" w:cs="宋体"/>
          <w:b/>
          <w:bCs/>
          <w:szCs w:val="21"/>
          <w:lang w:val="zh-CN"/>
        </w:rPr>
        <w:t>其分项报价（除暂列金、暂估价以外）同比例调整。</w:t>
      </w:r>
    </w:p>
    <w:p w14:paraId="15D1AD16">
      <w:pPr>
        <w:spacing w:line="360" w:lineRule="auto"/>
        <w:ind w:firstLine="420"/>
        <w:rPr>
          <w:rFonts w:hint="eastAsia" w:ascii="宋体" w:hAnsi="宋体" w:cs="宋体"/>
          <w:szCs w:val="21"/>
        </w:rPr>
      </w:pPr>
      <w:r>
        <w:rPr>
          <w:rFonts w:hint="eastAsia" w:ascii="宋体" w:hAnsi="宋体" w:cs="宋体"/>
          <w:szCs w:val="21"/>
        </w:rPr>
        <w:t>7.7 磋商响应文件的其他部分。其他部分由供应商根据编制磋商响应文件需要提供的其他相关文件组成。</w:t>
      </w:r>
    </w:p>
    <w:p w14:paraId="25DDF198">
      <w:pPr>
        <w:spacing w:line="360" w:lineRule="auto"/>
        <w:ind w:firstLine="422"/>
        <w:rPr>
          <w:rFonts w:hint="eastAsia" w:ascii="宋体" w:hAnsi="宋体" w:cs="宋体"/>
          <w:b/>
          <w:szCs w:val="21"/>
        </w:rPr>
      </w:pPr>
      <w:r>
        <w:rPr>
          <w:rFonts w:hint="eastAsia" w:ascii="宋体" w:hAnsi="宋体" w:cs="宋体"/>
          <w:b/>
          <w:szCs w:val="21"/>
        </w:rPr>
        <w:t>8.磋商保证金：不收取。</w:t>
      </w:r>
    </w:p>
    <w:p w14:paraId="3D3206A4">
      <w:pPr>
        <w:widowControl/>
        <w:shd w:val="clear" w:color="auto" w:fill="FFFFFF"/>
        <w:tabs>
          <w:tab w:val="left" w:pos="426"/>
        </w:tabs>
        <w:spacing w:line="360" w:lineRule="auto"/>
        <w:outlineLvl w:val="1"/>
        <w:rPr>
          <w:rFonts w:hint="eastAsia" w:ascii="宋体" w:hAnsi="宋体" w:cs="宋体"/>
          <w:b/>
          <w:spacing w:val="8"/>
          <w:sz w:val="24"/>
        </w:rPr>
      </w:pPr>
      <w:r>
        <w:rPr>
          <w:rFonts w:hint="eastAsia" w:ascii="宋体" w:hAnsi="宋体" w:cs="宋体"/>
          <w:b/>
          <w:spacing w:val="8"/>
          <w:sz w:val="24"/>
        </w:rPr>
        <w:t>四、磋商响应文件的递交</w:t>
      </w:r>
    </w:p>
    <w:p w14:paraId="69FB4CAE">
      <w:pPr>
        <w:spacing w:line="360" w:lineRule="auto"/>
        <w:ind w:firstLine="422"/>
        <w:rPr>
          <w:rFonts w:hint="eastAsia" w:ascii="宋体" w:hAnsi="宋体" w:cs="宋体"/>
          <w:b/>
          <w:szCs w:val="21"/>
          <w:lang w:val="zh-CN"/>
        </w:rPr>
      </w:pPr>
      <w:r>
        <w:rPr>
          <w:rFonts w:hint="eastAsia" w:ascii="宋体" w:hAnsi="宋体" w:cs="宋体"/>
          <w:b/>
          <w:szCs w:val="21"/>
          <w:lang w:val="zh-CN"/>
        </w:rPr>
        <w:t>9</w:t>
      </w:r>
      <w:r>
        <w:rPr>
          <w:rFonts w:hint="eastAsia" w:ascii="宋体" w:hAnsi="宋体" w:cs="宋体"/>
          <w:b/>
          <w:szCs w:val="21"/>
        </w:rPr>
        <w:t>.</w:t>
      </w:r>
      <w:r>
        <w:rPr>
          <w:rFonts w:hint="eastAsia" w:ascii="宋体" w:hAnsi="宋体" w:cs="宋体"/>
          <w:b/>
          <w:szCs w:val="21"/>
          <w:lang w:val="zh-CN"/>
        </w:rPr>
        <w:t>磋商响应文件递交与解密</w:t>
      </w:r>
    </w:p>
    <w:p w14:paraId="69623758">
      <w:pPr>
        <w:spacing w:line="360" w:lineRule="auto"/>
        <w:ind w:firstLine="420"/>
        <w:rPr>
          <w:rFonts w:hint="eastAsia" w:ascii="宋体" w:hAnsi="宋体" w:cs="宋体"/>
          <w:b/>
          <w:bCs/>
          <w:szCs w:val="21"/>
        </w:rPr>
      </w:pPr>
      <w:r>
        <w:rPr>
          <w:rFonts w:hint="eastAsia" w:ascii="宋体" w:hAnsi="宋体" w:cs="宋体"/>
          <w:b/>
          <w:bCs/>
          <w:szCs w:val="21"/>
        </w:rPr>
        <w:t>9.1 供应商应当按照《操作手册》的规定递交电子响应文件，在磋商响应截止时间前制作并上传电子响应文件。招标代理机构拒绝接收提交响应文件截止时间后上传的任何电子响应文件。</w:t>
      </w:r>
    </w:p>
    <w:p w14:paraId="0CDA153A">
      <w:pPr>
        <w:spacing w:line="360" w:lineRule="auto"/>
        <w:ind w:firstLine="420"/>
        <w:rPr>
          <w:rFonts w:hint="eastAsia" w:ascii="宋体" w:hAnsi="宋体" w:cs="宋体"/>
          <w:b/>
          <w:bCs/>
          <w:szCs w:val="21"/>
        </w:rPr>
      </w:pPr>
      <w:r>
        <w:rPr>
          <w:rFonts w:hint="eastAsia" w:ascii="宋体" w:hAnsi="宋体" w:cs="宋体"/>
          <w:b/>
          <w:bCs/>
          <w:szCs w:val="21"/>
        </w:rPr>
        <w:t>9.2 供应商应当按照《操作手册》规定，在“苏采云”系统规定的时间内对响应文件进行解密。</w:t>
      </w:r>
    </w:p>
    <w:p w14:paraId="2215F78B">
      <w:pPr>
        <w:spacing w:line="360" w:lineRule="auto"/>
        <w:ind w:firstLine="420"/>
        <w:rPr>
          <w:rFonts w:hint="eastAsia" w:ascii="宋体" w:hAnsi="宋体" w:cs="宋体"/>
          <w:szCs w:val="21"/>
          <w:lang w:val="zh-CN"/>
        </w:rPr>
      </w:pPr>
      <w:r>
        <w:rPr>
          <w:rFonts w:hint="eastAsia" w:ascii="宋体" w:hAnsi="宋体" w:cs="宋体"/>
          <w:b/>
          <w:bCs/>
          <w:szCs w:val="21"/>
        </w:rPr>
        <w:t>9.3 供应商应充分考虑到网络环境、网络带宽等风险因素，如因供应商自身原因造成电子响应文件未在“苏采云”系统规定的时间内成功解密的，按照本磋商文件规定做无效响应处理。</w:t>
      </w:r>
    </w:p>
    <w:p w14:paraId="4DD10589">
      <w:pPr>
        <w:spacing w:line="360" w:lineRule="auto"/>
        <w:ind w:firstLine="422"/>
        <w:rPr>
          <w:rFonts w:hint="eastAsia" w:ascii="宋体" w:hAnsi="宋体" w:cs="宋体"/>
          <w:b/>
          <w:szCs w:val="21"/>
          <w:lang w:val="zh-CN"/>
        </w:rPr>
      </w:pPr>
      <w:r>
        <w:rPr>
          <w:rFonts w:hint="eastAsia" w:ascii="宋体" w:hAnsi="宋体" w:cs="宋体"/>
          <w:b/>
          <w:szCs w:val="21"/>
          <w:lang w:val="zh-CN"/>
        </w:rPr>
        <w:t>10</w:t>
      </w:r>
      <w:r>
        <w:rPr>
          <w:rFonts w:hint="eastAsia" w:ascii="宋体" w:hAnsi="宋体" w:cs="宋体"/>
          <w:b/>
          <w:szCs w:val="21"/>
        </w:rPr>
        <w:t>.</w:t>
      </w:r>
      <w:r>
        <w:rPr>
          <w:rFonts w:hint="eastAsia" w:ascii="宋体" w:hAnsi="宋体" w:cs="宋体"/>
          <w:b/>
          <w:szCs w:val="21"/>
          <w:lang w:val="zh-CN"/>
        </w:rPr>
        <w:t>联合体：本项目</w:t>
      </w:r>
      <w:r>
        <w:rPr>
          <w:rFonts w:hint="eastAsia" w:ascii="宋体" w:hAnsi="宋体" w:cs="宋体"/>
          <w:b/>
          <w:bCs/>
          <w:szCs w:val="21"/>
        </w:rPr>
        <w:t>不接受联合体响应。</w:t>
      </w:r>
    </w:p>
    <w:p w14:paraId="150C5E39">
      <w:pPr>
        <w:widowControl/>
        <w:shd w:val="clear" w:color="auto" w:fill="FFFFFF"/>
        <w:tabs>
          <w:tab w:val="left" w:pos="426"/>
        </w:tabs>
        <w:spacing w:line="360" w:lineRule="auto"/>
        <w:outlineLvl w:val="1"/>
        <w:rPr>
          <w:rFonts w:hint="eastAsia" w:ascii="宋体" w:hAnsi="宋体" w:cs="宋体"/>
          <w:b/>
          <w:spacing w:val="8"/>
          <w:sz w:val="24"/>
        </w:rPr>
      </w:pPr>
      <w:r>
        <w:rPr>
          <w:rFonts w:hint="eastAsia" w:ascii="宋体" w:hAnsi="宋体" w:cs="宋体"/>
          <w:b/>
          <w:spacing w:val="8"/>
          <w:sz w:val="24"/>
        </w:rPr>
        <w:t>五、磋商</w:t>
      </w:r>
    </w:p>
    <w:p w14:paraId="593F37F1">
      <w:pPr>
        <w:spacing w:line="360" w:lineRule="auto"/>
        <w:ind w:firstLine="422"/>
        <w:rPr>
          <w:rFonts w:hint="eastAsia" w:ascii="宋体" w:hAnsi="宋体" w:cs="宋体"/>
          <w:b/>
          <w:szCs w:val="21"/>
          <w:lang w:val="zh-CN"/>
        </w:rPr>
      </w:pPr>
      <w:r>
        <w:rPr>
          <w:rFonts w:hint="eastAsia" w:ascii="宋体" w:hAnsi="宋体" w:cs="宋体"/>
          <w:b/>
          <w:szCs w:val="21"/>
          <w:lang w:val="zh-CN"/>
        </w:rPr>
        <w:t>11</w:t>
      </w:r>
      <w:r>
        <w:rPr>
          <w:rFonts w:hint="eastAsia" w:ascii="宋体" w:hAnsi="宋体" w:cs="宋体"/>
          <w:b/>
          <w:szCs w:val="21"/>
        </w:rPr>
        <w:t>.</w:t>
      </w:r>
      <w:r>
        <w:rPr>
          <w:rFonts w:hint="eastAsia" w:ascii="宋体" w:hAnsi="宋体" w:cs="宋体"/>
          <w:b/>
          <w:szCs w:val="21"/>
          <w:lang w:val="zh-CN"/>
        </w:rPr>
        <w:t>磋商有效期</w:t>
      </w:r>
    </w:p>
    <w:p w14:paraId="3B343F61">
      <w:pPr>
        <w:spacing w:line="360" w:lineRule="auto"/>
        <w:ind w:firstLine="420"/>
        <w:rPr>
          <w:rFonts w:hint="eastAsia" w:ascii="宋体" w:hAnsi="宋体" w:cs="宋体"/>
          <w:szCs w:val="21"/>
        </w:rPr>
      </w:pPr>
      <w:r>
        <w:rPr>
          <w:rFonts w:hint="eastAsia" w:ascii="宋体" w:hAnsi="宋体" w:cs="宋体"/>
          <w:szCs w:val="21"/>
        </w:rPr>
        <w:t>磋商有效期为90天，从提交磋商响应文件的截止之日起算。磋商响应文件中承诺的磋商有效期应当不少于磋商文件中载明的磋商有效期。</w:t>
      </w:r>
    </w:p>
    <w:p w14:paraId="518458AD">
      <w:pPr>
        <w:spacing w:line="360" w:lineRule="auto"/>
        <w:ind w:firstLine="422"/>
        <w:rPr>
          <w:rFonts w:hint="eastAsia" w:ascii="宋体" w:hAnsi="宋体" w:cs="宋体"/>
          <w:b/>
          <w:szCs w:val="21"/>
          <w:lang w:val="zh-CN"/>
        </w:rPr>
      </w:pPr>
      <w:r>
        <w:rPr>
          <w:rFonts w:hint="eastAsia" w:ascii="宋体" w:hAnsi="宋体" w:cs="宋体"/>
          <w:b/>
          <w:szCs w:val="21"/>
          <w:lang w:val="zh-CN"/>
        </w:rPr>
        <w:t>12</w:t>
      </w:r>
      <w:r>
        <w:rPr>
          <w:rFonts w:hint="eastAsia" w:ascii="宋体" w:hAnsi="宋体" w:cs="宋体"/>
          <w:b/>
          <w:szCs w:val="21"/>
        </w:rPr>
        <w:t>.</w:t>
      </w:r>
      <w:r>
        <w:rPr>
          <w:rFonts w:hint="eastAsia" w:ascii="宋体" w:hAnsi="宋体" w:cs="宋体"/>
          <w:b/>
          <w:szCs w:val="21"/>
          <w:lang w:val="zh-CN"/>
        </w:rPr>
        <w:t>磋商组织</w:t>
      </w:r>
    </w:p>
    <w:p w14:paraId="0BF82650">
      <w:pPr>
        <w:spacing w:line="360" w:lineRule="auto"/>
        <w:ind w:firstLine="420"/>
        <w:rPr>
          <w:rFonts w:hint="eastAsia" w:ascii="宋体" w:hAnsi="宋体" w:cs="宋体"/>
          <w:szCs w:val="21"/>
          <w:lang w:val="zh-CN"/>
        </w:rPr>
      </w:pPr>
      <w:r>
        <w:rPr>
          <w:rFonts w:hint="eastAsia" w:ascii="宋体" w:hAnsi="宋体" w:cs="宋体"/>
          <w:szCs w:val="21"/>
          <w:lang w:val="zh-CN"/>
        </w:rPr>
        <w:t>递交磋商响应文件时间截止后，采购代理机构在规定的时间和地点组织磋商小组分别与供应商进行磋商。具体磋商事务由依法组建的磋商小组负责。</w:t>
      </w:r>
    </w:p>
    <w:p w14:paraId="38B07835">
      <w:pPr>
        <w:spacing w:line="360" w:lineRule="auto"/>
        <w:ind w:firstLine="422"/>
        <w:rPr>
          <w:rFonts w:hint="eastAsia" w:ascii="宋体" w:hAnsi="宋体" w:cs="宋体"/>
          <w:b/>
          <w:szCs w:val="21"/>
          <w:lang w:val="zh-CN"/>
        </w:rPr>
      </w:pPr>
      <w:r>
        <w:rPr>
          <w:rFonts w:hint="eastAsia" w:ascii="宋体" w:hAnsi="宋体" w:cs="宋体"/>
          <w:b/>
          <w:szCs w:val="21"/>
          <w:lang w:val="zh-CN"/>
        </w:rPr>
        <w:t>13</w:t>
      </w:r>
      <w:r>
        <w:rPr>
          <w:rFonts w:hint="eastAsia" w:ascii="宋体" w:hAnsi="宋体" w:cs="宋体"/>
          <w:b/>
          <w:szCs w:val="21"/>
        </w:rPr>
        <w:t>.</w:t>
      </w:r>
      <w:r>
        <w:rPr>
          <w:rFonts w:hint="eastAsia" w:ascii="宋体" w:hAnsi="宋体" w:cs="宋体"/>
          <w:b/>
          <w:szCs w:val="21"/>
          <w:lang w:val="zh-CN"/>
        </w:rPr>
        <w:t>磋商程序</w:t>
      </w:r>
    </w:p>
    <w:p w14:paraId="64344236">
      <w:pPr>
        <w:spacing w:line="360" w:lineRule="auto"/>
        <w:ind w:firstLine="420"/>
        <w:rPr>
          <w:rFonts w:hint="eastAsia" w:ascii="宋体" w:hAnsi="宋体" w:cs="宋体"/>
          <w:szCs w:val="21"/>
        </w:rPr>
      </w:pPr>
      <w:r>
        <w:rPr>
          <w:rFonts w:hint="eastAsia" w:ascii="宋体" w:hAnsi="宋体" w:cs="宋体"/>
          <w:szCs w:val="21"/>
        </w:rPr>
        <w:t>13.1 磋商小组审阅供应商所递交的响应文件，凡不具备资格条件的供应商不得进入磋商程序。</w:t>
      </w:r>
    </w:p>
    <w:p w14:paraId="74A01A47">
      <w:pPr>
        <w:spacing w:line="360" w:lineRule="auto"/>
        <w:ind w:firstLine="420"/>
        <w:rPr>
          <w:rFonts w:hint="eastAsia" w:ascii="宋体" w:hAnsi="宋体" w:cs="宋体"/>
          <w:szCs w:val="21"/>
        </w:rPr>
      </w:pPr>
      <w:r>
        <w:rPr>
          <w:rFonts w:hint="eastAsia" w:ascii="宋体" w:hAnsi="宋体" w:cs="宋体"/>
          <w:szCs w:val="21"/>
        </w:rPr>
        <w:t>13.2 磋商小组将与通过资格审查和符合性审查的供应商分别进行磋商。磋商小组通过“苏采云”系统向供应商发出《磋商函》，供应商应当按照要求在“苏采云”系统提交《磋商响应函》并加盖电子公章。</w:t>
      </w:r>
    </w:p>
    <w:p w14:paraId="5C77EEE4">
      <w:pPr>
        <w:spacing w:line="360" w:lineRule="auto"/>
        <w:ind w:firstLine="420"/>
        <w:rPr>
          <w:rFonts w:hint="eastAsia" w:ascii="宋体" w:hAnsi="宋体" w:cs="宋体"/>
          <w:szCs w:val="21"/>
        </w:rPr>
      </w:pPr>
      <w:r>
        <w:rPr>
          <w:rFonts w:hint="eastAsia" w:ascii="宋体" w:hAnsi="宋体" w:cs="宋体"/>
          <w:szCs w:val="21"/>
        </w:rPr>
        <w:t>13.3 磋商过程中，磋商小组可以根据磋商文件和磋商情况实质性变动采购需求中的技术、服务要求以及合同草案条款，但不得变动磋商文件中的其他内容。实质性变动的内容，须经采购人代表确认。</w:t>
      </w:r>
    </w:p>
    <w:p w14:paraId="2BB14FE7">
      <w:pPr>
        <w:spacing w:line="360" w:lineRule="auto"/>
        <w:ind w:firstLine="420"/>
        <w:rPr>
          <w:rFonts w:hint="eastAsia" w:ascii="宋体" w:hAnsi="宋体" w:cs="宋体"/>
          <w:szCs w:val="21"/>
        </w:rPr>
      </w:pPr>
      <w:r>
        <w:rPr>
          <w:rFonts w:hint="eastAsia" w:ascii="宋体" w:hAnsi="宋体" w:cs="宋体"/>
          <w:szCs w:val="21"/>
        </w:rPr>
        <w:t>对磋商文件作出的实质性变动是磋商文件的有效组成部分，磋商小组应当及时以书面形式同时通知所有参加磋商的供应商。</w:t>
      </w:r>
    </w:p>
    <w:p w14:paraId="6BE38E19">
      <w:pPr>
        <w:spacing w:line="360" w:lineRule="auto"/>
        <w:ind w:firstLine="420"/>
        <w:rPr>
          <w:rFonts w:hint="eastAsia" w:ascii="宋体" w:hAnsi="宋体" w:cs="宋体"/>
          <w:szCs w:val="21"/>
        </w:rPr>
      </w:pPr>
      <w:r>
        <w:rPr>
          <w:rFonts w:hint="eastAsia" w:ascii="宋体" w:hAnsi="宋体" w:cs="宋体"/>
          <w:szCs w:val="21"/>
        </w:rPr>
        <w:t>13.4 如磋商文件有实质性变动的，供应商应当按照磋商文件的变动情况和磋商小组的要求在苏采云系统中重新提交响应文件，并加盖电子公章。</w:t>
      </w:r>
    </w:p>
    <w:p w14:paraId="3F37CA5F">
      <w:pPr>
        <w:spacing w:line="360" w:lineRule="auto"/>
        <w:ind w:firstLine="420"/>
        <w:rPr>
          <w:rFonts w:hint="eastAsia" w:ascii="宋体" w:hAnsi="宋体" w:cs="宋体"/>
          <w:szCs w:val="21"/>
        </w:rPr>
      </w:pPr>
      <w:r>
        <w:rPr>
          <w:rFonts w:hint="eastAsia" w:ascii="宋体" w:hAnsi="宋体" w:cs="宋体"/>
          <w:szCs w:val="21"/>
        </w:rPr>
        <w:t>13.5 磋商结束后，磋商小组将在“苏采云”系统向所有实质性响应的供应商发出《最后报价要求函》及最后报价格式表，要求所有实质性响应的供应商在规定时间内提交最后报价并加盖电子公章，提交最后报价的供应商不得少于3家。最后报价是供应商响应文件的有效组成部分，除项目扩大了供货范围，增加了采购内容、提高了技术要求外，原则上不得高于上一轮报价。符合《政府采购竞争性磋商采购方式理暂行办法》第三条第四项及《财政部关于竞争性磋商采购方式管理暂行办法有关问题的补充通知》（财库〔2015〕124号）规定情形的，提交最后报价的供应商可以为2家。</w:t>
      </w:r>
    </w:p>
    <w:p w14:paraId="3FC4C37A">
      <w:pPr>
        <w:spacing w:line="360" w:lineRule="auto"/>
        <w:ind w:firstLine="420"/>
        <w:rPr>
          <w:rFonts w:hint="eastAsia" w:ascii="宋体" w:hAnsi="宋体" w:cs="宋体"/>
          <w:szCs w:val="21"/>
        </w:rPr>
      </w:pPr>
      <w:r>
        <w:rPr>
          <w:rFonts w:hint="eastAsia" w:ascii="宋体" w:hAnsi="宋体" w:cs="宋体"/>
          <w:szCs w:val="21"/>
        </w:rPr>
        <w:t>13.6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p>
    <w:p w14:paraId="35285598">
      <w:pPr>
        <w:spacing w:line="360" w:lineRule="auto"/>
        <w:ind w:firstLine="422"/>
        <w:rPr>
          <w:rFonts w:hint="eastAsia" w:ascii="宋体" w:hAnsi="宋体" w:cs="宋体"/>
          <w:b/>
          <w:bCs/>
          <w:szCs w:val="21"/>
        </w:rPr>
      </w:pPr>
      <w:r>
        <w:rPr>
          <w:rFonts w:hint="eastAsia" w:ascii="宋体" w:hAnsi="宋体" w:cs="宋体"/>
          <w:b/>
          <w:bCs/>
          <w:szCs w:val="21"/>
        </w:rPr>
        <w:t>13.7 出现下列情形之一的响应文件按照无效处理：</w:t>
      </w:r>
    </w:p>
    <w:p w14:paraId="502DC10F">
      <w:pPr>
        <w:spacing w:line="360" w:lineRule="auto"/>
        <w:ind w:firstLine="422"/>
        <w:rPr>
          <w:rFonts w:hint="eastAsia" w:ascii="宋体" w:hAnsi="宋体" w:cs="宋体"/>
          <w:b/>
          <w:bCs/>
          <w:szCs w:val="21"/>
          <w:lang w:val="zh-CN"/>
        </w:rPr>
      </w:pPr>
      <w:r>
        <w:rPr>
          <w:rFonts w:hint="eastAsia" w:ascii="宋体" w:hAnsi="宋体" w:cs="宋体"/>
          <w:b/>
          <w:bCs/>
          <w:szCs w:val="21"/>
          <w:lang w:val="zh-CN"/>
        </w:rPr>
        <w:t>（1）</w:t>
      </w:r>
      <w:bookmarkStart w:id="21" w:name="OLE_LINK2"/>
      <w:r>
        <w:rPr>
          <w:rFonts w:hint="eastAsia" w:ascii="宋体" w:hAnsi="宋体" w:cs="宋体"/>
          <w:b/>
          <w:bCs/>
          <w:szCs w:val="21"/>
        </w:rPr>
        <w:t>响应文件所报的投标价格超过磋商文件规定的预算价、限价的</w:t>
      </w:r>
      <w:bookmarkEnd w:id="21"/>
      <w:r>
        <w:rPr>
          <w:rFonts w:hint="eastAsia" w:ascii="宋体" w:hAnsi="宋体" w:cs="宋体"/>
          <w:b/>
          <w:bCs/>
          <w:szCs w:val="21"/>
        </w:rPr>
        <w:t>；</w:t>
      </w:r>
    </w:p>
    <w:p w14:paraId="052D4FF6">
      <w:pPr>
        <w:spacing w:line="360" w:lineRule="auto"/>
        <w:ind w:firstLine="422"/>
        <w:rPr>
          <w:rFonts w:hint="eastAsia" w:ascii="宋体" w:hAnsi="宋体" w:cs="宋体"/>
          <w:b/>
          <w:bCs/>
          <w:szCs w:val="21"/>
          <w:lang w:val="zh-CN"/>
        </w:rPr>
      </w:pPr>
      <w:r>
        <w:rPr>
          <w:rFonts w:hint="eastAsia" w:ascii="宋体" w:hAnsi="宋体" w:cs="宋体"/>
          <w:b/>
          <w:bCs/>
          <w:szCs w:val="21"/>
          <w:lang w:val="zh-CN"/>
        </w:rPr>
        <w:t>（</w:t>
      </w:r>
      <w:r>
        <w:rPr>
          <w:rFonts w:hint="eastAsia" w:ascii="宋体" w:hAnsi="宋体" w:cs="宋体"/>
          <w:b/>
          <w:bCs/>
          <w:szCs w:val="21"/>
        </w:rPr>
        <w:t>2</w:t>
      </w:r>
      <w:r>
        <w:rPr>
          <w:rFonts w:hint="eastAsia" w:ascii="宋体" w:hAnsi="宋体" w:cs="宋体"/>
          <w:b/>
          <w:bCs/>
          <w:szCs w:val="21"/>
          <w:lang w:val="zh-CN"/>
        </w:rPr>
        <w:t>）未实质性响应磋商文件要求的（实质性要求是指本磋商文件中用带星号（“★”）要求）；</w:t>
      </w:r>
    </w:p>
    <w:p w14:paraId="032F6E90">
      <w:pPr>
        <w:spacing w:line="360" w:lineRule="auto"/>
        <w:ind w:firstLine="422"/>
        <w:rPr>
          <w:rFonts w:hint="eastAsia" w:ascii="宋体" w:hAnsi="宋体" w:cs="宋体"/>
          <w:b/>
          <w:bCs/>
          <w:szCs w:val="21"/>
          <w:lang w:val="zh-CN"/>
        </w:rPr>
      </w:pPr>
      <w:r>
        <w:rPr>
          <w:rFonts w:hint="eastAsia" w:ascii="宋体" w:hAnsi="宋体" w:cs="宋体"/>
          <w:b/>
          <w:bCs/>
          <w:szCs w:val="21"/>
          <w:lang w:val="zh-CN"/>
        </w:rPr>
        <w:t>（3）响应文件中已标价工程量清单与采购文件规定的暂估价、暂列金额及甲供材料价格不一致的；</w:t>
      </w:r>
    </w:p>
    <w:p w14:paraId="12DB472E">
      <w:pPr>
        <w:spacing w:line="360" w:lineRule="auto"/>
        <w:ind w:firstLine="422"/>
        <w:rPr>
          <w:rFonts w:hint="eastAsia" w:ascii="宋体" w:hAnsi="宋体" w:cs="宋体"/>
          <w:b/>
          <w:bCs/>
          <w:szCs w:val="21"/>
          <w:lang w:val="zh-CN"/>
        </w:rPr>
      </w:pPr>
      <w:r>
        <w:rPr>
          <w:rFonts w:hint="eastAsia" w:ascii="宋体" w:hAnsi="宋体" w:cs="宋体"/>
          <w:b/>
          <w:bCs/>
          <w:szCs w:val="21"/>
          <w:lang w:val="zh-CN"/>
        </w:rPr>
        <w:t>（4）响应文件中已标价工程量清单与采购文件明确列出的不可竞争费用项目或费率或计算基础不一致的；</w:t>
      </w:r>
    </w:p>
    <w:p w14:paraId="4EAB1E4C">
      <w:pPr>
        <w:spacing w:line="360" w:lineRule="auto"/>
        <w:ind w:firstLine="422"/>
        <w:rPr>
          <w:rFonts w:hint="eastAsia" w:ascii="宋体" w:hAnsi="宋体" w:cs="宋体"/>
          <w:b/>
          <w:bCs/>
          <w:szCs w:val="21"/>
          <w:lang w:val="zh-CN"/>
        </w:rPr>
      </w:pPr>
      <w:r>
        <w:rPr>
          <w:rFonts w:hint="eastAsia" w:ascii="宋体" w:hAnsi="宋体" w:cs="宋体"/>
          <w:b/>
          <w:bCs/>
          <w:szCs w:val="21"/>
          <w:lang w:val="zh-CN"/>
        </w:rPr>
        <w:t>（5）</w:t>
      </w:r>
      <w:bookmarkStart w:id="22" w:name="OLE_LINK3"/>
      <w:r>
        <w:rPr>
          <w:rFonts w:hint="eastAsia" w:ascii="宋体" w:hAnsi="宋体" w:cs="宋体"/>
          <w:b/>
          <w:bCs/>
          <w:szCs w:val="21"/>
          <w:lang w:val="zh-CN"/>
        </w:rPr>
        <w:t>响应文件中已标价工程量清单与采购文件提供的工程量清单中的项目编码、项目名称、项目特征、计量单位、工程量不一致的（措施项目增项除外）</w:t>
      </w:r>
      <w:bookmarkEnd w:id="22"/>
      <w:r>
        <w:rPr>
          <w:rFonts w:hint="eastAsia" w:ascii="宋体" w:hAnsi="宋体" w:cs="宋体"/>
          <w:b/>
          <w:bCs/>
          <w:szCs w:val="21"/>
          <w:lang w:val="zh-CN"/>
        </w:rPr>
        <w:t>；</w:t>
      </w:r>
    </w:p>
    <w:p w14:paraId="53494988">
      <w:pPr>
        <w:spacing w:line="360" w:lineRule="auto"/>
        <w:ind w:firstLine="422"/>
        <w:rPr>
          <w:rFonts w:hint="eastAsia" w:ascii="宋体" w:hAnsi="宋体" w:cs="宋体"/>
          <w:szCs w:val="21"/>
        </w:rPr>
      </w:pPr>
      <w:r>
        <w:rPr>
          <w:rFonts w:hint="eastAsia" w:ascii="宋体" w:hAnsi="宋体" w:cs="宋体"/>
          <w:b/>
          <w:bCs/>
          <w:szCs w:val="21"/>
          <w:lang w:val="zh-CN"/>
        </w:rPr>
        <w:t>（</w:t>
      </w:r>
      <w:r>
        <w:rPr>
          <w:rFonts w:hint="eastAsia" w:ascii="宋体" w:hAnsi="宋体" w:cs="宋体"/>
          <w:b/>
          <w:bCs/>
          <w:szCs w:val="21"/>
        </w:rPr>
        <w:t>6</w:t>
      </w:r>
      <w:r>
        <w:rPr>
          <w:rFonts w:hint="eastAsia" w:ascii="宋体" w:hAnsi="宋体" w:cs="宋体"/>
          <w:b/>
          <w:bCs/>
          <w:szCs w:val="21"/>
          <w:lang w:val="zh-CN"/>
        </w:rPr>
        <w:t>）不符合法律、法规和磋商文件规定的其他实质性要求的；</w:t>
      </w:r>
    </w:p>
    <w:p w14:paraId="4BD52323">
      <w:pPr>
        <w:spacing w:line="360" w:lineRule="auto"/>
        <w:ind w:firstLine="422"/>
        <w:rPr>
          <w:rFonts w:hint="eastAsia" w:ascii="宋体" w:hAnsi="宋体" w:cs="宋体"/>
          <w:b/>
          <w:bCs/>
          <w:szCs w:val="21"/>
        </w:rPr>
      </w:pPr>
      <w:r>
        <w:rPr>
          <w:rFonts w:hint="eastAsia" w:ascii="宋体" w:hAnsi="宋体" w:cs="宋体"/>
          <w:b/>
          <w:bCs/>
          <w:szCs w:val="21"/>
        </w:rPr>
        <w:t>13.8 出现下列情形之一的磋商终止：</w:t>
      </w:r>
    </w:p>
    <w:p w14:paraId="69C0B610">
      <w:pPr>
        <w:spacing w:line="360" w:lineRule="auto"/>
        <w:ind w:firstLine="420"/>
        <w:rPr>
          <w:rFonts w:hint="eastAsia" w:ascii="宋体" w:hAnsi="宋体" w:cs="宋体"/>
          <w:szCs w:val="21"/>
          <w:lang w:val="zh-CN"/>
        </w:rPr>
      </w:pPr>
      <w:r>
        <w:rPr>
          <w:rFonts w:hint="eastAsia" w:ascii="宋体" w:hAnsi="宋体" w:cs="宋体"/>
          <w:szCs w:val="21"/>
          <w:lang w:val="zh-CN"/>
        </w:rPr>
        <w:t>（1）因情况变化，不再符合规定的竞争性磋商采购方式适用情形的；</w:t>
      </w:r>
    </w:p>
    <w:p w14:paraId="516A8D92">
      <w:pPr>
        <w:spacing w:line="360" w:lineRule="auto"/>
        <w:ind w:firstLine="420"/>
        <w:rPr>
          <w:rFonts w:hint="eastAsia" w:ascii="宋体" w:hAnsi="宋体" w:cs="宋体"/>
          <w:szCs w:val="21"/>
          <w:lang w:val="zh-CN"/>
        </w:rPr>
      </w:pPr>
      <w:r>
        <w:rPr>
          <w:rFonts w:hint="eastAsia" w:ascii="宋体" w:hAnsi="宋体" w:cs="宋体"/>
          <w:szCs w:val="21"/>
          <w:lang w:val="zh-CN"/>
        </w:rPr>
        <w:t>（2）出现影响采购公正的违法、违规行为的；</w:t>
      </w:r>
    </w:p>
    <w:p w14:paraId="5D4165D9">
      <w:pPr>
        <w:spacing w:line="360" w:lineRule="auto"/>
        <w:ind w:firstLine="420"/>
        <w:rPr>
          <w:rFonts w:hint="eastAsia" w:ascii="宋体" w:hAnsi="宋体" w:cs="宋体"/>
          <w:szCs w:val="21"/>
          <w:lang w:val="zh-CN"/>
        </w:rPr>
      </w:pPr>
      <w:r>
        <w:rPr>
          <w:rFonts w:hint="eastAsia" w:ascii="宋体" w:hAnsi="宋体" w:cs="宋体"/>
          <w:szCs w:val="21"/>
          <w:lang w:val="zh-CN"/>
        </w:rPr>
        <w:t>（3）除《政府采购竞争性磋商采购方式理暂行办法》第三条第四项及《财政部关于竞争性磋商采购方式管理暂行办法有关问题的补充通知》（财库〔2015〕124号）规定情形外，在采购过程中符合要求的供应商或者报价未超过采购预算的供应商不足3家的；</w:t>
      </w:r>
    </w:p>
    <w:p w14:paraId="0FF2BF88">
      <w:pPr>
        <w:spacing w:line="360" w:lineRule="auto"/>
        <w:ind w:firstLine="420"/>
        <w:rPr>
          <w:rFonts w:hint="eastAsia" w:ascii="宋体" w:hAnsi="宋体" w:cs="宋体"/>
          <w:szCs w:val="21"/>
          <w:lang w:val="zh-CN"/>
        </w:rPr>
      </w:pPr>
      <w:r>
        <w:rPr>
          <w:rFonts w:hint="eastAsia" w:ascii="宋体" w:hAnsi="宋体" w:cs="宋体"/>
          <w:szCs w:val="21"/>
          <w:lang w:val="zh-CN"/>
        </w:rPr>
        <w:t>（4）在“苏采云”系统规定时间内成功解密电子响应文件的供应商不足3家的。</w:t>
      </w:r>
    </w:p>
    <w:p w14:paraId="7D437CF0">
      <w:pPr>
        <w:spacing w:line="360" w:lineRule="auto"/>
        <w:ind w:firstLine="422"/>
        <w:rPr>
          <w:rFonts w:hint="eastAsia" w:ascii="宋体" w:hAnsi="宋体" w:cs="宋体"/>
          <w:b/>
          <w:bCs/>
          <w:szCs w:val="21"/>
          <w:lang w:val="zh-CN"/>
        </w:rPr>
      </w:pPr>
      <w:r>
        <w:rPr>
          <w:rFonts w:hint="eastAsia" w:ascii="宋体" w:hAnsi="宋体" w:cs="宋体"/>
          <w:b/>
          <w:bCs/>
          <w:szCs w:val="21"/>
          <w:lang w:val="zh-CN"/>
        </w:rPr>
        <w:t>13.9</w:t>
      </w:r>
      <w:r>
        <w:rPr>
          <w:rFonts w:hint="eastAsia" w:ascii="宋体" w:hAnsi="宋体" w:cs="宋体"/>
          <w:b/>
          <w:bCs/>
          <w:szCs w:val="21"/>
        </w:rPr>
        <w:t xml:space="preserve"> 磋商小组</w:t>
      </w:r>
      <w:r>
        <w:rPr>
          <w:rFonts w:hint="eastAsia" w:ascii="宋体" w:hAnsi="宋体" w:cs="宋体"/>
          <w:b/>
          <w:bCs/>
          <w:szCs w:val="21"/>
          <w:lang w:val="zh-CN"/>
        </w:rPr>
        <w:t>启动异常低价</w:t>
      </w:r>
      <w:r>
        <w:rPr>
          <w:rFonts w:hint="eastAsia" w:ascii="宋体" w:hAnsi="宋体" w:cs="宋体"/>
          <w:b/>
          <w:bCs/>
          <w:szCs w:val="21"/>
        </w:rPr>
        <w:t>响应</w:t>
      </w:r>
      <w:r>
        <w:rPr>
          <w:rFonts w:hint="eastAsia" w:ascii="宋体" w:hAnsi="宋体" w:cs="宋体"/>
          <w:b/>
          <w:bCs/>
          <w:szCs w:val="21"/>
          <w:lang w:val="zh-CN"/>
        </w:rPr>
        <w:t>审查的情形和具体要求：</w:t>
      </w:r>
    </w:p>
    <w:p w14:paraId="50133970">
      <w:pPr>
        <w:spacing w:line="360" w:lineRule="auto"/>
        <w:ind w:firstLine="420"/>
        <w:rPr>
          <w:rFonts w:hint="eastAsia" w:ascii="宋体" w:hAnsi="宋体" w:cs="宋体"/>
          <w:szCs w:val="21"/>
          <w:lang w:val="zh-CN"/>
        </w:rPr>
      </w:pPr>
      <w:r>
        <w:rPr>
          <w:rFonts w:hint="eastAsia" w:ascii="宋体" w:hAnsi="宋体" w:cs="宋体"/>
          <w:szCs w:val="21"/>
        </w:rPr>
        <w:t xml:space="preserve">13.9.1 </w:t>
      </w:r>
      <w:r>
        <w:rPr>
          <w:rFonts w:hint="eastAsia" w:ascii="宋体" w:hAnsi="宋体" w:cs="宋体"/>
          <w:szCs w:val="21"/>
          <w:lang w:val="zh-CN"/>
        </w:rPr>
        <w:t>评</w:t>
      </w:r>
      <w:r>
        <w:rPr>
          <w:rFonts w:hint="eastAsia" w:ascii="宋体" w:hAnsi="宋体" w:cs="宋体"/>
          <w:szCs w:val="21"/>
        </w:rPr>
        <w:t>审</w:t>
      </w:r>
      <w:r>
        <w:rPr>
          <w:rFonts w:hint="eastAsia" w:ascii="宋体" w:hAnsi="宋体" w:cs="宋体"/>
          <w:szCs w:val="21"/>
          <w:lang w:val="zh-CN"/>
        </w:rPr>
        <w:t>过程中出现下列情形之一的，</w:t>
      </w:r>
      <w:r>
        <w:rPr>
          <w:rFonts w:hint="eastAsia" w:ascii="宋体" w:hAnsi="宋体" w:cs="宋体"/>
          <w:szCs w:val="21"/>
        </w:rPr>
        <w:t>磋商小组</w:t>
      </w:r>
      <w:r>
        <w:rPr>
          <w:rFonts w:hint="eastAsia" w:ascii="宋体" w:hAnsi="宋体" w:cs="宋体"/>
          <w:szCs w:val="21"/>
          <w:lang w:val="zh-CN"/>
        </w:rPr>
        <w:t>应当启动异常低价</w:t>
      </w:r>
      <w:r>
        <w:rPr>
          <w:rFonts w:hint="eastAsia" w:ascii="宋体" w:hAnsi="宋体" w:cs="宋体"/>
          <w:szCs w:val="21"/>
        </w:rPr>
        <w:t>响应</w:t>
      </w:r>
      <w:r>
        <w:rPr>
          <w:rFonts w:hint="eastAsia" w:ascii="宋体" w:hAnsi="宋体" w:cs="宋体"/>
          <w:szCs w:val="21"/>
          <w:lang w:val="zh-CN"/>
        </w:rPr>
        <w:t>审查程序：</w:t>
      </w:r>
    </w:p>
    <w:p w14:paraId="4696F459">
      <w:pPr>
        <w:widowControl/>
        <w:shd w:val="clear" w:color="auto" w:fill="FFFFFF"/>
        <w:spacing w:line="360" w:lineRule="auto"/>
        <w:ind w:firstLine="420"/>
        <w:jc w:val="left"/>
        <w:rPr>
          <w:rFonts w:hint="eastAsia" w:ascii="宋体" w:hAnsi="宋体" w:cs="宋体"/>
          <w:szCs w:val="21"/>
        </w:rPr>
      </w:pPr>
      <w:r>
        <w:rPr>
          <w:rFonts w:hint="eastAsia" w:ascii="宋体" w:hAnsi="宋体" w:cs="宋体"/>
          <w:szCs w:val="21"/>
        </w:rPr>
        <w:t>（1）响应报价低于全部通过符合性审查供应商响应报价平均值50%的，即响应报价＜全部通过符合性审查供应商响应报价平均值×50%；</w:t>
      </w:r>
    </w:p>
    <w:p w14:paraId="0904DEA2">
      <w:pPr>
        <w:widowControl/>
        <w:shd w:val="clear" w:color="auto" w:fill="FFFFFF"/>
        <w:spacing w:line="360" w:lineRule="auto"/>
        <w:ind w:firstLine="420"/>
        <w:jc w:val="left"/>
        <w:rPr>
          <w:rFonts w:hint="eastAsia" w:ascii="宋体" w:hAnsi="宋体" w:cs="宋体"/>
          <w:szCs w:val="21"/>
        </w:rPr>
      </w:pPr>
      <w:r>
        <w:rPr>
          <w:rFonts w:hint="eastAsia" w:ascii="宋体" w:hAnsi="宋体" w:cs="宋体"/>
          <w:szCs w:val="21"/>
        </w:rPr>
        <w:t>（2）响应报价低于通过符合性审查的次低报价供应商响应报价50%的，即响应报价＜通过符合性审查的次低报价供应商响应报价×50%；</w:t>
      </w:r>
    </w:p>
    <w:p w14:paraId="4B052858">
      <w:pPr>
        <w:widowControl/>
        <w:shd w:val="clear" w:color="auto" w:fill="FFFFFF"/>
        <w:spacing w:line="360" w:lineRule="auto"/>
        <w:ind w:firstLine="420"/>
        <w:jc w:val="left"/>
        <w:rPr>
          <w:rFonts w:hint="eastAsia" w:ascii="宋体" w:hAnsi="宋体" w:cs="宋体"/>
          <w:szCs w:val="21"/>
        </w:rPr>
      </w:pPr>
      <w:r>
        <w:rPr>
          <w:rFonts w:hint="eastAsia" w:ascii="宋体" w:hAnsi="宋体" w:cs="宋体"/>
          <w:szCs w:val="21"/>
        </w:rPr>
        <w:t>（3）响应报价低于本项目最高限价45%的，即响应报价＜本项目最高限价×45%；</w:t>
      </w:r>
    </w:p>
    <w:p w14:paraId="113D0480">
      <w:pPr>
        <w:widowControl/>
        <w:shd w:val="clear" w:color="auto" w:fill="FFFFFF"/>
        <w:spacing w:line="360" w:lineRule="auto"/>
        <w:ind w:firstLine="420"/>
        <w:jc w:val="left"/>
        <w:rPr>
          <w:rFonts w:hint="eastAsia" w:ascii="宋体" w:hAnsi="宋体" w:cs="宋体"/>
          <w:szCs w:val="21"/>
        </w:rPr>
      </w:pPr>
      <w:r>
        <w:rPr>
          <w:rFonts w:hint="eastAsia" w:ascii="宋体" w:hAnsi="宋体" w:cs="宋体"/>
          <w:szCs w:val="21"/>
        </w:rPr>
        <w:t>（4）磋商小组基于专业判断，认为供应商报价过低，有可能影响产品质量或者不能诚信履约的其他情形。</w:t>
      </w:r>
    </w:p>
    <w:p w14:paraId="69C37C42">
      <w:pPr>
        <w:widowControl/>
        <w:shd w:val="clear" w:color="auto" w:fill="FFFFFF"/>
        <w:spacing w:line="360" w:lineRule="auto"/>
        <w:ind w:firstLine="420"/>
        <w:jc w:val="left"/>
        <w:rPr>
          <w:rFonts w:hint="eastAsia" w:ascii="宋体" w:hAnsi="宋体" w:cs="宋体"/>
          <w:szCs w:val="21"/>
        </w:rPr>
      </w:pPr>
      <w:r>
        <w:rPr>
          <w:rFonts w:hint="eastAsia" w:ascii="宋体" w:hAnsi="宋体" w:cs="宋体"/>
          <w:szCs w:val="21"/>
        </w:rPr>
        <w:t>13.9.2 磋商小组启动异常低价响应审查后，属于13.9.1条第（1）项至第（4）项情形的，应当要求相关供应商在评审现场合理的时间内对响应报价作出解释，提供项目具体成本测算等与报价合理性相关的书面说明及必要的证明材料，包括但不限于原材料成本、人工成本、制造费用等，给予相关供应商的合理时间一般不少于30分钟。其中，属于13.9.1条第（3）项情形的，供应商已随响应文件一并提交相关书面说明及必要的证明材料的，在评审现场可不再重复提交。</w:t>
      </w:r>
    </w:p>
    <w:p w14:paraId="2AF82026">
      <w:pPr>
        <w:widowControl/>
        <w:shd w:val="clear" w:color="auto" w:fill="FFFFFF"/>
        <w:spacing w:line="360" w:lineRule="auto"/>
        <w:ind w:firstLine="420"/>
        <w:jc w:val="left"/>
        <w:rPr>
          <w:rFonts w:hint="eastAsia" w:ascii="宋体" w:hAnsi="宋体" w:cs="宋体"/>
          <w:b/>
          <w:bCs/>
          <w:szCs w:val="21"/>
        </w:rPr>
      </w:pPr>
      <w:r>
        <w:rPr>
          <w:rFonts w:hint="eastAsia" w:ascii="宋体" w:hAnsi="宋体" w:cs="宋体"/>
          <w:szCs w:val="21"/>
        </w:rPr>
        <w:t>13.9.3 磋商小组会依据专业经验，参考同类项目成交价格、类似产品市场价格水平、行业人工费用标准、国家有关部门指导行业协会发布的行业平均成本等情况，对报价合理性进行判断。</w:t>
      </w:r>
      <w:r>
        <w:rPr>
          <w:rFonts w:hint="eastAsia" w:ascii="宋体" w:hAnsi="宋体" w:cs="宋体"/>
          <w:b/>
          <w:bCs/>
          <w:szCs w:val="21"/>
        </w:rPr>
        <w:t>供应商不能提供书面说明、证明材料，或者提供的书面说明、证明材料不能证明其报价合理性的，磋商小组应当将其作为无效响应处理。</w:t>
      </w:r>
    </w:p>
    <w:p w14:paraId="62433D15">
      <w:pPr>
        <w:spacing w:line="360" w:lineRule="auto"/>
        <w:ind w:firstLine="420"/>
        <w:rPr>
          <w:rFonts w:hint="eastAsia" w:ascii="宋体" w:hAnsi="宋体" w:cs="宋体"/>
          <w:szCs w:val="21"/>
          <w:lang w:val="zh-CN"/>
        </w:rPr>
      </w:pPr>
      <w:r>
        <w:rPr>
          <w:rFonts w:hint="eastAsia" w:ascii="宋体" w:hAnsi="宋体" w:cs="宋体"/>
          <w:szCs w:val="21"/>
        </w:rPr>
        <w:t>13.9.4 异常低价响应审查的启动原因、审查意见和审查结果应当在评审报告中记录，并随供应商提供的相关书面说明及证明材料，以及磋商小组有关互联网浏览、查询历史一并归档。</w:t>
      </w:r>
    </w:p>
    <w:p w14:paraId="1B0BF319">
      <w:pPr>
        <w:spacing w:line="360" w:lineRule="auto"/>
        <w:ind w:firstLine="422"/>
        <w:rPr>
          <w:rFonts w:hint="eastAsia" w:ascii="宋体" w:hAnsi="宋体" w:cs="宋体"/>
          <w:b/>
          <w:szCs w:val="21"/>
          <w:lang w:val="zh-CN"/>
        </w:rPr>
      </w:pPr>
      <w:r>
        <w:rPr>
          <w:rFonts w:hint="eastAsia" w:ascii="宋体" w:hAnsi="宋体" w:cs="宋体"/>
          <w:b/>
          <w:szCs w:val="21"/>
          <w:lang w:val="zh-CN"/>
        </w:rPr>
        <w:t>14、评分方法和标准</w:t>
      </w:r>
    </w:p>
    <w:p w14:paraId="2F69CD96">
      <w:pPr>
        <w:spacing w:line="360" w:lineRule="auto"/>
        <w:ind w:firstLine="420"/>
        <w:rPr>
          <w:rFonts w:hint="eastAsia" w:ascii="宋体" w:hAnsi="宋体" w:cs="宋体"/>
          <w:szCs w:val="21"/>
        </w:rPr>
      </w:pPr>
      <w:r>
        <w:rPr>
          <w:rFonts w:hint="eastAsia" w:ascii="宋体" w:hAnsi="宋体" w:cs="宋体"/>
          <w:szCs w:val="21"/>
        </w:rPr>
        <w:t>14.1 采用综合评分法。即在最大限度地满足磋商文件实质性要求前提下，按照磋商文件中规定的各项因素进行综合评审后，以评审总得分最高的供应商作为成交候选供应商或者成交供应商的评分方法。</w:t>
      </w:r>
    </w:p>
    <w:p w14:paraId="31A2A3B1">
      <w:pPr>
        <w:spacing w:line="360" w:lineRule="auto"/>
        <w:ind w:firstLine="420"/>
        <w:rPr>
          <w:rFonts w:hint="eastAsia" w:ascii="宋体" w:hAnsi="宋体" w:cs="宋体"/>
          <w:szCs w:val="21"/>
        </w:rPr>
      </w:pPr>
      <w:r>
        <w:rPr>
          <w:rFonts w:hint="eastAsia" w:ascii="宋体" w:hAnsi="宋体" w:cs="宋体"/>
          <w:szCs w:val="21"/>
        </w:rPr>
        <w:t>14.2 综合评分的主要因素是：价格、服务、业绩等。</w:t>
      </w:r>
    </w:p>
    <w:p w14:paraId="66965079">
      <w:pPr>
        <w:spacing w:line="360" w:lineRule="auto"/>
        <w:ind w:firstLine="420"/>
        <w:rPr>
          <w:rFonts w:hint="eastAsia" w:ascii="宋体" w:hAnsi="宋体" w:cs="宋体"/>
          <w:szCs w:val="21"/>
        </w:rPr>
      </w:pPr>
      <w:r>
        <w:rPr>
          <w:rFonts w:hint="eastAsia" w:ascii="宋体" w:hAnsi="宋体" w:cs="宋体"/>
          <w:szCs w:val="21"/>
        </w:rPr>
        <w:t>14.3 评分标准详见第三章。</w:t>
      </w:r>
    </w:p>
    <w:p w14:paraId="0154B4CB">
      <w:pPr>
        <w:spacing w:line="360" w:lineRule="auto"/>
        <w:ind w:firstLine="422"/>
        <w:rPr>
          <w:rFonts w:hint="eastAsia" w:ascii="宋体" w:hAnsi="宋体" w:cs="宋体"/>
          <w:b/>
          <w:szCs w:val="21"/>
          <w:lang w:val="zh-CN"/>
        </w:rPr>
      </w:pPr>
      <w:r>
        <w:rPr>
          <w:rFonts w:hint="eastAsia" w:ascii="宋体" w:hAnsi="宋体" w:cs="宋体"/>
          <w:b/>
          <w:szCs w:val="21"/>
          <w:lang w:val="zh-CN"/>
        </w:rPr>
        <w:t>15</w:t>
      </w:r>
      <w:r>
        <w:rPr>
          <w:rFonts w:hint="eastAsia" w:ascii="宋体" w:hAnsi="宋体" w:cs="宋体"/>
          <w:b/>
          <w:szCs w:val="21"/>
        </w:rPr>
        <w:t>.</w:t>
      </w:r>
      <w:r>
        <w:rPr>
          <w:rFonts w:hint="eastAsia" w:ascii="宋体" w:hAnsi="宋体" w:cs="宋体"/>
          <w:b/>
          <w:szCs w:val="21"/>
          <w:lang w:val="zh-CN"/>
        </w:rPr>
        <w:t>确定成交供应商</w:t>
      </w:r>
    </w:p>
    <w:p w14:paraId="427B6C83">
      <w:pPr>
        <w:spacing w:line="360" w:lineRule="auto"/>
        <w:ind w:firstLine="420"/>
        <w:rPr>
          <w:rFonts w:hint="eastAsia" w:ascii="宋体" w:hAnsi="宋体" w:cs="宋体"/>
          <w:szCs w:val="21"/>
        </w:rPr>
      </w:pPr>
      <w:r>
        <w:rPr>
          <w:rFonts w:hint="eastAsia" w:ascii="宋体" w:hAnsi="宋体" w:cs="宋体"/>
          <w:szCs w:val="21"/>
        </w:rPr>
        <w:t>15.1 综合比较与评价后按照得分高低顺序对供应商进行排列。评审得分相同的，按照最后报价由低到高顺序排列。评审得分且最后报价相同的，按技术指标优劣顺序排列。磋商小组依次推荐排序前三名的供应商为成交候选人。</w:t>
      </w:r>
    </w:p>
    <w:p w14:paraId="6C2FFC0C">
      <w:pPr>
        <w:spacing w:line="360" w:lineRule="auto"/>
        <w:ind w:firstLine="420"/>
        <w:rPr>
          <w:rFonts w:hint="eastAsia" w:ascii="宋体" w:hAnsi="宋体" w:cs="宋体"/>
          <w:szCs w:val="21"/>
        </w:rPr>
      </w:pPr>
      <w:r>
        <w:rPr>
          <w:rFonts w:hint="eastAsia" w:ascii="宋体" w:hAnsi="宋体" w:cs="宋体"/>
          <w:szCs w:val="21"/>
        </w:rPr>
        <w:t>15.2 磋商小组根据磋商过程和结果编写磋商（评审）报告。</w:t>
      </w:r>
    </w:p>
    <w:p w14:paraId="2365BB07">
      <w:pPr>
        <w:spacing w:line="360" w:lineRule="auto"/>
        <w:ind w:firstLine="420"/>
        <w:rPr>
          <w:rFonts w:hint="eastAsia" w:ascii="宋体" w:hAnsi="宋体" w:cs="宋体"/>
          <w:szCs w:val="21"/>
        </w:rPr>
      </w:pPr>
      <w:r>
        <w:rPr>
          <w:rFonts w:hint="eastAsia" w:ascii="宋体" w:hAnsi="宋体" w:cs="宋体"/>
          <w:szCs w:val="21"/>
        </w:rPr>
        <w:t>15.3 采购人将按磋商小组推荐的排序确定成交供应商。</w:t>
      </w:r>
    </w:p>
    <w:p w14:paraId="2C7A3428">
      <w:pPr>
        <w:spacing w:line="360" w:lineRule="auto"/>
        <w:ind w:firstLine="420"/>
        <w:rPr>
          <w:rFonts w:hint="eastAsia" w:ascii="宋体" w:hAnsi="宋体" w:cs="宋体"/>
          <w:szCs w:val="21"/>
        </w:rPr>
      </w:pPr>
      <w:r>
        <w:rPr>
          <w:rFonts w:hint="eastAsia" w:ascii="宋体" w:hAnsi="宋体" w:cs="宋体"/>
          <w:szCs w:val="21"/>
        </w:rPr>
        <w:t xml:space="preserve">15.4 成交供应商确定之日起2个工作日内，采购人或者采购代理机构将在省级以上财政部门指定的政府采购信息发布媒体上公告成交结果，同时代理机构将向成交供应商发出《成交通知书》。成交供应商可在成交结果公告届满之日起三十日内，登录“苏采云”系统下载。    </w:t>
      </w:r>
    </w:p>
    <w:p w14:paraId="65FB7B47">
      <w:pPr>
        <w:spacing w:line="360" w:lineRule="auto"/>
        <w:ind w:firstLine="420"/>
        <w:rPr>
          <w:rFonts w:hint="eastAsia" w:ascii="宋体" w:hAnsi="宋体" w:cs="宋体"/>
          <w:szCs w:val="21"/>
        </w:rPr>
      </w:pPr>
      <w:r>
        <w:rPr>
          <w:rFonts w:hint="eastAsia" w:ascii="宋体" w:hAnsi="宋体" w:cs="宋体"/>
          <w:szCs w:val="21"/>
        </w:rPr>
        <w:t>因系统存储空间有限，成交结果公告届满之日起三十日后，“苏采云”系统不再保证提供下载《成交通知书》服务,因未及时下载而造成的不利后果由成交供应商自行承担。</w:t>
      </w:r>
    </w:p>
    <w:p w14:paraId="62F815CE">
      <w:pPr>
        <w:spacing w:line="360" w:lineRule="auto"/>
        <w:ind w:firstLine="420"/>
        <w:rPr>
          <w:rFonts w:hint="eastAsia" w:ascii="宋体" w:hAnsi="宋体" w:cs="宋体"/>
          <w:szCs w:val="21"/>
        </w:rPr>
      </w:pPr>
      <w:r>
        <w:rPr>
          <w:rFonts w:hint="eastAsia" w:ascii="宋体" w:hAnsi="宋体" w:cs="宋体"/>
          <w:szCs w:val="21"/>
        </w:rPr>
        <w:t>15.5 成交通知书对采购人和成交供应商具有同等法律效力。</w:t>
      </w:r>
    </w:p>
    <w:p w14:paraId="5AD7A67E">
      <w:pPr>
        <w:spacing w:line="360" w:lineRule="auto"/>
        <w:ind w:firstLine="420"/>
        <w:rPr>
          <w:rFonts w:hint="eastAsia" w:ascii="宋体" w:hAnsi="宋体" w:cs="宋体"/>
          <w:szCs w:val="21"/>
        </w:rPr>
      </w:pPr>
      <w:r>
        <w:rPr>
          <w:rFonts w:hint="eastAsia" w:ascii="宋体" w:hAnsi="宋体" w:cs="宋体"/>
          <w:szCs w:val="21"/>
        </w:rPr>
        <w:t>15.6 采购人与成交供应商应当在成交通知书发出之日起30日内，按照磋商文件确定的合同文本以及采购标的、规格型号、采购金额、采购数量、技术和服务要求等事项签订政府采购合同。</w:t>
      </w:r>
    </w:p>
    <w:p w14:paraId="316A0AED">
      <w:pPr>
        <w:spacing w:line="360" w:lineRule="auto"/>
        <w:ind w:firstLine="420"/>
        <w:rPr>
          <w:rFonts w:hint="eastAsia" w:ascii="宋体" w:hAnsi="宋体" w:cs="宋体"/>
          <w:szCs w:val="21"/>
        </w:rPr>
      </w:pPr>
      <w:r>
        <w:rPr>
          <w:rFonts w:hint="eastAsia" w:ascii="宋体" w:hAnsi="宋体" w:cs="宋体"/>
          <w:szCs w:val="21"/>
        </w:rPr>
        <w:t>15.7 所有响应文件不论成交与否，均不退回。</w:t>
      </w:r>
    </w:p>
    <w:p w14:paraId="2FA76401">
      <w:pPr>
        <w:spacing w:line="360" w:lineRule="auto"/>
        <w:ind w:firstLine="422"/>
        <w:rPr>
          <w:rFonts w:hint="eastAsia" w:ascii="宋体" w:hAnsi="宋体" w:cs="宋体"/>
          <w:b/>
          <w:szCs w:val="21"/>
          <w:lang w:val="zh-CN"/>
        </w:rPr>
      </w:pPr>
      <w:r>
        <w:rPr>
          <w:rFonts w:hint="eastAsia" w:ascii="宋体" w:hAnsi="宋体" w:cs="宋体"/>
          <w:b/>
          <w:szCs w:val="21"/>
          <w:lang w:val="zh-CN"/>
        </w:rPr>
        <w:t>16</w:t>
      </w:r>
      <w:r>
        <w:rPr>
          <w:rFonts w:hint="eastAsia" w:ascii="宋体" w:hAnsi="宋体" w:cs="宋体"/>
          <w:b/>
          <w:szCs w:val="21"/>
        </w:rPr>
        <w:t>.</w:t>
      </w:r>
      <w:r>
        <w:rPr>
          <w:rFonts w:hint="eastAsia" w:ascii="宋体" w:hAnsi="宋体" w:cs="宋体"/>
          <w:b/>
          <w:szCs w:val="21"/>
          <w:lang w:val="zh-CN"/>
        </w:rPr>
        <w:t>签订合同</w:t>
      </w:r>
    </w:p>
    <w:p w14:paraId="454F604A">
      <w:pPr>
        <w:spacing w:line="360" w:lineRule="auto"/>
        <w:ind w:firstLine="420"/>
        <w:rPr>
          <w:rFonts w:hint="eastAsia" w:ascii="宋体" w:hAnsi="宋体" w:cs="宋体"/>
          <w:szCs w:val="21"/>
        </w:rPr>
      </w:pPr>
      <w:r>
        <w:rPr>
          <w:rFonts w:hint="eastAsia" w:ascii="宋体" w:hAnsi="宋体" w:cs="宋体"/>
          <w:szCs w:val="21"/>
        </w:rPr>
        <w:t>16.1 成交供应商应当自成交通知书发出之日起三十日内，与采购人签订合同，所签订的合同不得对磋商文件和响应文件作实质性修改。</w:t>
      </w:r>
    </w:p>
    <w:p w14:paraId="2BB2F46A">
      <w:pPr>
        <w:spacing w:line="360" w:lineRule="auto"/>
        <w:ind w:firstLine="420"/>
        <w:rPr>
          <w:rFonts w:hint="eastAsia" w:ascii="宋体" w:hAnsi="宋体" w:cs="宋体"/>
          <w:szCs w:val="21"/>
        </w:rPr>
      </w:pPr>
      <w:r>
        <w:rPr>
          <w:rFonts w:hint="eastAsia" w:ascii="宋体" w:hAnsi="宋体" w:cs="宋体"/>
          <w:szCs w:val="21"/>
        </w:rPr>
        <w:t>16.2 采购人不得向成交供应商提出任何不合理的要求作为签订合同的条件，不得与成交供应商私下订立背离合同实质性内容的协议。</w:t>
      </w:r>
    </w:p>
    <w:p w14:paraId="40AEA219">
      <w:pPr>
        <w:spacing w:line="360" w:lineRule="auto"/>
        <w:ind w:firstLine="420"/>
        <w:rPr>
          <w:rFonts w:hint="eastAsia" w:ascii="宋体" w:hAnsi="宋体" w:cs="宋体"/>
          <w:szCs w:val="21"/>
        </w:rPr>
      </w:pPr>
      <w:r>
        <w:rPr>
          <w:rFonts w:hint="eastAsia" w:ascii="宋体" w:hAnsi="宋体" w:cs="宋体"/>
          <w:szCs w:val="21"/>
        </w:rPr>
        <w:t>16.3 成交供应商因不可抗力或者自身原因不能履行合同的，采购人可以按照《政府采购竞争性磋商采购方式管理暂行办法》第三十三条规定的原则确定其他供应商作为成交供应商并签订政府采购合同，也可以重新开展采购活动。</w:t>
      </w:r>
      <w:r>
        <w:rPr>
          <w:rFonts w:hint="eastAsia" w:ascii="宋体" w:hAnsi="宋体" w:cs="宋体"/>
          <w:b/>
          <w:bCs/>
          <w:szCs w:val="21"/>
        </w:rPr>
        <w:t>放弃或拒绝签订政府采购合同的成交供应商不得参加对该项目重新开展的采购活动</w:t>
      </w:r>
      <w:r>
        <w:rPr>
          <w:rFonts w:hint="eastAsia" w:ascii="宋体" w:hAnsi="宋体" w:cs="宋体"/>
          <w:b/>
          <w:bCs/>
          <w:szCs w:val="21"/>
          <w:lang w:eastAsia="zh-CN"/>
        </w:rPr>
        <w:t>，</w:t>
      </w:r>
      <w:r>
        <w:rPr>
          <w:rFonts w:hint="eastAsia" w:ascii="宋体" w:hAnsi="宋体" w:cs="宋体"/>
          <w:b/>
          <w:bCs/>
          <w:szCs w:val="21"/>
        </w:rPr>
        <w:t>成交供应商应向采购人支付采购人为磋商所发生的有关费用。情节严重的提请财政部门将其列入不良行为名单，在一至三年内不得参加政府采购活动，并予以通报。</w:t>
      </w:r>
    </w:p>
    <w:p w14:paraId="1D3B6278">
      <w:pPr>
        <w:spacing w:line="360" w:lineRule="auto"/>
        <w:ind w:firstLine="420"/>
        <w:rPr>
          <w:rFonts w:hint="eastAsia" w:ascii="宋体" w:hAnsi="宋体" w:cs="宋体"/>
          <w:szCs w:val="21"/>
        </w:rPr>
      </w:pPr>
      <w:r>
        <w:rPr>
          <w:rFonts w:hint="eastAsia" w:ascii="宋体" w:hAnsi="宋体" w:cs="宋体"/>
          <w:szCs w:val="21"/>
        </w:rPr>
        <w:t>16.4 成交供应商拒绝签订政府采购合同的，采购人可以按照《政府采购竞争性磋商采购方式管理暂行办法》第三十三条规定的原则确定其他供应商作为成交供应商并签订政府采购合同，也可以重新开展采购活动。</w:t>
      </w:r>
    </w:p>
    <w:p w14:paraId="7F1F86E2">
      <w:pPr>
        <w:widowControl/>
        <w:shd w:val="clear" w:color="auto" w:fill="FFFFFF"/>
        <w:tabs>
          <w:tab w:val="left" w:pos="426"/>
        </w:tabs>
        <w:spacing w:line="360" w:lineRule="auto"/>
        <w:outlineLvl w:val="1"/>
        <w:rPr>
          <w:rFonts w:hint="eastAsia" w:ascii="宋体" w:hAnsi="宋体" w:cs="宋体"/>
          <w:b/>
          <w:spacing w:val="8"/>
          <w:sz w:val="24"/>
        </w:rPr>
      </w:pPr>
      <w:r>
        <w:rPr>
          <w:rFonts w:hint="eastAsia" w:ascii="宋体" w:hAnsi="宋体" w:cs="宋体"/>
          <w:b/>
          <w:spacing w:val="8"/>
          <w:sz w:val="24"/>
        </w:rPr>
        <w:t>六、质疑和投诉</w:t>
      </w:r>
    </w:p>
    <w:p w14:paraId="6E0FA586">
      <w:pPr>
        <w:spacing w:line="360" w:lineRule="auto"/>
        <w:ind w:firstLine="422"/>
        <w:rPr>
          <w:rFonts w:hint="eastAsia" w:ascii="宋体" w:hAnsi="宋体" w:cs="宋体"/>
          <w:b/>
          <w:szCs w:val="21"/>
          <w:lang w:val="zh-CN"/>
        </w:rPr>
      </w:pPr>
      <w:r>
        <w:rPr>
          <w:rFonts w:hint="eastAsia" w:ascii="宋体" w:hAnsi="宋体" w:cs="宋体"/>
          <w:b/>
          <w:szCs w:val="21"/>
          <w:lang w:val="zh-CN"/>
        </w:rPr>
        <w:t>17</w:t>
      </w:r>
      <w:r>
        <w:rPr>
          <w:rFonts w:hint="eastAsia" w:ascii="宋体" w:hAnsi="宋体" w:cs="宋体"/>
          <w:b/>
          <w:szCs w:val="21"/>
        </w:rPr>
        <w:t>.</w:t>
      </w:r>
      <w:r>
        <w:rPr>
          <w:rFonts w:hint="eastAsia" w:ascii="宋体" w:hAnsi="宋体" w:cs="宋体"/>
          <w:b/>
          <w:szCs w:val="21"/>
          <w:lang w:val="zh-CN"/>
        </w:rPr>
        <w:t>质疑</w:t>
      </w:r>
    </w:p>
    <w:p w14:paraId="68A274D7">
      <w:pPr>
        <w:spacing w:line="360" w:lineRule="auto"/>
        <w:ind w:firstLine="420"/>
        <w:rPr>
          <w:rFonts w:hint="eastAsia" w:ascii="宋体" w:hAnsi="宋体" w:cs="宋体"/>
          <w:szCs w:val="21"/>
        </w:rPr>
      </w:pPr>
      <w:r>
        <w:rPr>
          <w:rFonts w:hint="eastAsia" w:ascii="宋体" w:hAnsi="宋体" w:cs="宋体"/>
          <w:szCs w:val="21"/>
        </w:rPr>
        <w:t>17.1 供应商认为磋商文件、磋商过程和中标、成交结果使自己的权益受到损害的，可以在知道或者应知其权益受到损害之日起七个工作日内，以书面形式向采购代理机构提出质疑。</w:t>
      </w:r>
    </w:p>
    <w:p w14:paraId="5EE26B69">
      <w:pPr>
        <w:spacing w:line="360" w:lineRule="auto"/>
        <w:ind w:firstLine="420"/>
        <w:rPr>
          <w:rFonts w:hint="eastAsia" w:ascii="宋体" w:hAnsi="宋体" w:cs="宋体"/>
          <w:szCs w:val="21"/>
        </w:rPr>
      </w:pPr>
      <w:r>
        <w:rPr>
          <w:rFonts w:hint="eastAsia" w:ascii="宋体" w:hAnsi="宋体" w:cs="宋体"/>
          <w:szCs w:val="21"/>
        </w:rPr>
        <w:t>17.2 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p>
    <w:p w14:paraId="1520ED43">
      <w:pPr>
        <w:spacing w:line="360" w:lineRule="auto"/>
        <w:ind w:firstLine="420"/>
        <w:rPr>
          <w:rFonts w:hint="eastAsia" w:ascii="宋体" w:hAnsi="宋体" w:cs="宋体"/>
          <w:szCs w:val="21"/>
        </w:rPr>
      </w:pPr>
      <w:r>
        <w:rPr>
          <w:rFonts w:hint="eastAsia" w:ascii="宋体" w:hAnsi="宋体" w:cs="宋体"/>
          <w:szCs w:val="21"/>
        </w:rPr>
        <w:t>17.3 提出质疑的供应商应当是参与所质疑项目采购活动的供应商。潜在供应商已依法获取其可质疑的采购文件的，可以对该文件提出质疑。</w:t>
      </w:r>
    </w:p>
    <w:p w14:paraId="2EFF38A2">
      <w:pPr>
        <w:spacing w:line="360" w:lineRule="auto"/>
        <w:ind w:firstLine="420"/>
        <w:rPr>
          <w:rFonts w:hint="eastAsia" w:ascii="宋体" w:hAnsi="宋体" w:cs="宋体"/>
          <w:szCs w:val="21"/>
        </w:rPr>
      </w:pPr>
      <w:r>
        <w:rPr>
          <w:rFonts w:hint="eastAsia" w:ascii="宋体" w:hAnsi="宋体" w:cs="宋体"/>
          <w:szCs w:val="21"/>
        </w:rPr>
        <w:t>17.4 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p>
    <w:p w14:paraId="2390C3C6">
      <w:pPr>
        <w:spacing w:line="360" w:lineRule="auto"/>
        <w:ind w:firstLine="420"/>
        <w:rPr>
          <w:rFonts w:hint="eastAsia" w:ascii="宋体" w:hAnsi="宋体" w:cs="宋体"/>
          <w:szCs w:val="21"/>
        </w:rPr>
      </w:pPr>
      <w:r>
        <w:rPr>
          <w:rFonts w:hint="eastAsia" w:ascii="宋体" w:hAnsi="宋体" w:cs="宋体"/>
          <w:szCs w:val="21"/>
        </w:rPr>
        <w:t>17.5 供应商质疑应当有明确的请求和必要的证明材料。供应商必须在法定质疑期内一次性提出针对同一采购程序环节的质疑。</w:t>
      </w:r>
    </w:p>
    <w:p w14:paraId="1D7B1FB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质疑文件接收信息：</w:t>
      </w:r>
    </w:p>
    <w:p w14:paraId="6A20A1C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（1）接收单位：采购代理机构</w:t>
      </w:r>
    </w:p>
    <w:p w14:paraId="0BE732A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（2）联 系 人：汪工  </w:t>
      </w:r>
    </w:p>
    <w:p w14:paraId="6F25F4F5">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（3）联系电话：025-58835827-8015</w:t>
      </w:r>
    </w:p>
    <w:p w14:paraId="29B5D3A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（4）联系邮箱：njjcco@126.com</w:t>
      </w:r>
    </w:p>
    <w:p w14:paraId="1FE73EB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（5）接收地址：南京市建邺区云龙山路89号龙湖时代1栋29楼</w:t>
      </w:r>
    </w:p>
    <w:p w14:paraId="385A774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（6）邮  编：210019</w:t>
      </w:r>
    </w:p>
    <w:p w14:paraId="26C8695C">
      <w:pPr>
        <w:spacing w:line="360" w:lineRule="auto"/>
        <w:ind w:firstLine="420"/>
        <w:rPr>
          <w:rFonts w:hint="eastAsia" w:ascii="宋体" w:hAnsi="宋体" w:cs="宋体"/>
          <w:szCs w:val="21"/>
        </w:rPr>
      </w:pPr>
      <w:r>
        <w:rPr>
          <w:rFonts w:hint="eastAsia" w:ascii="宋体" w:hAnsi="宋体" w:cs="宋体"/>
          <w:szCs w:val="21"/>
        </w:rPr>
        <w:t>17.6 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p>
    <w:p w14:paraId="21E04F9C">
      <w:pPr>
        <w:spacing w:line="360" w:lineRule="auto"/>
        <w:ind w:firstLine="420"/>
        <w:rPr>
          <w:rFonts w:hint="eastAsia" w:ascii="宋体" w:hAnsi="宋体" w:cs="宋体"/>
          <w:szCs w:val="21"/>
        </w:rPr>
      </w:pPr>
      <w:r>
        <w:rPr>
          <w:rFonts w:hint="eastAsia" w:ascii="宋体" w:hAnsi="宋体" w:cs="宋体"/>
          <w:szCs w:val="21"/>
        </w:rPr>
        <w:t>17.7 质疑函应当使用中文。相关当事人提供外文书证或者外国语视听资料的，应当附有中文译本，由翻译机构盖章或者翻译人员签名。</w:t>
      </w:r>
    </w:p>
    <w:p w14:paraId="386B1C19">
      <w:pPr>
        <w:spacing w:line="360" w:lineRule="auto"/>
        <w:ind w:firstLine="420"/>
        <w:rPr>
          <w:rFonts w:hint="eastAsia" w:ascii="宋体" w:hAnsi="宋体" w:cs="宋体"/>
          <w:szCs w:val="21"/>
        </w:rPr>
      </w:pPr>
      <w:r>
        <w:rPr>
          <w:rFonts w:hint="eastAsia" w:ascii="宋体" w:hAnsi="宋体" w:cs="宋体"/>
          <w:szCs w:val="21"/>
        </w:rPr>
        <w:t>17.8质疑函应当现场书面提交至采购代理机构联系人（详见竞争性磋商公告）处，提交时应出示有效身份证明。</w:t>
      </w:r>
    </w:p>
    <w:p w14:paraId="20BF81AF">
      <w:pPr>
        <w:spacing w:line="360" w:lineRule="auto"/>
        <w:ind w:firstLine="422"/>
        <w:rPr>
          <w:rFonts w:hint="eastAsia" w:ascii="宋体" w:hAnsi="宋体" w:cs="宋体"/>
          <w:b/>
          <w:szCs w:val="21"/>
        </w:rPr>
      </w:pPr>
      <w:r>
        <w:rPr>
          <w:rFonts w:hint="eastAsia" w:ascii="宋体" w:hAnsi="宋体" w:cs="宋体"/>
          <w:b/>
          <w:szCs w:val="21"/>
        </w:rPr>
        <w:t>18.投诉</w:t>
      </w:r>
    </w:p>
    <w:p w14:paraId="49FDEA36">
      <w:pPr>
        <w:spacing w:line="360" w:lineRule="auto"/>
        <w:ind w:firstLine="420"/>
        <w:rPr>
          <w:rFonts w:hint="eastAsia" w:ascii="宋体" w:hAnsi="宋体" w:cs="宋体"/>
          <w:szCs w:val="21"/>
        </w:rPr>
      </w:pPr>
      <w:r>
        <w:rPr>
          <w:rFonts w:hint="eastAsia" w:ascii="宋体" w:hAnsi="宋体" w:cs="宋体"/>
          <w:szCs w:val="21"/>
        </w:rPr>
        <w:t>18.1 质疑供应商对采购代理机构的答复不满意或者采购代理机构未在规定的时间内作出答复的，可以在答复期满后十五个工作日内向同级政府采购监督管理部门投诉。</w:t>
      </w:r>
    </w:p>
    <w:p w14:paraId="104ED4FB">
      <w:pPr>
        <w:spacing w:line="360" w:lineRule="auto"/>
        <w:ind w:firstLine="420"/>
        <w:rPr>
          <w:rFonts w:hint="eastAsia" w:ascii="宋体" w:hAnsi="宋体" w:cs="宋体"/>
          <w:szCs w:val="21"/>
        </w:rPr>
      </w:pPr>
      <w:r>
        <w:rPr>
          <w:rFonts w:hint="eastAsia" w:ascii="宋体" w:hAnsi="宋体" w:cs="宋体"/>
          <w:szCs w:val="21"/>
        </w:rPr>
        <w:t>18.2 供应商投诉应当有明确的请求和必要的证明材料。供应商投诉的事项不得超出已质疑事项的范围。</w:t>
      </w:r>
    </w:p>
    <w:p w14:paraId="1FDBF981">
      <w:pPr>
        <w:spacing w:line="360" w:lineRule="auto"/>
        <w:ind w:firstLine="420"/>
        <w:rPr>
          <w:rFonts w:hint="eastAsia" w:ascii="宋体" w:hAnsi="宋体" w:cs="宋体"/>
          <w:szCs w:val="21"/>
        </w:rPr>
      </w:pPr>
      <w:r>
        <w:rPr>
          <w:rFonts w:hint="eastAsia" w:ascii="宋体" w:hAnsi="宋体" w:cs="宋体"/>
          <w:szCs w:val="21"/>
        </w:rPr>
        <w:t>18.3 投诉人对政府采购监督管理部门的投诉处理决定不服或者政府采购监督管理部门逾期未作处理的，可以依法申请行政复议或者向人民法院提起行政诉讼。</w:t>
      </w:r>
    </w:p>
    <w:p w14:paraId="146F4311">
      <w:pPr>
        <w:spacing w:line="360" w:lineRule="auto"/>
        <w:ind w:firstLine="420"/>
        <w:rPr>
          <w:rFonts w:hint="eastAsia" w:ascii="宋体" w:hAnsi="宋体" w:cs="宋体"/>
          <w:szCs w:val="21"/>
        </w:rPr>
      </w:pPr>
      <w:r>
        <w:rPr>
          <w:rFonts w:hint="eastAsia" w:ascii="宋体" w:hAnsi="宋体" w:cs="宋体"/>
          <w:szCs w:val="21"/>
        </w:rPr>
        <w:t>18.4 投诉人有下列行为之一的，属于严重失信行为，由财政部门列入不良行为记录名单，禁止其一至三年内参加政府采购活动。</w:t>
      </w:r>
    </w:p>
    <w:p w14:paraId="18ECD2B2">
      <w:pPr>
        <w:spacing w:line="360" w:lineRule="auto"/>
        <w:ind w:firstLine="420"/>
        <w:rPr>
          <w:rFonts w:hint="eastAsia" w:ascii="宋体" w:hAnsi="宋体" w:cs="宋体"/>
          <w:szCs w:val="21"/>
        </w:rPr>
      </w:pPr>
      <w:r>
        <w:rPr>
          <w:rFonts w:hint="eastAsia" w:ascii="宋体" w:hAnsi="宋体" w:cs="宋体"/>
          <w:szCs w:val="21"/>
        </w:rPr>
        <w:t>（1）投诉人在全国范围12个月内三次以上投诉查无实据的；</w:t>
      </w:r>
    </w:p>
    <w:p w14:paraId="51A8739A">
      <w:pPr>
        <w:spacing w:line="360" w:lineRule="auto"/>
        <w:ind w:firstLine="420"/>
        <w:rPr>
          <w:rFonts w:hint="eastAsia" w:ascii="宋体" w:hAnsi="宋体" w:cs="宋体"/>
          <w:szCs w:val="21"/>
        </w:rPr>
      </w:pPr>
      <w:r>
        <w:rPr>
          <w:rFonts w:hint="eastAsia" w:ascii="宋体" w:hAnsi="宋体" w:cs="宋体"/>
          <w:szCs w:val="21"/>
        </w:rPr>
        <w:t>（2）采用捏造事实、提供虚假材料或者以非法手段取得证明材料等方式进行虚假、恶意投诉。</w:t>
      </w:r>
    </w:p>
    <w:p w14:paraId="463BA9C5">
      <w:pPr>
        <w:spacing w:line="360" w:lineRule="auto"/>
        <w:ind w:firstLine="420"/>
        <w:rPr>
          <w:rFonts w:hint="eastAsia" w:ascii="宋体" w:hAnsi="宋体" w:cs="宋体"/>
          <w:szCs w:val="21"/>
        </w:rPr>
      </w:pPr>
      <w:r>
        <w:rPr>
          <w:rFonts w:hint="eastAsia" w:ascii="宋体" w:hAnsi="宋体" w:cs="宋体"/>
          <w:szCs w:val="21"/>
        </w:rPr>
        <w:t>证据来源的合法性存在明显疑问，投诉人无法证明其取得方式合法的，视为以非法手段取得证明材料。</w:t>
      </w:r>
    </w:p>
    <w:p w14:paraId="5072C576">
      <w:pPr>
        <w:widowControl/>
        <w:shd w:val="clear" w:color="auto" w:fill="FFFFFF"/>
        <w:tabs>
          <w:tab w:val="left" w:pos="426"/>
        </w:tabs>
        <w:spacing w:line="360" w:lineRule="auto"/>
        <w:outlineLvl w:val="1"/>
        <w:rPr>
          <w:rFonts w:hint="eastAsia" w:ascii="宋体" w:hAnsi="宋体" w:cs="宋体"/>
          <w:b/>
          <w:spacing w:val="8"/>
          <w:sz w:val="24"/>
        </w:rPr>
      </w:pPr>
      <w:r>
        <w:rPr>
          <w:rFonts w:hint="eastAsia" w:ascii="宋体" w:hAnsi="宋体" w:cs="宋体"/>
          <w:b/>
          <w:spacing w:val="8"/>
          <w:sz w:val="24"/>
        </w:rPr>
        <w:t>七、诚实信用</w:t>
      </w:r>
    </w:p>
    <w:p w14:paraId="5D67B2A4">
      <w:pPr>
        <w:spacing w:line="360" w:lineRule="auto"/>
        <w:ind w:firstLine="422"/>
        <w:rPr>
          <w:rFonts w:hint="eastAsia" w:ascii="宋体" w:hAnsi="宋体" w:cs="宋体"/>
          <w:b/>
          <w:szCs w:val="21"/>
          <w:lang w:val="zh-CN"/>
        </w:rPr>
      </w:pPr>
      <w:r>
        <w:rPr>
          <w:rFonts w:hint="eastAsia" w:ascii="宋体" w:hAnsi="宋体" w:cs="宋体"/>
          <w:b/>
          <w:szCs w:val="21"/>
          <w:lang w:val="zh-CN"/>
        </w:rPr>
        <w:t>19</w:t>
      </w:r>
      <w:r>
        <w:rPr>
          <w:rFonts w:hint="eastAsia" w:ascii="宋体" w:hAnsi="宋体" w:cs="宋体"/>
          <w:b/>
          <w:szCs w:val="21"/>
        </w:rPr>
        <w:t>.</w:t>
      </w:r>
      <w:r>
        <w:rPr>
          <w:rFonts w:hint="eastAsia" w:ascii="宋体" w:hAnsi="宋体" w:cs="宋体"/>
          <w:b/>
          <w:szCs w:val="21"/>
          <w:lang w:val="zh-CN"/>
        </w:rPr>
        <w:t>诚实信用</w:t>
      </w:r>
    </w:p>
    <w:p w14:paraId="1AA70CC0">
      <w:pPr>
        <w:spacing w:line="360" w:lineRule="auto"/>
        <w:ind w:firstLine="420"/>
        <w:rPr>
          <w:rFonts w:hint="eastAsia" w:ascii="宋体" w:hAnsi="宋体" w:cs="宋体"/>
          <w:szCs w:val="21"/>
        </w:rPr>
      </w:pPr>
      <w:r>
        <w:rPr>
          <w:rFonts w:hint="eastAsia" w:ascii="宋体" w:hAnsi="宋体" w:cs="宋体"/>
          <w:szCs w:val="21"/>
        </w:rPr>
        <w:t>19.1 供应商之间不得相互串通报价，不得妨碍其他供应商的公平竞争，不得损害采购人和其他供应商的合法权益。</w:t>
      </w:r>
    </w:p>
    <w:p w14:paraId="1C3D2A58">
      <w:pPr>
        <w:spacing w:line="360" w:lineRule="auto"/>
        <w:ind w:firstLine="420"/>
        <w:rPr>
          <w:rFonts w:hint="eastAsia" w:ascii="宋体" w:hAnsi="宋体" w:cs="宋体"/>
          <w:szCs w:val="21"/>
        </w:rPr>
      </w:pPr>
      <w:r>
        <w:rPr>
          <w:rFonts w:hint="eastAsia" w:ascii="宋体" w:hAnsi="宋体" w:cs="宋体"/>
          <w:szCs w:val="21"/>
        </w:rPr>
        <w:t>19.2 供应商不得以向采购代理机构工作人员、磋商小组成员行贿或者采取其他不正当手段谋取成交。经查实供应商有此行为的，将在本项目发布媒体上进行公告，政府采购管理部门将供应商列入不良行为记录名单，按照《政府采购法》有关规定处理。</w:t>
      </w:r>
    </w:p>
    <w:p w14:paraId="38711FF4">
      <w:pPr>
        <w:spacing w:line="360" w:lineRule="auto"/>
        <w:ind w:firstLine="420"/>
        <w:rPr>
          <w:rFonts w:hint="eastAsia" w:ascii="宋体" w:hAnsi="宋体" w:cs="宋体"/>
          <w:szCs w:val="21"/>
        </w:rPr>
      </w:pPr>
      <w:r>
        <w:rPr>
          <w:rFonts w:hint="eastAsia" w:ascii="宋体" w:hAnsi="宋体" w:cs="宋体"/>
          <w:szCs w:val="21"/>
        </w:rPr>
        <w:t>19.3 供应商不得虚假质疑和恶意质疑，并对质疑内容的真实性承担责任。供应商或者其他利害关系人通过捏造事实、伪造证明材料等方式提出异议或投诉，阻碍采购活动正常进行的，属于严重不良行为，采购中心将提请财政部门将其列入不良行为记录名单，并依法予以处罚。</w:t>
      </w:r>
    </w:p>
    <w:p w14:paraId="1C8851AF">
      <w:pPr>
        <w:spacing w:line="360" w:lineRule="auto"/>
        <w:ind w:firstLine="420"/>
        <w:rPr>
          <w:rFonts w:hint="eastAsia" w:ascii="宋体" w:hAnsi="宋体" w:cs="宋体"/>
          <w:szCs w:val="21"/>
        </w:rPr>
      </w:pPr>
      <w:r>
        <w:rPr>
          <w:rFonts w:hint="eastAsia" w:ascii="宋体" w:hAnsi="宋体" w:cs="宋体"/>
          <w:szCs w:val="21"/>
        </w:rPr>
        <w:t>19.4 供应商不得虚假承诺，否则，按照提供虚假材料谋取成交处理。</w:t>
      </w:r>
    </w:p>
    <w:p w14:paraId="2420B3A3">
      <w:pPr>
        <w:widowControl/>
        <w:shd w:val="clear" w:color="auto" w:fill="FFFFFF"/>
        <w:tabs>
          <w:tab w:val="left" w:pos="426"/>
        </w:tabs>
        <w:spacing w:line="360" w:lineRule="auto"/>
        <w:outlineLvl w:val="1"/>
        <w:rPr>
          <w:rFonts w:hint="eastAsia" w:ascii="宋体" w:hAnsi="宋体" w:cs="宋体"/>
          <w:b/>
          <w:spacing w:val="8"/>
          <w:sz w:val="24"/>
        </w:rPr>
      </w:pPr>
      <w:r>
        <w:rPr>
          <w:rFonts w:hint="eastAsia" w:ascii="宋体" w:hAnsi="宋体" w:cs="宋体"/>
          <w:b/>
          <w:spacing w:val="8"/>
          <w:sz w:val="24"/>
        </w:rPr>
        <w:t>八、磋商费用</w:t>
      </w:r>
    </w:p>
    <w:p w14:paraId="38F5D49E">
      <w:pPr>
        <w:spacing w:line="360" w:lineRule="auto"/>
        <w:ind w:firstLine="422"/>
        <w:rPr>
          <w:rFonts w:hint="eastAsia" w:ascii="宋体" w:hAnsi="宋体" w:cs="宋体"/>
          <w:b/>
          <w:szCs w:val="21"/>
          <w:lang w:val="zh-CN"/>
        </w:rPr>
      </w:pPr>
      <w:r>
        <w:rPr>
          <w:rFonts w:hint="eastAsia" w:ascii="宋体" w:hAnsi="宋体" w:cs="宋体"/>
          <w:b/>
          <w:szCs w:val="21"/>
          <w:lang w:val="zh-CN"/>
        </w:rPr>
        <w:t>20</w:t>
      </w:r>
      <w:r>
        <w:rPr>
          <w:rFonts w:hint="eastAsia" w:ascii="宋体" w:hAnsi="宋体" w:cs="宋体"/>
          <w:b/>
          <w:szCs w:val="21"/>
        </w:rPr>
        <w:t>.</w:t>
      </w:r>
      <w:r>
        <w:rPr>
          <w:rFonts w:hint="eastAsia" w:ascii="宋体" w:hAnsi="宋体" w:cs="宋体"/>
          <w:b/>
          <w:szCs w:val="21"/>
          <w:lang w:val="zh-CN"/>
        </w:rPr>
        <w:t>磋商费用</w:t>
      </w:r>
    </w:p>
    <w:p w14:paraId="17DEC9A5">
      <w:pPr>
        <w:spacing w:line="360" w:lineRule="auto"/>
        <w:ind w:firstLine="420"/>
        <w:rPr>
          <w:rFonts w:hint="eastAsia" w:ascii="宋体" w:hAnsi="宋体" w:cs="宋体"/>
          <w:szCs w:val="21"/>
        </w:rPr>
      </w:pPr>
      <w:r>
        <w:rPr>
          <w:rFonts w:hint="eastAsia" w:ascii="宋体" w:hAnsi="宋体" w:cs="宋体"/>
          <w:szCs w:val="21"/>
        </w:rPr>
        <w:t>20.1 供应商应承担所有与准备和参加磋商有关的费用，无论采购结果如何，采购代理机构和采购人在任何情况下均无义务和责任承担这些费用。</w:t>
      </w:r>
    </w:p>
    <w:p w14:paraId="0E61FF13">
      <w:pPr>
        <w:spacing w:line="360" w:lineRule="auto"/>
        <w:ind w:firstLine="422"/>
        <w:rPr>
          <w:rFonts w:hint="eastAsia" w:ascii="宋体" w:hAnsi="宋体" w:cs="宋体"/>
          <w:b/>
          <w:szCs w:val="21"/>
        </w:rPr>
      </w:pPr>
      <w:r>
        <w:rPr>
          <w:rFonts w:hint="eastAsia" w:ascii="宋体" w:hAnsi="宋体" w:cs="宋体"/>
          <w:b/>
          <w:bCs/>
          <w:szCs w:val="21"/>
        </w:rPr>
        <w:t xml:space="preserve">20.2 </w:t>
      </w:r>
      <w:r>
        <w:rPr>
          <w:rFonts w:hint="eastAsia" w:ascii="宋体" w:hAnsi="宋体" w:cs="宋体"/>
          <w:b/>
          <w:szCs w:val="21"/>
        </w:rPr>
        <w:t>招标代理服务费：本次采购，成交供应商参照《招标代理服务收费管理暂行办法》（国家发展计划委员会“计价格【2002】1980号”）代理服务招标收费标准的60%计算收取招标代理服务费；清单编制费：本次采购，成交供应商按照苏价服2014文件（383）号文收费标准的60%计算收取清单编制服务费。</w:t>
      </w:r>
    </w:p>
    <w:p w14:paraId="2A7B5CB6">
      <w:pPr>
        <w:spacing w:line="360" w:lineRule="auto"/>
        <w:ind w:firstLine="422"/>
        <w:rPr>
          <w:rFonts w:hint="eastAsia" w:ascii="宋体" w:hAnsi="宋体" w:cs="宋体"/>
          <w:b/>
          <w:bCs/>
          <w:szCs w:val="21"/>
        </w:rPr>
      </w:pPr>
      <w:r>
        <w:rPr>
          <w:rFonts w:hint="eastAsia" w:ascii="宋体" w:hAnsi="宋体" w:cs="宋体"/>
          <w:b/>
          <w:bCs/>
          <w:szCs w:val="21"/>
        </w:rPr>
        <w:t>以上两项费用供应商在领取成交通知书前向采购代理机构支付，该费用不单独开列而应计入响应报价。</w:t>
      </w:r>
    </w:p>
    <w:p w14:paraId="1CA11E07">
      <w:pPr>
        <w:widowControl/>
        <w:shd w:val="clear" w:color="auto" w:fill="FFFFFF"/>
        <w:tabs>
          <w:tab w:val="left" w:pos="426"/>
        </w:tabs>
        <w:spacing w:line="360" w:lineRule="auto"/>
        <w:outlineLvl w:val="1"/>
        <w:rPr>
          <w:rFonts w:hint="eastAsia" w:ascii="宋体" w:hAnsi="宋体" w:cs="宋体"/>
          <w:b/>
          <w:spacing w:val="8"/>
          <w:sz w:val="24"/>
        </w:rPr>
      </w:pPr>
      <w:r>
        <w:rPr>
          <w:rFonts w:hint="eastAsia" w:ascii="宋体" w:hAnsi="宋体" w:cs="宋体"/>
          <w:b/>
          <w:spacing w:val="8"/>
          <w:sz w:val="24"/>
        </w:rPr>
        <w:t>九、其它</w:t>
      </w:r>
    </w:p>
    <w:p w14:paraId="737088CF">
      <w:pPr>
        <w:spacing w:line="360" w:lineRule="auto"/>
        <w:ind w:firstLine="422"/>
        <w:rPr>
          <w:rFonts w:hint="eastAsia" w:ascii="宋体" w:hAnsi="宋体" w:cs="宋体"/>
          <w:b/>
          <w:bCs/>
          <w:szCs w:val="21"/>
        </w:rPr>
      </w:pPr>
      <w:r>
        <w:rPr>
          <w:rFonts w:hint="eastAsia" w:ascii="宋体" w:hAnsi="宋体" w:cs="宋体"/>
          <w:b/>
          <w:bCs/>
          <w:szCs w:val="21"/>
        </w:rPr>
        <w:t>21.绿色采购</w:t>
      </w:r>
    </w:p>
    <w:p w14:paraId="70522255">
      <w:pPr>
        <w:spacing w:line="360" w:lineRule="auto"/>
        <w:ind w:firstLine="420"/>
        <w:rPr>
          <w:rFonts w:hint="eastAsia" w:ascii="宋体" w:hAnsi="宋体" w:cs="宋体"/>
          <w:szCs w:val="21"/>
        </w:rPr>
      </w:pPr>
      <w:r>
        <w:rPr>
          <w:rFonts w:hint="eastAsia" w:ascii="宋体" w:hAnsi="宋体" w:cs="宋体"/>
          <w:szCs w:val="21"/>
        </w:rPr>
        <w:t>21.1 本项目根据江苏省财政厅关于加强政府绿色采购有关事项的通知（苏财购〔2023〕65号）规定，执行绿色采购需求标准。</w:t>
      </w:r>
    </w:p>
    <w:p w14:paraId="027F5DFC">
      <w:pPr>
        <w:rPr>
          <w:rFonts w:hint="eastAsia" w:ascii="宋体" w:hAnsi="宋体" w:cs="宋体"/>
          <w:lang w:val="zh-CN"/>
        </w:rPr>
      </w:pPr>
      <w:bookmarkStart w:id="23" w:name="_Toc614"/>
    </w:p>
    <w:p w14:paraId="639650F7">
      <w:pPr>
        <w:pStyle w:val="137"/>
        <w:rPr>
          <w:rFonts w:hint="eastAsia" w:ascii="宋体" w:hAnsi="宋体" w:cs="宋体"/>
          <w:lang w:val="zh-CN"/>
        </w:rPr>
      </w:pPr>
    </w:p>
    <w:p w14:paraId="63AE1608">
      <w:pPr>
        <w:pStyle w:val="137"/>
        <w:rPr>
          <w:rFonts w:hint="eastAsia" w:ascii="宋体" w:hAnsi="宋体" w:cs="宋体"/>
          <w:lang w:val="zh-CN"/>
        </w:rPr>
      </w:pPr>
      <w:r>
        <w:rPr>
          <w:rFonts w:hint="eastAsia" w:ascii="宋体" w:hAnsi="宋体" w:cs="宋体"/>
          <w:lang w:val="zh-CN"/>
        </w:rPr>
        <w:t>第三章 评标标准</w:t>
      </w:r>
      <w:bookmarkEnd w:id="23"/>
    </w:p>
    <w:p w14:paraId="4E5B8C7E">
      <w:pPr>
        <w:spacing w:line="360" w:lineRule="auto"/>
        <w:ind w:firstLine="420"/>
        <w:rPr>
          <w:rFonts w:hint="eastAsia" w:ascii="宋体" w:hAnsi="宋体" w:cs="宋体"/>
          <w:szCs w:val="21"/>
        </w:rPr>
      </w:pPr>
      <w:r>
        <w:rPr>
          <w:rFonts w:hint="eastAsia" w:ascii="宋体" w:hAnsi="宋体" w:cs="宋体"/>
        </w:rPr>
        <w:t>本项目采用综合评分法，评分统计方法采用百分制（满分100分），将全部磋商小组成员评分直接进行算术平均，小数点后保留2位。按评审后得分由高到低顺序排列，得分相同的，按报价由低到高顺序排列，得分且报价相同的，按技术指标优劣顺序排列，由</w:t>
      </w:r>
      <w:r>
        <w:rPr>
          <w:rFonts w:hint="eastAsia" w:ascii="宋体" w:hAnsi="宋体" w:cs="宋体"/>
          <w:szCs w:val="21"/>
        </w:rPr>
        <w:t>磋商小组依次推荐排序前三名的供应商为成交候选人。</w:t>
      </w:r>
    </w:p>
    <w:p w14:paraId="02ECEDAB">
      <w:pPr>
        <w:numPr>
          <w:ilvl w:val="0"/>
          <w:numId w:val="7"/>
        </w:numPr>
        <w:spacing w:line="360" w:lineRule="auto"/>
        <w:rPr>
          <w:rFonts w:hint="eastAsia" w:ascii="宋体" w:hAnsi="宋体" w:cs="宋体"/>
          <w:b/>
          <w:szCs w:val="24"/>
        </w:rPr>
      </w:pPr>
      <w:r>
        <w:rPr>
          <w:rFonts w:hint="eastAsia" w:ascii="宋体" w:hAnsi="宋体" w:cs="宋体"/>
          <w:b/>
          <w:szCs w:val="24"/>
        </w:rPr>
        <w:t>价格部分</w:t>
      </w:r>
      <w:r>
        <w:rPr>
          <w:rFonts w:hint="eastAsia" w:ascii="宋体" w:hAnsi="宋体" w:cs="宋体"/>
          <w:b/>
          <w:szCs w:val="24"/>
          <w:lang w:eastAsia="zh-CN"/>
        </w:rPr>
        <w:t>（</w:t>
      </w:r>
      <w:r>
        <w:rPr>
          <w:rFonts w:hint="eastAsia" w:ascii="宋体" w:hAnsi="宋体" w:cs="宋体"/>
          <w:b/>
          <w:szCs w:val="24"/>
          <w:lang w:val="en-US" w:eastAsia="zh-CN"/>
        </w:rPr>
        <w:t>40</w:t>
      </w:r>
      <w:r>
        <w:rPr>
          <w:rFonts w:hint="eastAsia" w:ascii="宋体" w:hAnsi="宋体" w:cs="宋体"/>
          <w:b/>
          <w:szCs w:val="24"/>
          <w:lang w:eastAsia="zh-CN"/>
        </w:rPr>
        <w:t>）</w:t>
      </w:r>
    </w:p>
    <w:tbl>
      <w:tblPr>
        <w:tblStyle w:val="28"/>
        <w:tblW w:w="8877" w:type="dxa"/>
        <w:jc w:val="center"/>
        <w:tblLayout w:type="autofit"/>
        <w:tblCellMar>
          <w:top w:w="12" w:type="dxa"/>
          <w:left w:w="12" w:type="dxa"/>
          <w:bottom w:w="0" w:type="dxa"/>
          <w:right w:w="12" w:type="dxa"/>
        </w:tblCellMar>
      </w:tblPr>
      <w:tblGrid>
        <w:gridCol w:w="582"/>
        <w:gridCol w:w="1256"/>
        <w:gridCol w:w="6370"/>
        <w:gridCol w:w="669"/>
      </w:tblGrid>
      <w:tr w14:paraId="4DC8FD74">
        <w:tblPrEx>
          <w:tblCellMar>
            <w:top w:w="12" w:type="dxa"/>
            <w:left w:w="12" w:type="dxa"/>
            <w:bottom w:w="0" w:type="dxa"/>
            <w:right w:w="12" w:type="dxa"/>
          </w:tblCellMar>
        </w:tblPrEx>
        <w:trPr>
          <w:trHeight w:val="248" w:hRule="atLeast"/>
          <w:tblHeader/>
          <w:jc w:val="center"/>
        </w:trPr>
        <w:tc>
          <w:tcPr>
            <w:tcW w:w="582"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512F5AFD">
            <w:pPr>
              <w:widowControl/>
              <w:jc w:val="center"/>
              <w:rPr>
                <w:rFonts w:hint="eastAsia" w:ascii="宋体" w:hAnsi="宋体" w:cs="宋体"/>
                <w:b/>
                <w:bCs/>
                <w:szCs w:val="21"/>
              </w:rPr>
            </w:pPr>
            <w:r>
              <w:rPr>
                <w:rFonts w:hint="eastAsia" w:ascii="宋体" w:hAnsi="宋体" w:cs="宋体"/>
                <w:b/>
                <w:bCs/>
                <w:szCs w:val="21"/>
                <w:lang w:bidi="ar"/>
              </w:rPr>
              <w:t>序号</w:t>
            </w:r>
          </w:p>
        </w:tc>
        <w:tc>
          <w:tcPr>
            <w:tcW w:w="1256"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231A34D6">
            <w:pPr>
              <w:widowControl/>
              <w:jc w:val="center"/>
              <w:rPr>
                <w:rFonts w:hint="eastAsia" w:ascii="宋体" w:hAnsi="宋体" w:cs="宋体"/>
                <w:b/>
                <w:bCs/>
                <w:szCs w:val="21"/>
              </w:rPr>
            </w:pPr>
            <w:r>
              <w:rPr>
                <w:rFonts w:hint="eastAsia" w:ascii="宋体" w:hAnsi="宋体" w:cs="宋体"/>
                <w:b/>
                <w:bCs/>
                <w:szCs w:val="21"/>
                <w:lang w:bidi="ar"/>
              </w:rPr>
              <w:t>评审因素</w:t>
            </w:r>
          </w:p>
        </w:tc>
        <w:tc>
          <w:tcPr>
            <w:tcW w:w="6370"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65605437">
            <w:pPr>
              <w:widowControl/>
              <w:jc w:val="center"/>
              <w:rPr>
                <w:rFonts w:hint="eastAsia" w:ascii="宋体" w:hAnsi="宋体" w:cs="宋体"/>
                <w:b/>
                <w:bCs/>
                <w:szCs w:val="21"/>
              </w:rPr>
            </w:pPr>
            <w:r>
              <w:rPr>
                <w:rFonts w:hint="eastAsia" w:ascii="宋体" w:hAnsi="宋体" w:cs="宋体"/>
                <w:b/>
                <w:bCs/>
                <w:szCs w:val="21"/>
                <w:lang w:bidi="ar"/>
              </w:rPr>
              <w:t>评审细则</w:t>
            </w:r>
          </w:p>
        </w:tc>
        <w:tc>
          <w:tcPr>
            <w:tcW w:w="669"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5345565C">
            <w:pPr>
              <w:widowControl/>
              <w:jc w:val="center"/>
              <w:rPr>
                <w:rFonts w:hint="eastAsia" w:ascii="宋体" w:hAnsi="宋体" w:cs="宋体"/>
                <w:b/>
                <w:bCs/>
                <w:szCs w:val="21"/>
              </w:rPr>
            </w:pPr>
            <w:r>
              <w:rPr>
                <w:rFonts w:hint="eastAsia" w:ascii="宋体" w:hAnsi="宋体" w:cs="宋体"/>
                <w:b/>
                <w:bCs/>
                <w:szCs w:val="21"/>
                <w:lang w:bidi="ar"/>
              </w:rPr>
              <w:t>分值</w:t>
            </w:r>
          </w:p>
        </w:tc>
      </w:tr>
      <w:tr w14:paraId="2D0A0033">
        <w:tblPrEx>
          <w:tblCellMar>
            <w:top w:w="12" w:type="dxa"/>
            <w:left w:w="12" w:type="dxa"/>
            <w:bottom w:w="0" w:type="dxa"/>
            <w:right w:w="12" w:type="dxa"/>
          </w:tblCellMar>
        </w:tblPrEx>
        <w:trPr>
          <w:trHeight w:val="20" w:hRule="atLeast"/>
          <w:jc w:val="center"/>
        </w:trPr>
        <w:tc>
          <w:tcPr>
            <w:tcW w:w="582"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575884AB">
            <w:pPr>
              <w:widowControl/>
              <w:jc w:val="center"/>
              <w:rPr>
                <w:rFonts w:hint="eastAsia" w:ascii="宋体" w:hAnsi="宋体" w:cs="宋体"/>
                <w:szCs w:val="21"/>
              </w:rPr>
            </w:pPr>
            <w:r>
              <w:rPr>
                <w:rFonts w:hint="eastAsia" w:ascii="宋体" w:hAnsi="宋体" w:cs="宋体"/>
                <w:szCs w:val="21"/>
                <w:lang w:bidi="ar"/>
              </w:rPr>
              <w:t>1</w:t>
            </w:r>
          </w:p>
        </w:tc>
        <w:tc>
          <w:tcPr>
            <w:tcW w:w="1256"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276A8E3C">
            <w:pPr>
              <w:widowControl/>
              <w:jc w:val="center"/>
              <w:rPr>
                <w:rFonts w:hint="eastAsia" w:ascii="宋体" w:hAnsi="宋体" w:cs="宋体"/>
                <w:bCs/>
                <w:szCs w:val="21"/>
                <w:lang w:bidi="ar"/>
              </w:rPr>
            </w:pPr>
            <w:r>
              <w:rPr>
                <w:rFonts w:hint="eastAsia" w:ascii="宋体" w:hAnsi="宋体" w:cs="宋体"/>
                <w:bCs/>
                <w:szCs w:val="21"/>
                <w:lang w:bidi="ar"/>
              </w:rPr>
              <w:t>价格</w:t>
            </w:r>
          </w:p>
        </w:tc>
        <w:tc>
          <w:tcPr>
            <w:tcW w:w="6370"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5855963D">
            <w:pPr>
              <w:rPr>
                <w:rFonts w:hint="eastAsia" w:ascii="宋体" w:hAnsi="宋体" w:cs="宋体"/>
                <w:bCs/>
                <w:szCs w:val="21"/>
              </w:rPr>
            </w:pPr>
            <w:r>
              <w:rPr>
                <w:rFonts w:hint="eastAsia" w:ascii="宋体" w:hAnsi="宋体" w:cs="宋体"/>
                <w:bCs/>
                <w:szCs w:val="21"/>
              </w:rPr>
              <w:t>采用低价优先法计算，即</w:t>
            </w:r>
            <w:r>
              <w:rPr>
                <w:rFonts w:hint="eastAsia" w:ascii="宋体" w:hAnsi="宋体" w:cs="宋体"/>
                <w:b/>
                <w:bCs/>
                <w:szCs w:val="21"/>
              </w:rPr>
              <w:t>满足采购文件要求且响应价格最低的响应报价</w:t>
            </w:r>
            <w:r>
              <w:rPr>
                <w:rFonts w:hint="eastAsia" w:ascii="宋体" w:hAnsi="宋体" w:cs="宋体"/>
                <w:bCs/>
                <w:szCs w:val="21"/>
              </w:rPr>
              <w:t>为评标基准价，其价格分为满分。其他供应商的价格分统一按照下列公式计算：报价得分=评标基准价/响应报价×40。（小数点后保留2位）</w:t>
            </w:r>
          </w:p>
        </w:tc>
        <w:tc>
          <w:tcPr>
            <w:tcW w:w="669"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55B6D8BB">
            <w:pPr>
              <w:widowControl/>
              <w:jc w:val="center"/>
              <w:rPr>
                <w:rFonts w:hint="eastAsia" w:ascii="宋体" w:hAnsi="宋体" w:cs="宋体"/>
                <w:b/>
                <w:szCs w:val="21"/>
              </w:rPr>
            </w:pPr>
            <w:r>
              <w:rPr>
                <w:rFonts w:hint="eastAsia" w:ascii="宋体" w:hAnsi="宋体" w:cs="宋体"/>
                <w:bCs/>
                <w:szCs w:val="21"/>
                <w:lang w:bidi="ar"/>
              </w:rPr>
              <w:t>40</w:t>
            </w:r>
          </w:p>
        </w:tc>
      </w:tr>
    </w:tbl>
    <w:p w14:paraId="0DA7FADD">
      <w:pPr>
        <w:spacing w:line="360" w:lineRule="auto"/>
        <w:rPr>
          <w:rFonts w:hint="eastAsia" w:ascii="宋体" w:hAnsi="宋体" w:cs="宋体"/>
          <w:b/>
          <w:szCs w:val="24"/>
        </w:rPr>
      </w:pPr>
    </w:p>
    <w:p w14:paraId="37B24EE5">
      <w:pPr>
        <w:numPr>
          <w:ilvl w:val="0"/>
          <w:numId w:val="7"/>
        </w:numPr>
        <w:spacing w:line="360" w:lineRule="auto"/>
        <w:rPr>
          <w:rFonts w:hint="eastAsia" w:ascii="宋体" w:hAnsi="宋体" w:cs="宋体"/>
          <w:b/>
          <w:szCs w:val="24"/>
        </w:rPr>
      </w:pPr>
      <w:r>
        <w:rPr>
          <w:rFonts w:hint="eastAsia" w:ascii="宋体" w:hAnsi="宋体" w:cs="宋体"/>
          <w:b/>
          <w:szCs w:val="24"/>
        </w:rPr>
        <w:t>商务部分（23）</w:t>
      </w:r>
    </w:p>
    <w:tbl>
      <w:tblPr>
        <w:tblStyle w:val="28"/>
        <w:tblW w:w="8877" w:type="dxa"/>
        <w:jc w:val="center"/>
        <w:tblLayout w:type="autofit"/>
        <w:tblCellMar>
          <w:top w:w="12" w:type="dxa"/>
          <w:left w:w="12" w:type="dxa"/>
          <w:bottom w:w="0" w:type="dxa"/>
          <w:right w:w="12" w:type="dxa"/>
        </w:tblCellMar>
      </w:tblPr>
      <w:tblGrid>
        <w:gridCol w:w="582"/>
        <w:gridCol w:w="1389"/>
        <w:gridCol w:w="6237"/>
        <w:gridCol w:w="669"/>
      </w:tblGrid>
      <w:tr w14:paraId="63A48566">
        <w:tblPrEx>
          <w:tblCellMar>
            <w:top w:w="12" w:type="dxa"/>
            <w:left w:w="12" w:type="dxa"/>
            <w:bottom w:w="0" w:type="dxa"/>
            <w:right w:w="12" w:type="dxa"/>
          </w:tblCellMar>
        </w:tblPrEx>
        <w:trPr>
          <w:trHeight w:val="20" w:hRule="atLeast"/>
          <w:jc w:val="center"/>
        </w:trPr>
        <w:tc>
          <w:tcPr>
            <w:tcW w:w="582"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4BBE0790">
            <w:pPr>
              <w:widowControl/>
              <w:jc w:val="center"/>
              <w:rPr>
                <w:rFonts w:hint="eastAsia" w:ascii="宋体" w:hAnsi="宋体" w:cs="宋体"/>
                <w:b/>
                <w:bCs/>
                <w:szCs w:val="21"/>
              </w:rPr>
            </w:pPr>
            <w:r>
              <w:rPr>
                <w:rFonts w:hint="eastAsia" w:ascii="宋体" w:hAnsi="宋体" w:cs="宋体"/>
                <w:b/>
                <w:bCs/>
                <w:szCs w:val="21"/>
                <w:lang w:bidi="ar"/>
              </w:rPr>
              <w:t>序号</w:t>
            </w:r>
          </w:p>
        </w:tc>
        <w:tc>
          <w:tcPr>
            <w:tcW w:w="1389"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1D1203E7">
            <w:pPr>
              <w:widowControl/>
              <w:jc w:val="center"/>
              <w:rPr>
                <w:rFonts w:hint="eastAsia" w:ascii="宋体" w:hAnsi="宋体" w:cs="宋体"/>
                <w:b/>
                <w:bCs/>
                <w:szCs w:val="21"/>
              </w:rPr>
            </w:pPr>
            <w:r>
              <w:rPr>
                <w:rFonts w:hint="eastAsia" w:ascii="宋体" w:hAnsi="宋体" w:cs="宋体"/>
                <w:b/>
                <w:bCs/>
                <w:szCs w:val="21"/>
                <w:lang w:bidi="ar"/>
              </w:rPr>
              <w:t>评审因素</w:t>
            </w:r>
          </w:p>
        </w:tc>
        <w:tc>
          <w:tcPr>
            <w:tcW w:w="6237" w:type="dxa"/>
            <w:tcBorders>
              <w:top w:val="single" w:color="000000" w:sz="4" w:space="0"/>
              <w:left w:val="single" w:color="000000" w:sz="4" w:space="0"/>
              <w:bottom w:val="nil"/>
              <w:right w:val="single" w:color="000000" w:sz="4" w:space="0"/>
            </w:tcBorders>
            <w:noWrap w:val="0"/>
            <w:tcMar>
              <w:top w:w="12" w:type="dxa"/>
              <w:left w:w="12" w:type="dxa"/>
              <w:right w:w="12" w:type="dxa"/>
            </w:tcMar>
            <w:vAlign w:val="center"/>
          </w:tcPr>
          <w:p w14:paraId="2D09F56D">
            <w:pPr>
              <w:widowControl/>
              <w:jc w:val="center"/>
              <w:rPr>
                <w:rFonts w:hint="eastAsia" w:ascii="宋体" w:hAnsi="宋体" w:cs="宋体"/>
                <w:b/>
                <w:bCs/>
                <w:szCs w:val="21"/>
                <w:lang w:val="zh-CN"/>
              </w:rPr>
            </w:pPr>
            <w:r>
              <w:rPr>
                <w:rFonts w:hint="eastAsia" w:ascii="宋体" w:hAnsi="宋体" w:cs="宋体"/>
                <w:b/>
                <w:bCs/>
                <w:szCs w:val="21"/>
                <w:lang w:bidi="ar"/>
              </w:rPr>
              <w:t>评审细则</w:t>
            </w:r>
          </w:p>
        </w:tc>
        <w:tc>
          <w:tcPr>
            <w:tcW w:w="669" w:type="dxa"/>
            <w:tcBorders>
              <w:top w:val="single" w:color="000000" w:sz="4" w:space="0"/>
              <w:left w:val="single" w:color="000000" w:sz="4" w:space="0"/>
              <w:bottom w:val="nil"/>
              <w:right w:val="single" w:color="000000" w:sz="4" w:space="0"/>
            </w:tcBorders>
            <w:noWrap w:val="0"/>
            <w:tcMar>
              <w:top w:w="12" w:type="dxa"/>
              <w:left w:w="12" w:type="dxa"/>
              <w:right w:w="12" w:type="dxa"/>
            </w:tcMar>
            <w:vAlign w:val="center"/>
          </w:tcPr>
          <w:p w14:paraId="613B20DE">
            <w:pPr>
              <w:widowControl/>
              <w:jc w:val="center"/>
              <w:rPr>
                <w:rFonts w:hint="eastAsia" w:ascii="宋体" w:hAnsi="宋体" w:cs="宋体"/>
                <w:b/>
                <w:bCs/>
                <w:szCs w:val="21"/>
              </w:rPr>
            </w:pPr>
            <w:r>
              <w:rPr>
                <w:rFonts w:hint="eastAsia" w:ascii="宋体" w:hAnsi="宋体" w:cs="宋体"/>
                <w:b/>
                <w:bCs/>
                <w:szCs w:val="21"/>
                <w:lang w:bidi="ar"/>
              </w:rPr>
              <w:t>分值</w:t>
            </w:r>
          </w:p>
        </w:tc>
      </w:tr>
      <w:tr w14:paraId="56993631">
        <w:tblPrEx>
          <w:tblCellMar>
            <w:top w:w="12" w:type="dxa"/>
            <w:left w:w="12" w:type="dxa"/>
            <w:bottom w:w="0" w:type="dxa"/>
            <w:right w:w="12" w:type="dxa"/>
          </w:tblCellMar>
        </w:tblPrEx>
        <w:trPr>
          <w:trHeight w:val="20" w:hRule="atLeast"/>
          <w:jc w:val="center"/>
        </w:trPr>
        <w:tc>
          <w:tcPr>
            <w:tcW w:w="582"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325CB26B">
            <w:pPr>
              <w:jc w:val="center"/>
              <w:rPr>
                <w:rFonts w:hint="eastAsia" w:ascii="宋体" w:hAnsi="宋体" w:cs="宋体"/>
                <w:szCs w:val="21"/>
              </w:rPr>
            </w:pPr>
            <w:r>
              <w:rPr>
                <w:rFonts w:hint="eastAsia" w:ascii="宋体" w:hAnsi="宋体" w:cs="宋体"/>
                <w:szCs w:val="21"/>
              </w:rPr>
              <w:t>2</w:t>
            </w:r>
          </w:p>
        </w:tc>
        <w:tc>
          <w:tcPr>
            <w:tcW w:w="1389"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23B39F3B">
            <w:pPr>
              <w:widowControl/>
              <w:jc w:val="center"/>
              <w:rPr>
                <w:rFonts w:hint="eastAsia" w:ascii="宋体" w:hAnsi="宋体" w:cs="宋体"/>
                <w:szCs w:val="21"/>
              </w:rPr>
            </w:pPr>
            <w:r>
              <w:rPr>
                <w:rFonts w:hint="eastAsia" w:ascii="宋体" w:hAnsi="宋体" w:cs="宋体"/>
                <w:szCs w:val="21"/>
              </w:rPr>
              <w:t>项目组人员</w:t>
            </w:r>
          </w:p>
        </w:tc>
        <w:tc>
          <w:tcPr>
            <w:tcW w:w="6237" w:type="dxa"/>
            <w:tcBorders>
              <w:top w:val="single" w:color="000000" w:sz="4" w:space="0"/>
              <w:left w:val="single" w:color="000000" w:sz="4" w:space="0"/>
              <w:bottom w:val="nil"/>
              <w:right w:val="single" w:color="000000" w:sz="4" w:space="0"/>
            </w:tcBorders>
            <w:noWrap w:val="0"/>
            <w:tcMar>
              <w:top w:w="12" w:type="dxa"/>
              <w:left w:w="12" w:type="dxa"/>
              <w:right w:w="12" w:type="dxa"/>
            </w:tcMar>
            <w:vAlign w:val="center"/>
          </w:tcPr>
          <w:p w14:paraId="64EC348C">
            <w:pPr>
              <w:rPr>
                <w:rFonts w:hint="eastAsia" w:ascii="宋体" w:hAnsi="宋体" w:cs="宋体"/>
              </w:rPr>
            </w:pPr>
            <w:r>
              <w:rPr>
                <w:rFonts w:hint="eastAsia" w:ascii="宋体" w:hAnsi="宋体" w:cs="宋体"/>
              </w:rPr>
              <w:t>（1）项目负责人具有工程建设类工程师及以上职称得3分。（提供职称证书</w:t>
            </w:r>
            <w:r>
              <w:rPr>
                <w:rFonts w:hint="eastAsia" w:ascii="宋体" w:hAnsi="宋体" w:cs="宋体"/>
                <w:lang w:eastAsia="zh-CN"/>
              </w:rPr>
              <w:t>扫描件加盖电子公章</w:t>
            </w:r>
            <w:r>
              <w:rPr>
                <w:rFonts w:hint="eastAsia" w:ascii="宋体" w:hAnsi="宋体" w:cs="宋体"/>
              </w:rPr>
              <w:t>）</w:t>
            </w:r>
          </w:p>
          <w:p w14:paraId="41E7DE86">
            <w:pPr>
              <w:rPr>
                <w:rFonts w:hint="eastAsia" w:ascii="宋体" w:hAnsi="宋体" w:cs="宋体"/>
                <w:lang w:val="zh-CN"/>
              </w:rPr>
            </w:pPr>
            <w:r>
              <w:rPr>
                <w:rFonts w:hint="eastAsia" w:ascii="宋体" w:hAnsi="宋体" w:cs="宋体"/>
              </w:rPr>
              <w:t>（2）</w:t>
            </w:r>
            <w:r>
              <w:rPr>
                <w:rFonts w:hint="eastAsia" w:ascii="宋体" w:hAnsi="宋体" w:cs="宋体"/>
                <w:lang w:val="zh-CN"/>
              </w:rPr>
              <w:t>项目组</w:t>
            </w:r>
            <w:r>
              <w:rPr>
                <w:rFonts w:hint="eastAsia" w:ascii="宋体" w:hAnsi="宋体" w:cs="宋体"/>
              </w:rPr>
              <w:t>其他人员（项目负责人除外）</w:t>
            </w:r>
            <w:r>
              <w:rPr>
                <w:rFonts w:hint="eastAsia" w:ascii="宋体" w:hAnsi="宋体" w:cs="宋体"/>
                <w:lang w:val="zh-CN"/>
              </w:rPr>
              <w:t>具有包括施工员、</w:t>
            </w:r>
            <w:r>
              <w:rPr>
                <w:rFonts w:hint="eastAsia" w:ascii="宋体" w:hAnsi="宋体" w:cs="宋体"/>
              </w:rPr>
              <w:t>预算</w:t>
            </w:r>
            <w:r>
              <w:rPr>
                <w:rFonts w:hint="eastAsia" w:ascii="宋体" w:hAnsi="宋体" w:cs="宋体"/>
                <w:lang w:val="zh-CN"/>
              </w:rPr>
              <w:t>员（</w:t>
            </w:r>
            <w:r>
              <w:rPr>
                <w:rFonts w:hint="eastAsia" w:ascii="宋体" w:hAnsi="宋体" w:cs="宋体"/>
              </w:rPr>
              <w:t>二级及以上注册造价师</w:t>
            </w:r>
            <w:r>
              <w:rPr>
                <w:rFonts w:hint="eastAsia" w:ascii="宋体" w:hAnsi="宋体" w:cs="宋体"/>
                <w:lang w:val="zh-CN"/>
              </w:rPr>
              <w:t>）、安全员、质量员（质检员）具有对应的岗位证书</w:t>
            </w:r>
            <w:r>
              <w:rPr>
                <w:rFonts w:hint="eastAsia" w:ascii="宋体" w:hAnsi="宋体" w:cs="宋体"/>
              </w:rPr>
              <w:t>或注册证书</w:t>
            </w:r>
            <w:r>
              <w:rPr>
                <w:rFonts w:hint="eastAsia" w:ascii="宋体" w:hAnsi="宋体" w:cs="宋体"/>
                <w:lang w:val="zh-CN"/>
              </w:rPr>
              <w:t>，每提供一个得</w:t>
            </w:r>
            <w:r>
              <w:rPr>
                <w:rFonts w:hint="eastAsia" w:ascii="宋体" w:hAnsi="宋体" w:cs="宋体"/>
              </w:rPr>
              <w:t>2</w:t>
            </w:r>
            <w:r>
              <w:rPr>
                <w:rFonts w:hint="eastAsia" w:ascii="宋体" w:hAnsi="宋体" w:cs="宋体"/>
                <w:lang w:val="zh-CN"/>
              </w:rPr>
              <w:t>分，满分</w:t>
            </w:r>
            <w:r>
              <w:rPr>
                <w:rFonts w:hint="eastAsia" w:ascii="宋体" w:hAnsi="宋体" w:cs="宋体"/>
              </w:rPr>
              <w:t>8</w:t>
            </w:r>
            <w:r>
              <w:rPr>
                <w:rFonts w:hint="eastAsia" w:ascii="宋体" w:hAnsi="宋体" w:cs="宋体"/>
                <w:lang w:val="zh-CN"/>
              </w:rPr>
              <w:t>分，未提供不得分。</w:t>
            </w:r>
          </w:p>
          <w:p w14:paraId="50179D1D">
            <w:pPr>
              <w:rPr>
                <w:rFonts w:hint="eastAsia" w:ascii="宋体" w:hAnsi="宋体" w:cs="宋体"/>
              </w:rPr>
            </w:pPr>
            <w:r>
              <w:rPr>
                <w:rFonts w:hint="eastAsia" w:ascii="宋体" w:hAnsi="宋体" w:cs="宋体"/>
                <w:lang w:val="zh-CN"/>
              </w:rPr>
              <w:t>注：上述人员一人只计一证。（提供相关证书扫描件加盖电子公章</w:t>
            </w:r>
            <w:r>
              <w:rPr>
                <w:rFonts w:hint="eastAsia" w:ascii="宋体" w:hAnsi="宋体" w:cs="宋体"/>
              </w:rPr>
              <w:t>及供应商为其缴纳的近六个月（202</w:t>
            </w:r>
            <w:r>
              <w:rPr>
                <w:rFonts w:hint="eastAsia" w:ascii="宋体" w:hAnsi="宋体" w:cs="宋体"/>
                <w:lang w:val="en-US" w:eastAsia="zh-CN"/>
              </w:rPr>
              <w:t>6</w:t>
            </w:r>
            <w:r>
              <w:rPr>
                <w:rFonts w:hint="eastAsia" w:ascii="宋体" w:hAnsi="宋体" w:cs="宋体"/>
              </w:rPr>
              <w:t>年1月-2026年</w:t>
            </w:r>
            <w:r>
              <w:rPr>
                <w:rFonts w:hint="eastAsia" w:ascii="宋体" w:hAnsi="宋体" w:cs="宋体"/>
                <w:lang w:val="en-US" w:eastAsia="zh-CN"/>
              </w:rPr>
              <w:t>5</w:t>
            </w:r>
            <w:r>
              <w:rPr>
                <w:rFonts w:hint="eastAsia" w:ascii="宋体" w:hAnsi="宋体" w:cs="宋体"/>
              </w:rPr>
              <w:t>月）任意一个月社保证明材料</w:t>
            </w:r>
            <w:r>
              <w:rPr>
                <w:rFonts w:hint="eastAsia" w:ascii="宋体" w:hAnsi="宋体" w:cs="宋体"/>
                <w:lang w:eastAsia="zh-CN"/>
              </w:rPr>
              <w:t>扫描件</w:t>
            </w:r>
            <w:r>
              <w:rPr>
                <w:rFonts w:hint="eastAsia" w:ascii="宋体" w:hAnsi="宋体" w:cs="宋体"/>
              </w:rPr>
              <w:t>并</w:t>
            </w:r>
            <w:r>
              <w:rPr>
                <w:rFonts w:hint="eastAsia" w:ascii="宋体" w:hAnsi="宋体" w:cs="宋体"/>
                <w:lang w:eastAsia="zh-CN"/>
              </w:rPr>
              <w:t>加盖电子公章</w:t>
            </w:r>
            <w:r>
              <w:rPr>
                <w:rFonts w:hint="eastAsia" w:ascii="宋体" w:hAnsi="宋体" w:cs="宋体"/>
              </w:rPr>
              <w:t>，未提供或提供的材料不全的不得分。）</w:t>
            </w:r>
          </w:p>
        </w:tc>
        <w:tc>
          <w:tcPr>
            <w:tcW w:w="669" w:type="dxa"/>
            <w:tcBorders>
              <w:top w:val="single" w:color="000000" w:sz="4" w:space="0"/>
              <w:left w:val="single" w:color="000000" w:sz="4" w:space="0"/>
              <w:bottom w:val="nil"/>
              <w:right w:val="single" w:color="000000" w:sz="4" w:space="0"/>
            </w:tcBorders>
            <w:noWrap w:val="0"/>
            <w:tcMar>
              <w:top w:w="12" w:type="dxa"/>
              <w:left w:w="12" w:type="dxa"/>
              <w:right w:w="12" w:type="dxa"/>
            </w:tcMar>
            <w:vAlign w:val="center"/>
          </w:tcPr>
          <w:p w14:paraId="614382C8">
            <w:pPr>
              <w:jc w:val="center"/>
              <w:rPr>
                <w:rFonts w:hint="eastAsia" w:ascii="宋体" w:hAnsi="宋体" w:cs="宋体"/>
                <w:szCs w:val="21"/>
              </w:rPr>
            </w:pPr>
            <w:r>
              <w:rPr>
                <w:rFonts w:hint="eastAsia" w:ascii="宋体" w:hAnsi="宋体" w:cs="宋体"/>
                <w:szCs w:val="21"/>
              </w:rPr>
              <w:t>11</w:t>
            </w:r>
          </w:p>
        </w:tc>
      </w:tr>
      <w:tr w14:paraId="4AEE9EB6">
        <w:tblPrEx>
          <w:tblCellMar>
            <w:top w:w="12" w:type="dxa"/>
            <w:left w:w="12" w:type="dxa"/>
            <w:bottom w:w="0" w:type="dxa"/>
            <w:right w:w="12" w:type="dxa"/>
          </w:tblCellMar>
        </w:tblPrEx>
        <w:trPr>
          <w:trHeight w:val="20" w:hRule="atLeast"/>
          <w:jc w:val="center"/>
        </w:trPr>
        <w:tc>
          <w:tcPr>
            <w:tcW w:w="582"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3D1ACE63">
            <w:pPr>
              <w:jc w:val="center"/>
              <w:rPr>
                <w:rFonts w:hint="eastAsia" w:ascii="宋体" w:hAnsi="宋体" w:cs="宋体"/>
                <w:szCs w:val="21"/>
              </w:rPr>
            </w:pPr>
            <w:r>
              <w:rPr>
                <w:rFonts w:hint="eastAsia" w:ascii="宋体" w:hAnsi="宋体" w:cs="宋体"/>
                <w:szCs w:val="21"/>
              </w:rPr>
              <w:t>3</w:t>
            </w:r>
          </w:p>
        </w:tc>
        <w:tc>
          <w:tcPr>
            <w:tcW w:w="1389"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3864E614">
            <w:pPr>
              <w:jc w:val="center"/>
              <w:rPr>
                <w:rFonts w:hint="eastAsia" w:ascii="宋体" w:hAnsi="宋体" w:cs="宋体"/>
                <w:szCs w:val="21"/>
                <w:lang w:bidi="ar"/>
              </w:rPr>
            </w:pPr>
            <w:r>
              <w:rPr>
                <w:rFonts w:hint="eastAsia" w:ascii="宋体" w:hAnsi="宋体" w:cs="宋体"/>
                <w:szCs w:val="21"/>
                <w:lang w:bidi="ar"/>
              </w:rPr>
              <w:t>业绩</w:t>
            </w:r>
          </w:p>
        </w:tc>
        <w:tc>
          <w:tcPr>
            <w:tcW w:w="6237"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top"/>
          </w:tcPr>
          <w:p w14:paraId="3928EDF4">
            <w:pPr>
              <w:rPr>
                <w:rFonts w:hint="eastAsia" w:ascii="宋体" w:hAnsi="宋体" w:cs="宋体"/>
                <w:szCs w:val="21"/>
              </w:rPr>
            </w:pPr>
            <w:r>
              <w:rPr>
                <w:rFonts w:hint="eastAsia" w:ascii="宋体" w:hAnsi="宋体" w:cs="宋体"/>
                <w:szCs w:val="21"/>
              </w:rPr>
              <w:t>供应商自2023年</w:t>
            </w:r>
            <w:r>
              <w:rPr>
                <w:rFonts w:hint="eastAsia" w:ascii="宋体" w:hAnsi="宋体" w:cs="宋体"/>
                <w:szCs w:val="21"/>
                <w:lang w:val="en-US" w:eastAsia="zh-CN"/>
              </w:rPr>
              <w:t>6</w:t>
            </w:r>
            <w:r>
              <w:rPr>
                <w:rFonts w:hint="eastAsia" w:ascii="宋体" w:hAnsi="宋体" w:cs="宋体"/>
                <w:szCs w:val="21"/>
              </w:rPr>
              <w:t>月1日以来（时间以竣工验收证明时间为准）具有类似业绩，每提供一个业绩得3分，最高得12分。</w:t>
            </w:r>
            <w:r>
              <w:rPr>
                <w:rFonts w:hint="eastAsia" w:ascii="宋体" w:hAnsi="宋体" w:cs="宋体"/>
                <w:b/>
                <w:bCs/>
                <w:szCs w:val="21"/>
              </w:rPr>
              <w:t>（提供中标</w:t>
            </w:r>
            <w:r>
              <w:rPr>
                <w:rFonts w:hint="eastAsia" w:ascii="宋体" w:hAnsi="宋体" w:cs="宋体"/>
                <w:b/>
                <w:bCs/>
                <w:szCs w:val="21"/>
                <w:lang w:eastAsia="zh-CN"/>
              </w:rPr>
              <w:t>（</w:t>
            </w:r>
            <w:r>
              <w:rPr>
                <w:rFonts w:hint="eastAsia" w:ascii="宋体" w:hAnsi="宋体" w:cs="宋体"/>
                <w:b/>
                <w:bCs/>
                <w:szCs w:val="21"/>
                <w:lang w:val="en-US" w:eastAsia="zh-CN"/>
              </w:rPr>
              <w:t>成交</w:t>
            </w:r>
            <w:r>
              <w:rPr>
                <w:rFonts w:hint="eastAsia" w:ascii="宋体" w:hAnsi="宋体" w:cs="宋体"/>
                <w:b/>
                <w:bCs/>
                <w:szCs w:val="21"/>
                <w:lang w:eastAsia="zh-CN"/>
              </w:rPr>
              <w:t>）</w:t>
            </w:r>
            <w:r>
              <w:rPr>
                <w:rFonts w:hint="eastAsia" w:ascii="宋体" w:hAnsi="宋体" w:cs="宋体"/>
                <w:b/>
                <w:bCs/>
                <w:szCs w:val="21"/>
              </w:rPr>
              <w:t>通知书、合同、竣工验收证明，三者缺一不可；提供</w:t>
            </w:r>
            <w:r>
              <w:rPr>
                <w:rFonts w:hint="eastAsia" w:ascii="宋体" w:hAnsi="宋体" w:cs="宋体"/>
                <w:b/>
                <w:bCs/>
                <w:szCs w:val="21"/>
                <w:lang w:eastAsia="zh-CN"/>
              </w:rPr>
              <w:t>扫描件</w:t>
            </w:r>
            <w:r>
              <w:rPr>
                <w:rFonts w:hint="eastAsia" w:ascii="宋体" w:hAnsi="宋体" w:cs="宋体"/>
                <w:b/>
                <w:bCs/>
                <w:szCs w:val="21"/>
              </w:rPr>
              <w:t>并</w:t>
            </w:r>
            <w:r>
              <w:rPr>
                <w:rFonts w:hint="eastAsia" w:ascii="宋体" w:hAnsi="宋体" w:cs="宋体"/>
                <w:b/>
                <w:bCs/>
                <w:szCs w:val="21"/>
                <w:lang w:eastAsia="zh-CN"/>
              </w:rPr>
              <w:t>加盖电子公章</w:t>
            </w:r>
            <w:r>
              <w:rPr>
                <w:rFonts w:hint="eastAsia" w:ascii="宋体" w:hAnsi="宋体" w:cs="宋体"/>
                <w:b/>
                <w:bCs/>
                <w:szCs w:val="21"/>
              </w:rPr>
              <w:t>）</w:t>
            </w:r>
          </w:p>
        </w:tc>
        <w:tc>
          <w:tcPr>
            <w:tcW w:w="669"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73D77A35">
            <w:pPr>
              <w:widowControl/>
              <w:jc w:val="center"/>
              <w:rPr>
                <w:rFonts w:hint="eastAsia" w:ascii="宋体" w:hAnsi="宋体" w:cs="宋体"/>
                <w:szCs w:val="21"/>
                <w:lang w:bidi="ar"/>
              </w:rPr>
            </w:pPr>
            <w:r>
              <w:rPr>
                <w:rFonts w:hint="eastAsia" w:ascii="宋体" w:hAnsi="宋体" w:cs="宋体"/>
                <w:szCs w:val="21"/>
                <w:lang w:bidi="ar"/>
              </w:rPr>
              <w:t>12</w:t>
            </w:r>
          </w:p>
        </w:tc>
      </w:tr>
    </w:tbl>
    <w:p w14:paraId="3619E86B">
      <w:pPr>
        <w:spacing w:line="360" w:lineRule="auto"/>
        <w:rPr>
          <w:rFonts w:hint="eastAsia" w:ascii="宋体" w:hAnsi="宋体" w:cs="宋体"/>
          <w:b/>
          <w:szCs w:val="24"/>
        </w:rPr>
      </w:pPr>
    </w:p>
    <w:p w14:paraId="50BA94B3">
      <w:pPr>
        <w:numPr>
          <w:ilvl w:val="0"/>
          <w:numId w:val="7"/>
        </w:numPr>
        <w:spacing w:line="360" w:lineRule="auto"/>
        <w:rPr>
          <w:rFonts w:hint="eastAsia" w:ascii="宋体" w:hAnsi="宋体" w:cs="宋体"/>
          <w:b/>
          <w:szCs w:val="24"/>
        </w:rPr>
      </w:pPr>
      <w:r>
        <w:rPr>
          <w:rFonts w:hint="eastAsia" w:ascii="宋体" w:hAnsi="宋体" w:cs="宋体"/>
          <w:b/>
          <w:szCs w:val="24"/>
        </w:rPr>
        <w:t>技术部分（37分）</w:t>
      </w:r>
    </w:p>
    <w:tbl>
      <w:tblPr>
        <w:tblStyle w:val="28"/>
        <w:tblW w:w="8877" w:type="dxa"/>
        <w:jc w:val="center"/>
        <w:tblLayout w:type="autofit"/>
        <w:tblCellMar>
          <w:top w:w="12" w:type="dxa"/>
          <w:left w:w="12" w:type="dxa"/>
          <w:bottom w:w="0" w:type="dxa"/>
          <w:right w:w="12" w:type="dxa"/>
        </w:tblCellMar>
      </w:tblPr>
      <w:tblGrid>
        <w:gridCol w:w="582"/>
        <w:gridCol w:w="1256"/>
        <w:gridCol w:w="6370"/>
        <w:gridCol w:w="669"/>
      </w:tblGrid>
      <w:tr w14:paraId="756B9E3A">
        <w:tblPrEx>
          <w:tblCellMar>
            <w:top w:w="12" w:type="dxa"/>
            <w:left w:w="12" w:type="dxa"/>
            <w:bottom w:w="0" w:type="dxa"/>
            <w:right w:w="12" w:type="dxa"/>
          </w:tblCellMar>
        </w:tblPrEx>
        <w:trPr>
          <w:trHeight w:val="20" w:hRule="atLeast"/>
          <w:jc w:val="center"/>
        </w:trPr>
        <w:tc>
          <w:tcPr>
            <w:tcW w:w="582"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4063CD47">
            <w:pPr>
              <w:widowControl/>
              <w:jc w:val="center"/>
              <w:rPr>
                <w:rFonts w:hint="eastAsia" w:ascii="宋体" w:hAnsi="宋体" w:cs="宋体"/>
                <w:b/>
                <w:bCs/>
                <w:szCs w:val="21"/>
              </w:rPr>
            </w:pPr>
            <w:r>
              <w:rPr>
                <w:rFonts w:hint="eastAsia" w:ascii="宋体" w:hAnsi="宋体" w:cs="宋体"/>
                <w:b/>
                <w:bCs/>
                <w:szCs w:val="21"/>
                <w:lang w:bidi="ar"/>
              </w:rPr>
              <w:t>序号</w:t>
            </w:r>
          </w:p>
        </w:tc>
        <w:tc>
          <w:tcPr>
            <w:tcW w:w="1256"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19C75D34">
            <w:pPr>
              <w:widowControl/>
              <w:jc w:val="center"/>
              <w:rPr>
                <w:rFonts w:hint="eastAsia" w:ascii="宋体" w:hAnsi="宋体" w:cs="宋体"/>
                <w:b/>
                <w:bCs/>
                <w:szCs w:val="21"/>
              </w:rPr>
            </w:pPr>
            <w:r>
              <w:rPr>
                <w:rFonts w:hint="eastAsia" w:ascii="宋体" w:hAnsi="宋体" w:cs="宋体"/>
                <w:b/>
                <w:bCs/>
                <w:szCs w:val="21"/>
                <w:lang w:bidi="ar"/>
              </w:rPr>
              <w:t>评审因素</w:t>
            </w:r>
          </w:p>
        </w:tc>
        <w:tc>
          <w:tcPr>
            <w:tcW w:w="6370"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1AF4D0E9">
            <w:pPr>
              <w:widowControl/>
              <w:jc w:val="center"/>
              <w:rPr>
                <w:rFonts w:hint="eastAsia" w:ascii="宋体" w:hAnsi="宋体" w:cs="宋体"/>
                <w:b/>
                <w:bCs/>
                <w:szCs w:val="21"/>
                <w:lang w:val="zh-CN"/>
              </w:rPr>
            </w:pPr>
            <w:r>
              <w:rPr>
                <w:rFonts w:hint="eastAsia" w:ascii="宋体" w:hAnsi="宋体" w:cs="宋体"/>
                <w:b/>
                <w:bCs/>
                <w:szCs w:val="21"/>
                <w:lang w:bidi="ar"/>
              </w:rPr>
              <w:t>评审细则</w:t>
            </w:r>
          </w:p>
        </w:tc>
        <w:tc>
          <w:tcPr>
            <w:tcW w:w="669"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57A84B9C">
            <w:pPr>
              <w:widowControl/>
              <w:jc w:val="center"/>
              <w:rPr>
                <w:rFonts w:hint="eastAsia" w:ascii="宋体" w:hAnsi="宋体" w:cs="宋体"/>
                <w:b/>
                <w:bCs/>
                <w:szCs w:val="21"/>
              </w:rPr>
            </w:pPr>
            <w:r>
              <w:rPr>
                <w:rFonts w:hint="eastAsia" w:ascii="宋体" w:hAnsi="宋体" w:cs="宋体"/>
                <w:b/>
                <w:bCs/>
                <w:szCs w:val="21"/>
                <w:lang w:bidi="ar"/>
              </w:rPr>
              <w:t>分值</w:t>
            </w:r>
          </w:p>
        </w:tc>
      </w:tr>
      <w:tr w14:paraId="3AD4C4BD">
        <w:tblPrEx>
          <w:tblCellMar>
            <w:top w:w="12" w:type="dxa"/>
            <w:left w:w="12" w:type="dxa"/>
            <w:bottom w:w="0" w:type="dxa"/>
            <w:right w:w="12" w:type="dxa"/>
          </w:tblCellMar>
        </w:tblPrEx>
        <w:trPr>
          <w:trHeight w:val="20" w:hRule="atLeast"/>
          <w:jc w:val="center"/>
        </w:trPr>
        <w:tc>
          <w:tcPr>
            <w:tcW w:w="582"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1DD2B2EF">
            <w:pPr>
              <w:widowControl/>
              <w:jc w:val="center"/>
              <w:rPr>
                <w:rFonts w:hint="eastAsia" w:ascii="宋体" w:hAnsi="宋体" w:cs="宋体"/>
                <w:szCs w:val="21"/>
              </w:rPr>
            </w:pPr>
            <w:r>
              <w:rPr>
                <w:rFonts w:hint="eastAsia" w:ascii="宋体" w:hAnsi="宋体" w:cs="宋体"/>
                <w:szCs w:val="21"/>
                <w:lang w:bidi="ar"/>
              </w:rPr>
              <w:t>4</w:t>
            </w:r>
          </w:p>
        </w:tc>
        <w:tc>
          <w:tcPr>
            <w:tcW w:w="1256"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109338C4">
            <w:pPr>
              <w:widowControl/>
              <w:jc w:val="center"/>
              <w:rPr>
                <w:rFonts w:hint="eastAsia" w:ascii="宋体" w:hAnsi="宋体" w:cs="宋体"/>
                <w:szCs w:val="21"/>
              </w:rPr>
            </w:pPr>
            <w:r>
              <w:rPr>
                <w:rFonts w:hint="eastAsia" w:ascii="宋体" w:hAnsi="宋体" w:cs="宋体"/>
                <w:szCs w:val="21"/>
                <w:lang w:bidi="ar"/>
              </w:rPr>
              <w:t>施工总体实施方案</w:t>
            </w:r>
          </w:p>
        </w:tc>
        <w:tc>
          <w:tcPr>
            <w:tcW w:w="6370"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209DCA1D">
            <w:pPr>
              <w:rPr>
                <w:rFonts w:hint="eastAsia" w:ascii="宋体" w:hAnsi="宋体" w:cs="宋体"/>
                <w:lang w:val="zh-TW" w:eastAsia="zh-TW"/>
              </w:rPr>
            </w:pPr>
            <w:r>
              <w:rPr>
                <w:rFonts w:hint="eastAsia" w:ascii="宋体" w:hAnsi="宋体" w:cs="宋体"/>
                <w:lang w:val="zh-TW" w:eastAsia="zh-TW"/>
              </w:rPr>
              <w:t>评委根据各供应商提供的项目总体实施方案的清晰性、全面性、合理性、科学性、可行性及针对性进行评分：</w:t>
            </w:r>
          </w:p>
          <w:p w14:paraId="2313F5BF">
            <w:pPr>
              <w:rPr>
                <w:rFonts w:hint="eastAsia" w:ascii="宋体" w:hAnsi="宋体" w:cs="宋体"/>
                <w:lang w:val="zh-TW" w:eastAsia="zh-TW"/>
              </w:rPr>
            </w:pPr>
            <w:r>
              <w:rPr>
                <w:rFonts w:hint="eastAsia" w:ascii="宋体" w:hAnsi="宋体" w:cs="宋体"/>
                <w:lang w:val="zh-TW" w:eastAsia="zh-TW"/>
              </w:rPr>
              <w:t>（1）总体实施方案表述清晰完整、严谨、科学合理，针对性强、可操作性强的得8分；</w:t>
            </w:r>
          </w:p>
          <w:p w14:paraId="6F04A9BD">
            <w:pPr>
              <w:rPr>
                <w:rFonts w:hint="eastAsia" w:ascii="宋体" w:hAnsi="宋体" w:cs="宋体"/>
                <w:lang w:val="zh-TW" w:eastAsia="zh-TW"/>
              </w:rPr>
            </w:pPr>
            <w:r>
              <w:rPr>
                <w:rFonts w:hint="eastAsia" w:ascii="宋体" w:hAnsi="宋体" w:cs="宋体"/>
                <w:lang w:val="zh-TW" w:eastAsia="zh-TW"/>
              </w:rPr>
              <w:t>（2）总体实施方案表述清晰完整但不够严谨、合理，具有针对性和可操作性的得6分；</w:t>
            </w:r>
          </w:p>
          <w:p w14:paraId="6DA92C10">
            <w:pPr>
              <w:rPr>
                <w:rFonts w:hint="eastAsia" w:ascii="宋体" w:hAnsi="宋体" w:cs="宋体"/>
                <w:lang w:val="zh-TW" w:eastAsia="zh-TW"/>
              </w:rPr>
            </w:pPr>
            <w:r>
              <w:rPr>
                <w:rFonts w:hint="eastAsia" w:ascii="宋体" w:hAnsi="宋体" w:cs="宋体"/>
                <w:lang w:val="zh-TW" w:eastAsia="zh-TW"/>
              </w:rPr>
              <w:t>（3）总体实施方案表述清晰但不够完整、无针对性，可操作性一般的得4分；</w:t>
            </w:r>
          </w:p>
          <w:p w14:paraId="48C37ADB">
            <w:pPr>
              <w:rPr>
                <w:rFonts w:hint="eastAsia" w:ascii="宋体" w:hAnsi="宋体" w:cs="宋体"/>
                <w:lang w:val="zh-TW" w:eastAsia="zh-TW"/>
              </w:rPr>
            </w:pPr>
            <w:r>
              <w:rPr>
                <w:rFonts w:hint="eastAsia" w:ascii="宋体" w:hAnsi="宋体" w:cs="宋体"/>
                <w:lang w:val="zh-TW" w:eastAsia="zh-TW"/>
              </w:rPr>
              <w:t>（4）总体实施方案表述不清晰可操作性较差的得2分；</w:t>
            </w:r>
          </w:p>
          <w:p w14:paraId="4DD90249">
            <w:pPr>
              <w:rPr>
                <w:rFonts w:hint="eastAsia" w:ascii="宋体" w:hAnsi="宋体" w:cs="宋体"/>
              </w:rPr>
            </w:pPr>
            <w:r>
              <w:rPr>
                <w:rFonts w:hint="eastAsia" w:ascii="宋体" w:hAnsi="宋体" w:cs="宋体"/>
                <w:lang w:val="zh-TW" w:eastAsia="zh-TW"/>
              </w:rPr>
              <w:t>（5）未提供不得分。</w:t>
            </w:r>
          </w:p>
        </w:tc>
        <w:tc>
          <w:tcPr>
            <w:tcW w:w="669"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5E58E6D0">
            <w:pPr>
              <w:widowControl/>
              <w:jc w:val="center"/>
              <w:rPr>
                <w:rFonts w:hint="eastAsia" w:ascii="宋体" w:hAnsi="宋体" w:cs="宋体"/>
                <w:szCs w:val="21"/>
              </w:rPr>
            </w:pPr>
            <w:r>
              <w:rPr>
                <w:rFonts w:hint="eastAsia" w:ascii="宋体" w:hAnsi="宋体" w:cs="宋体"/>
                <w:szCs w:val="21"/>
              </w:rPr>
              <w:t>8</w:t>
            </w:r>
          </w:p>
        </w:tc>
      </w:tr>
      <w:tr w14:paraId="68DD4926">
        <w:tblPrEx>
          <w:tblCellMar>
            <w:top w:w="12" w:type="dxa"/>
            <w:left w:w="12" w:type="dxa"/>
            <w:bottom w:w="0" w:type="dxa"/>
            <w:right w:w="12" w:type="dxa"/>
          </w:tblCellMar>
        </w:tblPrEx>
        <w:trPr>
          <w:trHeight w:val="20" w:hRule="atLeast"/>
          <w:jc w:val="center"/>
        </w:trPr>
        <w:tc>
          <w:tcPr>
            <w:tcW w:w="582"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0A017D1C">
            <w:pPr>
              <w:widowControl/>
              <w:jc w:val="center"/>
              <w:rPr>
                <w:rFonts w:hint="eastAsia" w:ascii="宋体" w:hAnsi="宋体" w:cs="宋体"/>
                <w:szCs w:val="21"/>
              </w:rPr>
            </w:pPr>
            <w:r>
              <w:rPr>
                <w:rFonts w:hint="eastAsia" w:ascii="宋体" w:hAnsi="宋体" w:cs="宋体"/>
                <w:szCs w:val="21"/>
                <w:lang w:bidi="ar"/>
              </w:rPr>
              <w:t>5</w:t>
            </w:r>
          </w:p>
        </w:tc>
        <w:tc>
          <w:tcPr>
            <w:tcW w:w="1256"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774D1AB5">
            <w:pPr>
              <w:widowControl/>
              <w:jc w:val="center"/>
              <w:rPr>
                <w:rFonts w:hint="eastAsia" w:ascii="宋体" w:hAnsi="宋体" w:cs="宋体"/>
                <w:szCs w:val="21"/>
              </w:rPr>
            </w:pPr>
            <w:r>
              <w:rPr>
                <w:rFonts w:hint="eastAsia" w:ascii="宋体" w:hAnsi="宋体" w:cs="宋体"/>
                <w:szCs w:val="21"/>
                <w:lang w:bidi="ar"/>
              </w:rPr>
              <w:t>施工进度计划和各阶段进度的保证措施</w:t>
            </w:r>
          </w:p>
        </w:tc>
        <w:tc>
          <w:tcPr>
            <w:tcW w:w="6370"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top"/>
          </w:tcPr>
          <w:p w14:paraId="5B5D90F7">
            <w:pPr>
              <w:rPr>
                <w:rFonts w:hint="eastAsia" w:ascii="宋体" w:hAnsi="宋体" w:cs="宋体"/>
                <w:lang w:val="zh-TW" w:eastAsia="zh-TW"/>
              </w:rPr>
            </w:pPr>
            <w:r>
              <w:rPr>
                <w:rFonts w:hint="eastAsia" w:ascii="宋体" w:hAnsi="宋体" w:cs="宋体"/>
                <w:lang w:val="zh-TW" w:eastAsia="zh-TW"/>
              </w:rPr>
              <w:t>评委根据各供应商提供的项目进度计划和各阶段进度的保证措施的思路清晰、准确、完整，计划进行评分：</w:t>
            </w:r>
          </w:p>
          <w:p w14:paraId="29C6EB25">
            <w:pPr>
              <w:rPr>
                <w:rFonts w:hint="eastAsia" w:ascii="宋体" w:hAnsi="宋体" w:cs="宋体"/>
                <w:lang w:val="zh-TW" w:eastAsia="zh-TW"/>
              </w:rPr>
            </w:pPr>
            <w:r>
              <w:rPr>
                <w:rFonts w:hint="eastAsia" w:ascii="宋体" w:hAnsi="宋体" w:cs="宋体"/>
                <w:lang w:val="zh-TW" w:eastAsia="zh-TW"/>
              </w:rPr>
              <w:t>（1）进度计划安排清晰完整、严谨、科学合理，针对性强、可操作性强的得8分；</w:t>
            </w:r>
          </w:p>
          <w:p w14:paraId="73F913B6">
            <w:pPr>
              <w:rPr>
                <w:rFonts w:hint="eastAsia" w:ascii="宋体" w:hAnsi="宋体" w:cs="宋体"/>
                <w:lang w:val="zh-TW" w:eastAsia="zh-TW"/>
              </w:rPr>
            </w:pPr>
            <w:r>
              <w:rPr>
                <w:rFonts w:hint="eastAsia" w:ascii="宋体" w:hAnsi="宋体" w:cs="宋体"/>
                <w:lang w:val="zh-TW" w:eastAsia="zh-TW"/>
              </w:rPr>
              <w:t>（2）进度计划安排清晰完整但不够严谨、合理，具有针对性和可操作性的得6分；</w:t>
            </w:r>
          </w:p>
          <w:p w14:paraId="1C44F040">
            <w:pPr>
              <w:rPr>
                <w:rFonts w:hint="eastAsia" w:ascii="宋体" w:hAnsi="宋体" w:cs="宋体"/>
                <w:lang w:val="zh-TW" w:eastAsia="zh-TW"/>
              </w:rPr>
            </w:pPr>
            <w:r>
              <w:rPr>
                <w:rFonts w:hint="eastAsia" w:ascii="宋体" w:hAnsi="宋体" w:cs="宋体"/>
                <w:lang w:val="zh-TW" w:eastAsia="zh-TW"/>
              </w:rPr>
              <w:t>（3）进度计划安排清晰但不够完整、无针对性，可操作性一般的得4分；</w:t>
            </w:r>
          </w:p>
          <w:p w14:paraId="4E41D8DA">
            <w:pPr>
              <w:rPr>
                <w:rFonts w:hint="eastAsia" w:ascii="宋体" w:hAnsi="宋体" w:cs="宋体"/>
                <w:lang w:val="zh-TW" w:eastAsia="zh-TW"/>
              </w:rPr>
            </w:pPr>
            <w:r>
              <w:rPr>
                <w:rFonts w:hint="eastAsia" w:ascii="宋体" w:hAnsi="宋体" w:cs="宋体"/>
                <w:lang w:val="zh-TW" w:eastAsia="zh-TW"/>
              </w:rPr>
              <w:t>（4）进度计划安排不清晰可操作性较差的得2分；</w:t>
            </w:r>
          </w:p>
          <w:p w14:paraId="565F955D">
            <w:pPr>
              <w:rPr>
                <w:rFonts w:hint="eastAsia" w:ascii="宋体" w:hAnsi="宋体" w:cs="宋体"/>
              </w:rPr>
            </w:pPr>
            <w:r>
              <w:rPr>
                <w:rFonts w:hint="eastAsia" w:ascii="宋体" w:hAnsi="宋体" w:cs="宋体"/>
                <w:lang w:val="zh-TW" w:eastAsia="zh-TW"/>
              </w:rPr>
              <w:t>（5）未提供不得分。</w:t>
            </w:r>
          </w:p>
        </w:tc>
        <w:tc>
          <w:tcPr>
            <w:tcW w:w="669"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0986C099">
            <w:pPr>
              <w:widowControl/>
              <w:jc w:val="center"/>
              <w:rPr>
                <w:rFonts w:hint="eastAsia" w:ascii="宋体" w:hAnsi="宋体" w:cs="宋体"/>
                <w:szCs w:val="21"/>
              </w:rPr>
            </w:pPr>
            <w:r>
              <w:rPr>
                <w:rFonts w:hint="eastAsia" w:ascii="宋体" w:hAnsi="宋体" w:cs="宋体"/>
                <w:szCs w:val="21"/>
                <w:lang w:bidi="ar"/>
              </w:rPr>
              <w:t>8</w:t>
            </w:r>
          </w:p>
        </w:tc>
      </w:tr>
      <w:tr w14:paraId="7334C5C3">
        <w:tblPrEx>
          <w:tblCellMar>
            <w:top w:w="12" w:type="dxa"/>
            <w:left w:w="12" w:type="dxa"/>
            <w:bottom w:w="0" w:type="dxa"/>
            <w:right w:w="12" w:type="dxa"/>
          </w:tblCellMar>
        </w:tblPrEx>
        <w:trPr>
          <w:trHeight w:val="20" w:hRule="atLeast"/>
          <w:jc w:val="center"/>
        </w:trPr>
        <w:tc>
          <w:tcPr>
            <w:tcW w:w="582"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4A3B7E19">
            <w:pPr>
              <w:widowControl/>
              <w:jc w:val="center"/>
              <w:rPr>
                <w:rFonts w:hint="eastAsia" w:ascii="宋体" w:hAnsi="宋体" w:cs="宋体"/>
                <w:szCs w:val="21"/>
              </w:rPr>
            </w:pPr>
            <w:r>
              <w:rPr>
                <w:rFonts w:hint="eastAsia" w:ascii="宋体" w:hAnsi="宋体" w:cs="宋体"/>
                <w:szCs w:val="21"/>
                <w:lang w:bidi="ar"/>
              </w:rPr>
              <w:t>6</w:t>
            </w:r>
          </w:p>
        </w:tc>
        <w:tc>
          <w:tcPr>
            <w:tcW w:w="1256"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13D77A8E">
            <w:pPr>
              <w:widowControl/>
              <w:jc w:val="center"/>
              <w:rPr>
                <w:rFonts w:hint="eastAsia" w:ascii="宋体" w:hAnsi="宋体" w:cs="宋体"/>
                <w:szCs w:val="21"/>
                <w:lang w:bidi="ar"/>
              </w:rPr>
            </w:pPr>
          </w:p>
          <w:p w14:paraId="4DD78E87">
            <w:pPr>
              <w:widowControl/>
              <w:jc w:val="center"/>
              <w:rPr>
                <w:rFonts w:hint="eastAsia" w:ascii="宋体" w:hAnsi="宋体" w:cs="宋体"/>
                <w:szCs w:val="21"/>
                <w:lang w:bidi="ar"/>
              </w:rPr>
            </w:pPr>
            <w:r>
              <w:rPr>
                <w:rFonts w:hint="eastAsia" w:ascii="宋体" w:hAnsi="宋体" w:cs="宋体"/>
                <w:szCs w:val="21"/>
                <w:lang w:bidi="ar"/>
              </w:rPr>
              <w:t>安全、文明施工措施</w:t>
            </w:r>
          </w:p>
          <w:p w14:paraId="18FD70A3">
            <w:pPr>
              <w:widowControl/>
              <w:jc w:val="center"/>
              <w:rPr>
                <w:rFonts w:hint="eastAsia" w:ascii="宋体" w:hAnsi="宋体" w:cs="宋体"/>
                <w:szCs w:val="21"/>
              </w:rPr>
            </w:pPr>
          </w:p>
        </w:tc>
        <w:tc>
          <w:tcPr>
            <w:tcW w:w="6370"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top"/>
          </w:tcPr>
          <w:p w14:paraId="3ACE68C4">
            <w:pPr>
              <w:rPr>
                <w:rFonts w:hint="eastAsia" w:ascii="宋体" w:hAnsi="宋体" w:cs="宋体"/>
                <w:lang w:val="zh-TW" w:eastAsia="zh-TW"/>
              </w:rPr>
            </w:pPr>
            <w:r>
              <w:rPr>
                <w:rFonts w:hint="eastAsia" w:ascii="宋体" w:hAnsi="宋体" w:cs="宋体"/>
                <w:lang w:val="zh-TW" w:eastAsia="zh-TW"/>
              </w:rPr>
              <w:t>评委根据供应商提供的针对本项目安全文明措施的规范性、全面性、合理性、针对性、具体性、可靠性</w:t>
            </w:r>
            <w:r>
              <w:rPr>
                <w:rFonts w:hint="eastAsia" w:ascii="宋体" w:hAnsi="宋体" w:cs="宋体"/>
                <w:lang w:val="zh-TW"/>
              </w:rPr>
              <w:t>及</w:t>
            </w:r>
            <w:r>
              <w:rPr>
                <w:rFonts w:hint="eastAsia" w:ascii="宋体" w:hAnsi="宋体" w:cs="宋体"/>
                <w:lang w:val="zh-TW" w:eastAsia="zh-TW"/>
              </w:rPr>
              <w:t>操作规程科学性进行评分：</w:t>
            </w:r>
          </w:p>
          <w:p w14:paraId="08700088">
            <w:pPr>
              <w:rPr>
                <w:rFonts w:hint="eastAsia" w:ascii="宋体" w:hAnsi="宋体" w:cs="宋体"/>
                <w:lang w:val="zh-TW" w:eastAsia="zh-TW"/>
              </w:rPr>
            </w:pPr>
            <w:r>
              <w:rPr>
                <w:rFonts w:hint="eastAsia" w:ascii="宋体" w:hAnsi="宋体" w:cs="宋体"/>
                <w:lang w:val="zh-TW" w:eastAsia="zh-TW"/>
              </w:rPr>
              <w:t>（1）安全文明措施表述清晰完整、严谨、科学合理，针对性强、可操作性强的得</w:t>
            </w:r>
            <w:r>
              <w:rPr>
                <w:rFonts w:hint="eastAsia" w:ascii="宋体" w:hAnsi="宋体" w:cs="宋体"/>
              </w:rPr>
              <w:t>7</w:t>
            </w:r>
            <w:r>
              <w:rPr>
                <w:rFonts w:hint="eastAsia" w:ascii="宋体" w:hAnsi="宋体" w:cs="宋体"/>
                <w:lang w:val="zh-TW" w:eastAsia="zh-TW"/>
              </w:rPr>
              <w:t>分；</w:t>
            </w:r>
          </w:p>
          <w:p w14:paraId="71A0F0D6">
            <w:pPr>
              <w:rPr>
                <w:rFonts w:hint="eastAsia" w:ascii="宋体" w:hAnsi="宋体" w:cs="宋体"/>
                <w:lang w:val="zh-TW" w:eastAsia="zh-TW"/>
              </w:rPr>
            </w:pPr>
            <w:r>
              <w:rPr>
                <w:rFonts w:hint="eastAsia" w:ascii="宋体" w:hAnsi="宋体" w:cs="宋体"/>
                <w:lang w:val="zh-TW" w:eastAsia="zh-TW"/>
              </w:rPr>
              <w:t>（2）安全文明措施表述清晰完整但不够严谨、合理，具有针对性和可操作性的得</w:t>
            </w:r>
            <w:r>
              <w:rPr>
                <w:rFonts w:hint="eastAsia" w:ascii="宋体" w:hAnsi="宋体" w:cs="宋体"/>
              </w:rPr>
              <w:t>5</w:t>
            </w:r>
            <w:r>
              <w:rPr>
                <w:rFonts w:hint="eastAsia" w:ascii="宋体" w:hAnsi="宋体" w:cs="宋体"/>
                <w:lang w:val="zh-TW" w:eastAsia="zh-TW"/>
              </w:rPr>
              <w:t>分；</w:t>
            </w:r>
          </w:p>
          <w:p w14:paraId="5BED8D19">
            <w:pPr>
              <w:rPr>
                <w:rFonts w:hint="eastAsia" w:ascii="宋体" w:hAnsi="宋体" w:cs="宋体"/>
                <w:lang w:val="zh-TW" w:eastAsia="zh-TW"/>
              </w:rPr>
            </w:pPr>
            <w:r>
              <w:rPr>
                <w:rFonts w:hint="eastAsia" w:ascii="宋体" w:hAnsi="宋体" w:cs="宋体"/>
                <w:lang w:val="zh-TW" w:eastAsia="zh-TW"/>
              </w:rPr>
              <w:t>（3）安全文明措施表述清晰但不够完整、无针对性，可操作性一般的得</w:t>
            </w:r>
            <w:r>
              <w:rPr>
                <w:rFonts w:hint="eastAsia" w:ascii="宋体" w:hAnsi="宋体" w:cs="宋体"/>
              </w:rPr>
              <w:t>3</w:t>
            </w:r>
            <w:r>
              <w:rPr>
                <w:rFonts w:hint="eastAsia" w:ascii="宋体" w:hAnsi="宋体" w:cs="宋体"/>
                <w:lang w:val="zh-TW" w:eastAsia="zh-TW"/>
              </w:rPr>
              <w:t>分；</w:t>
            </w:r>
          </w:p>
          <w:p w14:paraId="6B841283">
            <w:pPr>
              <w:rPr>
                <w:rFonts w:hint="eastAsia" w:ascii="宋体" w:hAnsi="宋体" w:cs="宋体"/>
                <w:lang w:val="zh-TW" w:eastAsia="zh-TW"/>
              </w:rPr>
            </w:pPr>
            <w:r>
              <w:rPr>
                <w:rFonts w:hint="eastAsia" w:ascii="宋体" w:hAnsi="宋体" w:cs="宋体"/>
                <w:lang w:val="zh-TW" w:eastAsia="zh-TW"/>
              </w:rPr>
              <w:t>（4）安全文明措施表述不完整可操作性较差的得</w:t>
            </w:r>
            <w:r>
              <w:rPr>
                <w:rFonts w:hint="eastAsia" w:ascii="宋体" w:hAnsi="宋体" w:cs="宋体"/>
              </w:rPr>
              <w:t>1</w:t>
            </w:r>
            <w:r>
              <w:rPr>
                <w:rFonts w:hint="eastAsia" w:ascii="宋体" w:hAnsi="宋体" w:cs="宋体"/>
                <w:lang w:val="zh-TW" w:eastAsia="zh-TW"/>
              </w:rPr>
              <w:t>分；</w:t>
            </w:r>
          </w:p>
          <w:p w14:paraId="3AAAE096">
            <w:pPr>
              <w:rPr>
                <w:rFonts w:hint="eastAsia" w:ascii="宋体" w:hAnsi="宋体" w:cs="宋体"/>
              </w:rPr>
            </w:pPr>
            <w:r>
              <w:rPr>
                <w:rFonts w:hint="eastAsia" w:ascii="宋体" w:hAnsi="宋体" w:cs="宋体"/>
                <w:lang w:val="zh-TW" w:eastAsia="zh-TW"/>
              </w:rPr>
              <w:t>（5）未提供不得分。</w:t>
            </w:r>
          </w:p>
        </w:tc>
        <w:tc>
          <w:tcPr>
            <w:tcW w:w="669"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52619073">
            <w:pPr>
              <w:widowControl/>
              <w:jc w:val="center"/>
              <w:rPr>
                <w:rFonts w:hint="eastAsia" w:ascii="宋体" w:hAnsi="宋体" w:cs="宋体"/>
                <w:szCs w:val="21"/>
              </w:rPr>
            </w:pPr>
            <w:r>
              <w:rPr>
                <w:rFonts w:hint="eastAsia" w:ascii="宋体" w:hAnsi="宋体" w:cs="宋体"/>
                <w:szCs w:val="21"/>
                <w:lang w:bidi="ar"/>
              </w:rPr>
              <w:t>7</w:t>
            </w:r>
          </w:p>
        </w:tc>
      </w:tr>
      <w:tr w14:paraId="2BACE254">
        <w:tblPrEx>
          <w:tblCellMar>
            <w:top w:w="12" w:type="dxa"/>
            <w:left w:w="12" w:type="dxa"/>
            <w:bottom w:w="0" w:type="dxa"/>
            <w:right w:w="12" w:type="dxa"/>
          </w:tblCellMar>
        </w:tblPrEx>
        <w:trPr>
          <w:trHeight w:val="20" w:hRule="atLeast"/>
          <w:jc w:val="center"/>
        </w:trPr>
        <w:tc>
          <w:tcPr>
            <w:tcW w:w="582"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5CB8F85A">
            <w:pPr>
              <w:widowControl/>
              <w:jc w:val="center"/>
              <w:rPr>
                <w:rFonts w:hint="eastAsia" w:ascii="宋体" w:hAnsi="宋体" w:cs="宋体"/>
                <w:szCs w:val="21"/>
              </w:rPr>
            </w:pPr>
            <w:r>
              <w:rPr>
                <w:rFonts w:hint="eastAsia" w:ascii="宋体" w:hAnsi="宋体" w:cs="宋体"/>
                <w:szCs w:val="21"/>
                <w:lang w:bidi="ar"/>
              </w:rPr>
              <w:t>7</w:t>
            </w:r>
          </w:p>
        </w:tc>
        <w:tc>
          <w:tcPr>
            <w:tcW w:w="1256"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4C38F7EF">
            <w:pPr>
              <w:widowControl/>
              <w:jc w:val="center"/>
              <w:rPr>
                <w:rFonts w:hint="eastAsia" w:ascii="宋体" w:hAnsi="宋体" w:cs="宋体"/>
                <w:szCs w:val="21"/>
              </w:rPr>
            </w:pPr>
            <w:r>
              <w:rPr>
                <w:rFonts w:hint="eastAsia" w:ascii="宋体" w:hAnsi="宋体" w:cs="宋体"/>
                <w:szCs w:val="21"/>
                <w:lang w:bidi="ar"/>
              </w:rPr>
              <w:t>施工质量保证措施</w:t>
            </w:r>
          </w:p>
        </w:tc>
        <w:tc>
          <w:tcPr>
            <w:tcW w:w="6370"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top"/>
          </w:tcPr>
          <w:p w14:paraId="462762E4">
            <w:pPr>
              <w:rPr>
                <w:rFonts w:hint="eastAsia" w:ascii="宋体" w:hAnsi="宋体" w:cs="宋体"/>
                <w:lang w:val="zh-TW" w:eastAsia="zh-TW"/>
              </w:rPr>
            </w:pPr>
            <w:r>
              <w:rPr>
                <w:rFonts w:hint="eastAsia" w:ascii="宋体" w:hAnsi="宋体" w:cs="宋体"/>
                <w:lang w:val="zh-TW" w:eastAsia="zh-TW"/>
              </w:rPr>
              <w:t xml:space="preserve">评委根据供应商提供的针对本项目质量保证体系及措施符合规范要求，各项措施方法可靠、详尽，有质量保证承诺等进行评分： </w:t>
            </w:r>
          </w:p>
          <w:p w14:paraId="408C3543">
            <w:pPr>
              <w:rPr>
                <w:rFonts w:hint="eastAsia" w:ascii="宋体" w:hAnsi="宋体" w:cs="宋体"/>
                <w:lang w:val="zh-TW" w:eastAsia="zh-TW"/>
              </w:rPr>
            </w:pPr>
            <w:r>
              <w:rPr>
                <w:rFonts w:hint="eastAsia" w:ascii="宋体" w:hAnsi="宋体" w:cs="宋体"/>
                <w:lang w:val="zh-TW" w:eastAsia="zh-TW"/>
              </w:rPr>
              <w:t>（1）质量保证体系及措施表述清晰完整、严谨、科学合理，针对性强、可操作性强的得</w:t>
            </w:r>
            <w:r>
              <w:rPr>
                <w:rFonts w:hint="eastAsia" w:ascii="宋体" w:hAnsi="宋体" w:cs="宋体"/>
              </w:rPr>
              <w:t>7</w:t>
            </w:r>
            <w:r>
              <w:rPr>
                <w:rFonts w:hint="eastAsia" w:ascii="宋体" w:hAnsi="宋体" w:cs="宋体"/>
                <w:lang w:val="zh-TW" w:eastAsia="zh-TW"/>
              </w:rPr>
              <w:t>分；</w:t>
            </w:r>
          </w:p>
          <w:p w14:paraId="3227CA38">
            <w:pPr>
              <w:rPr>
                <w:rFonts w:hint="eastAsia" w:ascii="宋体" w:hAnsi="宋体" w:cs="宋体"/>
                <w:lang w:val="zh-TW" w:eastAsia="zh-TW"/>
              </w:rPr>
            </w:pPr>
            <w:r>
              <w:rPr>
                <w:rFonts w:hint="eastAsia" w:ascii="宋体" w:hAnsi="宋体" w:cs="宋体"/>
                <w:lang w:val="zh-TW" w:eastAsia="zh-TW"/>
              </w:rPr>
              <w:t>（2）质量保证体系及措施表述清晰完整但不够严谨、合理，具有针对性和可操作性的得</w:t>
            </w:r>
            <w:r>
              <w:rPr>
                <w:rFonts w:hint="eastAsia" w:ascii="宋体" w:hAnsi="宋体" w:cs="宋体"/>
              </w:rPr>
              <w:t>5</w:t>
            </w:r>
            <w:r>
              <w:rPr>
                <w:rFonts w:hint="eastAsia" w:ascii="宋体" w:hAnsi="宋体" w:cs="宋体"/>
                <w:lang w:val="zh-TW" w:eastAsia="zh-TW"/>
              </w:rPr>
              <w:t>分；</w:t>
            </w:r>
          </w:p>
          <w:p w14:paraId="21A8B02F">
            <w:pPr>
              <w:rPr>
                <w:rFonts w:hint="eastAsia" w:ascii="宋体" w:hAnsi="宋体" w:cs="宋体"/>
                <w:lang w:val="zh-TW" w:eastAsia="zh-TW"/>
              </w:rPr>
            </w:pPr>
            <w:r>
              <w:rPr>
                <w:rFonts w:hint="eastAsia" w:ascii="宋体" w:hAnsi="宋体" w:cs="宋体"/>
                <w:lang w:val="zh-TW" w:eastAsia="zh-TW"/>
              </w:rPr>
              <w:t>（3）质量保证体系及措施表述清晰但不够完整、无针对性，可操作性一般的得</w:t>
            </w:r>
            <w:r>
              <w:rPr>
                <w:rFonts w:hint="eastAsia" w:ascii="宋体" w:hAnsi="宋体" w:cs="宋体"/>
              </w:rPr>
              <w:t>3</w:t>
            </w:r>
            <w:r>
              <w:rPr>
                <w:rFonts w:hint="eastAsia" w:ascii="宋体" w:hAnsi="宋体" w:cs="宋体"/>
                <w:lang w:val="zh-TW" w:eastAsia="zh-TW"/>
              </w:rPr>
              <w:t>分；</w:t>
            </w:r>
          </w:p>
          <w:p w14:paraId="2D8E7AC0">
            <w:pPr>
              <w:rPr>
                <w:rFonts w:hint="eastAsia" w:ascii="宋体" w:hAnsi="宋体" w:cs="宋体"/>
                <w:lang w:val="zh-TW" w:eastAsia="zh-TW"/>
              </w:rPr>
            </w:pPr>
            <w:r>
              <w:rPr>
                <w:rFonts w:hint="eastAsia" w:ascii="宋体" w:hAnsi="宋体" w:cs="宋体"/>
                <w:lang w:val="zh-TW" w:eastAsia="zh-TW"/>
              </w:rPr>
              <w:t>（4）质量保证体系及措施表述不完整可操作性较差的得</w:t>
            </w:r>
            <w:r>
              <w:rPr>
                <w:rFonts w:hint="eastAsia" w:ascii="宋体" w:hAnsi="宋体" w:cs="宋体"/>
              </w:rPr>
              <w:t>1</w:t>
            </w:r>
            <w:r>
              <w:rPr>
                <w:rFonts w:hint="eastAsia" w:ascii="宋体" w:hAnsi="宋体" w:cs="宋体"/>
                <w:lang w:val="zh-TW" w:eastAsia="zh-TW"/>
              </w:rPr>
              <w:t>分；</w:t>
            </w:r>
          </w:p>
          <w:p w14:paraId="63E45236">
            <w:pPr>
              <w:rPr>
                <w:rFonts w:hint="eastAsia" w:ascii="宋体" w:hAnsi="宋体" w:cs="宋体"/>
              </w:rPr>
            </w:pPr>
            <w:r>
              <w:rPr>
                <w:rFonts w:hint="eastAsia" w:ascii="宋体" w:hAnsi="宋体" w:cs="宋体"/>
                <w:lang w:val="zh-TW" w:eastAsia="zh-TW"/>
              </w:rPr>
              <w:t>（5）未提供不得分。</w:t>
            </w:r>
          </w:p>
        </w:tc>
        <w:tc>
          <w:tcPr>
            <w:tcW w:w="669"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58A19820">
            <w:pPr>
              <w:widowControl/>
              <w:jc w:val="center"/>
              <w:rPr>
                <w:rFonts w:hint="eastAsia" w:ascii="宋体" w:hAnsi="宋体" w:cs="宋体"/>
                <w:szCs w:val="21"/>
              </w:rPr>
            </w:pPr>
            <w:r>
              <w:rPr>
                <w:rFonts w:hint="eastAsia" w:ascii="宋体" w:hAnsi="宋体" w:cs="宋体"/>
                <w:szCs w:val="21"/>
                <w:lang w:bidi="ar"/>
              </w:rPr>
              <w:t>7</w:t>
            </w:r>
          </w:p>
        </w:tc>
      </w:tr>
      <w:tr w14:paraId="7D9CFF7F">
        <w:tblPrEx>
          <w:tblCellMar>
            <w:top w:w="12" w:type="dxa"/>
            <w:left w:w="12" w:type="dxa"/>
            <w:bottom w:w="0" w:type="dxa"/>
            <w:right w:w="12" w:type="dxa"/>
          </w:tblCellMar>
        </w:tblPrEx>
        <w:trPr>
          <w:trHeight w:val="20" w:hRule="atLeast"/>
          <w:jc w:val="center"/>
        </w:trPr>
        <w:tc>
          <w:tcPr>
            <w:tcW w:w="582"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2C84852D">
            <w:pPr>
              <w:widowControl/>
              <w:jc w:val="center"/>
              <w:rPr>
                <w:rFonts w:hint="eastAsia" w:ascii="宋体" w:hAnsi="宋体" w:cs="宋体"/>
                <w:szCs w:val="21"/>
                <w:lang w:bidi="ar"/>
              </w:rPr>
            </w:pPr>
            <w:r>
              <w:rPr>
                <w:rFonts w:hint="eastAsia" w:ascii="宋体" w:hAnsi="宋体" w:cs="宋体"/>
                <w:szCs w:val="21"/>
                <w:lang w:bidi="ar"/>
              </w:rPr>
              <w:t>8</w:t>
            </w:r>
          </w:p>
        </w:tc>
        <w:tc>
          <w:tcPr>
            <w:tcW w:w="1256"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4229880F">
            <w:pPr>
              <w:widowControl/>
              <w:jc w:val="center"/>
              <w:rPr>
                <w:rFonts w:hint="eastAsia" w:ascii="宋体" w:hAnsi="宋体" w:cs="宋体"/>
                <w:szCs w:val="21"/>
                <w:lang w:bidi="ar"/>
              </w:rPr>
            </w:pPr>
            <w:r>
              <w:rPr>
                <w:rFonts w:hint="eastAsia" w:ascii="宋体" w:hAnsi="宋体" w:cs="宋体"/>
                <w:lang w:val="zh-TW" w:eastAsia="zh-TW"/>
              </w:rPr>
              <w:t>关键施工技术、工艺及工程项目实施的重点、难点和解决方案</w:t>
            </w:r>
          </w:p>
        </w:tc>
        <w:tc>
          <w:tcPr>
            <w:tcW w:w="6370"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top"/>
          </w:tcPr>
          <w:p w14:paraId="7584706D">
            <w:pPr>
              <w:rPr>
                <w:rFonts w:hint="eastAsia" w:ascii="宋体" w:hAnsi="宋体" w:cs="宋体"/>
                <w:lang w:val="zh-TW" w:eastAsia="zh-TW"/>
              </w:rPr>
            </w:pPr>
            <w:r>
              <w:rPr>
                <w:rFonts w:hint="eastAsia" w:ascii="宋体" w:hAnsi="宋体" w:cs="宋体"/>
                <w:lang w:val="zh-TW" w:eastAsia="zh-TW"/>
              </w:rPr>
              <w:t>评委根据供应商提供的针对本项目关键施工技术、工艺及工程项目实施的重点、难点和解决方案进行评分：</w:t>
            </w:r>
          </w:p>
          <w:p w14:paraId="74C82998">
            <w:pPr>
              <w:rPr>
                <w:rFonts w:hint="eastAsia" w:ascii="宋体" w:hAnsi="宋体" w:cs="宋体"/>
                <w:lang w:val="zh-TW" w:eastAsia="zh-TW"/>
              </w:rPr>
            </w:pPr>
            <w:r>
              <w:rPr>
                <w:rFonts w:hint="eastAsia" w:ascii="宋体" w:hAnsi="宋体" w:cs="宋体"/>
                <w:lang w:val="zh-TW" w:eastAsia="zh-TW"/>
              </w:rPr>
              <w:t>（1）关键方案表述清晰完整、严谨、科学合理，针对性强、可操作性强的得</w:t>
            </w:r>
            <w:r>
              <w:rPr>
                <w:rFonts w:hint="eastAsia" w:ascii="宋体" w:hAnsi="宋体" w:cs="宋体"/>
              </w:rPr>
              <w:t>7</w:t>
            </w:r>
            <w:r>
              <w:rPr>
                <w:rFonts w:hint="eastAsia" w:ascii="宋体" w:hAnsi="宋体" w:cs="宋体"/>
                <w:lang w:val="zh-TW" w:eastAsia="zh-TW"/>
              </w:rPr>
              <w:t>分；</w:t>
            </w:r>
          </w:p>
          <w:p w14:paraId="5C4C086F">
            <w:pPr>
              <w:rPr>
                <w:rFonts w:hint="eastAsia" w:ascii="宋体" w:hAnsi="宋体" w:cs="宋体"/>
                <w:lang w:val="zh-TW" w:eastAsia="zh-TW"/>
              </w:rPr>
            </w:pPr>
            <w:r>
              <w:rPr>
                <w:rFonts w:hint="eastAsia" w:ascii="宋体" w:hAnsi="宋体" w:cs="宋体"/>
                <w:lang w:val="zh-TW" w:eastAsia="zh-TW"/>
              </w:rPr>
              <w:t>（2）关键方案表述清晰完整但不够严谨、合理，具有针对性和可操作性的得</w:t>
            </w:r>
            <w:r>
              <w:rPr>
                <w:rFonts w:hint="eastAsia" w:ascii="宋体" w:hAnsi="宋体" w:cs="宋体"/>
              </w:rPr>
              <w:t>5</w:t>
            </w:r>
            <w:r>
              <w:rPr>
                <w:rFonts w:hint="eastAsia" w:ascii="宋体" w:hAnsi="宋体" w:cs="宋体"/>
                <w:lang w:val="zh-TW" w:eastAsia="zh-TW"/>
              </w:rPr>
              <w:t>分；</w:t>
            </w:r>
          </w:p>
          <w:p w14:paraId="6537D197">
            <w:pPr>
              <w:rPr>
                <w:rFonts w:hint="eastAsia" w:ascii="宋体" w:hAnsi="宋体" w:cs="宋体"/>
                <w:lang w:val="zh-TW" w:eastAsia="zh-TW"/>
              </w:rPr>
            </w:pPr>
            <w:r>
              <w:rPr>
                <w:rFonts w:hint="eastAsia" w:ascii="宋体" w:hAnsi="宋体" w:cs="宋体"/>
                <w:lang w:val="zh-TW" w:eastAsia="zh-TW"/>
              </w:rPr>
              <w:t>（3）关键方案表述清晰但不够完整、无针对性，可操作性一般的得</w:t>
            </w:r>
            <w:r>
              <w:rPr>
                <w:rFonts w:hint="eastAsia" w:ascii="宋体" w:hAnsi="宋体" w:cs="宋体"/>
              </w:rPr>
              <w:t>3</w:t>
            </w:r>
            <w:r>
              <w:rPr>
                <w:rFonts w:hint="eastAsia" w:ascii="宋体" w:hAnsi="宋体" w:cs="宋体"/>
                <w:lang w:val="zh-TW" w:eastAsia="zh-TW"/>
              </w:rPr>
              <w:t>分；</w:t>
            </w:r>
          </w:p>
          <w:p w14:paraId="35C9E0E1">
            <w:pPr>
              <w:rPr>
                <w:rFonts w:hint="eastAsia" w:ascii="宋体" w:hAnsi="宋体" w:cs="宋体"/>
                <w:lang w:val="zh-TW" w:eastAsia="zh-TW"/>
              </w:rPr>
            </w:pPr>
            <w:r>
              <w:rPr>
                <w:rFonts w:hint="eastAsia" w:ascii="宋体" w:hAnsi="宋体" w:cs="宋体"/>
                <w:lang w:val="zh-TW" w:eastAsia="zh-TW"/>
              </w:rPr>
              <w:t>（4）关键方案表述不清晰可操作性较差的得</w:t>
            </w:r>
            <w:r>
              <w:rPr>
                <w:rFonts w:hint="eastAsia" w:ascii="宋体" w:hAnsi="宋体" w:cs="宋体"/>
              </w:rPr>
              <w:t>1</w:t>
            </w:r>
            <w:r>
              <w:rPr>
                <w:rFonts w:hint="eastAsia" w:ascii="宋体" w:hAnsi="宋体" w:cs="宋体"/>
                <w:lang w:val="zh-TW" w:eastAsia="zh-TW"/>
              </w:rPr>
              <w:t>分；</w:t>
            </w:r>
          </w:p>
          <w:p w14:paraId="313BA52A">
            <w:pPr>
              <w:rPr>
                <w:rFonts w:hint="eastAsia" w:ascii="宋体" w:hAnsi="宋体" w:cs="宋体"/>
              </w:rPr>
            </w:pPr>
            <w:r>
              <w:rPr>
                <w:rFonts w:hint="eastAsia" w:ascii="宋体" w:hAnsi="宋体" w:cs="宋体"/>
                <w:lang w:val="zh-TW" w:eastAsia="zh-TW"/>
              </w:rPr>
              <w:t>（5）未提供不得分。</w:t>
            </w:r>
          </w:p>
        </w:tc>
        <w:tc>
          <w:tcPr>
            <w:tcW w:w="669"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1E4A7274">
            <w:pPr>
              <w:widowControl/>
              <w:jc w:val="center"/>
              <w:rPr>
                <w:rFonts w:hint="eastAsia" w:ascii="宋体" w:hAnsi="宋体" w:cs="宋体"/>
                <w:szCs w:val="21"/>
                <w:lang w:bidi="ar"/>
              </w:rPr>
            </w:pPr>
            <w:r>
              <w:rPr>
                <w:rFonts w:hint="eastAsia" w:ascii="宋体" w:hAnsi="宋体" w:cs="宋体"/>
                <w:szCs w:val="21"/>
                <w:lang w:bidi="ar"/>
              </w:rPr>
              <w:t>7</w:t>
            </w:r>
          </w:p>
        </w:tc>
      </w:tr>
    </w:tbl>
    <w:p w14:paraId="4830AC3F">
      <w:pPr>
        <w:spacing w:line="360" w:lineRule="auto"/>
        <w:rPr>
          <w:rFonts w:hint="eastAsia" w:ascii="宋体" w:hAnsi="宋体" w:cs="宋体"/>
          <w:b/>
          <w:szCs w:val="24"/>
        </w:rPr>
      </w:pPr>
    </w:p>
    <w:p w14:paraId="0D237042">
      <w:pPr>
        <w:spacing w:line="360" w:lineRule="auto"/>
        <w:rPr>
          <w:rFonts w:hint="eastAsia" w:ascii="宋体" w:hAnsi="宋体" w:cs="宋体"/>
          <w:b/>
          <w:szCs w:val="24"/>
        </w:rPr>
      </w:pPr>
      <w:r>
        <w:rPr>
          <w:rFonts w:hint="eastAsia" w:ascii="宋体" w:hAnsi="宋体" w:cs="宋体"/>
          <w:b/>
          <w:szCs w:val="24"/>
        </w:rPr>
        <w:t>说明：</w:t>
      </w:r>
    </w:p>
    <w:p w14:paraId="0A356342">
      <w:pPr>
        <w:widowControl/>
        <w:spacing w:line="360" w:lineRule="auto"/>
        <w:ind w:firstLine="422"/>
        <w:rPr>
          <w:rFonts w:hint="eastAsia" w:ascii="宋体" w:hAnsi="宋体" w:cs="宋体"/>
          <w:b/>
          <w:bCs/>
          <w:szCs w:val="21"/>
        </w:rPr>
      </w:pPr>
      <w:r>
        <w:rPr>
          <w:rFonts w:hint="eastAsia" w:ascii="宋体" w:hAnsi="宋体" w:cs="宋体"/>
          <w:b/>
          <w:bCs/>
          <w:szCs w:val="21"/>
        </w:rPr>
        <w:t>1、所有认证、证明和业绩均以有效清晰的证明文件的</w:t>
      </w:r>
      <w:r>
        <w:rPr>
          <w:rFonts w:hint="eastAsia" w:ascii="宋体" w:hAnsi="宋体" w:cs="宋体"/>
          <w:b/>
          <w:bCs/>
          <w:szCs w:val="21"/>
          <w:lang w:eastAsia="zh-CN"/>
        </w:rPr>
        <w:t>扫描件</w:t>
      </w:r>
      <w:r>
        <w:rPr>
          <w:rFonts w:hint="eastAsia" w:ascii="宋体" w:hAnsi="宋体" w:cs="宋体"/>
          <w:b/>
          <w:bCs/>
          <w:szCs w:val="21"/>
          <w:lang w:val="en-US" w:eastAsia="zh-CN"/>
        </w:rPr>
        <w:t>加盖电子公章</w:t>
      </w:r>
      <w:r>
        <w:rPr>
          <w:rFonts w:hint="eastAsia" w:ascii="宋体" w:hAnsi="宋体" w:cs="宋体"/>
          <w:b/>
          <w:bCs/>
          <w:szCs w:val="21"/>
        </w:rPr>
        <w:t>为依据。</w:t>
      </w:r>
    </w:p>
    <w:p w14:paraId="4B7D71EC">
      <w:pPr>
        <w:widowControl/>
        <w:spacing w:line="360" w:lineRule="auto"/>
        <w:ind w:firstLine="422"/>
        <w:rPr>
          <w:rFonts w:hint="eastAsia" w:ascii="宋体" w:hAnsi="宋体" w:cs="宋体"/>
          <w:b/>
          <w:bCs/>
          <w:szCs w:val="21"/>
        </w:rPr>
      </w:pPr>
      <w:bookmarkStart w:id="24" w:name="_Hlk213935423"/>
      <w:r>
        <w:rPr>
          <w:rFonts w:hint="eastAsia" w:ascii="宋体" w:hAnsi="宋体" w:cs="宋体"/>
          <w:b/>
          <w:bCs/>
          <w:szCs w:val="21"/>
        </w:rPr>
        <w:t>2.小微企业价格扣除</w:t>
      </w:r>
    </w:p>
    <w:p w14:paraId="6D0AEC5F">
      <w:pPr>
        <w:widowControl/>
        <w:spacing w:line="360" w:lineRule="auto"/>
        <w:ind w:firstLine="422"/>
        <w:rPr>
          <w:rFonts w:hint="eastAsia" w:ascii="宋体" w:hAnsi="宋体" w:cs="宋体"/>
          <w:b/>
          <w:bCs/>
          <w:szCs w:val="21"/>
        </w:rPr>
      </w:pPr>
      <w:r>
        <w:rPr>
          <w:rFonts w:hint="eastAsia" w:ascii="宋体" w:hAnsi="宋体" w:cs="宋体"/>
          <w:b/>
          <w:bCs/>
          <w:szCs w:val="21"/>
        </w:rPr>
        <w:t>2.1对于专门面向中小企业或小型、微型企业的项目，只面向中小企业或小型、微型企业采购。对于非专门面向中小企业的项目，对小型和微型企业的价格给予5%的扣除，用扣除后的价格参与评审。</w:t>
      </w:r>
    </w:p>
    <w:p w14:paraId="0F359265">
      <w:pPr>
        <w:widowControl/>
        <w:spacing w:line="360" w:lineRule="auto"/>
        <w:ind w:firstLine="422"/>
        <w:rPr>
          <w:rFonts w:hint="eastAsia" w:ascii="宋体" w:hAnsi="宋体" w:cs="宋体"/>
          <w:b/>
          <w:bCs/>
          <w:szCs w:val="21"/>
        </w:rPr>
      </w:pPr>
      <w:r>
        <w:rPr>
          <w:rFonts w:hint="eastAsia" w:ascii="宋体" w:hAnsi="宋体" w:cs="宋体"/>
          <w:b/>
          <w:bCs/>
          <w:szCs w:val="21"/>
        </w:rPr>
        <w:t>2.2大中型企业和其他自然人、法人或者其他组织与小型、微型企业组成联合体共同参加响应，如果联合协议中约定，小型、微型企业的协议合同金额占到联合体协议合同总金额30%以上的，给予联合体2%的价格扣除。联合体各方均为小型、微型企业的，联合体视同为小型、微型企业给予5%价格扣除，用扣除后的价格参与评审。组成联合体的大中型企业和其他自然人、法人或者其他组织，与小型、微型企业之间不得存在投资关系。</w:t>
      </w:r>
    </w:p>
    <w:p w14:paraId="7977CC60">
      <w:pPr>
        <w:widowControl/>
        <w:spacing w:line="360" w:lineRule="auto"/>
        <w:ind w:firstLine="422"/>
        <w:rPr>
          <w:rFonts w:hint="eastAsia" w:ascii="宋体" w:hAnsi="宋体" w:cs="宋体"/>
          <w:b/>
          <w:bCs/>
          <w:szCs w:val="21"/>
        </w:rPr>
      </w:pPr>
      <w:r>
        <w:rPr>
          <w:rFonts w:hint="eastAsia" w:ascii="宋体" w:hAnsi="宋体" w:cs="宋体"/>
          <w:b/>
          <w:bCs/>
          <w:szCs w:val="21"/>
        </w:rPr>
        <w:t>2.3 小企业（含小型、微型企业）应当提供《中小企业声明函》，且符合《政府采购促进中小企业发展管理办法》（财库〔2020〕46号）的相关规定。</w:t>
      </w:r>
    </w:p>
    <w:p w14:paraId="2B2C96EB">
      <w:pPr>
        <w:widowControl/>
        <w:spacing w:line="360" w:lineRule="auto"/>
        <w:ind w:firstLine="422"/>
        <w:rPr>
          <w:rFonts w:hint="eastAsia" w:ascii="宋体" w:hAnsi="宋体" w:cs="宋体"/>
          <w:b/>
          <w:bCs/>
          <w:szCs w:val="21"/>
        </w:rPr>
      </w:pPr>
      <w:r>
        <w:rPr>
          <w:rFonts w:hint="eastAsia" w:ascii="宋体" w:hAnsi="宋体" w:cs="宋体"/>
          <w:b/>
          <w:bCs/>
          <w:szCs w:val="21"/>
        </w:rPr>
        <w:t>3.监狱和戒毒企业的价格扣除</w:t>
      </w:r>
    </w:p>
    <w:p w14:paraId="18F6BE82">
      <w:pPr>
        <w:widowControl/>
        <w:spacing w:line="360" w:lineRule="auto"/>
        <w:ind w:firstLine="422"/>
        <w:rPr>
          <w:rFonts w:hint="eastAsia" w:ascii="宋体" w:hAnsi="宋体" w:cs="宋体"/>
          <w:b/>
          <w:bCs/>
          <w:szCs w:val="21"/>
        </w:rPr>
      </w:pPr>
      <w:r>
        <w:rPr>
          <w:rFonts w:hint="eastAsia" w:ascii="宋体" w:hAnsi="宋体" w:cs="宋体"/>
          <w:b/>
          <w:bCs/>
          <w:szCs w:val="21"/>
        </w:rPr>
        <w:t>3.1 本项目对监狱和戒毒企业，给予5%的价格扣除，用扣除后的价格参与评审。</w:t>
      </w:r>
    </w:p>
    <w:p w14:paraId="0D4436BA">
      <w:pPr>
        <w:widowControl/>
        <w:spacing w:line="360" w:lineRule="auto"/>
        <w:ind w:firstLine="422"/>
        <w:rPr>
          <w:rFonts w:hint="eastAsia" w:ascii="宋体" w:hAnsi="宋体" w:cs="宋体"/>
          <w:b/>
          <w:bCs/>
          <w:szCs w:val="21"/>
        </w:rPr>
      </w:pPr>
      <w:r>
        <w:rPr>
          <w:rFonts w:hint="eastAsia" w:ascii="宋体" w:hAnsi="宋体" w:cs="宋体"/>
          <w:b/>
          <w:bCs/>
          <w:szCs w:val="21"/>
        </w:rPr>
        <w:t>3.2 监狱企业需提供由省级以上监狱管理局、戒毒管理局（含新疆生产建设兵团）出具的属于监狱企业的证明文件。</w:t>
      </w:r>
    </w:p>
    <w:p w14:paraId="4DB58D04">
      <w:pPr>
        <w:widowControl/>
        <w:spacing w:line="360" w:lineRule="auto"/>
        <w:ind w:firstLine="422"/>
        <w:rPr>
          <w:rFonts w:hint="eastAsia" w:ascii="宋体" w:hAnsi="宋体" w:cs="宋体"/>
          <w:b/>
          <w:bCs/>
          <w:szCs w:val="21"/>
        </w:rPr>
      </w:pPr>
      <w:r>
        <w:rPr>
          <w:rFonts w:hint="eastAsia" w:ascii="宋体" w:hAnsi="宋体" w:cs="宋体"/>
          <w:b/>
          <w:bCs/>
          <w:szCs w:val="21"/>
        </w:rPr>
        <w:t>3.3 监狱企业标准请参照《关于政府采购支持监狱企业发展有关问题的通知》（财库〔2014〕68号）。</w:t>
      </w:r>
    </w:p>
    <w:p w14:paraId="52366CD7">
      <w:pPr>
        <w:widowControl/>
        <w:spacing w:line="360" w:lineRule="auto"/>
        <w:ind w:firstLine="422"/>
        <w:rPr>
          <w:rFonts w:hint="eastAsia" w:ascii="宋体" w:hAnsi="宋体" w:cs="宋体"/>
          <w:b/>
          <w:bCs/>
          <w:szCs w:val="21"/>
        </w:rPr>
      </w:pPr>
      <w:r>
        <w:rPr>
          <w:rFonts w:hint="eastAsia" w:ascii="宋体" w:hAnsi="宋体" w:cs="宋体"/>
          <w:b/>
          <w:bCs/>
          <w:szCs w:val="21"/>
        </w:rPr>
        <w:t>4.残疾人福利性单位的价格扣除</w:t>
      </w:r>
    </w:p>
    <w:p w14:paraId="53FFECA0">
      <w:pPr>
        <w:widowControl/>
        <w:spacing w:line="360" w:lineRule="auto"/>
        <w:ind w:firstLine="422"/>
        <w:rPr>
          <w:rFonts w:hint="eastAsia" w:ascii="宋体" w:hAnsi="宋体" w:cs="宋体"/>
          <w:b/>
          <w:bCs/>
          <w:szCs w:val="21"/>
        </w:rPr>
      </w:pPr>
      <w:r>
        <w:rPr>
          <w:rFonts w:hint="eastAsia" w:ascii="宋体" w:hAnsi="宋体" w:cs="宋体"/>
          <w:b/>
          <w:bCs/>
          <w:szCs w:val="21"/>
        </w:rPr>
        <w:t>4.1 本项目对残疾人福利性单位，给予5%的价格扣除，用扣除后的价格参与评审。</w:t>
      </w:r>
    </w:p>
    <w:p w14:paraId="3A72C1C2">
      <w:pPr>
        <w:widowControl/>
        <w:spacing w:line="360" w:lineRule="auto"/>
        <w:ind w:firstLine="422"/>
        <w:rPr>
          <w:rFonts w:hint="eastAsia" w:ascii="宋体" w:hAnsi="宋体" w:cs="宋体"/>
          <w:b/>
          <w:bCs/>
          <w:szCs w:val="21"/>
        </w:rPr>
      </w:pPr>
      <w:r>
        <w:rPr>
          <w:rFonts w:hint="eastAsia" w:ascii="宋体" w:hAnsi="宋体" w:cs="宋体"/>
          <w:b/>
          <w:bCs/>
          <w:szCs w:val="21"/>
        </w:rPr>
        <w:t>4.2 残疾人福利性单位需提供《残疾人福利性单位声明函》</w:t>
      </w:r>
    </w:p>
    <w:p w14:paraId="3A2B33D6">
      <w:pPr>
        <w:widowControl/>
        <w:spacing w:line="360" w:lineRule="auto"/>
        <w:ind w:firstLine="422"/>
        <w:rPr>
          <w:rFonts w:hint="eastAsia" w:ascii="宋体" w:hAnsi="宋体" w:cs="宋体"/>
          <w:b/>
          <w:bCs/>
          <w:szCs w:val="21"/>
        </w:rPr>
      </w:pPr>
      <w:r>
        <w:rPr>
          <w:rFonts w:hint="eastAsia" w:ascii="宋体" w:hAnsi="宋体" w:cs="宋体"/>
          <w:b/>
          <w:bCs/>
          <w:szCs w:val="21"/>
        </w:rPr>
        <w:t>4.3 残疾人福利性单位标准请参照《关于促进残疾人就业政府采购政策的通知》（财库〔2017〕141号）。</w:t>
      </w:r>
    </w:p>
    <w:p w14:paraId="4D1C2F7F">
      <w:pPr>
        <w:widowControl/>
        <w:spacing w:line="360" w:lineRule="auto"/>
        <w:ind w:firstLine="422"/>
        <w:rPr>
          <w:rFonts w:hint="eastAsia" w:ascii="宋体" w:hAnsi="宋体" w:cs="宋体"/>
          <w:b/>
          <w:bCs/>
          <w:szCs w:val="21"/>
        </w:rPr>
      </w:pPr>
      <w:r>
        <w:rPr>
          <w:rFonts w:hint="eastAsia" w:ascii="宋体" w:hAnsi="宋体" w:cs="宋体"/>
          <w:b/>
          <w:bCs/>
          <w:szCs w:val="21"/>
        </w:rPr>
        <w:t>5. 监狱企业、残疾人福利性单位属于小型、微型企业的，不重复享受政策。</w:t>
      </w:r>
      <w:bookmarkEnd w:id="24"/>
    </w:p>
    <w:p w14:paraId="37F1692E">
      <w:pPr>
        <w:spacing w:line="360" w:lineRule="auto"/>
        <w:ind w:firstLine="420"/>
        <w:rPr>
          <w:rFonts w:hint="eastAsia" w:ascii="宋体" w:hAnsi="宋体" w:cs="宋体"/>
          <w:bCs/>
        </w:rPr>
      </w:pPr>
    </w:p>
    <w:p w14:paraId="2B024ADF">
      <w:pPr>
        <w:pStyle w:val="339"/>
        <w:rPr>
          <w:rFonts w:hint="eastAsia" w:ascii="宋体" w:hAnsi="宋体" w:cs="宋体"/>
        </w:rPr>
        <w:sectPr>
          <w:footerReference r:id="rId6" w:type="first"/>
          <w:footerReference r:id="rId5" w:type="default"/>
          <w:type w:val="continuous"/>
          <w:pgSz w:w="11906" w:h="16838"/>
          <w:pgMar w:top="1440" w:right="1800" w:bottom="1440" w:left="1600" w:header="851" w:footer="992" w:gutter="0"/>
          <w:cols w:space="1701" w:num="1"/>
          <w:titlePg/>
          <w:docGrid w:linePitch="360" w:charSpace="0"/>
        </w:sectPr>
      </w:pPr>
      <w:r>
        <w:rPr>
          <w:rFonts w:hint="eastAsia" w:ascii="宋体" w:hAnsi="宋体" w:cs="宋体"/>
        </w:rPr>
        <w:br w:type="page" w:clear="all"/>
      </w:r>
    </w:p>
    <w:p w14:paraId="4A080486">
      <w:pPr>
        <w:pStyle w:val="137"/>
        <w:rPr>
          <w:rFonts w:hint="eastAsia" w:ascii="宋体" w:hAnsi="宋体" w:cs="宋体"/>
          <w:lang w:val="zh-CN"/>
        </w:rPr>
      </w:pPr>
      <w:bookmarkStart w:id="25" w:name="_Toc7631"/>
      <w:r>
        <w:rPr>
          <w:rFonts w:hint="eastAsia" w:ascii="宋体" w:hAnsi="宋体" w:cs="宋体"/>
        </w:rPr>
        <w:t xml:space="preserve">第四章 </w:t>
      </w:r>
      <w:r>
        <w:rPr>
          <w:rFonts w:hint="eastAsia" w:ascii="宋体" w:hAnsi="宋体" w:cs="宋体"/>
          <w:lang w:val="zh-CN"/>
        </w:rPr>
        <w:t>采购需求</w:t>
      </w:r>
      <w:bookmarkEnd w:id="25"/>
    </w:p>
    <w:p w14:paraId="6D7941F5">
      <w:pPr>
        <w:spacing w:line="360" w:lineRule="auto"/>
        <w:rPr>
          <w:rFonts w:hint="eastAsia" w:ascii="宋体" w:hAnsi="宋体" w:cs="宋体"/>
          <w:b/>
          <w:bCs/>
          <w:szCs w:val="16"/>
        </w:rPr>
      </w:pPr>
      <w:r>
        <w:rPr>
          <w:rFonts w:hint="eastAsia" w:ascii="宋体" w:hAnsi="宋体" w:cs="宋体"/>
          <w:b/>
          <w:bCs/>
          <w:szCs w:val="16"/>
        </w:rPr>
        <w:t>一、项目概况</w:t>
      </w:r>
    </w:p>
    <w:p w14:paraId="06422B91">
      <w:pPr>
        <w:spacing w:line="360" w:lineRule="auto"/>
        <w:ind w:firstLine="420"/>
        <w:rPr>
          <w:rFonts w:hint="eastAsia" w:ascii="宋体" w:hAnsi="宋体" w:cs="宋体"/>
          <w:szCs w:val="21"/>
        </w:rPr>
      </w:pPr>
      <w:r>
        <w:rPr>
          <w:rFonts w:hint="eastAsia" w:ascii="宋体" w:hAnsi="宋体" w:cs="宋体"/>
          <w:szCs w:val="16"/>
        </w:rPr>
        <w:t>1.项目名称：</w:t>
      </w:r>
      <w:r>
        <w:rPr>
          <w:rFonts w:hint="eastAsia" w:ascii="宋体" w:hAnsi="宋体" w:cs="宋体"/>
          <w:szCs w:val="21"/>
        </w:rPr>
        <w:t>人体结构教学科普馆场馆改造</w:t>
      </w:r>
    </w:p>
    <w:p w14:paraId="47CCAA22">
      <w:pPr>
        <w:spacing w:line="360" w:lineRule="auto"/>
        <w:ind w:firstLine="420"/>
        <w:rPr>
          <w:rFonts w:hint="eastAsia" w:ascii="宋体" w:hAnsi="宋体" w:cs="宋体"/>
          <w:szCs w:val="16"/>
        </w:rPr>
      </w:pPr>
      <w:r>
        <w:rPr>
          <w:rFonts w:hint="eastAsia" w:ascii="宋体" w:hAnsi="宋体" w:cs="宋体"/>
          <w:szCs w:val="16"/>
        </w:rPr>
        <w:t>2.项目内容：</w:t>
      </w:r>
      <w:r>
        <w:rPr>
          <w:rFonts w:hint="eastAsia" w:ascii="宋体" w:hAnsi="宋体" w:cs="宋体"/>
        </w:rPr>
        <w:t>包含装饰、暖通、电气等，</w:t>
      </w:r>
      <w:r>
        <w:rPr>
          <w:rFonts w:hint="eastAsia" w:ascii="宋体" w:hAnsi="宋体" w:cs="宋体"/>
          <w:szCs w:val="21"/>
        </w:rPr>
        <w:t>具体详见图纸及工程量清单。</w:t>
      </w:r>
    </w:p>
    <w:p w14:paraId="6E8DCFE1">
      <w:pPr>
        <w:spacing w:line="360" w:lineRule="auto"/>
        <w:rPr>
          <w:rFonts w:hint="eastAsia" w:ascii="宋体" w:hAnsi="宋体" w:cs="宋体"/>
          <w:b/>
          <w:bCs/>
          <w:szCs w:val="16"/>
        </w:rPr>
      </w:pPr>
      <w:r>
        <w:rPr>
          <w:rFonts w:hint="eastAsia" w:ascii="宋体" w:hAnsi="宋体" w:cs="宋体"/>
          <w:b/>
          <w:bCs/>
          <w:szCs w:val="16"/>
        </w:rPr>
        <w:t>二、工程质量、材料等的特殊要求</w:t>
      </w:r>
    </w:p>
    <w:p w14:paraId="3EA0E874">
      <w:pPr>
        <w:spacing w:line="360" w:lineRule="auto"/>
        <w:ind w:firstLine="485"/>
        <w:rPr>
          <w:rFonts w:hint="eastAsia" w:ascii="宋体" w:hAnsi="宋体" w:cs="宋体"/>
        </w:rPr>
      </w:pPr>
      <w:r>
        <w:rPr>
          <w:rFonts w:hint="eastAsia" w:ascii="宋体" w:hAnsi="宋体" w:cs="宋体"/>
          <w:szCs w:val="16"/>
        </w:rPr>
        <w:t>工程质量和设备的技术性能须满足采购文件、设计文件及相关规范的要求。工程量</w:t>
      </w:r>
      <w:r>
        <w:rPr>
          <w:rFonts w:hint="eastAsia" w:ascii="宋体" w:hAnsi="宋体" w:cs="宋体"/>
          <w:szCs w:val="21"/>
        </w:rPr>
        <w:t>清单中列出的为主要项目和材料清单，报价时需包含但不限于工程量清单中工程所需的其它零星或辅助材料。</w:t>
      </w:r>
    </w:p>
    <w:p w14:paraId="062BA9C1">
      <w:pPr>
        <w:spacing w:line="360" w:lineRule="auto"/>
        <w:rPr>
          <w:rFonts w:hint="eastAsia" w:ascii="宋体" w:hAnsi="宋体" w:cs="宋体"/>
          <w:b/>
          <w:bCs/>
          <w:szCs w:val="16"/>
        </w:rPr>
      </w:pPr>
      <w:r>
        <w:rPr>
          <w:rFonts w:hint="eastAsia" w:ascii="宋体" w:hAnsi="宋体" w:cs="宋体"/>
          <w:b/>
          <w:bCs/>
          <w:szCs w:val="16"/>
        </w:rPr>
        <w:t>三、工期</w:t>
      </w:r>
    </w:p>
    <w:p w14:paraId="518814C8">
      <w:pPr>
        <w:spacing w:line="360" w:lineRule="auto"/>
        <w:ind w:firstLine="420"/>
        <w:rPr>
          <w:rFonts w:hint="eastAsia" w:ascii="宋体" w:hAnsi="宋体" w:cs="宋体"/>
          <w:szCs w:val="16"/>
        </w:rPr>
      </w:pPr>
      <w:r>
        <w:rPr>
          <w:rFonts w:hint="eastAsia" w:ascii="宋体" w:hAnsi="宋体" w:cs="宋体"/>
          <w:szCs w:val="16"/>
        </w:rPr>
        <w:t>施工日期为</w:t>
      </w:r>
      <w:r>
        <w:rPr>
          <w:rFonts w:hint="eastAsia" w:ascii="宋体" w:hAnsi="宋体" w:cs="宋体"/>
          <w:b/>
          <w:bCs/>
          <w:szCs w:val="16"/>
          <w:u w:val="single"/>
        </w:rPr>
        <w:t xml:space="preserve"> 45 </w:t>
      </w:r>
      <w:r>
        <w:rPr>
          <w:rFonts w:hint="eastAsia" w:ascii="宋体" w:hAnsi="宋体" w:cs="宋体"/>
          <w:szCs w:val="16"/>
        </w:rPr>
        <w:t>日历天。开工日期以采购人通知为准。</w:t>
      </w:r>
    </w:p>
    <w:p w14:paraId="601B1470">
      <w:pPr>
        <w:spacing w:line="360" w:lineRule="auto"/>
        <w:rPr>
          <w:rFonts w:hint="eastAsia" w:ascii="宋体" w:hAnsi="宋体" w:cs="宋体"/>
          <w:b/>
          <w:bCs/>
          <w:szCs w:val="16"/>
        </w:rPr>
      </w:pPr>
      <w:r>
        <w:rPr>
          <w:rFonts w:hint="eastAsia" w:ascii="宋体" w:hAnsi="宋体" w:cs="宋体"/>
          <w:b/>
          <w:bCs/>
          <w:szCs w:val="16"/>
        </w:rPr>
        <w:t>四、采购工程量清单及图纸</w:t>
      </w:r>
    </w:p>
    <w:p w14:paraId="7293B99C">
      <w:pPr>
        <w:spacing w:line="360" w:lineRule="auto"/>
        <w:ind w:firstLine="420"/>
        <w:rPr>
          <w:rFonts w:hint="eastAsia" w:ascii="宋体" w:hAnsi="宋体" w:cs="宋体"/>
          <w:szCs w:val="16"/>
        </w:rPr>
      </w:pPr>
      <w:r>
        <w:rPr>
          <w:rFonts w:hint="eastAsia" w:ascii="宋体" w:hAnsi="宋体" w:cs="宋体"/>
          <w:szCs w:val="16"/>
        </w:rPr>
        <w:t>登录百度网盘下载</w:t>
      </w:r>
    </w:p>
    <w:p w14:paraId="6869247F">
      <w:pPr>
        <w:spacing w:line="360" w:lineRule="auto"/>
        <w:ind w:firstLine="420"/>
        <w:rPr>
          <w:rFonts w:hint="eastAsia" w:ascii="宋体" w:hAnsi="宋体" w:cs="宋体"/>
          <w:szCs w:val="16"/>
        </w:rPr>
      </w:pPr>
      <w:r>
        <w:rPr>
          <w:rFonts w:hint="eastAsia" w:ascii="宋体" w:hAnsi="宋体" w:cs="宋体"/>
          <w:szCs w:val="16"/>
        </w:rPr>
        <w:t xml:space="preserve">链接: </w:t>
      </w:r>
      <w:r>
        <w:rPr>
          <w:rFonts w:hint="eastAsia" w:ascii="宋体" w:hAnsi="宋体" w:cs="宋体"/>
          <w:szCs w:val="16"/>
        </w:rPr>
        <w:fldChar w:fldCharType="begin"/>
      </w:r>
      <w:r>
        <w:rPr>
          <w:rFonts w:hint="eastAsia" w:ascii="宋体" w:hAnsi="宋体" w:cs="宋体"/>
          <w:szCs w:val="16"/>
        </w:rPr>
        <w:instrText xml:space="preserve"> HYPERLINK "https://pan.baidu.com/s/16JEK6Vj_JTLvP-sufoiy_g" </w:instrText>
      </w:r>
      <w:r>
        <w:rPr>
          <w:rFonts w:hint="eastAsia" w:ascii="宋体" w:hAnsi="宋体" w:cs="宋体"/>
          <w:szCs w:val="16"/>
        </w:rPr>
        <w:fldChar w:fldCharType="separate"/>
      </w:r>
      <w:r>
        <w:rPr>
          <w:rStyle w:val="32"/>
          <w:rFonts w:hint="eastAsia" w:ascii="宋体" w:hAnsi="宋体" w:cs="宋体"/>
          <w:szCs w:val="16"/>
        </w:rPr>
        <w:t>https://pan.baidu.com/s/16JEK6Vj_JTLvP-sufoiy_g</w:t>
      </w:r>
      <w:r>
        <w:rPr>
          <w:rFonts w:hint="eastAsia" w:ascii="宋体" w:hAnsi="宋体" w:cs="宋体"/>
          <w:szCs w:val="16"/>
        </w:rPr>
        <w:fldChar w:fldCharType="end"/>
      </w:r>
    </w:p>
    <w:p w14:paraId="498923CF">
      <w:pPr>
        <w:spacing w:line="360" w:lineRule="auto"/>
        <w:ind w:firstLine="420"/>
        <w:rPr>
          <w:rFonts w:hint="eastAsia" w:ascii="宋体" w:hAnsi="宋体" w:cs="宋体"/>
          <w:szCs w:val="16"/>
        </w:rPr>
      </w:pPr>
      <w:r>
        <w:rPr>
          <w:rFonts w:hint="eastAsia" w:ascii="宋体" w:hAnsi="宋体" w:cs="宋体"/>
          <w:szCs w:val="16"/>
        </w:rPr>
        <w:t>提取码: u2ki</w:t>
      </w:r>
    </w:p>
    <w:p w14:paraId="7CB688E1">
      <w:pPr>
        <w:pStyle w:val="137"/>
        <w:spacing w:before="0" w:after="0" w:line="360" w:lineRule="auto"/>
        <w:jc w:val="left"/>
        <w:rPr>
          <w:rFonts w:hint="eastAsia" w:ascii="宋体" w:hAnsi="宋体" w:cs="宋体"/>
          <w:sz w:val="21"/>
          <w:szCs w:val="16"/>
        </w:rPr>
      </w:pPr>
      <w:r>
        <w:rPr>
          <w:rFonts w:hint="eastAsia" w:ascii="宋体" w:hAnsi="宋体" w:cs="宋体"/>
          <w:sz w:val="21"/>
          <w:szCs w:val="16"/>
        </w:rPr>
        <w:t>五、商务要求</w:t>
      </w:r>
    </w:p>
    <w:p w14:paraId="76DE86F3">
      <w:pPr>
        <w:spacing w:line="360" w:lineRule="auto"/>
        <w:ind w:firstLine="210"/>
        <w:rPr>
          <w:rFonts w:hint="eastAsia" w:ascii="宋体" w:hAnsi="宋体" w:cs="宋体"/>
          <w:szCs w:val="16"/>
        </w:rPr>
      </w:pPr>
      <w:r>
        <w:rPr>
          <w:rFonts w:hint="eastAsia" w:ascii="宋体" w:hAnsi="宋体" w:cs="宋体"/>
          <w:szCs w:val="16"/>
        </w:rPr>
        <w:t>1.合同价款支付</w:t>
      </w:r>
    </w:p>
    <w:p w14:paraId="468680EA">
      <w:pPr>
        <w:spacing w:line="360" w:lineRule="auto"/>
        <w:ind w:firstLine="420"/>
        <w:rPr>
          <w:rFonts w:hint="eastAsia" w:ascii="宋体" w:hAnsi="宋体" w:cs="宋体"/>
          <w:szCs w:val="16"/>
        </w:rPr>
      </w:pPr>
      <w:r>
        <w:rPr>
          <w:rFonts w:hint="eastAsia" w:ascii="宋体" w:hAnsi="宋体" w:cs="宋体"/>
          <w:szCs w:val="16"/>
        </w:rPr>
        <w:t>（1）合同签订后，发包人向承包人支付合同总价30%的预付款；</w:t>
      </w:r>
    </w:p>
    <w:p w14:paraId="60BB71C8">
      <w:pPr>
        <w:spacing w:line="360" w:lineRule="auto"/>
        <w:ind w:firstLine="420"/>
        <w:rPr>
          <w:rFonts w:hint="eastAsia" w:ascii="宋体" w:hAnsi="宋体" w:cs="宋体"/>
          <w:szCs w:val="16"/>
        </w:rPr>
      </w:pPr>
      <w:r>
        <w:rPr>
          <w:rFonts w:hint="eastAsia" w:ascii="宋体" w:hAnsi="宋体" w:cs="宋体"/>
          <w:szCs w:val="16"/>
        </w:rPr>
        <w:t>（2）工程完工验收合格待所有资料移交发包人后，付至合同总价（扣除暂列金及专业工程暂估价）的70%；</w:t>
      </w:r>
    </w:p>
    <w:p w14:paraId="23333504">
      <w:pPr>
        <w:spacing w:line="360" w:lineRule="auto"/>
        <w:ind w:firstLine="420"/>
        <w:rPr>
          <w:rFonts w:hint="eastAsia" w:ascii="宋体" w:hAnsi="宋体" w:cs="宋体"/>
          <w:szCs w:val="16"/>
        </w:rPr>
      </w:pPr>
      <w:r>
        <w:rPr>
          <w:rFonts w:hint="eastAsia" w:ascii="宋体" w:hAnsi="宋体" w:cs="宋体"/>
          <w:szCs w:val="16"/>
        </w:rPr>
        <w:t>（3）承包人提供竣工结算报告及完整的结算资料，发包人组织结算及审计，审计完成后付至工程审定价款的97%；</w:t>
      </w:r>
    </w:p>
    <w:p w14:paraId="2641A311">
      <w:pPr>
        <w:spacing w:line="360" w:lineRule="auto"/>
        <w:ind w:firstLine="420"/>
        <w:rPr>
          <w:rFonts w:hint="eastAsia" w:ascii="宋体" w:hAnsi="宋体" w:cs="宋体"/>
          <w:szCs w:val="16"/>
        </w:rPr>
      </w:pPr>
      <w:r>
        <w:rPr>
          <w:rFonts w:hint="eastAsia" w:ascii="宋体" w:hAnsi="宋体" w:cs="宋体"/>
          <w:szCs w:val="16"/>
        </w:rPr>
        <w:t>（4）剩余3%，待质保期满后无息付清。</w:t>
      </w:r>
    </w:p>
    <w:p w14:paraId="46FAA3AD">
      <w:pPr>
        <w:spacing w:line="360" w:lineRule="auto"/>
        <w:ind w:firstLine="420"/>
        <w:rPr>
          <w:rFonts w:hint="eastAsia" w:ascii="宋体" w:hAnsi="宋体" w:cs="宋体"/>
          <w:szCs w:val="16"/>
        </w:rPr>
      </w:pPr>
      <w:r>
        <w:rPr>
          <w:rFonts w:hint="eastAsia" w:ascii="宋体" w:hAnsi="宋体" w:cs="宋体"/>
          <w:szCs w:val="16"/>
        </w:rPr>
        <w:t>备注：每次付款前，承包人应提供当地税务部门认可的等额正规发票，否则发包人有权延期支付相应款项。</w:t>
      </w:r>
    </w:p>
    <w:p w14:paraId="78DD66FB">
      <w:pPr>
        <w:pStyle w:val="92"/>
        <w:spacing w:line="360" w:lineRule="auto"/>
        <w:ind w:firstLine="210"/>
        <w:rPr>
          <w:rFonts w:hint="eastAsia" w:ascii="宋体" w:hAnsi="宋体" w:cs="宋体"/>
          <w:bCs/>
          <w:sz w:val="21"/>
          <w:szCs w:val="21"/>
        </w:rPr>
      </w:pPr>
      <w:r>
        <w:rPr>
          <w:rFonts w:hint="eastAsia" w:ascii="宋体" w:hAnsi="宋体" w:cs="宋体"/>
          <w:bCs/>
          <w:sz w:val="21"/>
          <w:szCs w:val="21"/>
        </w:rPr>
        <w:t>2.履约保证金</w:t>
      </w:r>
    </w:p>
    <w:p w14:paraId="66AE2448">
      <w:pPr>
        <w:pStyle w:val="92"/>
        <w:spacing w:line="360" w:lineRule="auto"/>
        <w:ind w:firstLine="420"/>
        <w:rPr>
          <w:rFonts w:hint="eastAsia" w:ascii="宋体" w:hAnsi="宋体" w:cs="宋体"/>
          <w:bCs/>
          <w:sz w:val="21"/>
          <w:szCs w:val="21"/>
        </w:rPr>
      </w:pPr>
      <w:r>
        <w:rPr>
          <w:rFonts w:hint="eastAsia" w:ascii="宋体" w:hAnsi="宋体" w:cs="宋体"/>
          <w:bCs/>
          <w:sz w:val="21"/>
          <w:szCs w:val="21"/>
        </w:rPr>
        <w:t>（1）履约担保的形式：履约保证金应以公对公转账的方式缴纳</w:t>
      </w:r>
    </w:p>
    <w:p w14:paraId="02250D97">
      <w:pPr>
        <w:pStyle w:val="92"/>
        <w:spacing w:line="360" w:lineRule="auto"/>
        <w:ind w:firstLine="420"/>
        <w:rPr>
          <w:rFonts w:hint="eastAsia" w:ascii="宋体" w:hAnsi="宋体" w:cs="宋体"/>
          <w:bCs/>
          <w:sz w:val="21"/>
          <w:szCs w:val="21"/>
        </w:rPr>
      </w:pPr>
      <w:r>
        <w:rPr>
          <w:rFonts w:hint="eastAsia" w:ascii="宋体" w:hAnsi="宋体" w:cs="宋体"/>
          <w:bCs/>
          <w:sz w:val="21"/>
          <w:szCs w:val="21"/>
        </w:rPr>
        <w:t>（2）履约担保的金额：</w:t>
      </w:r>
      <w:r>
        <w:rPr>
          <w:rFonts w:hint="eastAsia"/>
        </w:rPr>
        <w:t>合同金额的5%</w:t>
      </w:r>
    </w:p>
    <w:p w14:paraId="52AEE040">
      <w:pPr>
        <w:pStyle w:val="92"/>
        <w:spacing w:line="360" w:lineRule="auto"/>
        <w:ind w:firstLine="420"/>
        <w:rPr>
          <w:rFonts w:hint="eastAsia" w:ascii="宋体" w:hAnsi="宋体" w:cs="宋体"/>
          <w:bCs/>
          <w:sz w:val="21"/>
          <w:szCs w:val="21"/>
        </w:rPr>
      </w:pPr>
      <w:r>
        <w:rPr>
          <w:rFonts w:hint="eastAsia" w:ascii="宋体" w:hAnsi="宋体" w:cs="宋体"/>
          <w:bCs/>
          <w:sz w:val="21"/>
          <w:szCs w:val="21"/>
        </w:rPr>
        <w:t>成交供应商在收到成交通知书后，合同签订之前，须向采购人足额提交履约保证金，否则采购人可以取消其成交资格。</w:t>
      </w:r>
    </w:p>
    <w:p w14:paraId="7B11E75B">
      <w:pPr>
        <w:pStyle w:val="92"/>
        <w:spacing w:line="360" w:lineRule="auto"/>
        <w:ind w:firstLine="420"/>
        <w:rPr>
          <w:rFonts w:hint="eastAsia" w:ascii="宋体" w:hAnsi="宋体" w:cs="宋体"/>
          <w:bCs/>
          <w:sz w:val="21"/>
          <w:szCs w:val="21"/>
        </w:rPr>
      </w:pPr>
      <w:r>
        <w:rPr>
          <w:rFonts w:hint="eastAsia" w:ascii="宋体" w:hAnsi="宋体" w:cs="宋体"/>
          <w:bCs/>
          <w:sz w:val="21"/>
          <w:szCs w:val="21"/>
        </w:rPr>
        <w:t>（3）履约保证金的退还：项目完成并验收合格后，成交供应商凭采购人使用部门同意退还履约保证金的证明、汇款凭证到采购人财务处办理履约保证金退还手续(无息退还)。</w:t>
      </w:r>
    </w:p>
    <w:p w14:paraId="27FC9E92">
      <w:pPr>
        <w:pStyle w:val="92"/>
        <w:spacing w:line="360" w:lineRule="auto"/>
        <w:ind w:firstLine="420"/>
        <w:rPr>
          <w:rFonts w:hint="eastAsia" w:ascii="宋体" w:hAnsi="宋体" w:cs="宋体"/>
          <w:bCs/>
          <w:sz w:val="21"/>
          <w:szCs w:val="21"/>
        </w:rPr>
      </w:pPr>
      <w:r>
        <w:rPr>
          <w:rFonts w:hint="eastAsia" w:ascii="宋体" w:hAnsi="宋体" w:cs="宋体"/>
          <w:bCs/>
          <w:sz w:val="21"/>
          <w:szCs w:val="21"/>
        </w:rPr>
        <w:t>开户名称：江苏卫生健康职业学院</w:t>
      </w:r>
    </w:p>
    <w:p w14:paraId="06347B2F">
      <w:pPr>
        <w:pStyle w:val="92"/>
        <w:spacing w:line="360" w:lineRule="auto"/>
        <w:ind w:firstLine="420"/>
        <w:rPr>
          <w:rFonts w:hint="eastAsia" w:ascii="宋体" w:hAnsi="宋体" w:cs="宋体"/>
          <w:bCs/>
          <w:sz w:val="21"/>
          <w:szCs w:val="21"/>
        </w:rPr>
      </w:pPr>
      <w:r>
        <w:rPr>
          <w:rFonts w:hint="eastAsia" w:ascii="宋体" w:hAnsi="宋体" w:cs="宋体"/>
          <w:bCs/>
          <w:sz w:val="21"/>
          <w:szCs w:val="21"/>
        </w:rPr>
        <w:t>开 户 行：中国工商银行南京江北新区分行</w:t>
      </w:r>
    </w:p>
    <w:p w14:paraId="7AB80BE8">
      <w:pPr>
        <w:pStyle w:val="92"/>
        <w:spacing w:line="360" w:lineRule="auto"/>
        <w:ind w:firstLine="420"/>
        <w:rPr>
          <w:rFonts w:hint="eastAsia" w:ascii="宋体" w:hAnsi="宋体" w:cs="宋体"/>
          <w:bCs/>
          <w:sz w:val="21"/>
          <w:szCs w:val="21"/>
        </w:rPr>
      </w:pPr>
      <w:r>
        <w:rPr>
          <w:rFonts w:hint="eastAsia" w:ascii="宋体" w:hAnsi="宋体" w:cs="宋体"/>
          <w:bCs/>
          <w:sz w:val="21"/>
          <w:szCs w:val="21"/>
        </w:rPr>
        <w:t>账   号：4301015619100120908</w:t>
      </w:r>
    </w:p>
    <w:p w14:paraId="3FB994DE">
      <w:pPr>
        <w:pStyle w:val="92"/>
        <w:spacing w:line="360" w:lineRule="auto"/>
        <w:ind w:firstLine="420"/>
        <w:rPr>
          <w:rFonts w:hint="eastAsia" w:ascii="宋体" w:hAnsi="宋体" w:cs="宋体"/>
          <w:bCs/>
          <w:sz w:val="21"/>
          <w:szCs w:val="21"/>
        </w:rPr>
      </w:pPr>
      <w:r>
        <w:rPr>
          <w:rFonts w:hint="eastAsia" w:ascii="宋体" w:hAnsi="宋体" w:cs="宋体"/>
          <w:bCs/>
          <w:sz w:val="21"/>
          <w:szCs w:val="21"/>
        </w:rPr>
        <w:t>行号：102301000534</w:t>
      </w:r>
    </w:p>
    <w:p w14:paraId="07601FFD">
      <w:pPr>
        <w:spacing w:line="360" w:lineRule="auto"/>
        <w:ind w:firstLine="420"/>
        <w:rPr>
          <w:rFonts w:hint="eastAsia" w:ascii="宋体" w:hAnsi="宋体" w:cs="宋体"/>
          <w:szCs w:val="16"/>
        </w:rPr>
      </w:pPr>
      <w:r>
        <w:rPr>
          <w:rFonts w:hint="eastAsia" w:ascii="宋体" w:hAnsi="宋体" w:cs="宋体"/>
          <w:bCs/>
          <w:szCs w:val="21"/>
        </w:rPr>
        <w:t>特别提醒:向此账户转账烦请备注汇款事由(备注清楚项目名称及项目编号)</w:t>
      </w:r>
    </w:p>
    <w:p w14:paraId="53448856">
      <w:pPr>
        <w:spacing w:line="360" w:lineRule="auto"/>
        <w:ind w:firstLine="210"/>
        <w:rPr>
          <w:rFonts w:hint="eastAsia" w:ascii="宋体" w:hAnsi="宋体" w:cs="宋体"/>
          <w:szCs w:val="16"/>
        </w:rPr>
      </w:pPr>
      <w:r>
        <w:rPr>
          <w:rFonts w:hint="eastAsia" w:ascii="宋体" w:hAnsi="宋体" w:cs="宋体"/>
          <w:szCs w:val="16"/>
        </w:rPr>
        <w:t>4.质量保修期</w:t>
      </w:r>
    </w:p>
    <w:p w14:paraId="205B0775">
      <w:pPr>
        <w:pStyle w:val="301"/>
        <w:ind w:firstLine="420"/>
        <w:rPr>
          <w:rFonts w:hint="eastAsia" w:hAnsi="宋体" w:cs="宋体"/>
          <w:sz w:val="21"/>
          <w:szCs w:val="16"/>
        </w:rPr>
      </w:pPr>
      <w:r>
        <w:rPr>
          <w:rFonts w:hint="eastAsia" w:hAnsi="宋体" w:cs="宋体"/>
          <w:sz w:val="21"/>
          <w:szCs w:val="16"/>
        </w:rPr>
        <w:t>根据《建设工程质量管理条例》及有关规定，工程的质量保修期如下：</w:t>
      </w:r>
    </w:p>
    <w:p w14:paraId="5CA76EB6">
      <w:pPr>
        <w:pStyle w:val="301"/>
        <w:ind w:firstLine="420"/>
        <w:rPr>
          <w:rFonts w:hint="eastAsia" w:hAnsi="宋体" w:cs="宋体"/>
          <w:sz w:val="21"/>
          <w:szCs w:val="16"/>
        </w:rPr>
      </w:pPr>
      <w:r>
        <w:rPr>
          <w:rFonts w:hint="eastAsia" w:hAnsi="宋体" w:cs="宋体"/>
          <w:sz w:val="21"/>
          <w:szCs w:val="16"/>
        </w:rPr>
        <w:t>（1）地基基础工程和主体结构工程为设计文件规定的工程合理使用年限；</w:t>
      </w:r>
    </w:p>
    <w:p w14:paraId="4BCBBD39">
      <w:pPr>
        <w:pStyle w:val="301"/>
        <w:ind w:firstLine="420"/>
        <w:rPr>
          <w:rFonts w:hint="eastAsia" w:hAnsi="宋体" w:cs="宋体"/>
          <w:sz w:val="21"/>
          <w:szCs w:val="16"/>
        </w:rPr>
      </w:pPr>
      <w:r>
        <w:rPr>
          <w:rFonts w:hint="eastAsia" w:hAnsi="宋体" w:cs="宋体"/>
          <w:sz w:val="21"/>
          <w:szCs w:val="16"/>
        </w:rPr>
        <w:t>（2）屋面防水工程、有防水要求的卫生间、房间和外墙面的防渗为5年；</w:t>
      </w:r>
    </w:p>
    <w:p w14:paraId="31A32A22">
      <w:pPr>
        <w:pStyle w:val="301"/>
        <w:ind w:firstLine="420"/>
        <w:rPr>
          <w:rFonts w:hint="eastAsia" w:hAnsi="宋体" w:cs="宋体"/>
          <w:sz w:val="21"/>
          <w:szCs w:val="16"/>
        </w:rPr>
      </w:pPr>
      <w:r>
        <w:rPr>
          <w:rFonts w:hint="eastAsia" w:hAnsi="宋体" w:cs="宋体"/>
          <w:sz w:val="21"/>
          <w:szCs w:val="16"/>
        </w:rPr>
        <w:t>（3）装修工程为2年；</w:t>
      </w:r>
    </w:p>
    <w:p w14:paraId="74EACFF3">
      <w:pPr>
        <w:pStyle w:val="301"/>
        <w:ind w:firstLine="420"/>
        <w:rPr>
          <w:rFonts w:hint="eastAsia" w:hAnsi="宋体" w:cs="宋体"/>
          <w:sz w:val="21"/>
          <w:szCs w:val="16"/>
        </w:rPr>
      </w:pPr>
      <w:r>
        <w:rPr>
          <w:rFonts w:hint="eastAsia" w:hAnsi="宋体" w:cs="宋体"/>
          <w:sz w:val="21"/>
          <w:szCs w:val="16"/>
        </w:rPr>
        <w:t>（4）电气管线、给排水管道、设备安装工程为2年；</w:t>
      </w:r>
    </w:p>
    <w:p w14:paraId="3CC100CD">
      <w:pPr>
        <w:pStyle w:val="301"/>
        <w:ind w:firstLine="420"/>
        <w:rPr>
          <w:rFonts w:hint="eastAsia" w:hAnsi="宋体" w:cs="宋体"/>
          <w:sz w:val="21"/>
          <w:szCs w:val="16"/>
        </w:rPr>
      </w:pPr>
      <w:r>
        <w:rPr>
          <w:rFonts w:hint="eastAsia" w:hAnsi="宋体" w:cs="宋体"/>
          <w:sz w:val="21"/>
          <w:szCs w:val="16"/>
        </w:rPr>
        <w:t>（5）供热与供冷系统为2个采暖期、供冷期；</w:t>
      </w:r>
    </w:p>
    <w:p w14:paraId="5966E439">
      <w:pPr>
        <w:pStyle w:val="301"/>
        <w:ind w:firstLine="420"/>
        <w:rPr>
          <w:rFonts w:hint="eastAsia" w:hAnsi="宋体" w:cs="宋体"/>
          <w:sz w:val="21"/>
          <w:szCs w:val="16"/>
        </w:rPr>
      </w:pPr>
      <w:r>
        <w:rPr>
          <w:rFonts w:hint="eastAsia" w:hAnsi="宋体" w:cs="宋体"/>
          <w:sz w:val="21"/>
          <w:szCs w:val="16"/>
        </w:rPr>
        <w:t>（6）住宅小区内的给排水设施、道路等配套工程为2年；</w:t>
      </w:r>
    </w:p>
    <w:p w14:paraId="3DA19B82">
      <w:pPr>
        <w:pStyle w:val="301"/>
        <w:ind w:firstLine="420"/>
        <w:rPr>
          <w:rFonts w:hint="eastAsia" w:hAnsi="宋体" w:cs="宋体"/>
          <w:sz w:val="21"/>
          <w:szCs w:val="16"/>
        </w:rPr>
      </w:pPr>
      <w:r>
        <w:rPr>
          <w:rFonts w:hint="eastAsia" w:hAnsi="宋体" w:cs="宋体"/>
          <w:sz w:val="21"/>
          <w:szCs w:val="16"/>
        </w:rPr>
        <w:t>（7）其他项目保修期限约定如下：执行国家及江苏省南京市的有关规定。</w:t>
      </w:r>
    </w:p>
    <w:p w14:paraId="47CC5D6E">
      <w:pPr>
        <w:pStyle w:val="301"/>
        <w:ind w:firstLine="420"/>
        <w:rPr>
          <w:rFonts w:hint="eastAsia" w:hAnsi="宋体" w:cs="宋体"/>
          <w:sz w:val="21"/>
          <w:szCs w:val="16"/>
        </w:rPr>
      </w:pPr>
      <w:r>
        <w:rPr>
          <w:rFonts w:hint="eastAsia" w:hAnsi="宋体" w:cs="宋体"/>
          <w:sz w:val="21"/>
          <w:szCs w:val="16"/>
        </w:rPr>
        <w:t>质量保修期自工程竣工验收合格之日起计算。</w:t>
      </w:r>
    </w:p>
    <w:p w14:paraId="5DD45ADB">
      <w:pPr>
        <w:pStyle w:val="137"/>
        <w:spacing w:before="0" w:after="0" w:line="360" w:lineRule="auto"/>
        <w:jc w:val="left"/>
        <w:rPr>
          <w:rFonts w:hint="eastAsia" w:ascii="宋体" w:hAnsi="宋体" w:cs="宋体"/>
          <w:sz w:val="21"/>
          <w:szCs w:val="16"/>
        </w:rPr>
      </w:pPr>
      <w:r>
        <w:rPr>
          <w:rFonts w:hint="eastAsia" w:ascii="宋体" w:hAnsi="宋体" w:cs="宋体"/>
          <w:sz w:val="21"/>
          <w:szCs w:val="16"/>
        </w:rPr>
        <w:t>六、勘察现场或答疑：</w:t>
      </w:r>
    </w:p>
    <w:p w14:paraId="08464D1B">
      <w:pPr>
        <w:spacing w:line="360" w:lineRule="auto"/>
        <w:ind w:firstLine="420"/>
        <w:rPr>
          <w:rFonts w:hint="eastAsia" w:ascii="宋体" w:hAnsi="宋体" w:cs="宋体"/>
          <w:szCs w:val="21"/>
        </w:rPr>
      </w:pPr>
      <w:r>
        <w:rPr>
          <w:rFonts w:hint="eastAsia" w:ascii="宋体" w:hAnsi="宋体" w:cs="宋体"/>
        </w:rPr>
        <w:t>本项目不组织集中踏勘，但各供应商自行勘察现场。</w:t>
      </w:r>
      <w:r>
        <w:rPr>
          <w:rFonts w:hint="eastAsia" w:ascii="宋体" w:hAnsi="宋体" w:cs="宋体"/>
          <w:szCs w:val="21"/>
        </w:rPr>
        <w:t>未勘察现场或勘察工作不详细的供应商</w:t>
      </w:r>
      <w:r>
        <w:rPr>
          <w:rFonts w:hint="eastAsia" w:ascii="宋体" w:hAnsi="宋体" w:cs="宋体"/>
          <w:szCs w:val="21"/>
          <w:lang w:val="en-US" w:eastAsia="zh-CN"/>
        </w:rPr>
        <w:t>成交</w:t>
      </w:r>
      <w:r>
        <w:rPr>
          <w:rFonts w:hint="eastAsia" w:ascii="宋体" w:hAnsi="宋体" w:cs="宋体"/>
          <w:szCs w:val="21"/>
        </w:rPr>
        <w:t>后，不得以不完全了解现场情况为理由而向采购人提出任何索赔或其他要求，对此采购人不承担任何责任并将不作任何答复。如需现场勘查，可自行联系采购人，联系人：</w:t>
      </w:r>
      <w:r>
        <w:rPr>
          <w:rFonts w:hint="eastAsia" w:ascii="宋体" w:hAnsi="宋体" w:cs="宋体"/>
          <w:szCs w:val="21"/>
          <w:lang w:val="en-US" w:eastAsia="zh-CN"/>
        </w:rPr>
        <w:t>朱老师</w:t>
      </w:r>
      <w:r>
        <w:rPr>
          <w:rFonts w:hint="eastAsia" w:ascii="宋体" w:hAnsi="宋体" w:cs="宋体"/>
          <w:szCs w:val="21"/>
        </w:rPr>
        <w:t>，联系电话：13851702798。（踏勘时间为</w:t>
      </w:r>
      <w:r>
        <w:rPr>
          <w:rFonts w:hint="eastAsia" w:ascii="宋体" w:hAnsi="宋体" w:cs="宋体"/>
          <w:szCs w:val="21"/>
          <w:lang w:val="en-US" w:eastAsia="zh-CN"/>
        </w:rPr>
        <w:t>响应文件提交</w:t>
      </w:r>
      <w:r>
        <w:rPr>
          <w:rFonts w:hint="eastAsia" w:ascii="宋体" w:hAnsi="宋体" w:cs="宋体"/>
          <w:szCs w:val="21"/>
        </w:rPr>
        <w:t>截止时间前3日，过时不候）</w:t>
      </w:r>
    </w:p>
    <w:p w14:paraId="28703869">
      <w:pPr>
        <w:pStyle w:val="137"/>
        <w:spacing w:before="0" w:after="0" w:line="360" w:lineRule="auto"/>
        <w:jc w:val="left"/>
        <w:rPr>
          <w:rFonts w:hint="eastAsia" w:ascii="宋体" w:hAnsi="宋体" w:cs="宋体"/>
          <w:sz w:val="21"/>
          <w:szCs w:val="16"/>
        </w:rPr>
      </w:pPr>
      <w:r>
        <w:rPr>
          <w:rFonts w:hint="eastAsia" w:ascii="宋体" w:hAnsi="宋体" w:cs="宋体"/>
          <w:sz w:val="21"/>
          <w:szCs w:val="16"/>
        </w:rPr>
        <w:t>七、主要设备材料推荐品牌</w:t>
      </w:r>
    </w:p>
    <w:p w14:paraId="3DE5616A">
      <w:pPr>
        <w:pStyle w:val="375"/>
        <w:spacing w:line="360" w:lineRule="auto"/>
        <w:ind w:firstLine="420"/>
        <w:jc w:val="left"/>
        <w:rPr>
          <w:rFonts w:hint="eastAsia" w:ascii="宋体" w:hAnsi="宋体" w:cs="宋体"/>
          <w:szCs w:val="21"/>
        </w:rPr>
      </w:pPr>
      <w:r>
        <w:rPr>
          <w:rFonts w:hint="eastAsia" w:ascii="宋体" w:hAnsi="宋体" w:cs="宋体"/>
          <w:szCs w:val="21"/>
        </w:rPr>
        <w:t>以下品牌为推荐品牌，仅供参考，供应商可选择相当于或优于所列品牌技术标准的其他品牌。对</w:t>
      </w:r>
      <w:r>
        <w:rPr>
          <w:rFonts w:hint="eastAsia" w:ascii="宋体" w:hAnsi="宋体" w:cs="宋体"/>
          <w:szCs w:val="21"/>
          <w:lang w:val="en-US" w:eastAsia="zh-CN"/>
        </w:rPr>
        <w:t>采购人</w:t>
      </w:r>
      <w:r>
        <w:rPr>
          <w:rFonts w:hint="eastAsia" w:ascii="宋体" w:hAnsi="宋体" w:cs="宋体"/>
          <w:szCs w:val="21"/>
        </w:rPr>
        <w:t>未包含在此表内的材料设备，</w:t>
      </w:r>
      <w:r>
        <w:rPr>
          <w:rFonts w:hint="eastAsia" w:ascii="宋体" w:hAnsi="宋体" w:cs="宋体"/>
          <w:szCs w:val="21"/>
          <w:lang w:val="en-US" w:eastAsia="zh-CN"/>
        </w:rPr>
        <w:t>供应商</w:t>
      </w:r>
      <w:r>
        <w:rPr>
          <w:rFonts w:hint="eastAsia" w:ascii="宋体" w:hAnsi="宋体" w:cs="宋体"/>
          <w:szCs w:val="21"/>
        </w:rPr>
        <w:t>在实际施工时，须报</w:t>
      </w:r>
      <w:r>
        <w:rPr>
          <w:rFonts w:hint="eastAsia" w:ascii="宋体" w:hAnsi="宋体" w:cs="宋体"/>
          <w:szCs w:val="21"/>
          <w:lang w:val="en-US" w:eastAsia="zh-CN"/>
        </w:rPr>
        <w:t>采购人</w:t>
      </w:r>
      <w:r>
        <w:rPr>
          <w:rFonts w:hint="eastAsia" w:ascii="宋体" w:hAnsi="宋体" w:cs="宋体"/>
          <w:szCs w:val="21"/>
        </w:rPr>
        <w:t>确认后采购实施。</w:t>
      </w:r>
    </w:p>
    <w:tbl>
      <w:tblPr>
        <w:tblStyle w:val="144"/>
        <w:tblW w:w="87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62"/>
        <w:gridCol w:w="2252"/>
        <w:gridCol w:w="3544"/>
        <w:gridCol w:w="2081"/>
      </w:tblGrid>
      <w:tr w14:paraId="7F4CB0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62" w:type="dxa"/>
            <w:noWrap w:val="0"/>
            <w:vAlign w:val="center"/>
          </w:tcPr>
          <w:p w14:paraId="30C909F2">
            <w:pPr>
              <w:pStyle w:val="374"/>
              <w:spacing w:line="360" w:lineRule="exact"/>
              <w:jc w:val="center"/>
              <w:rPr>
                <w:rFonts w:hint="eastAsia" w:ascii="宋体" w:hAnsi="宋体" w:cs="宋体"/>
                <w:color w:val="000000"/>
                <w:szCs w:val="21"/>
              </w:rPr>
            </w:pPr>
            <w:r>
              <w:rPr>
                <w:rFonts w:hint="eastAsia" w:ascii="宋体" w:hAnsi="宋体" w:cs="宋体"/>
                <w:color w:val="000000"/>
                <w:szCs w:val="21"/>
              </w:rPr>
              <w:t>序号</w:t>
            </w:r>
          </w:p>
        </w:tc>
        <w:tc>
          <w:tcPr>
            <w:tcW w:w="2252" w:type="dxa"/>
            <w:noWrap w:val="0"/>
            <w:vAlign w:val="center"/>
          </w:tcPr>
          <w:p w14:paraId="0DB1A9FC">
            <w:pPr>
              <w:pStyle w:val="374"/>
              <w:spacing w:line="360" w:lineRule="exact"/>
              <w:jc w:val="center"/>
              <w:rPr>
                <w:rFonts w:hint="eastAsia" w:ascii="宋体" w:hAnsi="宋体" w:cs="宋体"/>
                <w:color w:val="000000"/>
                <w:szCs w:val="21"/>
              </w:rPr>
            </w:pPr>
            <w:r>
              <w:rPr>
                <w:rFonts w:hint="eastAsia" w:ascii="宋体" w:hAnsi="宋体" w:cs="宋体"/>
                <w:color w:val="000000"/>
                <w:szCs w:val="21"/>
                <w:lang w:val="en-US" w:eastAsia="zh-CN"/>
              </w:rPr>
              <w:t>名称</w:t>
            </w:r>
          </w:p>
        </w:tc>
        <w:tc>
          <w:tcPr>
            <w:tcW w:w="3544" w:type="dxa"/>
            <w:noWrap w:val="0"/>
            <w:vAlign w:val="center"/>
          </w:tcPr>
          <w:p w14:paraId="15CFA13B">
            <w:pPr>
              <w:pStyle w:val="374"/>
              <w:spacing w:line="360" w:lineRule="exact"/>
              <w:jc w:val="center"/>
              <w:rPr>
                <w:rFonts w:hint="eastAsia" w:ascii="宋体" w:hAnsi="宋体" w:cs="宋体"/>
                <w:color w:val="000000"/>
                <w:szCs w:val="21"/>
              </w:rPr>
            </w:pPr>
            <w:r>
              <w:rPr>
                <w:rFonts w:hint="eastAsia" w:ascii="宋体" w:hAnsi="宋体" w:cs="宋体"/>
                <w:color w:val="000000"/>
                <w:szCs w:val="21"/>
              </w:rPr>
              <w:t>推荐品牌</w:t>
            </w:r>
          </w:p>
        </w:tc>
        <w:tc>
          <w:tcPr>
            <w:tcW w:w="2081" w:type="dxa"/>
            <w:noWrap w:val="0"/>
            <w:vAlign w:val="center"/>
          </w:tcPr>
          <w:p w14:paraId="620B641F">
            <w:pPr>
              <w:pStyle w:val="374"/>
              <w:spacing w:line="360" w:lineRule="exact"/>
              <w:jc w:val="center"/>
              <w:rPr>
                <w:rFonts w:hint="eastAsia" w:ascii="宋体" w:hAnsi="宋体" w:cs="宋体"/>
                <w:color w:val="000000"/>
                <w:szCs w:val="21"/>
              </w:rPr>
            </w:pPr>
            <w:r>
              <w:rPr>
                <w:rFonts w:hint="eastAsia" w:ascii="宋体" w:hAnsi="宋体" w:cs="宋体"/>
                <w:color w:val="000000"/>
                <w:szCs w:val="21"/>
              </w:rPr>
              <w:t>备注</w:t>
            </w:r>
          </w:p>
        </w:tc>
      </w:tr>
      <w:tr w14:paraId="35B052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62" w:type="dxa"/>
            <w:noWrap w:val="0"/>
            <w:vAlign w:val="center"/>
          </w:tcPr>
          <w:p w14:paraId="078C27BA">
            <w:pPr>
              <w:pStyle w:val="374"/>
              <w:spacing w:line="360" w:lineRule="exact"/>
              <w:jc w:val="center"/>
              <w:rPr>
                <w:rFonts w:hint="eastAsia" w:ascii="宋体" w:hAnsi="宋体" w:cs="宋体"/>
                <w:color w:val="000000"/>
                <w:szCs w:val="21"/>
              </w:rPr>
            </w:pPr>
            <w:r>
              <w:rPr>
                <w:rFonts w:hint="eastAsia" w:ascii="宋体" w:hAnsi="宋体" w:cs="宋体"/>
                <w:color w:val="000000"/>
                <w:szCs w:val="21"/>
              </w:rPr>
              <w:t>1</w:t>
            </w:r>
          </w:p>
        </w:tc>
        <w:tc>
          <w:tcPr>
            <w:tcW w:w="2252" w:type="dxa"/>
            <w:noWrap w:val="0"/>
            <w:vAlign w:val="center"/>
          </w:tcPr>
          <w:p w14:paraId="0FD969DF">
            <w:pPr>
              <w:pStyle w:val="381"/>
              <w:spacing w:before="93"/>
              <w:jc w:val="center"/>
              <w:rPr>
                <w:rFonts w:hint="eastAsia" w:ascii="宋体" w:hAnsi="宋体" w:cs="宋体"/>
                <w:color w:val="000000"/>
                <w:szCs w:val="21"/>
              </w:rPr>
            </w:pPr>
            <w:r>
              <w:rPr>
                <w:spacing w:val="-2"/>
              </w:rPr>
              <w:t>墙地砖</w:t>
            </w:r>
          </w:p>
        </w:tc>
        <w:tc>
          <w:tcPr>
            <w:tcW w:w="3544" w:type="dxa"/>
            <w:noWrap w:val="0"/>
            <w:vAlign w:val="center"/>
          </w:tcPr>
          <w:p w14:paraId="1514C0FF">
            <w:pPr>
              <w:pStyle w:val="381"/>
              <w:spacing w:before="90"/>
              <w:jc w:val="center"/>
              <w:rPr>
                <w:rFonts w:hint="eastAsia" w:ascii="宋体" w:hAnsi="宋体" w:cs="宋体"/>
                <w:color w:val="000000"/>
                <w:szCs w:val="21"/>
              </w:rPr>
            </w:pPr>
            <w:r>
              <w:rPr>
                <w:rFonts w:hint="eastAsia"/>
                <w:color w:val="000000"/>
                <w:lang w:eastAsia="zh-CN" w:bidi="ar"/>
              </w:rPr>
              <w:t>马可波罗</w:t>
            </w:r>
            <w:r>
              <w:rPr>
                <w:color w:val="000000"/>
                <w:lang w:eastAsia="zh-CN" w:bidi="ar"/>
              </w:rPr>
              <w:t>、</w:t>
            </w:r>
            <w:r>
              <w:rPr>
                <w:rFonts w:hint="eastAsia"/>
                <w:color w:val="000000"/>
                <w:lang w:eastAsia="zh-CN" w:bidi="ar"/>
              </w:rPr>
              <w:t>冠珠</w:t>
            </w:r>
            <w:r>
              <w:rPr>
                <w:color w:val="000000"/>
                <w:lang w:eastAsia="zh-CN" w:bidi="ar"/>
              </w:rPr>
              <w:t>、</w:t>
            </w:r>
            <w:r>
              <w:rPr>
                <w:rFonts w:hint="eastAsia"/>
                <w:color w:val="000000"/>
                <w:lang w:eastAsia="zh-CN" w:bidi="ar"/>
              </w:rPr>
              <w:t>东鹏、诺贝尔</w:t>
            </w:r>
          </w:p>
        </w:tc>
        <w:tc>
          <w:tcPr>
            <w:tcW w:w="2081" w:type="dxa"/>
            <w:noWrap w:val="0"/>
            <w:vAlign w:val="top"/>
          </w:tcPr>
          <w:p w14:paraId="30D0CF00">
            <w:pPr>
              <w:pStyle w:val="374"/>
              <w:spacing w:line="360" w:lineRule="exact"/>
              <w:jc w:val="center"/>
              <w:rPr>
                <w:rFonts w:hint="eastAsia" w:ascii="宋体" w:hAnsi="宋体" w:eastAsia="宋体" w:cs="宋体"/>
                <w:color w:val="000000"/>
                <w:szCs w:val="21"/>
                <w:lang w:val="en-US" w:eastAsia="zh-CN"/>
              </w:rPr>
            </w:pPr>
            <w:r>
              <w:rPr>
                <w:rFonts w:hint="eastAsia" w:ascii="宋体" w:hAnsi="宋体" w:cs="宋体"/>
                <w:color w:val="000000"/>
                <w:szCs w:val="21"/>
                <w:lang w:val="en-US" w:eastAsia="zh-CN"/>
              </w:rPr>
              <w:t>/</w:t>
            </w:r>
          </w:p>
        </w:tc>
      </w:tr>
      <w:tr w14:paraId="78D765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62" w:type="dxa"/>
            <w:noWrap w:val="0"/>
            <w:vAlign w:val="center"/>
          </w:tcPr>
          <w:p w14:paraId="2EDFC7AC">
            <w:pPr>
              <w:pStyle w:val="374"/>
              <w:spacing w:line="360" w:lineRule="exact"/>
              <w:jc w:val="center"/>
              <w:rPr>
                <w:rFonts w:hint="eastAsia" w:ascii="宋体" w:hAnsi="宋体" w:cs="宋体"/>
                <w:color w:val="000000"/>
                <w:szCs w:val="21"/>
              </w:rPr>
            </w:pPr>
            <w:r>
              <w:rPr>
                <w:rFonts w:hint="eastAsia" w:ascii="宋体" w:hAnsi="宋体" w:cs="宋体"/>
                <w:color w:val="000000"/>
                <w:szCs w:val="21"/>
              </w:rPr>
              <w:t>2</w:t>
            </w:r>
          </w:p>
        </w:tc>
        <w:tc>
          <w:tcPr>
            <w:tcW w:w="2252" w:type="dxa"/>
            <w:noWrap w:val="0"/>
            <w:vAlign w:val="center"/>
          </w:tcPr>
          <w:p w14:paraId="519CE030">
            <w:pPr>
              <w:pStyle w:val="381"/>
              <w:spacing w:before="99"/>
              <w:jc w:val="center"/>
              <w:rPr>
                <w:rFonts w:hint="eastAsia" w:ascii="宋体" w:hAnsi="宋体" w:cs="宋体"/>
                <w:color w:val="000000"/>
                <w:szCs w:val="21"/>
              </w:rPr>
            </w:pPr>
            <w:r>
              <w:rPr>
                <w:spacing w:val="1"/>
              </w:rPr>
              <w:t>内墙无机涂料</w:t>
            </w:r>
          </w:p>
        </w:tc>
        <w:tc>
          <w:tcPr>
            <w:tcW w:w="3544" w:type="dxa"/>
            <w:noWrap w:val="0"/>
            <w:vAlign w:val="center"/>
          </w:tcPr>
          <w:p w14:paraId="47C4C513">
            <w:pPr>
              <w:pStyle w:val="381"/>
              <w:spacing w:before="100"/>
              <w:jc w:val="center"/>
              <w:rPr>
                <w:rFonts w:hint="eastAsia" w:ascii="宋体" w:hAnsi="宋体" w:cs="宋体"/>
                <w:color w:val="000000"/>
                <w:szCs w:val="21"/>
              </w:rPr>
            </w:pPr>
            <w:r>
              <w:rPr>
                <w:spacing w:val="-1"/>
                <w:lang w:eastAsia="zh-CN"/>
              </w:rPr>
              <w:t>立邦、多乐士、三棵树</w:t>
            </w:r>
          </w:p>
        </w:tc>
        <w:tc>
          <w:tcPr>
            <w:tcW w:w="2081" w:type="dxa"/>
            <w:noWrap w:val="0"/>
            <w:vAlign w:val="top"/>
          </w:tcPr>
          <w:p w14:paraId="3D710F6D">
            <w:pPr>
              <w:spacing w:line="360" w:lineRule="exact"/>
              <w:jc w:val="center"/>
              <w:rPr>
                <w:rFonts w:hint="eastAsia" w:ascii="宋体" w:hAnsi="宋体" w:cs="宋体"/>
                <w:color w:val="000000"/>
                <w:szCs w:val="21"/>
              </w:rPr>
            </w:pPr>
            <w:r>
              <w:rPr>
                <w:rFonts w:hint="eastAsia" w:ascii="宋体" w:hAnsi="宋体" w:cs="宋体"/>
                <w:color w:val="000000"/>
                <w:szCs w:val="21"/>
                <w:lang w:val="en-US" w:eastAsia="zh-CN"/>
              </w:rPr>
              <w:t>/</w:t>
            </w:r>
          </w:p>
        </w:tc>
      </w:tr>
      <w:tr w14:paraId="6826DD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62" w:type="dxa"/>
            <w:noWrap w:val="0"/>
            <w:vAlign w:val="center"/>
          </w:tcPr>
          <w:p w14:paraId="3DCC6AFE">
            <w:pPr>
              <w:pStyle w:val="374"/>
              <w:spacing w:line="360" w:lineRule="exact"/>
              <w:jc w:val="center"/>
              <w:rPr>
                <w:rFonts w:hint="eastAsia" w:ascii="宋体" w:hAnsi="宋体" w:cs="宋体"/>
                <w:color w:val="000000"/>
                <w:szCs w:val="21"/>
              </w:rPr>
            </w:pPr>
            <w:r>
              <w:rPr>
                <w:rFonts w:hint="eastAsia" w:ascii="宋体" w:hAnsi="宋体" w:cs="宋体"/>
                <w:color w:val="000000"/>
                <w:szCs w:val="21"/>
              </w:rPr>
              <w:t>3</w:t>
            </w:r>
          </w:p>
        </w:tc>
        <w:tc>
          <w:tcPr>
            <w:tcW w:w="2252" w:type="dxa"/>
            <w:noWrap w:val="0"/>
            <w:vAlign w:val="center"/>
          </w:tcPr>
          <w:p w14:paraId="7B7ECE0A">
            <w:pPr>
              <w:pStyle w:val="381"/>
              <w:spacing w:before="100"/>
              <w:jc w:val="center"/>
              <w:rPr>
                <w:rFonts w:hint="eastAsia" w:ascii="宋体" w:hAnsi="宋体" w:cs="宋体"/>
                <w:color w:val="000000"/>
                <w:szCs w:val="21"/>
              </w:rPr>
            </w:pPr>
            <w:r>
              <w:rPr>
                <w:spacing w:val="-2"/>
              </w:rPr>
              <w:t>纸面石膏板</w:t>
            </w:r>
          </w:p>
        </w:tc>
        <w:tc>
          <w:tcPr>
            <w:tcW w:w="3544" w:type="dxa"/>
            <w:noWrap w:val="0"/>
            <w:vAlign w:val="center"/>
          </w:tcPr>
          <w:p w14:paraId="4EC95E9E">
            <w:pPr>
              <w:pStyle w:val="381"/>
              <w:spacing w:before="101"/>
              <w:jc w:val="center"/>
              <w:rPr>
                <w:rFonts w:hint="eastAsia" w:ascii="宋体" w:hAnsi="宋体" w:cs="宋体"/>
                <w:color w:val="000000"/>
                <w:szCs w:val="21"/>
              </w:rPr>
            </w:pPr>
            <w:r>
              <w:rPr>
                <w:spacing w:val="1"/>
              </w:rPr>
              <w:t>泰山、龙牌、可耐福</w:t>
            </w:r>
          </w:p>
        </w:tc>
        <w:tc>
          <w:tcPr>
            <w:tcW w:w="2081" w:type="dxa"/>
            <w:noWrap w:val="0"/>
            <w:vAlign w:val="top"/>
          </w:tcPr>
          <w:p w14:paraId="7A11F3AE">
            <w:pPr>
              <w:spacing w:line="360" w:lineRule="exact"/>
              <w:jc w:val="center"/>
              <w:rPr>
                <w:rFonts w:hint="eastAsia" w:ascii="宋体" w:hAnsi="宋体" w:cs="宋体"/>
                <w:color w:val="000000"/>
                <w:szCs w:val="21"/>
              </w:rPr>
            </w:pPr>
            <w:r>
              <w:rPr>
                <w:rFonts w:hint="eastAsia" w:ascii="宋体" w:hAnsi="宋体" w:cs="宋体"/>
                <w:color w:val="000000"/>
                <w:szCs w:val="21"/>
                <w:lang w:val="en-US" w:eastAsia="zh-CN"/>
              </w:rPr>
              <w:t>/</w:t>
            </w:r>
          </w:p>
        </w:tc>
      </w:tr>
      <w:tr w14:paraId="4F780A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62" w:type="dxa"/>
            <w:noWrap w:val="0"/>
            <w:vAlign w:val="center"/>
          </w:tcPr>
          <w:p w14:paraId="71BAC19C">
            <w:pPr>
              <w:pStyle w:val="374"/>
              <w:spacing w:line="360" w:lineRule="exact"/>
              <w:jc w:val="center"/>
              <w:rPr>
                <w:rFonts w:hint="eastAsia" w:ascii="宋体" w:hAnsi="宋体" w:cs="宋体"/>
                <w:color w:val="000000"/>
                <w:szCs w:val="21"/>
              </w:rPr>
            </w:pPr>
            <w:r>
              <w:rPr>
                <w:rFonts w:hint="eastAsia" w:ascii="宋体" w:hAnsi="宋体" w:cs="宋体"/>
                <w:color w:val="000000"/>
                <w:szCs w:val="21"/>
              </w:rPr>
              <w:t>4</w:t>
            </w:r>
          </w:p>
        </w:tc>
        <w:tc>
          <w:tcPr>
            <w:tcW w:w="2252" w:type="dxa"/>
            <w:noWrap w:val="0"/>
            <w:vAlign w:val="center"/>
          </w:tcPr>
          <w:p w14:paraId="6F1681DE">
            <w:pPr>
              <w:pStyle w:val="381"/>
              <w:spacing w:before="91"/>
              <w:jc w:val="center"/>
              <w:rPr>
                <w:rFonts w:hint="eastAsia" w:ascii="宋体" w:hAnsi="宋体" w:cs="宋体"/>
                <w:color w:val="000000"/>
                <w:szCs w:val="21"/>
              </w:rPr>
            </w:pPr>
            <w:r>
              <w:rPr>
                <w:spacing w:val="2"/>
              </w:rPr>
              <w:t>轻钢龙骨</w:t>
            </w:r>
          </w:p>
        </w:tc>
        <w:tc>
          <w:tcPr>
            <w:tcW w:w="3544" w:type="dxa"/>
            <w:noWrap w:val="0"/>
            <w:vAlign w:val="center"/>
          </w:tcPr>
          <w:p w14:paraId="642B5067">
            <w:pPr>
              <w:pStyle w:val="381"/>
              <w:spacing w:before="91"/>
              <w:jc w:val="center"/>
              <w:rPr>
                <w:rFonts w:hint="eastAsia" w:ascii="宋体" w:hAnsi="宋体" w:cs="宋体"/>
                <w:color w:val="000000"/>
                <w:szCs w:val="21"/>
              </w:rPr>
            </w:pPr>
            <w:r>
              <w:rPr>
                <w:spacing w:val="1"/>
              </w:rPr>
              <w:t>泰山、龙牌、可耐福</w:t>
            </w:r>
          </w:p>
        </w:tc>
        <w:tc>
          <w:tcPr>
            <w:tcW w:w="2081" w:type="dxa"/>
            <w:noWrap w:val="0"/>
            <w:vAlign w:val="top"/>
          </w:tcPr>
          <w:p w14:paraId="12EA1B1E">
            <w:pPr>
              <w:spacing w:line="360" w:lineRule="exact"/>
              <w:jc w:val="center"/>
              <w:rPr>
                <w:rFonts w:hint="eastAsia" w:ascii="宋体" w:hAnsi="宋体" w:cs="宋体"/>
                <w:color w:val="000000"/>
                <w:szCs w:val="21"/>
              </w:rPr>
            </w:pPr>
            <w:r>
              <w:rPr>
                <w:rFonts w:hint="eastAsia" w:ascii="宋体" w:hAnsi="宋体" w:cs="宋体"/>
                <w:color w:val="000000"/>
                <w:szCs w:val="21"/>
                <w:lang w:val="en-US" w:eastAsia="zh-CN"/>
              </w:rPr>
              <w:t>/</w:t>
            </w:r>
          </w:p>
        </w:tc>
      </w:tr>
      <w:tr w14:paraId="7869DF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62" w:type="dxa"/>
            <w:noWrap w:val="0"/>
            <w:vAlign w:val="center"/>
          </w:tcPr>
          <w:p w14:paraId="76C3A8A8">
            <w:pPr>
              <w:pStyle w:val="374"/>
              <w:spacing w:line="360" w:lineRule="exact"/>
              <w:jc w:val="center"/>
              <w:rPr>
                <w:rFonts w:hint="eastAsia" w:ascii="宋体" w:hAnsi="宋体" w:cs="宋体"/>
                <w:color w:val="000000"/>
                <w:szCs w:val="21"/>
              </w:rPr>
            </w:pPr>
            <w:r>
              <w:rPr>
                <w:rFonts w:hint="eastAsia" w:ascii="宋体" w:hAnsi="宋体" w:cs="宋体"/>
                <w:color w:val="000000"/>
                <w:szCs w:val="21"/>
              </w:rPr>
              <w:t>5</w:t>
            </w:r>
          </w:p>
        </w:tc>
        <w:tc>
          <w:tcPr>
            <w:tcW w:w="2252" w:type="dxa"/>
            <w:noWrap w:val="0"/>
            <w:vAlign w:val="center"/>
          </w:tcPr>
          <w:p w14:paraId="24171382">
            <w:pPr>
              <w:pStyle w:val="381"/>
              <w:spacing w:before="91"/>
              <w:jc w:val="center"/>
              <w:rPr>
                <w:rFonts w:hint="eastAsia" w:ascii="宋体" w:hAnsi="宋体" w:cs="宋体"/>
                <w:color w:val="000000"/>
                <w:szCs w:val="21"/>
              </w:rPr>
            </w:pPr>
            <w:r>
              <w:rPr>
                <w:spacing w:val="-1"/>
              </w:rPr>
              <w:t>PVC地胶</w:t>
            </w:r>
          </w:p>
        </w:tc>
        <w:tc>
          <w:tcPr>
            <w:tcW w:w="3544" w:type="dxa"/>
            <w:noWrap w:val="0"/>
            <w:vAlign w:val="center"/>
          </w:tcPr>
          <w:p w14:paraId="5531DFC0">
            <w:pPr>
              <w:pStyle w:val="381"/>
              <w:spacing w:before="91"/>
              <w:jc w:val="center"/>
              <w:rPr>
                <w:rFonts w:hint="eastAsia" w:ascii="宋体" w:hAnsi="宋体" w:cs="宋体"/>
                <w:color w:val="000000"/>
                <w:szCs w:val="21"/>
              </w:rPr>
            </w:pPr>
            <w:r>
              <w:rPr>
                <w:spacing w:val="-1"/>
                <w:lang w:eastAsia="zh-CN"/>
              </w:rPr>
              <w:t>LG、洁福、阿姆斯壮</w:t>
            </w:r>
          </w:p>
        </w:tc>
        <w:tc>
          <w:tcPr>
            <w:tcW w:w="2081" w:type="dxa"/>
            <w:noWrap w:val="0"/>
            <w:vAlign w:val="top"/>
          </w:tcPr>
          <w:p w14:paraId="3FF9A535">
            <w:pPr>
              <w:spacing w:line="360" w:lineRule="exact"/>
              <w:jc w:val="center"/>
              <w:rPr>
                <w:rFonts w:hint="eastAsia" w:ascii="宋体" w:hAnsi="宋体" w:cs="宋体"/>
                <w:color w:val="000000"/>
                <w:szCs w:val="21"/>
              </w:rPr>
            </w:pPr>
            <w:r>
              <w:rPr>
                <w:rFonts w:hint="eastAsia" w:ascii="宋体" w:hAnsi="宋体" w:cs="宋体"/>
                <w:color w:val="000000"/>
                <w:szCs w:val="21"/>
                <w:lang w:val="en-US" w:eastAsia="zh-CN"/>
              </w:rPr>
              <w:t>/</w:t>
            </w:r>
          </w:p>
        </w:tc>
      </w:tr>
      <w:tr w14:paraId="47A838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62" w:type="dxa"/>
            <w:noWrap w:val="0"/>
            <w:vAlign w:val="center"/>
          </w:tcPr>
          <w:p w14:paraId="39ACA0FD">
            <w:pPr>
              <w:pStyle w:val="374"/>
              <w:spacing w:line="360" w:lineRule="exact"/>
              <w:jc w:val="center"/>
              <w:rPr>
                <w:rFonts w:hint="eastAsia" w:ascii="宋体" w:hAnsi="宋体" w:cs="宋体"/>
                <w:color w:val="000000"/>
                <w:szCs w:val="21"/>
              </w:rPr>
            </w:pPr>
            <w:r>
              <w:rPr>
                <w:rFonts w:hint="eastAsia" w:ascii="宋体" w:hAnsi="宋体" w:cs="宋体"/>
                <w:color w:val="000000"/>
                <w:szCs w:val="21"/>
              </w:rPr>
              <w:t>6</w:t>
            </w:r>
          </w:p>
        </w:tc>
        <w:tc>
          <w:tcPr>
            <w:tcW w:w="2252" w:type="dxa"/>
            <w:noWrap w:val="0"/>
            <w:vAlign w:val="center"/>
          </w:tcPr>
          <w:p w14:paraId="2FAD4EFA">
            <w:pPr>
              <w:pStyle w:val="381"/>
              <w:spacing w:before="91"/>
              <w:jc w:val="center"/>
              <w:rPr>
                <w:rFonts w:hint="eastAsia" w:ascii="宋体" w:hAnsi="宋体" w:cs="宋体"/>
                <w:color w:val="000000"/>
                <w:szCs w:val="21"/>
              </w:rPr>
            </w:pPr>
            <w:r>
              <w:rPr>
                <w:spacing w:val="2"/>
              </w:rPr>
              <w:t>吸音墙板</w:t>
            </w:r>
          </w:p>
        </w:tc>
        <w:tc>
          <w:tcPr>
            <w:tcW w:w="3544" w:type="dxa"/>
            <w:noWrap w:val="0"/>
            <w:vAlign w:val="center"/>
          </w:tcPr>
          <w:p w14:paraId="5AACB53F">
            <w:pPr>
              <w:pStyle w:val="381"/>
              <w:spacing w:before="93"/>
              <w:jc w:val="center"/>
              <w:rPr>
                <w:rFonts w:hint="eastAsia" w:ascii="宋体" w:hAnsi="宋体" w:cs="宋体"/>
                <w:color w:val="000000"/>
                <w:szCs w:val="21"/>
              </w:rPr>
            </w:pPr>
            <w:r>
              <w:rPr>
                <w:rFonts w:hint="eastAsia"/>
                <w:spacing w:val="1"/>
                <w:lang w:eastAsia="zh-CN"/>
              </w:rPr>
              <w:t>丽</w:t>
            </w:r>
            <w:r>
              <w:rPr>
                <w:spacing w:val="1"/>
              </w:rPr>
              <w:t>音、百家丽、音韵</w:t>
            </w:r>
          </w:p>
        </w:tc>
        <w:tc>
          <w:tcPr>
            <w:tcW w:w="2081" w:type="dxa"/>
            <w:noWrap w:val="0"/>
            <w:vAlign w:val="top"/>
          </w:tcPr>
          <w:p w14:paraId="24A7BD88">
            <w:pPr>
              <w:spacing w:line="360" w:lineRule="exact"/>
              <w:jc w:val="center"/>
              <w:rPr>
                <w:rFonts w:hint="eastAsia" w:ascii="宋体" w:hAnsi="宋体" w:cs="宋体"/>
                <w:color w:val="000000"/>
                <w:szCs w:val="21"/>
              </w:rPr>
            </w:pPr>
            <w:r>
              <w:rPr>
                <w:rFonts w:hint="eastAsia" w:ascii="宋体" w:hAnsi="宋体" w:cs="宋体"/>
                <w:color w:val="000000"/>
                <w:szCs w:val="21"/>
                <w:lang w:val="en-US" w:eastAsia="zh-CN"/>
              </w:rPr>
              <w:t>/</w:t>
            </w:r>
          </w:p>
        </w:tc>
      </w:tr>
      <w:tr w14:paraId="02DBD9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62" w:type="dxa"/>
            <w:noWrap w:val="0"/>
            <w:vAlign w:val="center"/>
          </w:tcPr>
          <w:p w14:paraId="012D4D4F">
            <w:pPr>
              <w:pStyle w:val="374"/>
              <w:spacing w:line="360" w:lineRule="exact"/>
              <w:jc w:val="center"/>
              <w:rPr>
                <w:rFonts w:hint="eastAsia" w:ascii="宋体" w:hAnsi="宋体" w:cs="宋体"/>
                <w:color w:val="000000"/>
                <w:szCs w:val="21"/>
              </w:rPr>
            </w:pPr>
            <w:r>
              <w:rPr>
                <w:rFonts w:hint="eastAsia" w:ascii="宋体" w:hAnsi="宋体" w:cs="宋体"/>
                <w:color w:val="000000"/>
                <w:szCs w:val="21"/>
              </w:rPr>
              <w:t>7</w:t>
            </w:r>
          </w:p>
        </w:tc>
        <w:tc>
          <w:tcPr>
            <w:tcW w:w="2252" w:type="dxa"/>
            <w:noWrap w:val="0"/>
            <w:vAlign w:val="center"/>
          </w:tcPr>
          <w:p w14:paraId="11548710">
            <w:pPr>
              <w:pStyle w:val="381"/>
              <w:spacing w:before="91"/>
              <w:jc w:val="center"/>
              <w:rPr>
                <w:rFonts w:hint="eastAsia" w:ascii="宋体" w:hAnsi="宋体" w:cs="宋体"/>
                <w:color w:val="000000"/>
                <w:szCs w:val="21"/>
              </w:rPr>
            </w:pPr>
            <w:r>
              <w:rPr>
                <w:spacing w:val="-3"/>
              </w:rPr>
              <w:t>铝扣板</w:t>
            </w:r>
          </w:p>
        </w:tc>
        <w:tc>
          <w:tcPr>
            <w:tcW w:w="3544" w:type="dxa"/>
            <w:noWrap w:val="0"/>
            <w:vAlign w:val="center"/>
          </w:tcPr>
          <w:p w14:paraId="3E1B8F2A">
            <w:pPr>
              <w:pStyle w:val="381"/>
              <w:spacing w:before="90"/>
              <w:jc w:val="center"/>
              <w:rPr>
                <w:rFonts w:hint="eastAsia" w:ascii="宋体" w:hAnsi="宋体" w:cs="宋体"/>
                <w:color w:val="000000"/>
                <w:szCs w:val="21"/>
              </w:rPr>
            </w:pPr>
            <w:r>
              <w:rPr>
                <w:lang w:eastAsia="zh-CN"/>
              </w:rPr>
              <w:t>奥普、德宝龙、美尔凯特、法狮龙</w:t>
            </w:r>
          </w:p>
        </w:tc>
        <w:tc>
          <w:tcPr>
            <w:tcW w:w="2081" w:type="dxa"/>
            <w:noWrap w:val="0"/>
            <w:vAlign w:val="top"/>
          </w:tcPr>
          <w:p w14:paraId="2A038486">
            <w:pPr>
              <w:spacing w:line="360" w:lineRule="exact"/>
              <w:jc w:val="center"/>
              <w:rPr>
                <w:rFonts w:hint="eastAsia" w:ascii="宋体" w:hAnsi="宋体" w:cs="宋体"/>
                <w:color w:val="000000"/>
                <w:szCs w:val="21"/>
              </w:rPr>
            </w:pPr>
            <w:r>
              <w:rPr>
                <w:rFonts w:hint="eastAsia" w:ascii="宋体" w:hAnsi="宋体" w:cs="宋体"/>
                <w:color w:val="000000"/>
                <w:szCs w:val="21"/>
                <w:lang w:val="en-US" w:eastAsia="zh-CN"/>
              </w:rPr>
              <w:t>/</w:t>
            </w:r>
          </w:p>
        </w:tc>
      </w:tr>
      <w:tr w14:paraId="5A8997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62" w:type="dxa"/>
            <w:noWrap w:val="0"/>
            <w:vAlign w:val="center"/>
          </w:tcPr>
          <w:p w14:paraId="68DE8E46">
            <w:pPr>
              <w:pStyle w:val="374"/>
              <w:spacing w:line="360" w:lineRule="exact"/>
              <w:jc w:val="center"/>
              <w:rPr>
                <w:rFonts w:hint="eastAsia" w:ascii="宋体" w:hAnsi="宋体" w:cs="宋体"/>
                <w:color w:val="000000"/>
                <w:szCs w:val="21"/>
              </w:rPr>
            </w:pPr>
            <w:r>
              <w:rPr>
                <w:rFonts w:hint="eastAsia" w:ascii="宋体" w:hAnsi="宋体" w:cs="宋体"/>
                <w:color w:val="000000"/>
                <w:szCs w:val="21"/>
              </w:rPr>
              <w:t>8</w:t>
            </w:r>
          </w:p>
        </w:tc>
        <w:tc>
          <w:tcPr>
            <w:tcW w:w="2252" w:type="dxa"/>
            <w:noWrap w:val="0"/>
            <w:vAlign w:val="center"/>
          </w:tcPr>
          <w:p w14:paraId="259F1153">
            <w:pPr>
              <w:pStyle w:val="381"/>
              <w:spacing w:before="92"/>
              <w:jc w:val="center"/>
              <w:rPr>
                <w:rFonts w:hint="eastAsia" w:ascii="宋体" w:hAnsi="宋体" w:cs="宋体"/>
                <w:color w:val="000000"/>
                <w:szCs w:val="21"/>
              </w:rPr>
            </w:pPr>
            <w:r>
              <w:rPr>
                <w:rFonts w:hint="eastAsia"/>
                <w:color w:val="000000"/>
              </w:rPr>
              <w:t>钢制防火门</w:t>
            </w:r>
          </w:p>
        </w:tc>
        <w:tc>
          <w:tcPr>
            <w:tcW w:w="3544" w:type="dxa"/>
            <w:noWrap w:val="0"/>
            <w:vAlign w:val="center"/>
          </w:tcPr>
          <w:p w14:paraId="343DD34C">
            <w:pPr>
              <w:pStyle w:val="381"/>
              <w:spacing w:before="93"/>
              <w:jc w:val="center"/>
              <w:rPr>
                <w:rFonts w:hint="eastAsia" w:ascii="宋体" w:hAnsi="宋体" w:cs="宋体"/>
                <w:color w:val="000000"/>
                <w:szCs w:val="21"/>
              </w:rPr>
            </w:pPr>
            <w:r>
              <w:rPr>
                <w:rFonts w:hint="eastAsia"/>
                <w:color w:val="000000"/>
                <w:lang w:eastAsia="zh-CN"/>
              </w:rPr>
              <w:t>长春铸诚、赛银将军、中泰消防、南京金陵、南京华伟消防、南京安佳</w:t>
            </w:r>
          </w:p>
        </w:tc>
        <w:tc>
          <w:tcPr>
            <w:tcW w:w="2081" w:type="dxa"/>
            <w:noWrap w:val="0"/>
            <w:vAlign w:val="top"/>
          </w:tcPr>
          <w:p w14:paraId="04BD1022">
            <w:pPr>
              <w:spacing w:line="360" w:lineRule="exact"/>
              <w:jc w:val="center"/>
              <w:rPr>
                <w:rFonts w:hint="eastAsia" w:ascii="宋体" w:hAnsi="宋体" w:cs="宋体"/>
                <w:color w:val="000000"/>
                <w:szCs w:val="21"/>
              </w:rPr>
            </w:pPr>
            <w:r>
              <w:rPr>
                <w:rFonts w:hint="eastAsia" w:ascii="宋体" w:hAnsi="宋体" w:cs="宋体"/>
                <w:color w:val="000000"/>
                <w:szCs w:val="21"/>
                <w:lang w:val="en-US" w:eastAsia="zh-CN"/>
              </w:rPr>
              <w:t>/</w:t>
            </w:r>
          </w:p>
        </w:tc>
      </w:tr>
      <w:tr w14:paraId="0C9142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62" w:type="dxa"/>
            <w:noWrap w:val="0"/>
            <w:vAlign w:val="center"/>
          </w:tcPr>
          <w:p w14:paraId="5ADD39B8">
            <w:pPr>
              <w:pStyle w:val="374"/>
              <w:spacing w:line="360" w:lineRule="exact"/>
              <w:jc w:val="center"/>
              <w:rPr>
                <w:rFonts w:hint="eastAsia" w:ascii="宋体" w:hAnsi="宋体" w:cs="宋体"/>
                <w:color w:val="000000"/>
                <w:szCs w:val="21"/>
              </w:rPr>
            </w:pPr>
            <w:r>
              <w:rPr>
                <w:rFonts w:hint="eastAsia" w:ascii="宋体" w:hAnsi="宋体" w:cs="宋体"/>
                <w:color w:val="000000"/>
                <w:szCs w:val="21"/>
              </w:rPr>
              <w:t>9</w:t>
            </w:r>
          </w:p>
        </w:tc>
        <w:tc>
          <w:tcPr>
            <w:tcW w:w="2252" w:type="dxa"/>
            <w:noWrap w:val="0"/>
            <w:vAlign w:val="center"/>
          </w:tcPr>
          <w:p w14:paraId="4209D3BE">
            <w:pPr>
              <w:pStyle w:val="381"/>
              <w:spacing w:before="93"/>
              <w:jc w:val="center"/>
              <w:rPr>
                <w:rFonts w:hint="eastAsia" w:ascii="宋体" w:hAnsi="宋体" w:cs="宋体"/>
                <w:color w:val="000000"/>
                <w:szCs w:val="21"/>
              </w:rPr>
            </w:pPr>
            <w:r>
              <w:rPr>
                <w:rFonts w:hint="eastAsia"/>
                <w:color w:val="000000"/>
              </w:rPr>
              <w:t>铝型材</w:t>
            </w:r>
          </w:p>
        </w:tc>
        <w:tc>
          <w:tcPr>
            <w:tcW w:w="3544" w:type="dxa"/>
            <w:noWrap w:val="0"/>
            <w:vAlign w:val="center"/>
          </w:tcPr>
          <w:p w14:paraId="7A0F2D34">
            <w:pPr>
              <w:pStyle w:val="381"/>
              <w:spacing w:before="94"/>
              <w:jc w:val="center"/>
              <w:rPr>
                <w:rFonts w:hint="eastAsia" w:ascii="宋体" w:hAnsi="宋体" w:cs="宋体"/>
                <w:color w:val="000000"/>
                <w:szCs w:val="21"/>
              </w:rPr>
            </w:pPr>
            <w:r>
              <w:rPr>
                <w:rFonts w:hint="eastAsia"/>
                <w:color w:val="000000"/>
                <w:lang w:eastAsia="zh-CN"/>
              </w:rPr>
              <w:t>凤铝、闽发、亚铝、兴发</w:t>
            </w:r>
          </w:p>
        </w:tc>
        <w:tc>
          <w:tcPr>
            <w:tcW w:w="2081" w:type="dxa"/>
            <w:noWrap w:val="0"/>
            <w:vAlign w:val="top"/>
          </w:tcPr>
          <w:p w14:paraId="76B72254">
            <w:pPr>
              <w:spacing w:line="360" w:lineRule="exact"/>
              <w:jc w:val="center"/>
              <w:rPr>
                <w:rFonts w:hint="eastAsia" w:ascii="宋体" w:hAnsi="宋体" w:cs="宋体"/>
                <w:color w:val="000000"/>
                <w:szCs w:val="21"/>
              </w:rPr>
            </w:pPr>
            <w:r>
              <w:rPr>
                <w:rFonts w:hint="eastAsia" w:ascii="宋体" w:hAnsi="宋体" w:cs="宋体"/>
                <w:color w:val="000000"/>
                <w:szCs w:val="21"/>
                <w:lang w:val="en-US" w:eastAsia="zh-CN"/>
              </w:rPr>
              <w:t>/</w:t>
            </w:r>
          </w:p>
        </w:tc>
      </w:tr>
    </w:tbl>
    <w:p w14:paraId="11DB4A32">
      <w:pPr>
        <w:pStyle w:val="137"/>
        <w:spacing w:before="0" w:after="0" w:line="360" w:lineRule="auto"/>
        <w:ind w:firstLine="482"/>
        <w:rPr>
          <w:rFonts w:hint="eastAsia" w:ascii="宋体" w:hAnsi="宋体" w:cs="宋体"/>
          <w:lang w:val="zh-CN"/>
        </w:rPr>
      </w:pPr>
      <w:r>
        <w:rPr>
          <w:rFonts w:hint="eastAsia" w:ascii="宋体" w:hAnsi="宋体" w:cs="宋体"/>
          <w:sz w:val="24"/>
          <w:szCs w:val="24"/>
        </w:rPr>
        <w:br w:type="page" w:clear="all"/>
      </w:r>
      <w:bookmarkStart w:id="26" w:name="_Toc13426"/>
      <w:r>
        <w:rPr>
          <w:rFonts w:hint="eastAsia" w:ascii="宋体" w:hAnsi="宋体" w:cs="宋体"/>
          <w:lang w:val="zh-CN"/>
        </w:rPr>
        <w:t>第五章 合同主要条款</w:t>
      </w:r>
      <w:bookmarkEnd w:id="26"/>
      <w:bookmarkStart w:id="27" w:name="_Toc513029243"/>
      <w:bookmarkStart w:id="28" w:name="_Toc20823315"/>
      <w:bookmarkStart w:id="29" w:name="_Toc16938559"/>
    </w:p>
    <w:bookmarkEnd w:id="27"/>
    <w:bookmarkEnd w:id="28"/>
    <w:bookmarkEnd w:id="29"/>
    <w:p w14:paraId="3554176C">
      <w:pPr>
        <w:rPr>
          <w:rFonts w:hint="eastAsia" w:ascii="宋体" w:hAnsi="宋体" w:cs="宋体"/>
        </w:rPr>
      </w:pPr>
      <w:bookmarkStart w:id="30" w:name="_Toc26736"/>
      <w:bookmarkStart w:id="31" w:name="_Toc14104719"/>
      <w:bookmarkStart w:id="32" w:name="_Toc504573082"/>
      <w:bookmarkStart w:id="33" w:name="_Toc534273675"/>
      <w:bookmarkStart w:id="34" w:name="_Toc534273798"/>
    </w:p>
    <w:p w14:paraId="26E3A61A">
      <w:pPr>
        <w:spacing w:line="360" w:lineRule="auto"/>
        <w:jc w:val="center"/>
        <w:rPr>
          <w:rFonts w:hint="eastAsia" w:ascii="宋体" w:hAnsi="宋体" w:cs="宋体"/>
          <w:b/>
          <w:sz w:val="24"/>
          <w:szCs w:val="24"/>
        </w:rPr>
      </w:pPr>
    </w:p>
    <w:p w14:paraId="76FE5103">
      <w:pPr>
        <w:rPr>
          <w:rFonts w:hint="eastAsia" w:ascii="宋体" w:hAnsi="宋体" w:cs="宋体"/>
          <w:b/>
          <w:sz w:val="24"/>
          <w:szCs w:val="24"/>
        </w:rPr>
      </w:pPr>
    </w:p>
    <w:p w14:paraId="57EE6B4E">
      <w:pPr>
        <w:pStyle w:val="97"/>
        <w:rPr>
          <w:rFonts w:hint="eastAsia" w:ascii="宋体" w:hAnsi="宋体" w:cs="宋体"/>
        </w:rPr>
      </w:pPr>
    </w:p>
    <w:p w14:paraId="2070CBDE">
      <w:pPr>
        <w:spacing w:line="360" w:lineRule="auto"/>
        <w:ind w:right="-378"/>
        <w:rPr>
          <w:rFonts w:hint="eastAsia" w:ascii="宋体" w:hAnsi="宋体" w:cs="宋体"/>
        </w:rPr>
      </w:pPr>
      <w:r>
        <w:rPr>
          <w:rFonts w:hint="eastAsia" w:ascii="宋体" w:hAnsi="宋体" w:cs="宋体"/>
          <w:bCs/>
          <w:sz w:val="32"/>
          <w:szCs w:val="32"/>
        </w:rPr>
        <w:t>(GF—2017—0201)</w:t>
      </w:r>
    </w:p>
    <w:p w14:paraId="7C0A9D64">
      <w:pPr>
        <w:spacing w:line="731" w:lineRule="exact"/>
        <w:ind w:right="-13"/>
        <w:rPr>
          <w:rFonts w:hint="eastAsia" w:ascii="宋体" w:hAnsi="宋体" w:cs="宋体"/>
          <w:sz w:val="64"/>
        </w:rPr>
      </w:pPr>
    </w:p>
    <w:p w14:paraId="07B45073">
      <w:pPr>
        <w:spacing w:line="360" w:lineRule="auto"/>
        <w:ind w:right="-378"/>
        <w:rPr>
          <w:rFonts w:hint="eastAsia" w:ascii="宋体" w:hAnsi="宋体" w:cs="宋体"/>
          <w:b/>
          <w:sz w:val="72"/>
          <w:szCs w:val="52"/>
        </w:rPr>
      </w:pPr>
    </w:p>
    <w:p w14:paraId="699DE34B">
      <w:pPr>
        <w:spacing w:line="360" w:lineRule="auto"/>
        <w:ind w:right="-378"/>
        <w:jc w:val="center"/>
        <w:rPr>
          <w:rFonts w:hint="eastAsia" w:ascii="宋体" w:hAnsi="宋体" w:cs="宋体"/>
          <w:b/>
          <w:sz w:val="72"/>
          <w:szCs w:val="52"/>
        </w:rPr>
      </w:pPr>
      <w:r>
        <w:rPr>
          <w:rFonts w:hint="eastAsia" w:ascii="宋体" w:hAnsi="宋体" w:cs="宋体"/>
          <w:b/>
          <w:sz w:val="72"/>
          <w:szCs w:val="52"/>
        </w:rPr>
        <w:t>建设工程施工合同</w:t>
      </w:r>
    </w:p>
    <w:p w14:paraId="6D25AB47">
      <w:pPr>
        <w:rPr>
          <w:rFonts w:hint="eastAsia" w:ascii="宋体" w:hAnsi="宋体" w:cs="宋体"/>
          <w:b/>
          <w:sz w:val="72"/>
          <w:szCs w:val="72"/>
        </w:rPr>
      </w:pPr>
    </w:p>
    <w:p w14:paraId="307A284A">
      <w:pPr>
        <w:rPr>
          <w:rFonts w:hint="eastAsia" w:ascii="宋体" w:hAnsi="宋体" w:cs="宋体"/>
          <w:b/>
          <w:sz w:val="52"/>
          <w:szCs w:val="52"/>
        </w:rPr>
      </w:pPr>
    </w:p>
    <w:p w14:paraId="0C9CB770">
      <w:pPr>
        <w:rPr>
          <w:rFonts w:hint="eastAsia" w:ascii="宋体" w:hAnsi="宋体" w:cs="宋体"/>
          <w:b/>
          <w:sz w:val="28"/>
          <w:szCs w:val="28"/>
        </w:rPr>
      </w:pPr>
    </w:p>
    <w:p w14:paraId="57CEC446">
      <w:pPr>
        <w:ind w:left="2824" w:hanging="1606"/>
        <w:rPr>
          <w:rFonts w:hint="eastAsia" w:ascii="宋体" w:hAnsi="宋体" w:cs="宋体"/>
          <w:b/>
          <w:sz w:val="30"/>
          <w:szCs w:val="30"/>
          <w:u w:val="single"/>
        </w:rPr>
      </w:pPr>
      <w:r>
        <w:rPr>
          <w:rFonts w:hint="eastAsia" w:ascii="宋体" w:hAnsi="宋体" w:cs="宋体"/>
          <w:b/>
          <w:sz w:val="32"/>
          <w:szCs w:val="32"/>
        </w:rPr>
        <w:t>工程名称：</w:t>
      </w:r>
      <w:r>
        <w:rPr>
          <w:rFonts w:hint="eastAsia" w:ascii="宋体" w:hAnsi="宋体" w:cs="宋体"/>
          <w:b/>
          <w:sz w:val="32"/>
          <w:szCs w:val="32"/>
          <w:u w:val="single"/>
        </w:rPr>
        <w:t>人体结构教学科普馆场馆改造</w:t>
      </w:r>
    </w:p>
    <w:p w14:paraId="3B5AE426">
      <w:pPr>
        <w:rPr>
          <w:rFonts w:hint="eastAsia" w:ascii="宋体" w:hAnsi="宋体" w:cs="宋体"/>
          <w:b/>
          <w:sz w:val="28"/>
          <w:szCs w:val="28"/>
          <w:u w:val="single"/>
        </w:rPr>
      </w:pPr>
    </w:p>
    <w:p w14:paraId="20D2CC71">
      <w:pPr>
        <w:pStyle w:val="364"/>
        <w:ind w:firstLine="562"/>
        <w:rPr>
          <w:rFonts w:hint="eastAsia" w:ascii="宋体" w:hAnsi="宋体" w:cs="宋体"/>
          <w:b/>
          <w:sz w:val="28"/>
          <w:szCs w:val="28"/>
          <w:u w:val="single"/>
        </w:rPr>
      </w:pPr>
    </w:p>
    <w:p w14:paraId="13185F16">
      <w:pPr>
        <w:pStyle w:val="364"/>
        <w:rPr>
          <w:rFonts w:hint="eastAsia" w:ascii="宋体" w:hAnsi="宋体" w:cs="宋体"/>
          <w:b/>
          <w:sz w:val="28"/>
          <w:szCs w:val="28"/>
          <w:u w:val="single"/>
        </w:rPr>
      </w:pPr>
    </w:p>
    <w:p w14:paraId="78C85C27">
      <w:pPr>
        <w:pStyle w:val="364"/>
        <w:ind w:firstLine="0"/>
        <w:rPr>
          <w:rFonts w:hint="eastAsia" w:ascii="宋体" w:hAnsi="宋体" w:cs="宋体"/>
          <w:b/>
          <w:sz w:val="28"/>
          <w:szCs w:val="28"/>
          <w:u w:val="single"/>
        </w:rPr>
      </w:pPr>
    </w:p>
    <w:p w14:paraId="1274666E">
      <w:pPr>
        <w:spacing w:line="360" w:lineRule="auto"/>
        <w:ind w:firstLine="964"/>
        <w:rPr>
          <w:rFonts w:hint="eastAsia" w:ascii="宋体" w:hAnsi="宋体" w:cs="宋体"/>
          <w:b/>
          <w:sz w:val="32"/>
          <w:szCs w:val="32"/>
          <w:u w:val="single"/>
        </w:rPr>
      </w:pPr>
      <w:r>
        <w:rPr>
          <w:rFonts w:hint="eastAsia" w:ascii="宋体" w:hAnsi="宋体" w:cs="宋体"/>
          <w:b/>
          <w:sz w:val="32"/>
          <w:szCs w:val="32"/>
        </w:rPr>
        <w:t>发 包 人：</w:t>
      </w:r>
      <w:r>
        <w:rPr>
          <w:rFonts w:hint="eastAsia" w:ascii="宋体" w:hAnsi="宋体" w:cs="宋体"/>
          <w:b/>
          <w:sz w:val="32"/>
          <w:szCs w:val="32"/>
          <w:u w:val="single"/>
        </w:rPr>
        <w:t xml:space="preserve">江苏卫生健康职业学院   </w:t>
      </w:r>
    </w:p>
    <w:p w14:paraId="332C072E">
      <w:pPr>
        <w:spacing w:line="360" w:lineRule="auto"/>
        <w:ind w:firstLine="964"/>
        <w:rPr>
          <w:rFonts w:hint="eastAsia" w:ascii="宋体" w:hAnsi="宋体" w:cs="宋体"/>
          <w:b/>
          <w:sz w:val="32"/>
          <w:szCs w:val="32"/>
        </w:rPr>
      </w:pPr>
      <w:r>
        <w:rPr>
          <w:rFonts w:hint="eastAsia" w:ascii="宋体" w:hAnsi="宋体" w:cs="宋体"/>
          <w:b/>
          <w:sz w:val="32"/>
          <w:szCs w:val="32"/>
        </w:rPr>
        <w:t>承 包 人：</w:t>
      </w:r>
      <w:r>
        <w:rPr>
          <w:rFonts w:hint="eastAsia" w:ascii="宋体" w:hAnsi="宋体" w:cs="宋体"/>
          <w:b/>
          <w:sz w:val="32"/>
          <w:szCs w:val="32"/>
          <w:u w:val="single"/>
        </w:rPr>
        <w:t xml:space="preserve">                       </w:t>
      </w:r>
      <w:r>
        <w:rPr>
          <w:rFonts w:hint="eastAsia" w:ascii="宋体" w:hAnsi="宋体" w:cs="宋体"/>
          <w:b/>
          <w:sz w:val="32"/>
          <w:szCs w:val="32"/>
        </w:rPr>
        <w:t xml:space="preserve"> </w:t>
      </w:r>
    </w:p>
    <w:p w14:paraId="30C39A6E">
      <w:pPr>
        <w:ind w:firstLine="3052"/>
        <w:rPr>
          <w:rFonts w:hint="eastAsia" w:ascii="宋体" w:hAnsi="宋体" w:cs="宋体"/>
          <w:b/>
          <w:sz w:val="32"/>
          <w:szCs w:val="32"/>
        </w:rPr>
      </w:pPr>
      <w:r>
        <w:rPr>
          <w:rFonts w:hint="eastAsia" w:ascii="宋体" w:hAnsi="宋体" w:cs="宋体"/>
          <w:b/>
          <w:sz w:val="32"/>
          <w:szCs w:val="32"/>
        </w:rPr>
        <w:t>年      月     日</w:t>
      </w:r>
    </w:p>
    <w:p w14:paraId="6DABFA76">
      <w:pPr>
        <w:pStyle w:val="60"/>
        <w:spacing w:line="600" w:lineRule="exact"/>
        <w:jc w:val="center"/>
        <w:rPr>
          <w:rFonts w:hint="eastAsia" w:ascii="宋体" w:hAnsi="宋体" w:cs="宋体"/>
        </w:rPr>
        <w:sectPr>
          <w:footerReference r:id="rId8" w:type="first"/>
          <w:footerReference r:id="rId7" w:type="default"/>
          <w:type w:val="continuous"/>
          <w:pgSz w:w="11906" w:h="16838"/>
          <w:pgMar w:top="1418" w:right="1375" w:bottom="1418" w:left="1531" w:header="851" w:footer="992" w:gutter="0"/>
          <w:cols w:space="1701" w:num="1"/>
          <w:titlePg/>
          <w:docGrid w:linePitch="360" w:charSpace="0"/>
        </w:sectPr>
      </w:pPr>
      <w:bookmarkStart w:id="35" w:name="_Toc296890982"/>
      <w:bookmarkStart w:id="36" w:name="_Toc296503025"/>
      <w:bookmarkStart w:id="37" w:name="_Toc351203480"/>
      <w:r>
        <w:rPr>
          <w:rFonts w:hint="eastAsia" w:ascii="宋体" w:hAnsi="宋体" w:cs="宋体"/>
        </w:rPr>
        <w:br w:type="page" w:clear="all"/>
      </w:r>
    </w:p>
    <w:p w14:paraId="02DC346C">
      <w:pPr>
        <w:pStyle w:val="60"/>
        <w:spacing w:line="600" w:lineRule="exact"/>
        <w:jc w:val="center"/>
        <w:rPr>
          <w:rFonts w:hint="eastAsia" w:ascii="宋体" w:hAnsi="宋体" w:cs="宋体"/>
        </w:rPr>
      </w:pPr>
      <w:r>
        <w:rPr>
          <w:rFonts w:hint="eastAsia" w:ascii="宋体" w:hAnsi="宋体" w:cs="宋体"/>
        </w:rPr>
        <w:t>第一部分 合同协议书</w:t>
      </w:r>
      <w:bookmarkEnd w:id="35"/>
      <w:bookmarkEnd w:id="36"/>
      <w:bookmarkEnd w:id="37"/>
    </w:p>
    <w:p w14:paraId="7DF41F84">
      <w:pPr>
        <w:spacing w:line="600" w:lineRule="exact"/>
        <w:rPr>
          <w:rFonts w:hint="eastAsia" w:ascii="宋体" w:hAnsi="宋体" w:cs="宋体"/>
          <w:b/>
          <w:u w:val="single"/>
        </w:rPr>
      </w:pPr>
      <w:r>
        <w:rPr>
          <w:rFonts w:hint="eastAsia" w:ascii="宋体" w:hAnsi="宋体" w:cs="宋体"/>
          <w:b/>
        </w:rPr>
        <w:t>发包人（全称）：</w:t>
      </w:r>
      <w:r>
        <w:rPr>
          <w:rFonts w:hint="eastAsia" w:ascii="宋体" w:hAnsi="宋体" w:cs="宋体"/>
          <w:b/>
          <w:u w:val="single"/>
        </w:rPr>
        <w:t xml:space="preserve"> </w:t>
      </w:r>
      <w:r>
        <w:rPr>
          <w:rFonts w:hint="eastAsia" w:ascii="宋体" w:hAnsi="宋体" w:cs="宋体"/>
          <w:b/>
          <w:sz w:val="24"/>
          <w:szCs w:val="24"/>
          <w:u w:val="single"/>
        </w:rPr>
        <w:t>江苏卫生健康职业学院</w:t>
      </w:r>
      <w:r>
        <w:rPr>
          <w:rFonts w:hint="eastAsia" w:ascii="宋体" w:hAnsi="宋体" w:cs="宋体"/>
          <w:b/>
          <w:u w:val="single"/>
        </w:rPr>
        <w:t>（以下简称甲方）</w:t>
      </w:r>
    </w:p>
    <w:p w14:paraId="1E3F4024">
      <w:pPr>
        <w:spacing w:line="600" w:lineRule="exact"/>
        <w:rPr>
          <w:rFonts w:hint="eastAsia" w:ascii="宋体" w:hAnsi="宋体" w:eastAsia="宋体" w:cs="宋体"/>
          <w:bCs/>
          <w:u w:val="single"/>
          <w:lang w:eastAsia="zh-CN"/>
        </w:rPr>
      </w:pPr>
      <w:r>
        <w:rPr>
          <w:rFonts w:hint="eastAsia" w:ascii="宋体" w:hAnsi="宋体" w:cs="宋体"/>
          <w:b/>
        </w:rPr>
        <w:t>承包人（全称）：</w:t>
      </w:r>
      <w:r>
        <w:rPr>
          <w:rFonts w:hint="eastAsia" w:ascii="宋体" w:hAnsi="宋体" w:cs="宋体"/>
          <w:b/>
          <w:u w:val="single"/>
        </w:rPr>
        <w:t xml:space="preserve">                        （以下简称乙方</w:t>
      </w:r>
      <w:r>
        <w:rPr>
          <w:rFonts w:hint="eastAsia" w:ascii="宋体" w:hAnsi="宋体" w:cs="宋体"/>
          <w:b/>
          <w:u w:val="single"/>
          <w:lang w:eastAsia="zh-CN"/>
        </w:rPr>
        <w:t>）</w:t>
      </w:r>
    </w:p>
    <w:p w14:paraId="01B9B9AD">
      <w:pPr>
        <w:spacing w:line="440" w:lineRule="exact"/>
        <w:ind w:firstLine="480"/>
        <w:rPr>
          <w:rFonts w:hint="eastAsia" w:ascii="宋体" w:hAnsi="宋体" w:cs="宋体"/>
          <w:sz w:val="24"/>
          <w:szCs w:val="24"/>
        </w:rPr>
      </w:pPr>
    </w:p>
    <w:p w14:paraId="52ACACBA">
      <w:pPr>
        <w:spacing w:line="360" w:lineRule="auto"/>
        <w:ind w:firstLine="420"/>
        <w:rPr>
          <w:rFonts w:hint="eastAsia" w:ascii="宋体" w:hAnsi="宋体" w:cs="宋体"/>
          <w:szCs w:val="21"/>
        </w:rPr>
      </w:pPr>
      <w:r>
        <w:rPr>
          <w:rFonts w:hint="eastAsia" w:ascii="宋体" w:hAnsi="宋体" w:cs="宋体"/>
          <w:szCs w:val="21"/>
        </w:rPr>
        <w:t>根据《中华人民共和国民法典》《中华人民共和国建筑法》及有关法律规定，遵循平等、自愿、公平和诚实信用的原则，双方就</w:t>
      </w:r>
      <w:r>
        <w:rPr>
          <w:rFonts w:hint="eastAsia" w:ascii="宋体" w:hAnsi="宋体" w:cs="宋体"/>
          <w:szCs w:val="21"/>
          <w:u w:val="single"/>
        </w:rPr>
        <w:t xml:space="preserve"> 人体结构教学科普馆场馆改造</w:t>
      </w:r>
      <w:r>
        <w:rPr>
          <w:rFonts w:hint="eastAsia" w:ascii="宋体" w:hAnsi="宋体" w:cs="宋体"/>
          <w:szCs w:val="21"/>
        </w:rPr>
        <w:t>及有关事项协商一致，共同达成如下协议：</w:t>
      </w:r>
    </w:p>
    <w:p w14:paraId="43C3B96B">
      <w:pPr>
        <w:pStyle w:val="62"/>
        <w:spacing w:line="360" w:lineRule="auto"/>
        <w:rPr>
          <w:rFonts w:cs="宋体"/>
          <w:sz w:val="21"/>
          <w:szCs w:val="21"/>
        </w:rPr>
      </w:pPr>
      <w:bookmarkStart w:id="38" w:name="_Toc351203481"/>
      <w:r>
        <w:rPr>
          <w:rFonts w:hint="eastAsia" w:cs="宋体"/>
          <w:b w:val="0"/>
          <w:sz w:val="21"/>
          <w:szCs w:val="21"/>
        </w:rPr>
        <w:t>一、工程概况</w:t>
      </w:r>
      <w:bookmarkEnd w:id="38"/>
    </w:p>
    <w:p w14:paraId="4E63B44E">
      <w:pPr>
        <w:spacing w:line="360" w:lineRule="auto"/>
        <w:ind w:firstLine="411"/>
        <w:rPr>
          <w:rFonts w:hint="eastAsia" w:ascii="宋体" w:hAnsi="宋体" w:cs="宋体"/>
          <w:bCs/>
          <w:szCs w:val="21"/>
        </w:rPr>
      </w:pPr>
      <w:r>
        <w:rPr>
          <w:rFonts w:hint="eastAsia" w:ascii="宋体" w:hAnsi="宋体" w:cs="宋体"/>
          <w:bCs/>
          <w:szCs w:val="21"/>
        </w:rPr>
        <w:t>1.工程名称：</w:t>
      </w:r>
      <w:r>
        <w:rPr>
          <w:rFonts w:hint="eastAsia" w:ascii="宋体" w:hAnsi="宋体" w:cs="宋体"/>
          <w:b/>
          <w:u w:val="single"/>
        </w:rPr>
        <w:t xml:space="preserve">人体结构教学科普馆场馆改造 </w:t>
      </w:r>
      <w:r>
        <w:rPr>
          <w:rFonts w:hint="eastAsia" w:ascii="宋体" w:hAnsi="宋体" w:cs="宋体"/>
          <w:szCs w:val="21"/>
        </w:rPr>
        <w:t>。</w:t>
      </w:r>
    </w:p>
    <w:p w14:paraId="5DB7A4E9">
      <w:pPr>
        <w:spacing w:line="360" w:lineRule="auto"/>
        <w:ind w:firstLine="411"/>
        <w:rPr>
          <w:rFonts w:hint="eastAsia" w:ascii="宋体" w:hAnsi="宋体" w:cs="宋体"/>
          <w:bCs/>
          <w:szCs w:val="21"/>
          <w:highlight w:val="yellow"/>
        </w:rPr>
      </w:pPr>
      <w:r>
        <w:rPr>
          <w:rFonts w:hint="eastAsia" w:ascii="宋体" w:hAnsi="宋体" w:cs="宋体"/>
          <w:bCs/>
          <w:szCs w:val="21"/>
        </w:rPr>
        <w:t>2.工程地点：</w:t>
      </w:r>
      <w:r>
        <w:rPr>
          <w:rFonts w:hint="eastAsia" w:ascii="宋体" w:hAnsi="宋体" w:cs="宋体"/>
          <w:b/>
          <w:u w:val="single"/>
        </w:rPr>
        <w:t xml:space="preserve"> 南京市浦口区</w:t>
      </w:r>
      <w:r>
        <w:rPr>
          <w:rFonts w:hint="eastAsia" w:ascii="宋体" w:hAnsi="宋体" w:cs="宋体"/>
          <w:bCs/>
          <w:szCs w:val="21"/>
          <w:u w:val="single"/>
        </w:rPr>
        <w:t>。</w:t>
      </w:r>
    </w:p>
    <w:p w14:paraId="103BDE34">
      <w:pPr>
        <w:spacing w:line="360" w:lineRule="auto"/>
        <w:ind w:firstLine="411"/>
        <w:rPr>
          <w:rFonts w:hint="eastAsia" w:ascii="宋体" w:hAnsi="宋体" w:cs="宋体"/>
          <w:bCs/>
          <w:szCs w:val="21"/>
        </w:rPr>
      </w:pPr>
      <w:r>
        <w:rPr>
          <w:rFonts w:hint="eastAsia" w:ascii="宋体" w:hAnsi="宋体" w:cs="宋体"/>
          <w:bCs/>
          <w:szCs w:val="21"/>
        </w:rPr>
        <w:t>3.工程立项批准文号：</w:t>
      </w:r>
      <w:r>
        <w:rPr>
          <w:rFonts w:hint="eastAsia" w:ascii="宋体" w:hAnsi="宋体" w:cs="宋体"/>
          <w:b/>
          <w:u w:val="single"/>
        </w:rPr>
        <w:t xml:space="preserve"> /   </w:t>
      </w:r>
      <w:r>
        <w:rPr>
          <w:rFonts w:hint="eastAsia" w:ascii="宋体" w:hAnsi="宋体" w:cs="宋体"/>
          <w:bCs/>
          <w:szCs w:val="21"/>
        </w:rPr>
        <w:t xml:space="preserve"> 。</w:t>
      </w:r>
    </w:p>
    <w:p w14:paraId="635749D6">
      <w:pPr>
        <w:spacing w:line="360" w:lineRule="auto"/>
        <w:ind w:firstLine="420"/>
        <w:rPr>
          <w:rFonts w:hint="eastAsia" w:ascii="宋体" w:hAnsi="宋体" w:cs="宋体"/>
          <w:bCs/>
          <w:szCs w:val="21"/>
        </w:rPr>
      </w:pPr>
      <w:r>
        <w:rPr>
          <w:rFonts w:hint="eastAsia" w:ascii="宋体" w:hAnsi="宋体" w:cs="宋体"/>
          <w:bCs/>
          <w:szCs w:val="21"/>
        </w:rPr>
        <w:t>4.资金来源：</w:t>
      </w:r>
      <w:r>
        <w:rPr>
          <w:rFonts w:hint="eastAsia" w:ascii="宋体" w:hAnsi="宋体" w:cs="宋体"/>
          <w:b/>
          <w:u w:val="single"/>
        </w:rPr>
        <w:t xml:space="preserve">      </w:t>
      </w:r>
      <w:r>
        <w:rPr>
          <w:rFonts w:hint="eastAsia" w:ascii="宋体" w:hAnsi="宋体" w:cs="宋体"/>
          <w:bCs/>
          <w:szCs w:val="21"/>
        </w:rPr>
        <w:t>。</w:t>
      </w:r>
    </w:p>
    <w:p w14:paraId="38ED9832">
      <w:pPr>
        <w:spacing w:line="360" w:lineRule="auto"/>
        <w:ind w:firstLine="411"/>
        <w:rPr>
          <w:rFonts w:hint="eastAsia" w:ascii="宋体" w:hAnsi="宋体" w:cs="宋体"/>
          <w:szCs w:val="21"/>
          <w:u w:val="single"/>
        </w:rPr>
      </w:pPr>
      <w:r>
        <w:rPr>
          <w:rFonts w:hint="eastAsia" w:ascii="宋体" w:hAnsi="宋体" w:cs="宋体"/>
          <w:bCs/>
          <w:szCs w:val="21"/>
        </w:rPr>
        <w:t>5.工程内容：</w:t>
      </w:r>
      <w:r>
        <w:rPr>
          <w:rFonts w:hint="eastAsia" w:ascii="宋体" w:hAnsi="宋体" w:cs="宋体"/>
          <w:szCs w:val="21"/>
          <w:u w:val="single"/>
        </w:rPr>
        <w:t xml:space="preserve"> </w:t>
      </w:r>
      <w:r>
        <w:rPr>
          <w:rFonts w:hint="eastAsia" w:ascii="宋体" w:hAnsi="宋体" w:cs="宋体"/>
          <w:b/>
          <w:u w:val="single"/>
        </w:rPr>
        <w:t xml:space="preserve">                                               </w:t>
      </w:r>
      <w:r>
        <w:rPr>
          <w:rFonts w:hint="eastAsia" w:ascii="宋体" w:hAnsi="宋体" w:cs="宋体"/>
          <w:bCs/>
        </w:rPr>
        <w:t>。</w:t>
      </w:r>
    </w:p>
    <w:p w14:paraId="7EA4D236">
      <w:pPr>
        <w:spacing w:line="360" w:lineRule="auto"/>
        <w:ind w:firstLine="411"/>
        <w:rPr>
          <w:rFonts w:hint="eastAsia" w:ascii="宋体" w:hAnsi="宋体" w:cs="宋体"/>
          <w:szCs w:val="21"/>
        </w:rPr>
      </w:pPr>
      <w:r>
        <w:rPr>
          <w:rFonts w:hint="eastAsia" w:ascii="宋体" w:hAnsi="宋体" w:cs="宋体"/>
          <w:bCs/>
          <w:szCs w:val="21"/>
        </w:rPr>
        <w:t>6.工程承包范围：</w:t>
      </w:r>
      <w:r>
        <w:rPr>
          <w:rFonts w:hint="eastAsia" w:ascii="宋体" w:hAnsi="宋体" w:cs="宋体"/>
          <w:b/>
          <w:u w:val="single"/>
        </w:rPr>
        <w:t xml:space="preserve">                                             </w:t>
      </w:r>
      <w:r>
        <w:rPr>
          <w:rFonts w:hint="eastAsia" w:ascii="宋体" w:hAnsi="宋体" w:cs="宋体"/>
          <w:szCs w:val="21"/>
        </w:rPr>
        <w:t>。</w:t>
      </w:r>
    </w:p>
    <w:p w14:paraId="3BDF78BF">
      <w:pPr>
        <w:pStyle w:val="62"/>
        <w:spacing w:line="360" w:lineRule="auto"/>
        <w:rPr>
          <w:rFonts w:cs="宋体"/>
          <w:b w:val="0"/>
          <w:sz w:val="21"/>
          <w:szCs w:val="21"/>
        </w:rPr>
      </w:pPr>
      <w:bookmarkStart w:id="39" w:name="_Toc351203482"/>
      <w:r>
        <w:rPr>
          <w:rFonts w:hint="eastAsia" w:cs="宋体"/>
          <w:b w:val="0"/>
          <w:sz w:val="21"/>
          <w:szCs w:val="21"/>
        </w:rPr>
        <w:t>二、合同工期</w:t>
      </w:r>
      <w:bookmarkEnd w:id="39"/>
    </w:p>
    <w:p w14:paraId="70959066">
      <w:pPr>
        <w:spacing w:line="360" w:lineRule="auto"/>
        <w:ind w:firstLine="459"/>
        <w:rPr>
          <w:rFonts w:hint="eastAsia" w:ascii="宋体" w:hAnsi="宋体" w:cs="宋体"/>
          <w:szCs w:val="21"/>
          <w:u w:val="single"/>
        </w:rPr>
      </w:pPr>
      <w:r>
        <w:rPr>
          <w:rFonts w:hint="eastAsia" w:ascii="宋体" w:hAnsi="宋体" w:cs="宋体"/>
          <w:szCs w:val="21"/>
        </w:rPr>
        <w:t>计划开工日期：      年     月      日。</w:t>
      </w:r>
    </w:p>
    <w:p w14:paraId="0BD0EB4B">
      <w:pPr>
        <w:spacing w:line="360" w:lineRule="auto"/>
        <w:ind w:firstLine="459"/>
        <w:rPr>
          <w:rFonts w:hint="eastAsia" w:ascii="宋体" w:hAnsi="宋体" w:cs="宋体"/>
          <w:szCs w:val="21"/>
        </w:rPr>
      </w:pPr>
      <w:r>
        <w:rPr>
          <w:rFonts w:hint="eastAsia" w:ascii="宋体" w:hAnsi="宋体" w:cs="宋体"/>
          <w:szCs w:val="21"/>
        </w:rPr>
        <w:t>计划竣工日期：      年     月      日。</w:t>
      </w:r>
    </w:p>
    <w:p w14:paraId="17804D0F">
      <w:pPr>
        <w:spacing w:line="360" w:lineRule="auto"/>
        <w:ind w:firstLine="459"/>
        <w:rPr>
          <w:rFonts w:hint="eastAsia" w:ascii="宋体" w:hAnsi="宋体" w:cs="宋体"/>
          <w:szCs w:val="21"/>
        </w:rPr>
      </w:pPr>
      <w:r>
        <w:rPr>
          <w:rFonts w:hint="eastAsia" w:ascii="宋体" w:hAnsi="宋体" w:cs="宋体"/>
          <w:szCs w:val="21"/>
        </w:rPr>
        <w:t>工期总日历天数：</w:t>
      </w:r>
      <w:r>
        <w:rPr>
          <w:rFonts w:hint="eastAsia" w:ascii="宋体" w:hAnsi="宋体" w:cs="宋体"/>
          <w:szCs w:val="21"/>
          <w:u w:val="single"/>
        </w:rPr>
        <w:t xml:space="preserve">   </w:t>
      </w:r>
      <w:r>
        <w:rPr>
          <w:rFonts w:hint="eastAsia" w:ascii="宋体" w:hAnsi="宋体" w:cs="宋体"/>
          <w:szCs w:val="21"/>
        </w:rPr>
        <w:t>天。以开工报告批准日为实际开工日，工期总日历天数与根据前述计划开竣工日期计算的工期天数不一致的，以工期总日历天数为准。</w:t>
      </w:r>
    </w:p>
    <w:p w14:paraId="63F951FE">
      <w:pPr>
        <w:pStyle w:val="62"/>
        <w:spacing w:line="360" w:lineRule="auto"/>
        <w:rPr>
          <w:rFonts w:cs="宋体"/>
          <w:sz w:val="21"/>
          <w:szCs w:val="21"/>
        </w:rPr>
      </w:pPr>
      <w:bookmarkStart w:id="40" w:name="_Toc351203483"/>
      <w:r>
        <w:rPr>
          <w:rFonts w:hint="eastAsia" w:cs="宋体"/>
          <w:b w:val="0"/>
          <w:sz w:val="21"/>
          <w:szCs w:val="21"/>
        </w:rPr>
        <w:t>三、质量标准</w:t>
      </w:r>
      <w:bookmarkEnd w:id="40"/>
    </w:p>
    <w:p w14:paraId="7338CB25">
      <w:pPr>
        <w:spacing w:line="360" w:lineRule="auto"/>
        <w:ind w:firstLine="459"/>
        <w:rPr>
          <w:rFonts w:hint="eastAsia" w:ascii="宋体" w:hAnsi="宋体" w:cs="宋体"/>
          <w:szCs w:val="21"/>
        </w:rPr>
      </w:pPr>
      <w:r>
        <w:rPr>
          <w:rFonts w:hint="eastAsia" w:ascii="宋体" w:hAnsi="宋体" w:cs="宋体"/>
          <w:szCs w:val="21"/>
        </w:rPr>
        <w:t>工程质量符合</w:t>
      </w:r>
      <w:r>
        <w:rPr>
          <w:rFonts w:hint="eastAsia" w:ascii="宋体" w:hAnsi="宋体" w:cs="宋体"/>
          <w:b/>
          <w:bCs/>
          <w:szCs w:val="21"/>
          <w:u w:val="single"/>
        </w:rPr>
        <w:t>《建筑工程施工质量验收统一标准》合格标准</w:t>
      </w:r>
      <w:r>
        <w:rPr>
          <w:rFonts w:hint="eastAsia" w:ascii="宋体" w:hAnsi="宋体" w:cs="宋体"/>
          <w:szCs w:val="21"/>
        </w:rPr>
        <w:t>。</w:t>
      </w:r>
    </w:p>
    <w:p w14:paraId="23736C01">
      <w:pPr>
        <w:pStyle w:val="62"/>
        <w:spacing w:line="360" w:lineRule="auto"/>
        <w:rPr>
          <w:rFonts w:cs="宋体"/>
          <w:sz w:val="21"/>
          <w:szCs w:val="21"/>
        </w:rPr>
      </w:pPr>
      <w:bookmarkStart w:id="41" w:name="_Toc351203484"/>
      <w:r>
        <w:rPr>
          <w:rFonts w:hint="eastAsia" w:cs="宋体"/>
          <w:b w:val="0"/>
          <w:sz w:val="21"/>
          <w:szCs w:val="21"/>
        </w:rPr>
        <w:t>四、签约合同价与合同价格形式</w:t>
      </w:r>
      <w:bookmarkEnd w:id="41"/>
      <w:r>
        <w:rPr>
          <w:rFonts w:hint="eastAsia" w:cs="宋体"/>
          <w:b w:val="0"/>
          <w:sz w:val="21"/>
          <w:szCs w:val="21"/>
        </w:rPr>
        <w:tab/>
      </w:r>
    </w:p>
    <w:p w14:paraId="284D9A67">
      <w:pPr>
        <w:spacing w:line="360" w:lineRule="auto"/>
        <w:ind w:firstLine="420"/>
        <w:rPr>
          <w:rFonts w:hint="eastAsia" w:ascii="宋体" w:hAnsi="宋体" w:cs="宋体"/>
          <w:szCs w:val="21"/>
        </w:rPr>
      </w:pPr>
      <w:r>
        <w:rPr>
          <w:rFonts w:hint="eastAsia" w:ascii="宋体" w:hAnsi="宋体" w:cs="宋体"/>
          <w:szCs w:val="21"/>
        </w:rPr>
        <w:t>1.签约合同价为：</w:t>
      </w:r>
    </w:p>
    <w:p w14:paraId="40A40189">
      <w:pPr>
        <w:spacing w:line="360" w:lineRule="auto"/>
        <w:ind w:firstLine="525"/>
        <w:rPr>
          <w:rFonts w:hint="eastAsia" w:ascii="宋体" w:hAnsi="宋体" w:cs="宋体"/>
          <w:szCs w:val="21"/>
        </w:rPr>
      </w:pPr>
      <w:r>
        <w:rPr>
          <w:rFonts w:hint="eastAsia" w:ascii="宋体" w:hAnsi="宋体" w:cs="宋体"/>
          <w:szCs w:val="21"/>
        </w:rPr>
        <w:t>人民币（大写：</w:t>
      </w:r>
      <w:r>
        <w:rPr>
          <w:rFonts w:hint="eastAsia" w:ascii="宋体" w:hAnsi="宋体" w:cs="宋体"/>
          <w:b/>
          <w:u w:val="single"/>
        </w:rPr>
        <w:t xml:space="preserve">                      </w:t>
      </w:r>
      <w:r>
        <w:rPr>
          <w:rFonts w:hint="eastAsia" w:ascii="宋体" w:hAnsi="宋体" w:cs="宋体"/>
          <w:szCs w:val="21"/>
          <w:u w:val="single"/>
        </w:rPr>
        <w:t xml:space="preserve"> </w:t>
      </w:r>
      <w:r>
        <w:rPr>
          <w:rFonts w:hint="eastAsia" w:ascii="宋体" w:hAnsi="宋体" w:cs="宋体"/>
          <w:szCs w:val="21"/>
        </w:rPr>
        <w:t>）</w:t>
      </w:r>
    </w:p>
    <w:p w14:paraId="02A9C3FE">
      <w:pPr>
        <w:spacing w:line="360" w:lineRule="auto"/>
        <w:ind w:firstLine="1260"/>
        <w:rPr>
          <w:rFonts w:hint="eastAsia" w:ascii="宋体" w:hAnsi="宋体" w:cs="宋体"/>
          <w:szCs w:val="21"/>
        </w:rPr>
      </w:pPr>
      <w:r>
        <w:rPr>
          <w:rFonts w:hint="eastAsia" w:ascii="宋体" w:hAnsi="宋体" w:cs="宋体"/>
          <w:szCs w:val="21"/>
        </w:rPr>
        <w:t>（小写：¥</w:t>
      </w:r>
      <w:r>
        <w:rPr>
          <w:rFonts w:hint="eastAsia" w:ascii="宋体" w:hAnsi="宋体" w:cs="宋体"/>
          <w:szCs w:val="21"/>
          <w:u w:val="single"/>
        </w:rPr>
        <w:t xml:space="preserve">    </w:t>
      </w:r>
      <w:r>
        <w:rPr>
          <w:rFonts w:hint="eastAsia" w:ascii="宋体" w:hAnsi="宋体" w:cs="宋体"/>
          <w:b/>
          <w:u w:val="single"/>
        </w:rPr>
        <w:t xml:space="preserve">              </w:t>
      </w:r>
      <w:r>
        <w:rPr>
          <w:rFonts w:hint="eastAsia" w:ascii="宋体" w:hAnsi="宋体" w:cs="宋体"/>
          <w:szCs w:val="21"/>
        </w:rPr>
        <w:t>元）；</w:t>
      </w:r>
    </w:p>
    <w:p w14:paraId="33F09C80">
      <w:pPr>
        <w:spacing w:line="360" w:lineRule="auto"/>
        <w:ind w:firstLine="420"/>
        <w:rPr>
          <w:rFonts w:hint="eastAsia" w:ascii="宋体" w:hAnsi="宋体" w:cs="宋体"/>
          <w:szCs w:val="21"/>
        </w:rPr>
      </w:pPr>
      <w:r>
        <w:rPr>
          <w:rFonts w:hint="eastAsia" w:ascii="宋体" w:hAnsi="宋体" w:cs="宋体"/>
          <w:szCs w:val="21"/>
        </w:rPr>
        <w:t>其中：</w:t>
      </w:r>
    </w:p>
    <w:p w14:paraId="6DE5DC5F">
      <w:pPr>
        <w:spacing w:line="360" w:lineRule="auto"/>
        <w:ind w:firstLine="420"/>
        <w:rPr>
          <w:rFonts w:hint="eastAsia" w:ascii="宋体" w:hAnsi="宋体" w:cs="宋体"/>
          <w:szCs w:val="21"/>
        </w:rPr>
      </w:pPr>
      <w:r>
        <w:rPr>
          <w:rFonts w:hint="eastAsia" w:ascii="宋体" w:hAnsi="宋体" w:cs="宋体"/>
          <w:szCs w:val="21"/>
        </w:rPr>
        <w:t>（1）安全文明施工费：</w:t>
      </w:r>
    </w:p>
    <w:p w14:paraId="6D50A4FE">
      <w:pPr>
        <w:spacing w:line="360" w:lineRule="auto"/>
        <w:ind w:firstLine="945"/>
        <w:rPr>
          <w:rFonts w:hint="eastAsia" w:ascii="宋体" w:hAnsi="宋体" w:cs="宋体"/>
          <w:szCs w:val="21"/>
        </w:rPr>
      </w:pPr>
      <w:r>
        <w:rPr>
          <w:rFonts w:hint="eastAsia" w:ascii="宋体" w:hAnsi="宋体" w:cs="宋体"/>
          <w:szCs w:val="21"/>
        </w:rPr>
        <w:t>人民币（大写：</w:t>
      </w:r>
      <w:r>
        <w:rPr>
          <w:rFonts w:hint="eastAsia" w:ascii="宋体" w:hAnsi="宋体" w:cs="宋体"/>
          <w:szCs w:val="21"/>
          <w:u w:val="single"/>
        </w:rPr>
        <w:t xml:space="preserve">                  </w:t>
      </w:r>
      <w:r>
        <w:rPr>
          <w:rFonts w:hint="eastAsia" w:ascii="宋体" w:hAnsi="宋体" w:cs="宋体"/>
          <w:szCs w:val="21"/>
        </w:rPr>
        <w:t>）</w:t>
      </w:r>
    </w:p>
    <w:p w14:paraId="012CD1A2">
      <w:pPr>
        <w:spacing w:line="360" w:lineRule="auto"/>
        <w:ind w:firstLine="1785"/>
        <w:rPr>
          <w:rFonts w:hint="eastAsia" w:ascii="宋体" w:hAnsi="宋体" w:cs="宋体"/>
          <w:szCs w:val="21"/>
        </w:rPr>
      </w:pPr>
      <w:r>
        <w:rPr>
          <w:rFonts w:hint="eastAsia" w:ascii="宋体" w:hAnsi="宋体" w:cs="宋体"/>
          <w:szCs w:val="21"/>
        </w:rPr>
        <w:t xml:space="preserve"> （小写：¥</w:t>
      </w:r>
      <w:r>
        <w:rPr>
          <w:rFonts w:hint="eastAsia" w:ascii="宋体" w:hAnsi="宋体" w:cs="宋体"/>
          <w:szCs w:val="21"/>
          <w:u w:val="single"/>
        </w:rPr>
        <w:t xml:space="preserve"> </w:t>
      </w:r>
      <w:r>
        <w:rPr>
          <w:rFonts w:hint="eastAsia" w:ascii="宋体" w:hAnsi="宋体" w:cs="宋体"/>
          <w:spacing w:val="-2"/>
          <w:szCs w:val="21"/>
          <w:u w:val="single"/>
        </w:rPr>
        <w:t xml:space="preserve">               </w:t>
      </w:r>
      <w:r>
        <w:rPr>
          <w:rFonts w:hint="eastAsia" w:ascii="宋体" w:hAnsi="宋体" w:cs="宋体"/>
          <w:szCs w:val="21"/>
        </w:rPr>
        <w:t>元）；</w:t>
      </w:r>
    </w:p>
    <w:p w14:paraId="1A82D4C2">
      <w:pPr>
        <w:spacing w:line="360" w:lineRule="auto"/>
        <w:ind w:firstLine="420"/>
        <w:rPr>
          <w:rFonts w:hint="eastAsia" w:ascii="宋体" w:hAnsi="宋体" w:cs="宋体"/>
          <w:szCs w:val="21"/>
        </w:rPr>
      </w:pPr>
      <w:r>
        <w:rPr>
          <w:rFonts w:hint="eastAsia" w:ascii="宋体" w:hAnsi="宋体" w:cs="宋体"/>
          <w:szCs w:val="21"/>
        </w:rPr>
        <w:t>（2）材料和工程设备暂估价金额：</w:t>
      </w:r>
    </w:p>
    <w:p w14:paraId="614BF828">
      <w:pPr>
        <w:spacing w:line="360" w:lineRule="auto"/>
        <w:ind w:firstLine="945"/>
        <w:rPr>
          <w:rFonts w:hint="eastAsia" w:ascii="宋体" w:hAnsi="宋体" w:cs="宋体"/>
          <w:szCs w:val="21"/>
        </w:rPr>
      </w:pPr>
      <w:r>
        <w:rPr>
          <w:rFonts w:hint="eastAsia" w:ascii="宋体" w:hAnsi="宋体" w:cs="宋体"/>
          <w:szCs w:val="21"/>
        </w:rPr>
        <w:t>人民币（大写</w:t>
      </w:r>
      <w:r>
        <w:rPr>
          <w:rFonts w:hint="eastAsia" w:ascii="宋体" w:hAnsi="宋体" w:cs="宋体"/>
          <w:szCs w:val="21"/>
          <w:u w:val="single"/>
        </w:rPr>
        <w:t xml:space="preserve">   /   </w:t>
      </w:r>
      <w:r>
        <w:rPr>
          <w:rFonts w:hint="eastAsia" w:ascii="宋体" w:hAnsi="宋体" w:cs="宋体"/>
          <w:szCs w:val="21"/>
        </w:rPr>
        <w:t>） （小写：¥</w:t>
      </w:r>
      <w:r>
        <w:rPr>
          <w:rFonts w:hint="eastAsia" w:ascii="宋体" w:hAnsi="宋体" w:cs="宋体"/>
          <w:szCs w:val="21"/>
          <w:u w:val="single"/>
        </w:rPr>
        <w:t xml:space="preserve"> / </w:t>
      </w:r>
      <w:r>
        <w:rPr>
          <w:rFonts w:hint="eastAsia" w:ascii="宋体" w:hAnsi="宋体" w:cs="宋体"/>
          <w:szCs w:val="21"/>
        </w:rPr>
        <w:t>元）；</w:t>
      </w:r>
    </w:p>
    <w:p w14:paraId="047242E6">
      <w:pPr>
        <w:spacing w:line="360" w:lineRule="auto"/>
        <w:ind w:firstLine="420"/>
        <w:rPr>
          <w:rFonts w:hint="eastAsia" w:ascii="宋体" w:hAnsi="宋体" w:cs="宋体"/>
          <w:szCs w:val="21"/>
        </w:rPr>
      </w:pPr>
      <w:r>
        <w:rPr>
          <w:rFonts w:hint="eastAsia" w:ascii="宋体" w:hAnsi="宋体" w:cs="宋体"/>
          <w:szCs w:val="21"/>
        </w:rPr>
        <w:t>（3）专业工程暂估价金额：</w:t>
      </w:r>
    </w:p>
    <w:p w14:paraId="7F275157">
      <w:pPr>
        <w:spacing w:line="360" w:lineRule="auto"/>
        <w:ind w:firstLine="945"/>
        <w:rPr>
          <w:rFonts w:hint="eastAsia" w:ascii="宋体" w:hAnsi="宋体" w:cs="宋体"/>
          <w:szCs w:val="21"/>
        </w:rPr>
      </w:pPr>
      <w:r>
        <w:rPr>
          <w:rFonts w:hint="eastAsia" w:ascii="宋体" w:hAnsi="宋体" w:cs="宋体"/>
          <w:szCs w:val="21"/>
        </w:rPr>
        <w:t>人民币（大写：</w:t>
      </w:r>
      <w:r>
        <w:rPr>
          <w:rFonts w:hint="eastAsia" w:ascii="宋体" w:hAnsi="宋体" w:cs="宋体"/>
          <w:szCs w:val="21"/>
          <w:u w:val="single"/>
        </w:rPr>
        <w:t xml:space="preserve">  / </w:t>
      </w:r>
      <w:r>
        <w:rPr>
          <w:rFonts w:hint="eastAsia" w:ascii="宋体" w:hAnsi="宋体" w:cs="宋体"/>
          <w:szCs w:val="21"/>
        </w:rPr>
        <w:t>） （小写：¥</w:t>
      </w:r>
      <w:r>
        <w:rPr>
          <w:rFonts w:hint="eastAsia" w:ascii="宋体" w:hAnsi="宋体" w:cs="宋体"/>
          <w:szCs w:val="21"/>
          <w:u w:val="single"/>
        </w:rPr>
        <w:t xml:space="preserve">  / 元）</w:t>
      </w:r>
      <w:r>
        <w:rPr>
          <w:rFonts w:hint="eastAsia" w:ascii="宋体" w:hAnsi="宋体" w:cs="宋体"/>
          <w:szCs w:val="21"/>
        </w:rPr>
        <w:t>；</w:t>
      </w:r>
    </w:p>
    <w:p w14:paraId="1A80D6CE">
      <w:pPr>
        <w:numPr>
          <w:ilvl w:val="0"/>
          <w:numId w:val="8"/>
        </w:numPr>
        <w:spacing w:line="360" w:lineRule="auto"/>
        <w:ind w:firstLine="420"/>
        <w:rPr>
          <w:rFonts w:hint="eastAsia" w:ascii="宋体" w:hAnsi="宋体" w:cs="宋体"/>
          <w:szCs w:val="21"/>
        </w:rPr>
      </w:pPr>
      <w:r>
        <w:rPr>
          <w:rFonts w:hint="eastAsia" w:ascii="宋体" w:hAnsi="宋体" w:cs="宋体"/>
          <w:szCs w:val="21"/>
        </w:rPr>
        <w:t>暂列金额：</w:t>
      </w:r>
    </w:p>
    <w:p w14:paraId="7F8CE55F">
      <w:pPr>
        <w:spacing w:line="360" w:lineRule="auto"/>
        <w:ind w:firstLine="840"/>
        <w:rPr>
          <w:rFonts w:hint="eastAsia" w:ascii="宋体" w:hAnsi="宋体" w:cs="宋体"/>
          <w:szCs w:val="21"/>
        </w:rPr>
      </w:pPr>
      <w:r>
        <w:rPr>
          <w:rFonts w:hint="eastAsia" w:ascii="宋体" w:hAnsi="宋体" w:cs="宋体"/>
          <w:szCs w:val="21"/>
        </w:rPr>
        <w:t>人民币  （大写：</w:t>
      </w:r>
      <w:r>
        <w:rPr>
          <w:rFonts w:hint="eastAsia" w:ascii="宋体" w:hAnsi="宋体" w:cs="宋体"/>
          <w:szCs w:val="21"/>
          <w:u w:val="single"/>
        </w:rPr>
        <w:t xml:space="preserve">       </w:t>
      </w:r>
      <w:r>
        <w:rPr>
          <w:rFonts w:hint="eastAsia" w:ascii="宋体" w:hAnsi="宋体" w:cs="宋体"/>
          <w:szCs w:val="21"/>
        </w:rPr>
        <w:t>）</w:t>
      </w:r>
    </w:p>
    <w:p w14:paraId="51CD05E4">
      <w:pPr>
        <w:spacing w:line="360" w:lineRule="auto"/>
        <w:ind w:firstLine="1680"/>
        <w:rPr>
          <w:rFonts w:hint="eastAsia" w:ascii="宋体" w:hAnsi="宋体" w:cs="宋体"/>
          <w:szCs w:val="21"/>
        </w:rPr>
      </w:pPr>
      <w:r>
        <w:rPr>
          <w:rFonts w:hint="eastAsia" w:ascii="宋体" w:hAnsi="宋体" w:cs="宋体"/>
          <w:szCs w:val="21"/>
        </w:rPr>
        <w:t>（小写：¥</w:t>
      </w:r>
      <w:r>
        <w:rPr>
          <w:rFonts w:hint="eastAsia" w:ascii="宋体" w:hAnsi="宋体" w:cs="宋体"/>
          <w:szCs w:val="21"/>
          <w:u w:val="single"/>
        </w:rPr>
        <w:t xml:space="preserve">      </w:t>
      </w:r>
      <w:r>
        <w:rPr>
          <w:rFonts w:hint="eastAsia" w:ascii="宋体" w:hAnsi="宋体" w:cs="宋体"/>
          <w:szCs w:val="21"/>
        </w:rPr>
        <w:t>元）。</w:t>
      </w:r>
    </w:p>
    <w:p w14:paraId="13072747">
      <w:pPr>
        <w:spacing w:line="360" w:lineRule="auto"/>
        <w:ind w:firstLine="420"/>
        <w:rPr>
          <w:rFonts w:hint="eastAsia" w:ascii="宋体" w:hAnsi="宋体" w:cs="宋体"/>
          <w:szCs w:val="21"/>
          <w:u w:val="single"/>
        </w:rPr>
      </w:pPr>
      <w:r>
        <w:rPr>
          <w:rFonts w:hint="eastAsia" w:ascii="宋体" w:hAnsi="宋体" w:cs="宋体"/>
          <w:szCs w:val="21"/>
        </w:rPr>
        <w:t>2.合同价格形式：</w:t>
      </w:r>
      <w:r>
        <w:rPr>
          <w:rFonts w:hint="eastAsia" w:ascii="宋体" w:hAnsi="宋体" w:cs="宋体"/>
          <w:szCs w:val="21"/>
          <w:u w:val="single"/>
        </w:rPr>
        <w:t xml:space="preserve"> </w:t>
      </w:r>
      <w:r>
        <w:rPr>
          <w:rFonts w:hint="eastAsia" w:ascii="宋体" w:hAnsi="宋体" w:cs="宋体"/>
          <w:b/>
          <w:u w:val="single"/>
        </w:rPr>
        <w:t xml:space="preserve">                      </w:t>
      </w:r>
      <w:r>
        <w:rPr>
          <w:rFonts w:hint="eastAsia" w:ascii="宋体" w:hAnsi="宋体" w:cs="宋体"/>
          <w:szCs w:val="21"/>
          <w:u w:val="single"/>
        </w:rPr>
        <w:t xml:space="preserve"> </w:t>
      </w:r>
    </w:p>
    <w:p w14:paraId="2DD0D872">
      <w:pPr>
        <w:pStyle w:val="62"/>
        <w:spacing w:line="360" w:lineRule="auto"/>
        <w:rPr>
          <w:rFonts w:cs="宋体"/>
          <w:b w:val="0"/>
          <w:sz w:val="21"/>
          <w:szCs w:val="21"/>
        </w:rPr>
      </w:pPr>
      <w:bookmarkStart w:id="42" w:name="_Toc351203485"/>
      <w:r>
        <w:rPr>
          <w:rFonts w:hint="eastAsia" w:cs="宋体"/>
          <w:b w:val="0"/>
          <w:sz w:val="21"/>
          <w:szCs w:val="21"/>
        </w:rPr>
        <w:t>五、</w:t>
      </w:r>
      <w:bookmarkEnd w:id="42"/>
      <w:r>
        <w:rPr>
          <w:rFonts w:hint="eastAsia" w:cs="宋体"/>
          <w:b w:val="0"/>
          <w:sz w:val="21"/>
          <w:szCs w:val="21"/>
        </w:rPr>
        <w:t>项目经理</w:t>
      </w:r>
    </w:p>
    <w:p w14:paraId="2045B4FA">
      <w:pPr>
        <w:spacing w:line="360" w:lineRule="auto"/>
        <w:ind w:firstLine="420"/>
        <w:rPr>
          <w:rFonts w:hint="eastAsia" w:ascii="宋体" w:hAnsi="宋体" w:cs="宋体"/>
          <w:szCs w:val="21"/>
        </w:rPr>
      </w:pPr>
      <w:r>
        <w:rPr>
          <w:rFonts w:hint="eastAsia" w:ascii="宋体" w:hAnsi="宋体" w:cs="宋体"/>
          <w:szCs w:val="21"/>
        </w:rPr>
        <w:t>承包人项目经理：</w:t>
      </w:r>
      <w:r>
        <w:rPr>
          <w:rFonts w:hint="eastAsia" w:ascii="宋体" w:hAnsi="宋体" w:cs="宋体"/>
          <w:szCs w:val="21"/>
          <w:u w:val="single"/>
        </w:rPr>
        <w:t xml:space="preserve"> </w:t>
      </w:r>
      <w:r>
        <w:rPr>
          <w:rFonts w:hint="eastAsia" w:ascii="宋体" w:hAnsi="宋体" w:cs="宋体"/>
          <w:b/>
          <w:u w:val="single"/>
        </w:rPr>
        <w:t xml:space="preserve">          </w:t>
      </w:r>
      <w:r>
        <w:rPr>
          <w:rFonts w:hint="eastAsia" w:ascii="宋体" w:hAnsi="宋体" w:cs="宋体"/>
          <w:szCs w:val="21"/>
          <w:u w:val="single"/>
        </w:rPr>
        <w:t xml:space="preserve"> </w:t>
      </w:r>
      <w:r>
        <w:rPr>
          <w:rFonts w:hint="eastAsia" w:ascii="宋体" w:hAnsi="宋体" w:cs="宋体"/>
          <w:szCs w:val="21"/>
        </w:rPr>
        <w:t>证号</w:t>
      </w:r>
      <w:r>
        <w:rPr>
          <w:rFonts w:hint="eastAsia" w:ascii="宋体" w:hAnsi="宋体" w:cs="宋体"/>
          <w:szCs w:val="21"/>
          <w:u w:val="single"/>
        </w:rPr>
        <w:t>：</w:t>
      </w:r>
      <w:r>
        <w:rPr>
          <w:rFonts w:hint="eastAsia" w:ascii="宋体" w:hAnsi="宋体" w:cs="宋体"/>
          <w:b/>
          <w:u w:val="single"/>
        </w:rPr>
        <w:t xml:space="preserve">            </w:t>
      </w:r>
      <w:r>
        <w:rPr>
          <w:rFonts w:hint="eastAsia" w:ascii="宋体" w:hAnsi="宋体" w:cs="宋体"/>
          <w:szCs w:val="21"/>
          <w:u w:val="single"/>
        </w:rPr>
        <w:t xml:space="preserve"> </w:t>
      </w:r>
      <w:r>
        <w:rPr>
          <w:rFonts w:hint="eastAsia" w:ascii="宋体" w:hAnsi="宋体" w:cs="宋体"/>
          <w:szCs w:val="21"/>
        </w:rPr>
        <w:t>。</w:t>
      </w:r>
    </w:p>
    <w:p w14:paraId="09D086BC">
      <w:pPr>
        <w:pStyle w:val="62"/>
        <w:spacing w:line="360" w:lineRule="auto"/>
        <w:rPr>
          <w:rFonts w:cs="宋体"/>
          <w:sz w:val="21"/>
          <w:szCs w:val="21"/>
        </w:rPr>
      </w:pPr>
      <w:bookmarkStart w:id="43" w:name="_Toc351203486"/>
      <w:r>
        <w:rPr>
          <w:rFonts w:hint="eastAsia" w:cs="宋体"/>
          <w:b w:val="0"/>
          <w:sz w:val="21"/>
          <w:szCs w:val="21"/>
        </w:rPr>
        <w:t>六、合同文件构成</w:t>
      </w:r>
      <w:bookmarkEnd w:id="43"/>
    </w:p>
    <w:p w14:paraId="05C51D67">
      <w:pPr>
        <w:spacing w:line="360" w:lineRule="auto"/>
        <w:ind w:firstLine="420"/>
        <w:rPr>
          <w:rFonts w:hint="eastAsia" w:ascii="宋体" w:hAnsi="宋体" w:cs="宋体"/>
          <w:bCs/>
          <w:szCs w:val="21"/>
        </w:rPr>
      </w:pPr>
      <w:r>
        <w:rPr>
          <w:rFonts w:hint="eastAsia" w:ascii="宋体" w:hAnsi="宋体" w:cs="宋体"/>
          <w:bCs/>
          <w:szCs w:val="21"/>
        </w:rPr>
        <w:t>本协议书与下列文件一起构成合同文件：</w:t>
      </w:r>
    </w:p>
    <w:p w14:paraId="72C53E17">
      <w:pPr>
        <w:spacing w:line="360" w:lineRule="auto"/>
        <w:ind w:firstLine="420"/>
        <w:rPr>
          <w:rFonts w:hint="eastAsia" w:ascii="宋体" w:hAnsi="宋体" w:cs="宋体"/>
          <w:szCs w:val="21"/>
        </w:rPr>
      </w:pPr>
      <w:r>
        <w:rPr>
          <w:rFonts w:hint="eastAsia" w:ascii="宋体" w:hAnsi="宋体" w:cs="宋体"/>
          <w:szCs w:val="21"/>
        </w:rPr>
        <w:t>（1）中标通知书（如果有）；</w:t>
      </w:r>
    </w:p>
    <w:p w14:paraId="688D7CF0">
      <w:pPr>
        <w:spacing w:line="360" w:lineRule="auto"/>
        <w:ind w:firstLine="420"/>
        <w:rPr>
          <w:rFonts w:hint="eastAsia" w:ascii="宋体" w:hAnsi="宋体" w:cs="宋体"/>
          <w:szCs w:val="21"/>
        </w:rPr>
      </w:pPr>
      <w:r>
        <w:rPr>
          <w:rFonts w:hint="eastAsia" w:ascii="宋体" w:hAnsi="宋体" w:cs="宋体"/>
          <w:szCs w:val="21"/>
        </w:rPr>
        <w:t xml:space="preserve">（2）投标函及其附录（如果有）； </w:t>
      </w:r>
    </w:p>
    <w:p w14:paraId="73C631A7">
      <w:pPr>
        <w:spacing w:line="360" w:lineRule="auto"/>
        <w:ind w:firstLine="420"/>
        <w:rPr>
          <w:rFonts w:hint="eastAsia" w:ascii="宋体" w:hAnsi="宋体" w:cs="宋体"/>
          <w:szCs w:val="21"/>
        </w:rPr>
      </w:pPr>
      <w:r>
        <w:rPr>
          <w:rFonts w:hint="eastAsia" w:ascii="宋体" w:hAnsi="宋体" w:cs="宋体"/>
          <w:szCs w:val="21"/>
        </w:rPr>
        <w:t>（3）专用合同条款及其附件；</w:t>
      </w:r>
    </w:p>
    <w:p w14:paraId="7236DD6E">
      <w:pPr>
        <w:spacing w:line="360" w:lineRule="auto"/>
        <w:ind w:firstLine="420"/>
        <w:rPr>
          <w:rFonts w:hint="eastAsia" w:ascii="宋体" w:hAnsi="宋体" w:cs="宋体"/>
          <w:szCs w:val="21"/>
        </w:rPr>
      </w:pPr>
      <w:r>
        <w:rPr>
          <w:rFonts w:hint="eastAsia" w:ascii="宋体" w:hAnsi="宋体" w:cs="宋体"/>
          <w:szCs w:val="21"/>
        </w:rPr>
        <w:t>（4）通用合同条款；</w:t>
      </w:r>
    </w:p>
    <w:p w14:paraId="364282FA">
      <w:pPr>
        <w:spacing w:line="360" w:lineRule="auto"/>
        <w:ind w:firstLine="420"/>
        <w:rPr>
          <w:rFonts w:hint="eastAsia" w:ascii="宋体" w:hAnsi="宋体" w:cs="宋体"/>
          <w:szCs w:val="21"/>
        </w:rPr>
      </w:pPr>
      <w:r>
        <w:rPr>
          <w:rFonts w:hint="eastAsia" w:ascii="宋体" w:hAnsi="宋体" w:cs="宋体"/>
          <w:szCs w:val="21"/>
        </w:rPr>
        <w:t>（5）技术标准和要求；</w:t>
      </w:r>
    </w:p>
    <w:p w14:paraId="0AEEC2B9">
      <w:pPr>
        <w:spacing w:line="360" w:lineRule="auto"/>
        <w:ind w:firstLine="420"/>
        <w:rPr>
          <w:rFonts w:hint="eastAsia" w:ascii="宋体" w:hAnsi="宋体" w:cs="宋体"/>
          <w:szCs w:val="21"/>
        </w:rPr>
      </w:pPr>
      <w:r>
        <w:rPr>
          <w:rFonts w:hint="eastAsia" w:ascii="宋体" w:hAnsi="宋体" w:cs="宋体"/>
          <w:szCs w:val="21"/>
        </w:rPr>
        <w:t>（6）图纸；</w:t>
      </w:r>
    </w:p>
    <w:p w14:paraId="3284E1E2">
      <w:pPr>
        <w:spacing w:line="360" w:lineRule="auto"/>
        <w:ind w:firstLine="420"/>
        <w:rPr>
          <w:rFonts w:hint="eastAsia" w:ascii="宋体" w:hAnsi="宋体" w:cs="宋体"/>
          <w:szCs w:val="21"/>
        </w:rPr>
      </w:pPr>
      <w:r>
        <w:rPr>
          <w:rFonts w:hint="eastAsia" w:ascii="宋体" w:hAnsi="宋体" w:cs="宋体"/>
          <w:szCs w:val="21"/>
        </w:rPr>
        <w:t>（7）已标价工程量清单或预算书；</w:t>
      </w:r>
    </w:p>
    <w:p w14:paraId="2ACDFAF1">
      <w:pPr>
        <w:spacing w:line="360" w:lineRule="auto"/>
        <w:ind w:firstLine="420"/>
        <w:rPr>
          <w:rFonts w:hint="eastAsia" w:ascii="宋体" w:hAnsi="宋体" w:cs="宋体"/>
          <w:szCs w:val="21"/>
        </w:rPr>
      </w:pPr>
      <w:r>
        <w:rPr>
          <w:rFonts w:hint="eastAsia" w:ascii="宋体" w:hAnsi="宋体" w:cs="宋体"/>
          <w:szCs w:val="21"/>
        </w:rPr>
        <w:t>（8）其他合同文件。</w:t>
      </w:r>
    </w:p>
    <w:p w14:paraId="58E9DE3B">
      <w:pPr>
        <w:spacing w:line="360" w:lineRule="auto"/>
        <w:ind w:firstLine="420"/>
        <w:rPr>
          <w:rFonts w:hint="eastAsia" w:ascii="宋体" w:hAnsi="宋体" w:cs="宋体"/>
          <w:szCs w:val="21"/>
        </w:rPr>
      </w:pPr>
      <w:r>
        <w:rPr>
          <w:rFonts w:hint="eastAsia" w:ascii="宋体" w:hAnsi="宋体" w:cs="宋体"/>
          <w:szCs w:val="21"/>
        </w:rPr>
        <w:t>在合同订立及履行过程中形成的与合同有关的文件均构成合同文件组成部分。</w:t>
      </w:r>
    </w:p>
    <w:p w14:paraId="675886D6">
      <w:pPr>
        <w:spacing w:line="360" w:lineRule="auto"/>
        <w:ind w:firstLine="420"/>
        <w:rPr>
          <w:rFonts w:hint="eastAsia" w:ascii="宋体" w:hAnsi="宋体" w:cs="宋体"/>
          <w:szCs w:val="21"/>
        </w:rPr>
      </w:pPr>
      <w:r>
        <w:rPr>
          <w:rFonts w:hint="eastAsia" w:ascii="宋体" w:hAnsi="宋体" w:cs="宋体"/>
          <w:szCs w:val="21"/>
        </w:rPr>
        <w:t>上述各项合同文件包括合同当事人就该项合同文件所作出的补充和修改，属于同一类内容的文件，应以最新签署的为准。专用合同条款及其附件须经合同当事人签字或盖章。</w:t>
      </w:r>
    </w:p>
    <w:p w14:paraId="324413AD">
      <w:pPr>
        <w:pStyle w:val="62"/>
        <w:spacing w:line="360" w:lineRule="auto"/>
        <w:rPr>
          <w:rFonts w:cs="宋体"/>
          <w:b w:val="0"/>
          <w:sz w:val="21"/>
          <w:szCs w:val="21"/>
        </w:rPr>
      </w:pPr>
      <w:bookmarkStart w:id="44" w:name="_Toc351203487"/>
      <w:r>
        <w:rPr>
          <w:rFonts w:hint="eastAsia" w:cs="宋体"/>
          <w:b w:val="0"/>
          <w:sz w:val="21"/>
          <w:szCs w:val="21"/>
        </w:rPr>
        <w:t>七、承诺</w:t>
      </w:r>
      <w:bookmarkEnd w:id="44"/>
    </w:p>
    <w:p w14:paraId="1EEFF108">
      <w:pPr>
        <w:spacing w:line="360" w:lineRule="auto"/>
        <w:ind w:firstLine="420"/>
        <w:rPr>
          <w:rFonts w:hint="eastAsia" w:ascii="宋体" w:hAnsi="宋体" w:cs="宋体"/>
          <w:bCs/>
          <w:szCs w:val="21"/>
        </w:rPr>
      </w:pPr>
      <w:r>
        <w:rPr>
          <w:rFonts w:hint="eastAsia" w:ascii="宋体" w:hAnsi="宋体" w:cs="宋体"/>
          <w:bCs/>
          <w:szCs w:val="21"/>
        </w:rPr>
        <w:t>1.发包人承诺按照法律规定履行项目审批手续、筹集工程建设资金并按照合同约定的期限和方式支付合同价款。</w:t>
      </w:r>
    </w:p>
    <w:p w14:paraId="383A7FCB">
      <w:pPr>
        <w:spacing w:line="360" w:lineRule="auto"/>
        <w:ind w:firstLine="420"/>
        <w:rPr>
          <w:rFonts w:hint="eastAsia" w:ascii="宋体" w:hAnsi="宋体" w:cs="宋体"/>
          <w:bCs/>
          <w:szCs w:val="21"/>
        </w:rPr>
      </w:pPr>
      <w:r>
        <w:rPr>
          <w:rFonts w:hint="eastAsia" w:ascii="宋体" w:hAnsi="宋体" w:cs="宋体"/>
          <w:bCs/>
          <w:szCs w:val="21"/>
        </w:rPr>
        <w:t>2.承包人承诺按照法律规定及合同约定组织完成工程施工，确保工程质量和安全，不进行转包及违法分包，并在缺陷责任期及保修期内承担相应的工程维修责任。</w:t>
      </w:r>
    </w:p>
    <w:p w14:paraId="76073FDE">
      <w:pPr>
        <w:spacing w:line="360" w:lineRule="auto"/>
        <w:ind w:firstLine="420"/>
        <w:rPr>
          <w:rFonts w:hint="eastAsia" w:ascii="宋体" w:hAnsi="宋体" w:cs="宋体"/>
          <w:bCs/>
          <w:szCs w:val="21"/>
        </w:rPr>
      </w:pPr>
      <w:r>
        <w:rPr>
          <w:rFonts w:hint="eastAsia" w:ascii="宋体" w:hAnsi="宋体" w:cs="宋体"/>
          <w:bCs/>
          <w:szCs w:val="21"/>
        </w:rPr>
        <w:t>3.发包人和承包人通过招投标形式签订合同的，双方理解并承诺不再就同一工程另行签订与合同实质性内容相背离的协议。</w:t>
      </w:r>
    </w:p>
    <w:p w14:paraId="37714392">
      <w:pPr>
        <w:pStyle w:val="62"/>
        <w:spacing w:line="360" w:lineRule="auto"/>
        <w:rPr>
          <w:rFonts w:cs="宋体"/>
          <w:b w:val="0"/>
          <w:sz w:val="21"/>
          <w:szCs w:val="21"/>
        </w:rPr>
      </w:pPr>
      <w:bookmarkStart w:id="45" w:name="_Toc351203488"/>
      <w:r>
        <w:rPr>
          <w:rFonts w:hint="eastAsia" w:cs="宋体"/>
          <w:b w:val="0"/>
          <w:sz w:val="21"/>
          <w:szCs w:val="21"/>
        </w:rPr>
        <w:t>八、词语含义</w:t>
      </w:r>
      <w:bookmarkEnd w:id="45"/>
    </w:p>
    <w:p w14:paraId="385A7FD7">
      <w:pPr>
        <w:spacing w:line="360" w:lineRule="auto"/>
        <w:ind w:firstLine="420"/>
        <w:rPr>
          <w:rFonts w:hint="eastAsia" w:ascii="宋体" w:hAnsi="宋体" w:cs="宋体"/>
          <w:bCs/>
          <w:szCs w:val="21"/>
        </w:rPr>
      </w:pPr>
      <w:r>
        <w:rPr>
          <w:rFonts w:hint="eastAsia" w:ascii="宋体" w:hAnsi="宋体" w:cs="宋体"/>
          <w:bCs/>
          <w:szCs w:val="21"/>
        </w:rPr>
        <w:t>本协议书中词语含义与第二部分通用合同条款中赋予的含义相同。</w:t>
      </w:r>
    </w:p>
    <w:p w14:paraId="56122098">
      <w:pPr>
        <w:pStyle w:val="62"/>
        <w:spacing w:line="360" w:lineRule="auto"/>
        <w:rPr>
          <w:rFonts w:cs="宋体"/>
          <w:sz w:val="21"/>
          <w:szCs w:val="21"/>
        </w:rPr>
      </w:pPr>
      <w:bookmarkStart w:id="46" w:name="_Toc351203489"/>
      <w:r>
        <w:rPr>
          <w:rFonts w:hint="eastAsia" w:cs="宋体"/>
          <w:b w:val="0"/>
          <w:sz w:val="21"/>
          <w:szCs w:val="21"/>
        </w:rPr>
        <w:t>九、签订时间</w:t>
      </w:r>
      <w:bookmarkEnd w:id="46"/>
    </w:p>
    <w:p w14:paraId="15B86DE9">
      <w:pPr>
        <w:spacing w:line="360" w:lineRule="auto"/>
        <w:ind w:firstLine="420"/>
        <w:rPr>
          <w:rFonts w:hint="eastAsia" w:ascii="宋体" w:hAnsi="宋体" w:cs="宋体"/>
          <w:bCs/>
          <w:szCs w:val="21"/>
          <w:u w:val="single"/>
        </w:rPr>
      </w:pPr>
      <w:r>
        <w:rPr>
          <w:rFonts w:hint="eastAsia" w:ascii="宋体" w:hAnsi="宋体" w:cs="宋体"/>
          <w:bCs/>
          <w:szCs w:val="21"/>
        </w:rPr>
        <w:t>本合同于</w:t>
      </w:r>
      <w:r>
        <w:rPr>
          <w:rFonts w:hint="eastAsia" w:ascii="宋体" w:hAnsi="宋体" w:cs="宋体"/>
          <w:bCs/>
          <w:szCs w:val="21"/>
          <w:u w:val="single"/>
        </w:rPr>
        <w:t xml:space="preserve">       </w:t>
      </w:r>
      <w:r>
        <w:rPr>
          <w:rFonts w:hint="eastAsia" w:ascii="宋体" w:hAnsi="宋体" w:cs="宋体"/>
          <w:bCs/>
          <w:szCs w:val="21"/>
        </w:rPr>
        <w:t xml:space="preserve">年 </w:t>
      </w:r>
      <w:r>
        <w:rPr>
          <w:rFonts w:hint="eastAsia" w:ascii="宋体" w:hAnsi="宋体" w:cs="宋体"/>
          <w:bCs/>
          <w:szCs w:val="21"/>
          <w:u w:val="single"/>
        </w:rPr>
        <w:t xml:space="preserve">   </w:t>
      </w:r>
      <w:r>
        <w:rPr>
          <w:rFonts w:hint="eastAsia" w:ascii="宋体" w:hAnsi="宋体" w:cs="宋体"/>
          <w:bCs/>
          <w:szCs w:val="21"/>
        </w:rPr>
        <w:t>月</w:t>
      </w:r>
      <w:r>
        <w:rPr>
          <w:rFonts w:hint="eastAsia" w:ascii="宋体" w:hAnsi="宋体" w:cs="宋体"/>
          <w:bCs/>
          <w:szCs w:val="21"/>
          <w:u w:val="single"/>
        </w:rPr>
        <w:t xml:space="preserve">    </w:t>
      </w:r>
      <w:r>
        <w:rPr>
          <w:rFonts w:hint="eastAsia" w:ascii="宋体" w:hAnsi="宋体" w:cs="宋体"/>
          <w:bCs/>
          <w:szCs w:val="21"/>
        </w:rPr>
        <w:t>日签订。</w:t>
      </w:r>
    </w:p>
    <w:p w14:paraId="42E2BF80">
      <w:pPr>
        <w:pStyle w:val="62"/>
        <w:spacing w:line="360" w:lineRule="auto"/>
        <w:rPr>
          <w:rFonts w:cs="宋体"/>
          <w:sz w:val="21"/>
          <w:szCs w:val="21"/>
        </w:rPr>
      </w:pPr>
      <w:bookmarkStart w:id="47" w:name="_Toc351203490"/>
      <w:r>
        <w:rPr>
          <w:rFonts w:hint="eastAsia" w:cs="宋体"/>
          <w:b w:val="0"/>
          <w:sz w:val="21"/>
          <w:szCs w:val="21"/>
        </w:rPr>
        <w:t>十、签订地点</w:t>
      </w:r>
      <w:bookmarkEnd w:id="47"/>
    </w:p>
    <w:p w14:paraId="67C15D16">
      <w:pPr>
        <w:spacing w:line="360" w:lineRule="auto"/>
        <w:ind w:firstLine="420"/>
        <w:rPr>
          <w:rFonts w:hint="eastAsia" w:ascii="宋体" w:hAnsi="宋体" w:cs="宋体"/>
          <w:bCs/>
          <w:szCs w:val="21"/>
        </w:rPr>
      </w:pPr>
      <w:r>
        <w:rPr>
          <w:rFonts w:hint="eastAsia" w:ascii="宋体" w:hAnsi="宋体" w:cs="宋体"/>
          <w:bCs/>
          <w:szCs w:val="21"/>
        </w:rPr>
        <w:t>本合同在</w:t>
      </w:r>
      <w:r>
        <w:rPr>
          <w:rFonts w:hint="eastAsia" w:ascii="宋体" w:hAnsi="宋体" w:cs="宋体"/>
          <w:bCs/>
          <w:szCs w:val="21"/>
          <w:u w:val="single"/>
          <w:lang w:val="zh-CN"/>
        </w:rPr>
        <w:t>南京市</w:t>
      </w:r>
      <w:r>
        <w:rPr>
          <w:rFonts w:hint="eastAsia" w:ascii="宋体" w:hAnsi="宋体" w:cs="宋体"/>
          <w:bCs/>
          <w:szCs w:val="21"/>
          <w:u w:val="single"/>
        </w:rPr>
        <w:t>浦口区黄山岭路69号</w:t>
      </w:r>
      <w:r>
        <w:rPr>
          <w:rFonts w:hint="eastAsia" w:ascii="宋体" w:hAnsi="宋体" w:cs="宋体"/>
          <w:bCs/>
          <w:szCs w:val="21"/>
        </w:rPr>
        <w:t>签订。</w:t>
      </w:r>
    </w:p>
    <w:p w14:paraId="1F41DAB5">
      <w:pPr>
        <w:pStyle w:val="62"/>
        <w:spacing w:line="360" w:lineRule="auto"/>
        <w:rPr>
          <w:rFonts w:cs="宋体"/>
          <w:sz w:val="21"/>
          <w:szCs w:val="21"/>
        </w:rPr>
      </w:pPr>
      <w:bookmarkStart w:id="48" w:name="_Toc351203491"/>
      <w:r>
        <w:rPr>
          <w:rFonts w:hint="eastAsia" w:cs="宋体"/>
          <w:b w:val="0"/>
          <w:sz w:val="21"/>
          <w:szCs w:val="21"/>
        </w:rPr>
        <w:t>十一、补充协议</w:t>
      </w:r>
      <w:bookmarkEnd w:id="48"/>
    </w:p>
    <w:p w14:paraId="0A4C73BD">
      <w:pPr>
        <w:spacing w:line="360" w:lineRule="auto"/>
        <w:ind w:firstLine="420"/>
        <w:rPr>
          <w:rFonts w:hint="eastAsia" w:ascii="宋体" w:hAnsi="宋体" w:cs="宋体"/>
          <w:b/>
          <w:bCs/>
          <w:szCs w:val="21"/>
        </w:rPr>
      </w:pPr>
      <w:r>
        <w:rPr>
          <w:rFonts w:hint="eastAsia" w:ascii="宋体" w:hAnsi="宋体" w:cs="宋体"/>
          <w:bCs/>
          <w:szCs w:val="21"/>
        </w:rPr>
        <w:t>合同未尽事宜，合同当事人另行签订补充协议，补充协议是合同的组成部分。</w:t>
      </w:r>
    </w:p>
    <w:p w14:paraId="641BC134">
      <w:pPr>
        <w:pStyle w:val="62"/>
        <w:spacing w:line="360" w:lineRule="auto"/>
        <w:rPr>
          <w:rFonts w:cs="宋体"/>
          <w:sz w:val="21"/>
          <w:szCs w:val="21"/>
        </w:rPr>
      </w:pPr>
      <w:bookmarkStart w:id="49" w:name="_Toc351203492"/>
      <w:r>
        <w:rPr>
          <w:rFonts w:hint="eastAsia" w:cs="宋体"/>
          <w:b w:val="0"/>
          <w:sz w:val="21"/>
          <w:szCs w:val="21"/>
        </w:rPr>
        <w:t>十二、合同生效</w:t>
      </w:r>
      <w:bookmarkEnd w:id="49"/>
    </w:p>
    <w:p w14:paraId="4AA582ED">
      <w:pPr>
        <w:spacing w:line="360" w:lineRule="auto"/>
        <w:ind w:firstLine="420"/>
        <w:rPr>
          <w:rFonts w:hint="eastAsia" w:ascii="宋体" w:hAnsi="宋体" w:cs="宋体"/>
          <w:bCs/>
          <w:szCs w:val="21"/>
        </w:rPr>
      </w:pPr>
      <w:r>
        <w:rPr>
          <w:rFonts w:hint="eastAsia" w:ascii="宋体" w:hAnsi="宋体" w:cs="宋体"/>
          <w:bCs/>
          <w:szCs w:val="21"/>
        </w:rPr>
        <w:t>本合同自</w:t>
      </w:r>
      <w:r>
        <w:rPr>
          <w:rFonts w:hint="eastAsia" w:ascii="宋体" w:hAnsi="宋体" w:cs="宋体"/>
          <w:bCs/>
          <w:szCs w:val="21"/>
          <w:u w:val="single"/>
        </w:rPr>
        <w:t>双方法定代表人或委托代理人签名并加盖单位公章之日起</w:t>
      </w:r>
      <w:r>
        <w:rPr>
          <w:rFonts w:hint="eastAsia" w:ascii="宋体" w:hAnsi="宋体" w:cs="宋体"/>
          <w:bCs/>
          <w:szCs w:val="21"/>
        </w:rPr>
        <w:t>生效。</w:t>
      </w:r>
    </w:p>
    <w:p w14:paraId="7AB08ACE">
      <w:pPr>
        <w:pStyle w:val="62"/>
        <w:spacing w:line="360" w:lineRule="auto"/>
        <w:rPr>
          <w:rFonts w:cs="宋体"/>
          <w:sz w:val="21"/>
          <w:szCs w:val="21"/>
        </w:rPr>
      </w:pPr>
      <w:bookmarkStart w:id="50" w:name="_Toc351203493"/>
      <w:r>
        <w:rPr>
          <w:rFonts w:hint="eastAsia" w:cs="宋体"/>
          <w:b w:val="0"/>
          <w:sz w:val="21"/>
          <w:szCs w:val="21"/>
        </w:rPr>
        <w:t>十三、合同份数</w:t>
      </w:r>
      <w:bookmarkEnd w:id="50"/>
    </w:p>
    <w:p w14:paraId="654B175A">
      <w:pPr>
        <w:spacing w:line="360" w:lineRule="auto"/>
        <w:ind w:firstLine="420"/>
        <w:rPr>
          <w:rFonts w:hint="eastAsia" w:ascii="宋体" w:hAnsi="宋体" w:cs="宋体"/>
          <w:bCs/>
          <w:szCs w:val="21"/>
        </w:rPr>
      </w:pPr>
      <w:r>
        <w:rPr>
          <w:rFonts w:hint="eastAsia" w:ascii="宋体" w:hAnsi="宋体" w:cs="宋体"/>
          <w:bCs/>
          <w:szCs w:val="21"/>
        </w:rPr>
        <w:t>本合同一式</w:t>
      </w:r>
      <w:r>
        <w:rPr>
          <w:rFonts w:hint="eastAsia" w:ascii="宋体" w:hAnsi="宋体" w:cs="宋体"/>
          <w:bCs/>
          <w:szCs w:val="21"/>
          <w:u w:val="single"/>
        </w:rPr>
        <w:t xml:space="preserve">   </w:t>
      </w:r>
      <w:r>
        <w:rPr>
          <w:rFonts w:hint="eastAsia" w:ascii="宋体" w:hAnsi="宋体" w:cs="宋体"/>
          <w:bCs/>
          <w:szCs w:val="21"/>
        </w:rPr>
        <w:t>份，均具有同等法律效力，发包人执</w:t>
      </w:r>
      <w:r>
        <w:rPr>
          <w:rFonts w:hint="eastAsia" w:ascii="宋体" w:hAnsi="宋体" w:cs="宋体"/>
          <w:bCs/>
          <w:szCs w:val="21"/>
          <w:u w:val="single"/>
        </w:rPr>
        <w:t xml:space="preserve">  </w:t>
      </w:r>
      <w:r>
        <w:rPr>
          <w:rFonts w:hint="eastAsia" w:ascii="宋体" w:hAnsi="宋体" w:cs="宋体"/>
          <w:bCs/>
          <w:szCs w:val="21"/>
        </w:rPr>
        <w:t>份，承包人执</w:t>
      </w:r>
      <w:r>
        <w:rPr>
          <w:rFonts w:hint="eastAsia" w:ascii="宋体" w:hAnsi="宋体" w:cs="宋体"/>
          <w:bCs/>
          <w:szCs w:val="21"/>
          <w:u w:val="single"/>
        </w:rPr>
        <w:t xml:space="preserve">   </w:t>
      </w:r>
      <w:r>
        <w:rPr>
          <w:rFonts w:hint="eastAsia" w:ascii="宋体" w:hAnsi="宋体" w:cs="宋体"/>
          <w:bCs/>
          <w:szCs w:val="21"/>
        </w:rPr>
        <w:t>份。</w:t>
      </w:r>
    </w:p>
    <w:p w14:paraId="66E8079B">
      <w:pPr>
        <w:spacing w:line="360" w:lineRule="auto"/>
        <w:rPr>
          <w:rFonts w:hint="eastAsia" w:ascii="宋体" w:hAnsi="宋体" w:cs="宋体"/>
          <w:bCs/>
          <w:szCs w:val="21"/>
        </w:rPr>
      </w:pPr>
    </w:p>
    <w:p w14:paraId="4C3321C9">
      <w:pPr>
        <w:spacing w:line="360" w:lineRule="auto"/>
        <w:rPr>
          <w:rFonts w:hint="eastAsia" w:ascii="宋体" w:hAnsi="宋体" w:cs="宋体"/>
          <w:bCs/>
          <w:szCs w:val="21"/>
        </w:rPr>
      </w:pPr>
    </w:p>
    <w:p w14:paraId="776E71BC">
      <w:pPr>
        <w:pStyle w:val="364"/>
        <w:ind w:firstLine="400"/>
        <w:rPr>
          <w:rFonts w:hint="eastAsia" w:ascii="宋体" w:hAnsi="宋体" w:cs="宋体"/>
          <w:sz w:val="20"/>
          <w:szCs w:val="20"/>
        </w:rPr>
      </w:pPr>
    </w:p>
    <w:p w14:paraId="63D660FF">
      <w:pPr>
        <w:spacing w:line="360" w:lineRule="auto"/>
        <w:rPr>
          <w:rFonts w:hint="eastAsia" w:ascii="宋体" w:hAnsi="宋体" w:cs="宋体"/>
          <w:szCs w:val="21"/>
        </w:rPr>
      </w:pPr>
      <w:r>
        <w:rPr>
          <w:rFonts w:hint="eastAsia" w:ascii="宋体" w:hAnsi="宋体" w:cs="宋体"/>
          <w:szCs w:val="21"/>
        </w:rPr>
        <w:t>发包人：  （公章）                          承包人：  （公章）</w:t>
      </w:r>
    </w:p>
    <w:p w14:paraId="32D28DD4">
      <w:pPr>
        <w:spacing w:line="360" w:lineRule="auto"/>
        <w:rPr>
          <w:rFonts w:hint="eastAsia" w:ascii="宋体" w:hAnsi="宋体" w:cs="宋体"/>
          <w:szCs w:val="21"/>
        </w:rPr>
      </w:pPr>
      <w:r>
        <w:rPr>
          <w:rFonts w:hint="eastAsia" w:ascii="宋体" w:hAnsi="宋体" w:cs="宋体"/>
          <w:szCs w:val="21"/>
        </w:rPr>
        <w:t>法定代表人或其委托代理人：               法定代表人或其委托代理人：</w:t>
      </w:r>
    </w:p>
    <w:p w14:paraId="219F0700">
      <w:pPr>
        <w:spacing w:line="360" w:lineRule="auto"/>
        <w:rPr>
          <w:rFonts w:hint="eastAsia" w:ascii="宋体" w:hAnsi="宋体" w:cs="宋体"/>
          <w:szCs w:val="21"/>
        </w:rPr>
      </w:pPr>
      <w:r>
        <w:rPr>
          <w:rFonts w:hint="eastAsia" w:ascii="宋体" w:hAnsi="宋体" w:cs="宋体"/>
          <w:szCs w:val="21"/>
        </w:rPr>
        <w:t>（签名）                                 （签名）</w:t>
      </w:r>
    </w:p>
    <w:p w14:paraId="784929EF">
      <w:pPr>
        <w:tabs>
          <w:tab w:val="left" w:pos="4410"/>
        </w:tabs>
        <w:spacing w:line="360" w:lineRule="auto"/>
        <w:rPr>
          <w:rFonts w:hint="eastAsia" w:ascii="宋体" w:hAnsi="宋体" w:cs="宋体"/>
          <w:szCs w:val="21"/>
        </w:rPr>
      </w:pPr>
      <w:r>
        <w:rPr>
          <w:rFonts w:hint="eastAsia" w:ascii="宋体" w:hAnsi="宋体" w:cs="宋体"/>
          <w:szCs w:val="21"/>
        </w:rPr>
        <w:t xml:space="preserve">组织机构代码：                           组织机构代码：  </w:t>
      </w:r>
    </w:p>
    <w:p w14:paraId="5810499A">
      <w:pPr>
        <w:spacing w:line="360" w:lineRule="auto"/>
        <w:ind w:left="5250" w:hanging="5250"/>
        <w:rPr>
          <w:rFonts w:hint="eastAsia" w:ascii="宋体" w:hAnsi="宋体" w:cs="宋体"/>
          <w:szCs w:val="21"/>
        </w:rPr>
      </w:pPr>
      <w:r>
        <w:rPr>
          <w:rFonts w:hint="eastAsia" w:ascii="宋体" w:hAnsi="宋体" w:cs="宋体"/>
          <w:szCs w:val="21"/>
        </w:rPr>
        <w:t xml:space="preserve">地  址：                                 地  址： </w:t>
      </w:r>
    </w:p>
    <w:p w14:paraId="4FA44B66">
      <w:pPr>
        <w:spacing w:line="360" w:lineRule="auto"/>
        <w:rPr>
          <w:rFonts w:hint="eastAsia" w:ascii="宋体" w:hAnsi="宋体" w:cs="宋体"/>
          <w:szCs w:val="21"/>
        </w:rPr>
      </w:pPr>
      <w:r>
        <w:rPr>
          <w:rFonts w:hint="eastAsia" w:ascii="宋体" w:hAnsi="宋体" w:cs="宋体"/>
          <w:szCs w:val="21"/>
        </w:rPr>
        <w:t xml:space="preserve">邮政编码：                               邮政编码： </w:t>
      </w:r>
    </w:p>
    <w:p w14:paraId="728E904F">
      <w:pPr>
        <w:spacing w:line="360" w:lineRule="auto"/>
        <w:rPr>
          <w:rFonts w:hint="eastAsia" w:ascii="宋体" w:hAnsi="宋体" w:cs="宋体"/>
          <w:szCs w:val="21"/>
        </w:rPr>
      </w:pPr>
      <w:r>
        <w:rPr>
          <w:rFonts w:hint="eastAsia" w:ascii="宋体" w:hAnsi="宋体" w:cs="宋体"/>
          <w:szCs w:val="21"/>
        </w:rPr>
        <w:t xml:space="preserve">法定代表人：                             法定代表人： </w:t>
      </w:r>
    </w:p>
    <w:p w14:paraId="25342A7E">
      <w:pPr>
        <w:spacing w:line="360" w:lineRule="auto"/>
        <w:rPr>
          <w:rFonts w:hint="eastAsia" w:ascii="宋体" w:hAnsi="宋体" w:cs="宋体"/>
          <w:szCs w:val="21"/>
        </w:rPr>
      </w:pPr>
      <w:r>
        <w:rPr>
          <w:rFonts w:hint="eastAsia" w:ascii="宋体" w:hAnsi="宋体" w:cs="宋体"/>
          <w:szCs w:val="21"/>
        </w:rPr>
        <w:t>委托代理人：                             委托代理人：</w:t>
      </w:r>
    </w:p>
    <w:p w14:paraId="7FFF0923">
      <w:pPr>
        <w:spacing w:line="360" w:lineRule="auto"/>
        <w:rPr>
          <w:rFonts w:hint="eastAsia" w:ascii="宋体" w:hAnsi="宋体" w:cs="宋体"/>
          <w:szCs w:val="21"/>
        </w:rPr>
      </w:pPr>
      <w:r>
        <w:rPr>
          <w:rFonts w:hint="eastAsia" w:ascii="宋体" w:hAnsi="宋体" w:cs="宋体"/>
          <w:szCs w:val="21"/>
        </w:rPr>
        <w:t xml:space="preserve">电  话：                                 电  话： </w:t>
      </w:r>
    </w:p>
    <w:p w14:paraId="0F4C9687">
      <w:pPr>
        <w:spacing w:line="360" w:lineRule="auto"/>
        <w:rPr>
          <w:rFonts w:hint="eastAsia" w:ascii="宋体" w:hAnsi="宋体" w:cs="宋体"/>
          <w:szCs w:val="21"/>
        </w:rPr>
      </w:pPr>
      <w:r>
        <w:rPr>
          <w:rFonts w:hint="eastAsia" w:ascii="宋体" w:hAnsi="宋体" w:cs="宋体"/>
          <w:szCs w:val="21"/>
        </w:rPr>
        <w:t xml:space="preserve">传  真：                                 传  真： </w:t>
      </w:r>
    </w:p>
    <w:p w14:paraId="6F989992">
      <w:pPr>
        <w:spacing w:line="360" w:lineRule="auto"/>
        <w:rPr>
          <w:rFonts w:hint="eastAsia" w:ascii="宋体" w:hAnsi="宋体" w:cs="宋体"/>
          <w:szCs w:val="21"/>
        </w:rPr>
      </w:pPr>
      <w:r>
        <w:rPr>
          <w:rFonts w:hint="eastAsia" w:ascii="宋体" w:hAnsi="宋体" w:cs="宋体"/>
          <w:szCs w:val="21"/>
        </w:rPr>
        <w:t xml:space="preserve">电子信箱：                               电子信箱： </w:t>
      </w:r>
    </w:p>
    <w:p w14:paraId="76E8B71E">
      <w:pPr>
        <w:spacing w:line="360" w:lineRule="auto"/>
        <w:ind w:left="5460" w:hanging="5460"/>
        <w:rPr>
          <w:rFonts w:hint="eastAsia" w:ascii="宋体" w:hAnsi="宋体" w:cs="宋体"/>
          <w:szCs w:val="21"/>
        </w:rPr>
      </w:pPr>
      <w:r>
        <w:rPr>
          <w:rFonts w:hint="eastAsia" w:ascii="宋体" w:hAnsi="宋体" w:cs="宋体"/>
          <w:szCs w:val="21"/>
        </w:rPr>
        <w:t xml:space="preserve">开户银行：                              开户银行： </w:t>
      </w:r>
    </w:p>
    <w:p w14:paraId="2C2D8153">
      <w:pPr>
        <w:spacing w:line="360" w:lineRule="auto"/>
        <w:ind w:left="5460" w:hanging="5460"/>
        <w:rPr>
          <w:rFonts w:hint="eastAsia" w:ascii="宋体" w:hAnsi="宋体" w:cs="宋体"/>
          <w:sz w:val="24"/>
          <w:szCs w:val="24"/>
        </w:rPr>
      </w:pPr>
      <w:r>
        <w:rPr>
          <w:rFonts w:hint="eastAsia" w:ascii="宋体" w:hAnsi="宋体" w:cs="宋体"/>
          <w:szCs w:val="21"/>
        </w:rPr>
        <w:t>账  号：                                 账 号：</w:t>
      </w:r>
      <w:bookmarkStart w:id="51" w:name="_Toc351203494"/>
      <w:bookmarkStart w:id="52" w:name="_Toc36797913"/>
      <w:bookmarkStart w:id="53" w:name="_Toc351203652"/>
    </w:p>
    <w:p w14:paraId="071E8D7F">
      <w:pPr>
        <w:spacing w:line="360" w:lineRule="auto"/>
        <w:ind w:left="7685" w:hanging="4640"/>
        <w:rPr>
          <w:rFonts w:hint="eastAsia" w:ascii="宋体" w:hAnsi="宋体" w:cs="宋体"/>
          <w:sz w:val="24"/>
          <w:szCs w:val="24"/>
        </w:rPr>
      </w:pPr>
      <w:r>
        <w:rPr>
          <w:rFonts w:hint="eastAsia" w:ascii="宋体" w:hAnsi="宋体" w:cs="宋体"/>
          <w:sz w:val="32"/>
          <w:szCs w:val="32"/>
        </w:rPr>
        <w:br w:type="page" w:clear="all"/>
      </w:r>
      <w:r>
        <w:rPr>
          <w:rFonts w:hint="eastAsia" w:ascii="宋体" w:hAnsi="宋体" w:cs="宋体"/>
          <w:sz w:val="32"/>
          <w:szCs w:val="32"/>
        </w:rPr>
        <w:t>第二部分 通用合同条款</w:t>
      </w:r>
      <w:bookmarkEnd w:id="51"/>
      <w:bookmarkEnd w:id="52"/>
      <w:bookmarkStart w:id="54" w:name="_Toc351203495"/>
      <w:bookmarkStart w:id="55" w:name="_Toc337558727"/>
    </w:p>
    <w:bookmarkEnd w:id="54"/>
    <w:bookmarkEnd w:id="55"/>
    <w:p w14:paraId="23AAA551">
      <w:pPr>
        <w:spacing w:line="360" w:lineRule="auto"/>
        <w:ind w:firstLine="480"/>
        <w:rPr>
          <w:rFonts w:hint="eastAsia" w:ascii="宋体" w:hAnsi="宋体" w:cs="宋体"/>
          <w:szCs w:val="21"/>
        </w:rPr>
      </w:pPr>
      <w:r>
        <w:rPr>
          <w:rFonts w:ascii="宋体" w:hAnsi="宋体" w:cs="宋体"/>
          <w:sz w:val="24"/>
          <w:szCs w:val="24"/>
        </w:rPr>
        <w:t>此部分采用《建设设工程施工合同》范本（GF-2017-0201）中《第二部分通用条款》</w:t>
      </w:r>
    </w:p>
    <w:p w14:paraId="1A40B1EF">
      <w:pPr>
        <w:pStyle w:val="60"/>
        <w:spacing w:line="600" w:lineRule="exact"/>
        <w:jc w:val="center"/>
        <w:rPr>
          <w:rFonts w:hint="eastAsia" w:ascii="宋体" w:hAnsi="宋体" w:cs="宋体"/>
        </w:rPr>
      </w:pPr>
      <w:bookmarkStart w:id="56" w:name="_Toc351203632"/>
      <w:r>
        <w:rPr>
          <w:rFonts w:hint="eastAsia" w:ascii="宋体" w:hAnsi="宋体" w:cs="宋体"/>
          <w:sz w:val="36"/>
          <w:szCs w:val="36"/>
        </w:rPr>
        <w:br w:type="page" w:clear="all"/>
      </w:r>
      <w:bookmarkStart w:id="57" w:name="_Toc36797918"/>
      <w:r>
        <w:rPr>
          <w:rFonts w:hint="eastAsia" w:ascii="宋体" w:hAnsi="宋体" w:cs="宋体"/>
        </w:rPr>
        <w:t>第三部分 专用合同条款</w:t>
      </w:r>
      <w:bookmarkEnd w:id="56"/>
      <w:bookmarkEnd w:id="57"/>
    </w:p>
    <w:p w14:paraId="4D2BC010">
      <w:pPr>
        <w:spacing w:line="288" w:lineRule="auto"/>
        <w:ind w:firstLine="420"/>
        <w:rPr>
          <w:rFonts w:hint="eastAsia" w:ascii="宋体" w:hAnsi="宋体" w:cs="宋体"/>
        </w:rPr>
      </w:pPr>
    </w:p>
    <w:p w14:paraId="2A9157A2">
      <w:pPr>
        <w:spacing w:line="360" w:lineRule="auto"/>
        <w:ind w:firstLine="420"/>
        <w:rPr>
          <w:rFonts w:hint="eastAsia" w:ascii="宋体" w:hAnsi="宋体" w:cs="宋体"/>
          <w:szCs w:val="21"/>
        </w:rPr>
      </w:pPr>
      <w:r>
        <w:rPr>
          <w:rFonts w:hint="eastAsia" w:ascii="宋体" w:hAnsi="宋体" w:cs="宋体"/>
          <w:szCs w:val="21"/>
        </w:rPr>
        <w:t>本部分专用合同条款内容根据条款编号对应第二部分通用合同条款的相应条款，如专用合同条款与对应的通用合同条款的约定不一致，则以专用合同条款为准；如专用合同条款未做约定，则适用通用合同条款对应条款的约定。</w:t>
      </w:r>
    </w:p>
    <w:bookmarkEnd w:id="53"/>
    <w:p w14:paraId="61BD921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1.一般约定</w:t>
      </w:r>
    </w:p>
    <w:p w14:paraId="6654925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1.1词语定义</w:t>
      </w:r>
    </w:p>
    <w:p w14:paraId="4158C03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1.1.1合同</w:t>
      </w:r>
    </w:p>
    <w:p w14:paraId="5B61425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1.1.1.10其他合同文件包括：</w:t>
      </w:r>
      <w:r>
        <w:rPr>
          <w:rFonts w:hint="eastAsia" w:ascii="宋体" w:hAnsi="宋体" w:cs="宋体"/>
          <w:szCs w:val="21"/>
          <w:u w:val="single"/>
        </w:rPr>
        <w:t>（1）本合同协议书；（2）补充协议；（3）本合同专用条款；（4）中标通知书；（5）招标文件；（6）投标函及投标函附录；（7）本合同通用条款；（8）图纸；（9）标准、规范及有关技术文件、技术要求；（10）投标文件（不含投标函及投标函附录）；（11）双方有关工程的洽商、变更等相关文件。</w:t>
      </w:r>
    </w:p>
    <w:p w14:paraId="202A3E8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1.1.2合同当事人及其他相关方</w:t>
      </w:r>
    </w:p>
    <w:p w14:paraId="1FAD08D5">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1.1.2.4监理人：</w:t>
      </w:r>
    </w:p>
    <w:p w14:paraId="2840AC8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名称：</w:t>
      </w:r>
      <w:r>
        <w:rPr>
          <w:rFonts w:hint="eastAsia" w:ascii="宋体" w:hAnsi="宋体" w:cs="宋体"/>
          <w:szCs w:val="21"/>
          <w:u w:val="single"/>
        </w:rPr>
        <w:t>                               </w:t>
      </w:r>
      <w:r>
        <w:rPr>
          <w:rFonts w:hint="eastAsia" w:ascii="宋体" w:hAnsi="宋体" w:cs="宋体"/>
          <w:szCs w:val="21"/>
        </w:rPr>
        <w:t>；</w:t>
      </w:r>
    </w:p>
    <w:p w14:paraId="65906E17">
      <w:pPr>
        <w:pBdr>
          <w:top w:val="none" w:color="000000" w:sz="0" w:space="0"/>
          <w:left w:val="none" w:color="000000" w:sz="0" w:space="0"/>
          <w:bottom w:val="none" w:color="000000" w:sz="0" w:space="0"/>
          <w:right w:val="none" w:color="000000" w:sz="0" w:space="0"/>
        </w:pBdr>
        <w:spacing w:line="360" w:lineRule="auto"/>
        <w:ind w:firstLine="480"/>
        <w:jc w:val="left"/>
        <w:rPr>
          <w:rFonts w:hint="eastAsia" w:ascii="宋体" w:hAnsi="宋体" w:cs="宋体"/>
          <w:szCs w:val="21"/>
        </w:rPr>
      </w:pPr>
      <w:r>
        <w:rPr>
          <w:rFonts w:hint="eastAsia" w:ascii="宋体" w:hAnsi="宋体" w:cs="宋体"/>
          <w:szCs w:val="21"/>
        </w:rPr>
        <w:t>资质类别和等级：</w:t>
      </w:r>
      <w:r>
        <w:rPr>
          <w:rFonts w:hint="eastAsia" w:ascii="宋体" w:hAnsi="宋体" w:cs="宋体"/>
          <w:szCs w:val="21"/>
          <w:u w:val="single"/>
        </w:rPr>
        <w:t>                                    </w:t>
      </w:r>
      <w:r>
        <w:rPr>
          <w:rFonts w:hint="eastAsia" w:ascii="宋体" w:hAnsi="宋体" w:cs="宋体"/>
          <w:szCs w:val="21"/>
        </w:rPr>
        <w:t>；</w:t>
      </w:r>
    </w:p>
    <w:p w14:paraId="1C230B9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联系电话：</w:t>
      </w:r>
      <w:r>
        <w:rPr>
          <w:rFonts w:hint="eastAsia" w:ascii="宋体" w:hAnsi="宋体" w:cs="宋体"/>
          <w:szCs w:val="21"/>
          <w:u w:val="single"/>
        </w:rPr>
        <w:t>                               </w:t>
      </w:r>
      <w:r>
        <w:rPr>
          <w:rFonts w:hint="eastAsia" w:ascii="宋体" w:hAnsi="宋体" w:cs="宋体"/>
          <w:szCs w:val="21"/>
        </w:rPr>
        <w:t>；</w:t>
      </w:r>
    </w:p>
    <w:p w14:paraId="18031D7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电子信箱：</w:t>
      </w:r>
      <w:r>
        <w:rPr>
          <w:rFonts w:hint="eastAsia" w:ascii="宋体" w:hAnsi="宋体" w:cs="宋体"/>
          <w:szCs w:val="21"/>
          <w:u w:val="single"/>
        </w:rPr>
        <w:t>                               </w:t>
      </w:r>
      <w:r>
        <w:rPr>
          <w:rFonts w:hint="eastAsia" w:ascii="宋体" w:hAnsi="宋体" w:cs="宋体"/>
          <w:szCs w:val="21"/>
        </w:rPr>
        <w:t>；</w:t>
      </w:r>
    </w:p>
    <w:p w14:paraId="57031AD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通信地址：</w:t>
      </w:r>
      <w:r>
        <w:rPr>
          <w:rFonts w:hint="eastAsia" w:ascii="宋体" w:hAnsi="宋体" w:cs="宋体"/>
          <w:szCs w:val="21"/>
          <w:u w:val="single"/>
        </w:rPr>
        <w:t>                               </w:t>
      </w:r>
      <w:r>
        <w:rPr>
          <w:rFonts w:hint="eastAsia" w:ascii="宋体" w:hAnsi="宋体" w:cs="宋体"/>
          <w:szCs w:val="21"/>
        </w:rPr>
        <w:t>。</w:t>
      </w:r>
    </w:p>
    <w:p w14:paraId="011DC44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1.1.2.5设计人：</w:t>
      </w:r>
    </w:p>
    <w:p w14:paraId="0C8E1CC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 xml:space="preserve">名称： </w:t>
      </w:r>
      <w:r>
        <w:rPr>
          <w:rFonts w:hint="eastAsia" w:ascii="宋体" w:hAnsi="宋体" w:cs="宋体"/>
          <w:szCs w:val="21"/>
          <w:u w:val="single"/>
        </w:rPr>
        <w:t>                               </w:t>
      </w:r>
      <w:r>
        <w:rPr>
          <w:rFonts w:hint="eastAsia" w:ascii="宋体" w:hAnsi="宋体" w:cs="宋体"/>
          <w:szCs w:val="21"/>
        </w:rPr>
        <w:t>   </w:t>
      </w:r>
    </w:p>
    <w:p w14:paraId="258CB3D8">
      <w:pPr>
        <w:pBdr>
          <w:top w:val="none" w:color="000000" w:sz="0" w:space="0"/>
          <w:left w:val="none" w:color="000000" w:sz="0" w:space="0"/>
          <w:bottom w:val="none" w:color="000000" w:sz="0" w:space="0"/>
          <w:right w:val="none" w:color="000000" w:sz="0" w:space="0"/>
        </w:pBdr>
        <w:spacing w:line="360" w:lineRule="auto"/>
        <w:ind w:firstLine="480"/>
        <w:jc w:val="left"/>
        <w:rPr>
          <w:rFonts w:hint="eastAsia" w:ascii="宋体" w:hAnsi="宋体" w:cs="宋体"/>
          <w:szCs w:val="21"/>
        </w:rPr>
      </w:pPr>
      <w:r>
        <w:rPr>
          <w:rFonts w:hint="eastAsia" w:ascii="宋体" w:hAnsi="宋体" w:cs="宋体"/>
          <w:szCs w:val="21"/>
        </w:rPr>
        <w:t>资质类别和等级：</w:t>
      </w:r>
      <w:r>
        <w:rPr>
          <w:rFonts w:hint="eastAsia" w:ascii="宋体" w:hAnsi="宋体" w:cs="宋体"/>
          <w:szCs w:val="21"/>
          <w:u w:val="single"/>
        </w:rPr>
        <w:t>                                     </w:t>
      </w:r>
      <w:r>
        <w:rPr>
          <w:rFonts w:hint="eastAsia" w:ascii="宋体" w:hAnsi="宋体" w:cs="宋体"/>
          <w:szCs w:val="21"/>
        </w:rPr>
        <w:t>；</w:t>
      </w:r>
    </w:p>
    <w:p w14:paraId="1D17FAA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联系电话：</w:t>
      </w:r>
      <w:r>
        <w:rPr>
          <w:rFonts w:hint="eastAsia" w:ascii="宋体" w:hAnsi="宋体" w:cs="宋体"/>
          <w:szCs w:val="21"/>
          <w:u w:val="single"/>
        </w:rPr>
        <w:t>                               </w:t>
      </w:r>
      <w:r>
        <w:rPr>
          <w:rFonts w:hint="eastAsia" w:ascii="宋体" w:hAnsi="宋体" w:cs="宋体"/>
          <w:szCs w:val="21"/>
        </w:rPr>
        <w:t>；</w:t>
      </w:r>
    </w:p>
    <w:p w14:paraId="33552C5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电子信箱：</w:t>
      </w:r>
      <w:r>
        <w:rPr>
          <w:rFonts w:hint="eastAsia" w:ascii="宋体" w:hAnsi="宋体" w:cs="宋体"/>
          <w:szCs w:val="21"/>
          <w:u w:val="single"/>
        </w:rPr>
        <w:t>                               </w:t>
      </w:r>
      <w:r>
        <w:rPr>
          <w:rFonts w:hint="eastAsia" w:ascii="宋体" w:hAnsi="宋体" w:cs="宋体"/>
          <w:szCs w:val="21"/>
        </w:rPr>
        <w:t>；</w:t>
      </w:r>
    </w:p>
    <w:p w14:paraId="6409516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通信地址：</w:t>
      </w:r>
      <w:r>
        <w:rPr>
          <w:rFonts w:hint="eastAsia" w:ascii="宋体" w:hAnsi="宋体" w:cs="宋体"/>
          <w:szCs w:val="21"/>
          <w:u w:val="single"/>
        </w:rPr>
        <w:t>                               </w:t>
      </w:r>
      <w:r>
        <w:rPr>
          <w:rFonts w:hint="eastAsia" w:ascii="宋体" w:hAnsi="宋体" w:cs="宋体"/>
          <w:szCs w:val="21"/>
        </w:rPr>
        <w:t>。</w:t>
      </w:r>
    </w:p>
    <w:p w14:paraId="24FFEA3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1.1.3工程和设备</w:t>
      </w:r>
    </w:p>
    <w:p w14:paraId="7303F23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1.1.3.7 作为施工现场组成部分的其他场所包括：</w:t>
      </w:r>
      <w:r>
        <w:rPr>
          <w:rFonts w:hint="eastAsia" w:ascii="宋体" w:hAnsi="宋体" w:cs="宋体"/>
          <w:szCs w:val="21"/>
          <w:u w:val="single"/>
        </w:rPr>
        <w:t>永久占地和临时占地</w:t>
      </w:r>
      <w:r>
        <w:rPr>
          <w:rFonts w:hint="eastAsia" w:ascii="宋体" w:hAnsi="宋体" w:cs="宋体"/>
          <w:szCs w:val="21"/>
        </w:rPr>
        <w:t>。</w:t>
      </w:r>
    </w:p>
    <w:p w14:paraId="39CC29F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1.1.3.9 永久占地包括：</w:t>
      </w:r>
      <w:r>
        <w:rPr>
          <w:rFonts w:hint="eastAsia" w:ascii="宋体" w:hAnsi="宋体" w:cs="宋体"/>
          <w:szCs w:val="21"/>
          <w:u w:val="single"/>
        </w:rPr>
        <w:t>规划红线范围内工程占地</w:t>
      </w:r>
      <w:r>
        <w:rPr>
          <w:rFonts w:hint="eastAsia" w:ascii="宋体" w:hAnsi="宋体" w:cs="宋体"/>
          <w:szCs w:val="21"/>
        </w:rPr>
        <w:t>。</w:t>
      </w:r>
    </w:p>
    <w:p w14:paraId="24D9D895">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1.1.3.10 临时占地包括：经</w:t>
      </w:r>
      <w:r>
        <w:rPr>
          <w:rFonts w:hint="eastAsia" w:ascii="宋体" w:hAnsi="宋体" w:cs="宋体"/>
          <w:szCs w:val="21"/>
          <w:u w:val="single"/>
        </w:rPr>
        <w:t>发包人批准的用于搭设临时设施的红线内场地，红线外场地由承包人自行解决，如果需要发包人协助解决，承包人承担相关费用</w:t>
      </w:r>
      <w:r>
        <w:rPr>
          <w:rFonts w:hint="eastAsia" w:ascii="宋体" w:hAnsi="宋体" w:cs="宋体"/>
          <w:szCs w:val="21"/>
        </w:rPr>
        <w:t>。</w:t>
      </w:r>
    </w:p>
    <w:p w14:paraId="4740E715">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1.3法律</w:t>
      </w:r>
    </w:p>
    <w:p w14:paraId="0BDE501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适用于合同的其他规范性文件：</w:t>
      </w:r>
      <w:r>
        <w:rPr>
          <w:rFonts w:hint="eastAsia" w:ascii="宋体" w:hAnsi="宋体" w:cs="宋体"/>
          <w:szCs w:val="21"/>
          <w:u w:val="single"/>
        </w:rPr>
        <w:t>《中华人民共和国建筑法》、《中华人民共和国民法典》、《中华人民共和国招标投标法》、《中华人民共和国招标投标法实施条例》、《中华人民共和国安全生产法》、《建设工程安全生产管理条例》、《建设工程质量管理条例》、《中华人民共和国劳动法》、《保障农民工工资支付条例》及国家、江苏省、南京市其他有关建筑工程的法律、法规。</w:t>
      </w:r>
    </w:p>
    <w:p w14:paraId="53A586E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1.4标准和规范</w:t>
      </w:r>
    </w:p>
    <w:p w14:paraId="52111C6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1.4.1适用于工程的标准规范包括：</w:t>
      </w:r>
      <w:r>
        <w:rPr>
          <w:rFonts w:hint="eastAsia" w:ascii="宋体" w:hAnsi="宋体" w:cs="宋体"/>
          <w:szCs w:val="21"/>
          <w:u w:val="single"/>
        </w:rPr>
        <w:t>竣工验收前实施的现行国家、行业、专业及南京市的有关标准、规范、规定和条例所阐明的强制性标准。当对同一考核指标国家、行业、专业和南京市颁布的有关标准、规范产生不一致时，承包人应及时通知监理工程师和发包人代表，可考虑以其颁布的标准、规范较为严格者为准。</w:t>
      </w:r>
    </w:p>
    <w:p w14:paraId="61E79BC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如果本合同约定的标准、规范、图纸以及国家或地区发布的标准、规范之间出现歧义或矛盾时，其中的数量以图纸为准，质量要求、工艺标准按照以下原则选择：</w:t>
      </w:r>
    </w:p>
    <w:p w14:paraId="019720C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(1)如果图纸或本合同约定的工程建设标准中的质量要求、工艺标准低于国家、地区标准的，则按国家、地区标准执行；</w:t>
      </w:r>
    </w:p>
    <w:p w14:paraId="6341E2A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(2)如果图纸或本合同约定的工程建设标准中的质量要求、工艺标准高于国家、地区标准的，则按图纸或本合同约定的质量要求、工艺标准执行；</w:t>
      </w:r>
    </w:p>
    <w:p w14:paraId="32D94A0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(3)如果图纸中的质量要求、工艺标准与本合同约定的标准、规范出现矛盾或歧义的，在满足国家、地区标准的基础上按本合同约定的标准、规范执行。</w:t>
      </w:r>
    </w:p>
    <w:p w14:paraId="2EAA275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1.4.2发包人提供国外标准、规范的名称：</w:t>
      </w:r>
      <w:r>
        <w:rPr>
          <w:rFonts w:hint="eastAsia" w:ascii="宋体" w:hAnsi="宋体" w:cs="宋体"/>
          <w:szCs w:val="21"/>
          <w:u w:val="single"/>
        </w:rPr>
        <w:t>无</w:t>
      </w:r>
      <w:r>
        <w:rPr>
          <w:rFonts w:hint="eastAsia" w:ascii="宋体" w:hAnsi="宋体" w:cs="宋体"/>
          <w:szCs w:val="21"/>
        </w:rPr>
        <w:t>；</w:t>
      </w:r>
    </w:p>
    <w:p w14:paraId="092E8AB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发包人提供国外标准、规范的份数：</w:t>
      </w:r>
      <w:r>
        <w:rPr>
          <w:rFonts w:hint="eastAsia" w:ascii="宋体" w:hAnsi="宋体" w:cs="宋体"/>
          <w:szCs w:val="21"/>
          <w:u w:val="single"/>
        </w:rPr>
        <w:t>无</w:t>
      </w:r>
      <w:r>
        <w:rPr>
          <w:rFonts w:hint="eastAsia" w:ascii="宋体" w:hAnsi="宋体" w:cs="宋体"/>
          <w:szCs w:val="21"/>
        </w:rPr>
        <w:t>；</w:t>
      </w:r>
    </w:p>
    <w:p w14:paraId="1369950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发包人提供国外标准、规范的名称：</w:t>
      </w:r>
      <w:r>
        <w:rPr>
          <w:rFonts w:hint="eastAsia" w:ascii="宋体" w:hAnsi="宋体" w:cs="宋体"/>
          <w:szCs w:val="21"/>
          <w:u w:val="single"/>
        </w:rPr>
        <w:t>无</w:t>
      </w:r>
      <w:r>
        <w:rPr>
          <w:rFonts w:hint="eastAsia" w:ascii="宋体" w:hAnsi="宋体" w:cs="宋体"/>
          <w:szCs w:val="21"/>
        </w:rPr>
        <w:t>。</w:t>
      </w:r>
    </w:p>
    <w:p w14:paraId="290AF01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1.4.3发包人对工程的技术标准和功能要求的特殊要求：</w:t>
      </w:r>
      <w:r>
        <w:rPr>
          <w:rFonts w:hint="eastAsia" w:ascii="宋体" w:hAnsi="宋体" w:cs="宋体"/>
          <w:szCs w:val="21"/>
          <w:u w:val="single"/>
        </w:rPr>
        <w:t>无</w:t>
      </w:r>
      <w:r>
        <w:rPr>
          <w:rFonts w:hint="eastAsia" w:ascii="宋体" w:hAnsi="宋体" w:cs="宋体"/>
          <w:szCs w:val="21"/>
        </w:rPr>
        <w:t>。</w:t>
      </w:r>
    </w:p>
    <w:p w14:paraId="3E6315E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1.5合同文件的优先顺序</w:t>
      </w:r>
    </w:p>
    <w:p w14:paraId="5982281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合同文件组成及优先顺序为：</w:t>
      </w:r>
      <w:r>
        <w:rPr>
          <w:rFonts w:hint="eastAsia" w:ascii="宋体" w:hAnsi="宋体" w:cs="宋体"/>
          <w:szCs w:val="21"/>
          <w:u w:val="single"/>
        </w:rPr>
        <w:t>（1）本合同协议书；（2）中标通知书；（3）投标函及其附录；（4）专用条款及其附件；（5）通用合同条款；（6）技术标准和要求；（7）图纸；（8）已标价工程量清单及投标文件；（9）其他合同文件。</w:t>
      </w:r>
    </w:p>
    <w:p w14:paraId="2C7844B5">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1.6图纸和承包人文件</w:t>
      </w:r>
      <w:r>
        <w:rPr>
          <w:rFonts w:hint="eastAsia" w:ascii="宋体" w:hAnsi="宋体" w:cs="宋体"/>
          <w:szCs w:val="21"/>
        </w:rPr>
        <w:tab/>
      </w:r>
    </w:p>
    <w:p w14:paraId="7785455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1.6.1图纸的提供</w:t>
      </w:r>
    </w:p>
    <w:p w14:paraId="04C168E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发包人向承包人提供图纸的期限：</w:t>
      </w:r>
      <w:r>
        <w:rPr>
          <w:rFonts w:hint="eastAsia" w:ascii="宋体" w:hAnsi="宋体" w:cs="宋体"/>
          <w:szCs w:val="21"/>
          <w:u w:val="single"/>
        </w:rPr>
        <w:t>开工之日14天前提供</w:t>
      </w:r>
      <w:r>
        <w:rPr>
          <w:rFonts w:hint="eastAsia" w:ascii="宋体" w:hAnsi="宋体" w:cs="宋体"/>
          <w:szCs w:val="21"/>
        </w:rPr>
        <w:t>；</w:t>
      </w:r>
    </w:p>
    <w:p w14:paraId="2BD6E87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发包人向承包人提供图纸的数量：</w:t>
      </w:r>
      <w:r>
        <w:rPr>
          <w:rFonts w:hint="eastAsia" w:ascii="宋体" w:hAnsi="宋体" w:cs="宋体"/>
          <w:szCs w:val="21"/>
          <w:u w:val="single"/>
        </w:rPr>
        <w:t>贰份</w:t>
      </w:r>
      <w:r>
        <w:rPr>
          <w:rFonts w:hint="eastAsia" w:ascii="宋体" w:hAnsi="宋体" w:cs="宋体"/>
          <w:szCs w:val="21"/>
        </w:rPr>
        <w:t>；</w:t>
      </w:r>
    </w:p>
    <w:p w14:paraId="57D52DF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发包人向承包人提供图纸的内容：</w:t>
      </w:r>
      <w:r>
        <w:rPr>
          <w:rFonts w:hint="eastAsia" w:ascii="宋体" w:hAnsi="宋体" w:cs="宋体"/>
          <w:szCs w:val="21"/>
          <w:u w:val="single"/>
        </w:rPr>
        <w:t>施工图及其电子图；如承包人需要增加图纸，发包人可代为复制，费用由承包人承担</w:t>
      </w:r>
      <w:r>
        <w:rPr>
          <w:rFonts w:hint="eastAsia" w:ascii="宋体" w:hAnsi="宋体" w:cs="宋体"/>
          <w:szCs w:val="21"/>
        </w:rPr>
        <w:t>。</w:t>
      </w:r>
    </w:p>
    <w:p w14:paraId="0E388E6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1.6.4承包人文件</w:t>
      </w:r>
    </w:p>
    <w:p w14:paraId="55FEB59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需要由承包人提供的文件，包括：</w:t>
      </w:r>
      <w:r>
        <w:rPr>
          <w:rFonts w:hint="eastAsia" w:ascii="宋体" w:hAnsi="宋体" w:cs="宋体"/>
          <w:szCs w:val="21"/>
          <w:u w:val="single"/>
        </w:rPr>
        <w:t>总体及分项目施工组织设计文件、专项施工方案、机械设备合格证书及相应检测报告、承包人行为资料、项目经理和质量、安全员等管理人员社保证明和行为资料、机械设备操作人员上岗证、进场施工人员名单和身份证（复印件）、开工报告等资料；</w:t>
      </w:r>
    </w:p>
    <w:p w14:paraId="56CDC4A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承包人提供的文件的期限为：</w:t>
      </w:r>
      <w:r>
        <w:rPr>
          <w:rFonts w:hint="eastAsia" w:ascii="宋体" w:hAnsi="宋体" w:cs="宋体"/>
          <w:szCs w:val="21"/>
          <w:u w:val="single"/>
        </w:rPr>
        <w:t>合同签订后10天内</w:t>
      </w:r>
      <w:r>
        <w:rPr>
          <w:rFonts w:hint="eastAsia" w:ascii="宋体" w:hAnsi="宋体" w:cs="宋体"/>
          <w:szCs w:val="21"/>
        </w:rPr>
        <w:t>；</w:t>
      </w:r>
    </w:p>
    <w:p w14:paraId="1E30691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承包人提供的文件的数量为：</w:t>
      </w:r>
      <w:r>
        <w:rPr>
          <w:rFonts w:hint="eastAsia" w:ascii="宋体" w:hAnsi="宋体" w:cs="宋体"/>
          <w:szCs w:val="21"/>
          <w:u w:val="single"/>
        </w:rPr>
        <w:t>纸质文件四份，电子文档一份</w:t>
      </w:r>
      <w:r>
        <w:rPr>
          <w:rFonts w:hint="eastAsia" w:ascii="宋体" w:hAnsi="宋体" w:cs="宋体"/>
          <w:szCs w:val="21"/>
        </w:rPr>
        <w:t>；</w:t>
      </w:r>
    </w:p>
    <w:p w14:paraId="3EA2A45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承包人提供的文件的形式为：</w:t>
      </w:r>
      <w:r>
        <w:rPr>
          <w:rFonts w:hint="eastAsia" w:ascii="宋体" w:hAnsi="宋体" w:cs="宋体"/>
          <w:szCs w:val="21"/>
          <w:u w:val="single"/>
        </w:rPr>
        <w:t>纸质文件（按要求盖章签字），当面送达</w:t>
      </w:r>
      <w:r>
        <w:rPr>
          <w:rFonts w:hint="eastAsia" w:ascii="宋体" w:hAnsi="宋体" w:cs="宋体"/>
          <w:szCs w:val="21"/>
        </w:rPr>
        <w:t>；</w:t>
      </w:r>
    </w:p>
    <w:p w14:paraId="0F1431A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发包人审批承包人文件的期限：</w:t>
      </w:r>
      <w:r>
        <w:rPr>
          <w:rFonts w:hint="eastAsia" w:ascii="宋体" w:hAnsi="宋体" w:cs="宋体"/>
          <w:szCs w:val="21"/>
          <w:u w:val="single"/>
        </w:rPr>
        <w:t>收到文件后7天内</w:t>
      </w:r>
      <w:r>
        <w:rPr>
          <w:rFonts w:hint="eastAsia" w:ascii="宋体" w:hAnsi="宋体" w:cs="宋体"/>
          <w:szCs w:val="21"/>
        </w:rPr>
        <w:t>。</w:t>
      </w:r>
    </w:p>
    <w:p w14:paraId="738B215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1.6.5现场图纸准备</w:t>
      </w:r>
    </w:p>
    <w:p w14:paraId="301EA285">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关于现场图纸准备的约定：</w:t>
      </w:r>
      <w:r>
        <w:rPr>
          <w:rFonts w:hint="eastAsia" w:ascii="宋体" w:hAnsi="宋体" w:cs="宋体"/>
          <w:szCs w:val="21"/>
          <w:u w:val="single"/>
        </w:rPr>
        <w:t>承包人应在施工现场另外保存一套完整的图纸和承包人文件，供发包人、监理人及有关人员进行工程检查时使用</w:t>
      </w:r>
      <w:r>
        <w:rPr>
          <w:rFonts w:hint="eastAsia" w:ascii="宋体" w:hAnsi="宋体" w:cs="宋体"/>
          <w:szCs w:val="21"/>
        </w:rPr>
        <w:t>。</w:t>
      </w:r>
    </w:p>
    <w:p w14:paraId="155B553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1.7联络</w:t>
      </w:r>
    </w:p>
    <w:p w14:paraId="38CB7945">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1.7.1发包人和承包人应当在合同签订后</w:t>
      </w:r>
      <w:r>
        <w:rPr>
          <w:rFonts w:hint="eastAsia" w:ascii="宋体" w:hAnsi="宋体" w:cs="宋体"/>
          <w:szCs w:val="21"/>
          <w:u w:val="single"/>
        </w:rPr>
        <w:t>7</w:t>
      </w:r>
      <w:r>
        <w:rPr>
          <w:rFonts w:hint="eastAsia" w:ascii="宋体" w:hAnsi="宋体" w:cs="宋体"/>
          <w:szCs w:val="21"/>
        </w:rPr>
        <w:t>天内将与合同有关的通知、批准、证明、证书、指示、指令、要求、请求、同意、意见、确定和决定等书面函件送达对方当事人。</w:t>
      </w:r>
    </w:p>
    <w:p w14:paraId="31FC9AB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1.7.2发包人接收文件的地点：</w:t>
      </w:r>
      <w:r>
        <w:rPr>
          <w:rFonts w:hint="eastAsia" w:ascii="宋体" w:hAnsi="宋体" w:cs="宋体"/>
          <w:szCs w:val="21"/>
          <w:u w:val="single"/>
        </w:rPr>
        <w:t>发包人办公地点</w:t>
      </w:r>
      <w:r>
        <w:rPr>
          <w:rFonts w:hint="eastAsia" w:ascii="宋体" w:hAnsi="宋体" w:cs="宋体"/>
          <w:szCs w:val="21"/>
        </w:rPr>
        <w:t>；</w:t>
      </w:r>
    </w:p>
    <w:p w14:paraId="4FED623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发包人指定的接收人为：</w:t>
      </w:r>
      <w:r>
        <w:rPr>
          <w:rFonts w:hint="eastAsia" w:ascii="宋体" w:hAnsi="宋体" w:cs="宋体"/>
          <w:szCs w:val="21"/>
          <w:u w:val="single"/>
        </w:rPr>
        <w:t>项目发包人现场代表</w:t>
      </w:r>
      <w:r>
        <w:rPr>
          <w:rFonts w:hint="eastAsia" w:ascii="宋体" w:hAnsi="宋体" w:cs="宋体"/>
          <w:szCs w:val="21"/>
        </w:rPr>
        <w:t>。</w:t>
      </w:r>
    </w:p>
    <w:p w14:paraId="1A506FC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承包人接收文件的地点：</w:t>
      </w:r>
      <w:r>
        <w:rPr>
          <w:rFonts w:hint="eastAsia" w:ascii="宋体" w:hAnsi="宋体" w:cs="宋体"/>
          <w:szCs w:val="21"/>
          <w:u w:val="single"/>
        </w:rPr>
        <w:t>施工项目部</w:t>
      </w:r>
      <w:r>
        <w:rPr>
          <w:rFonts w:hint="eastAsia" w:ascii="宋体" w:hAnsi="宋体" w:cs="宋体"/>
          <w:szCs w:val="21"/>
        </w:rPr>
        <w:t>；</w:t>
      </w:r>
    </w:p>
    <w:p w14:paraId="1902E08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承包人指定的接收人为：</w:t>
      </w:r>
      <w:r>
        <w:rPr>
          <w:rFonts w:hint="eastAsia" w:ascii="宋体" w:hAnsi="宋体" w:cs="宋体"/>
          <w:szCs w:val="21"/>
          <w:u w:val="single"/>
        </w:rPr>
        <w:t>承包人现场负责人</w:t>
      </w:r>
      <w:r>
        <w:rPr>
          <w:rFonts w:hint="eastAsia" w:ascii="宋体" w:hAnsi="宋体" w:cs="宋体"/>
          <w:szCs w:val="21"/>
        </w:rPr>
        <w:t>。</w:t>
      </w:r>
    </w:p>
    <w:p w14:paraId="77B2FDE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监理人接收文件的地点：</w:t>
      </w:r>
      <w:r>
        <w:rPr>
          <w:rFonts w:hint="eastAsia" w:ascii="宋体" w:hAnsi="宋体" w:cs="宋体"/>
          <w:szCs w:val="21"/>
          <w:u w:val="single"/>
        </w:rPr>
        <w:t>监理项目部</w:t>
      </w:r>
      <w:r>
        <w:rPr>
          <w:rFonts w:hint="eastAsia" w:ascii="宋体" w:hAnsi="宋体" w:cs="宋体"/>
          <w:szCs w:val="21"/>
        </w:rPr>
        <w:t>；</w:t>
      </w:r>
    </w:p>
    <w:p w14:paraId="5FD1D2E5">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监理人指定的接收人为：</w:t>
      </w:r>
      <w:r>
        <w:rPr>
          <w:rFonts w:hint="eastAsia" w:ascii="宋体" w:hAnsi="宋体" w:cs="宋体"/>
          <w:szCs w:val="21"/>
          <w:u w:val="single"/>
        </w:rPr>
        <w:t>总监理工程师</w:t>
      </w:r>
      <w:r>
        <w:rPr>
          <w:rFonts w:hint="eastAsia" w:ascii="宋体" w:hAnsi="宋体" w:cs="宋体"/>
          <w:szCs w:val="21"/>
        </w:rPr>
        <w:t>。</w:t>
      </w:r>
    </w:p>
    <w:p w14:paraId="55E81CC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1.10交通运输</w:t>
      </w:r>
    </w:p>
    <w:p w14:paraId="5A9B2EB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1.10.1出入现场的权利</w:t>
      </w:r>
    </w:p>
    <w:p w14:paraId="082FFAB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关于出入现场的权利的约定：</w:t>
      </w:r>
      <w:r>
        <w:rPr>
          <w:rFonts w:hint="eastAsia" w:ascii="宋体" w:hAnsi="宋体" w:cs="宋体"/>
          <w:szCs w:val="21"/>
          <w:u w:val="single"/>
        </w:rPr>
        <w:t>按发包人要求</w:t>
      </w:r>
      <w:r>
        <w:rPr>
          <w:rFonts w:hint="eastAsia" w:ascii="宋体" w:hAnsi="宋体" w:cs="宋体"/>
          <w:szCs w:val="21"/>
        </w:rPr>
        <w:t>。</w:t>
      </w:r>
    </w:p>
    <w:p w14:paraId="4126D1F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1.10.3场内交通</w:t>
      </w:r>
    </w:p>
    <w:p w14:paraId="164A8A0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关于场外交通和场内交通的边界的约定：</w:t>
      </w:r>
      <w:r>
        <w:rPr>
          <w:rFonts w:hint="eastAsia" w:ascii="宋体" w:hAnsi="宋体" w:cs="宋体"/>
          <w:szCs w:val="21"/>
          <w:u w:val="single"/>
        </w:rPr>
        <w:t>施工现场范围内及红线范围为界。</w:t>
      </w:r>
    </w:p>
    <w:p w14:paraId="4C5149B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关于发包人向承包人免费提供满足工程施工需要的场内道路和交通设施的约定：</w:t>
      </w:r>
      <w:r>
        <w:rPr>
          <w:rFonts w:hint="eastAsia" w:ascii="宋体" w:hAnsi="宋体" w:cs="宋体"/>
          <w:szCs w:val="21"/>
          <w:u w:val="single"/>
        </w:rPr>
        <w:t>无。</w:t>
      </w:r>
    </w:p>
    <w:p w14:paraId="658C399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1.10.4超大件和超重件的运输</w:t>
      </w:r>
    </w:p>
    <w:p w14:paraId="537CB95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运输超大件或超重件所需的道路和桥梁临时加固改造费用和其他有关费用由</w:t>
      </w:r>
      <w:r>
        <w:rPr>
          <w:rFonts w:hint="eastAsia" w:ascii="宋体" w:hAnsi="宋体" w:cs="宋体"/>
          <w:szCs w:val="21"/>
          <w:u w:val="single"/>
        </w:rPr>
        <w:t>承包人</w:t>
      </w:r>
      <w:r>
        <w:rPr>
          <w:rFonts w:hint="eastAsia" w:ascii="宋体" w:hAnsi="宋体" w:cs="宋体"/>
          <w:szCs w:val="21"/>
        </w:rPr>
        <w:t>承担。</w:t>
      </w:r>
    </w:p>
    <w:p w14:paraId="50D8CBD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1.11知识产权</w:t>
      </w:r>
    </w:p>
    <w:p w14:paraId="4B6BCE6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1.11.1关于发包人提供给承包人的图纸、发包人为实施工程自行编制或委托编制的技术规范以及反映发包人关于合同要求或其他类似性质的文件的著作权的归属：</w:t>
      </w:r>
      <w:r>
        <w:rPr>
          <w:rFonts w:hint="eastAsia" w:ascii="宋体" w:hAnsi="宋体" w:cs="宋体"/>
          <w:szCs w:val="21"/>
          <w:u w:val="single"/>
        </w:rPr>
        <w:t>发包人</w:t>
      </w:r>
      <w:r>
        <w:rPr>
          <w:rFonts w:hint="eastAsia" w:ascii="宋体" w:hAnsi="宋体" w:cs="宋体"/>
          <w:szCs w:val="21"/>
        </w:rPr>
        <w:t>。</w:t>
      </w:r>
    </w:p>
    <w:p w14:paraId="2D29A6F5">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关于发包人提供的上述文件的使用限制的要求：</w:t>
      </w:r>
      <w:r>
        <w:rPr>
          <w:rFonts w:hint="eastAsia" w:ascii="宋体" w:hAnsi="宋体" w:cs="宋体"/>
          <w:szCs w:val="21"/>
          <w:u w:val="single"/>
        </w:rPr>
        <w:t>承包人可以为实现合同目的而复制、使用此类文件，但不能用于与合同无关的其他事项。未经发包人书面同意，承包人不得为了合同以外的目的而复制、使用上述文件或将之提供给任何第三方</w:t>
      </w:r>
      <w:r>
        <w:rPr>
          <w:rFonts w:hint="eastAsia" w:ascii="宋体" w:hAnsi="宋体" w:cs="宋体"/>
          <w:szCs w:val="21"/>
        </w:rPr>
        <w:t>。</w:t>
      </w:r>
    </w:p>
    <w:p w14:paraId="286C895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1.11.2关于承包人为实施工程所编制文件的著作权的归属：</w:t>
      </w:r>
      <w:r>
        <w:rPr>
          <w:rFonts w:hint="eastAsia" w:ascii="宋体" w:hAnsi="宋体" w:cs="宋体"/>
          <w:szCs w:val="21"/>
          <w:u w:val="single"/>
        </w:rPr>
        <w:t>除署名权以外的著作权属于发包人</w:t>
      </w:r>
      <w:r>
        <w:rPr>
          <w:rFonts w:hint="eastAsia" w:ascii="宋体" w:hAnsi="宋体" w:cs="宋体"/>
          <w:szCs w:val="21"/>
        </w:rPr>
        <w:t>。</w:t>
      </w:r>
    </w:p>
    <w:p w14:paraId="27C69B2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关于承包人提供的上述文件的使用限制的要求：</w:t>
      </w:r>
      <w:r>
        <w:rPr>
          <w:rFonts w:hint="eastAsia" w:ascii="宋体" w:hAnsi="宋体" w:cs="宋体"/>
          <w:szCs w:val="21"/>
          <w:u w:val="single"/>
        </w:rPr>
        <w:t>承包人可因实施工程的运行、调试、维修、改造等目的而复制、使用此类文件，但不能用于与合同无关的其他事项。未经发包人书面同意，承包人不得为了合同以外的目的而复制、使用上述文件或将之提供给任何第三方</w:t>
      </w:r>
      <w:r>
        <w:rPr>
          <w:rFonts w:hint="eastAsia" w:ascii="宋体" w:hAnsi="宋体" w:cs="宋体"/>
          <w:szCs w:val="21"/>
        </w:rPr>
        <w:t>。</w:t>
      </w:r>
    </w:p>
    <w:p w14:paraId="018F206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1.11.4承包人在施工过程中所采用的专利、专有技术、技术秘密的使用费的承担方式：</w:t>
      </w:r>
      <w:r>
        <w:rPr>
          <w:rFonts w:hint="eastAsia" w:ascii="宋体" w:hAnsi="宋体" w:cs="宋体"/>
          <w:szCs w:val="21"/>
          <w:u w:val="single"/>
        </w:rPr>
        <w:t>已包含在签约合同价中</w:t>
      </w:r>
      <w:r>
        <w:rPr>
          <w:rFonts w:hint="eastAsia" w:ascii="宋体" w:hAnsi="宋体" w:cs="宋体"/>
          <w:szCs w:val="21"/>
        </w:rPr>
        <w:t>。</w:t>
      </w:r>
    </w:p>
    <w:p w14:paraId="1B26529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1.13工程量清单错误的修正</w:t>
      </w:r>
    </w:p>
    <w:p w14:paraId="7F8B60F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出现工程量清单错误时，是否调整合同价格：</w:t>
      </w:r>
      <w:r>
        <w:rPr>
          <w:rFonts w:hint="eastAsia" w:ascii="宋体" w:hAnsi="宋体" w:cs="宋体"/>
          <w:szCs w:val="21"/>
          <w:u w:val="single"/>
        </w:rPr>
        <w:t>是</w:t>
      </w:r>
      <w:r>
        <w:rPr>
          <w:rFonts w:hint="eastAsia" w:ascii="宋体" w:hAnsi="宋体" w:cs="宋体"/>
          <w:szCs w:val="21"/>
        </w:rPr>
        <w:t>。</w:t>
      </w:r>
    </w:p>
    <w:p w14:paraId="5359221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 xml:space="preserve">允许调整合同价格的工程量偏差范围： </w:t>
      </w:r>
    </w:p>
    <w:p w14:paraId="18F86F9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a.新增工程量清单项目的项目特征与招标文件工程量清单中项目相同的，如实际施工工程量与招标工程量超过15%以内，单价不作调整，如超过15%，（超出的15%参照原单价执行）超出15%以外部分计算如下：如为增加工程量，按投标单价下浮5%，如为减少工作量，单价不作调整。</w:t>
      </w:r>
    </w:p>
    <w:p w14:paraId="3C3B256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b.新增工程量清单项目的项目特征与招标文件工程量清单中项目类似的，综合单价按类似项目在《建设工程工程量清单计价规范》（GB50500-2013）；《江苏省建筑与装饰工程计价定额》（2014）、《江苏省市政工程计价定额》（2014）、《江苏省安装工程计价定额》（2014）、《江苏省仿古建筑与园林工程计价表》（2007）中的人工、材料、机械台班耗用量、类似项目投标报价时的人工、机械台班单价、管理费、利润等费用标准及材料价格（无材料价格的材料按施工时期的市场价）计算，作为结算单价。其相应综合单价及材料市场价由承包人提出，经发包人及监理方审核后确定。上述的“与招标文件工程量清单中项目类似的”新增项目，指与分部分项工程量清单项目编码一至九位完全相同的新增的分部分项工程。</w:t>
      </w:r>
    </w:p>
    <w:p w14:paraId="600BF5B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c.招标文件中没有综合单价的新增工程量清单项目，新增综合单价按《建设工程工程量清单计价规范》（GB50500-2013）；《江苏省建筑与装饰工程计价定额》（2014）、《江苏省市政工程计价定额》（2014）、《江苏省安装工程计价定额》（2014）、《江苏省仿古建筑与园林工程计价表》（2007）中的人工、材料、机械台班耗用量、投标报价时的人工、机械台班单价、材料价格（无材料价格的材料按施工时期的市场价），按照计价表相应的管理费和利润的取费组成的单价作为结算单价。</w:t>
      </w:r>
    </w:p>
    <w:p w14:paraId="6D453E7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d.招标文件中没有综合单价的新增工程量清单项目，新增综合单价在《建设工程工程量清单计价规范》（GB50500-2013）；《江苏省建筑与装饰工程计价定额》（2014）、《江苏省市政工程计价定额》（2014）、《江苏省安装工程计价定额》（2014）、《江苏省仿古建筑与园林工程计价表》（2007）中的人工、材料、机械台班耗用量缺项的，其人工、材料、机械台班耗用量自行测算，按投标文件的人工、机械台班单价、材料价格（无材料价格的材料按施工时期的市场价）计算，按照计价表相应的管理费和利润的取费组成的单价作为结算单价。</w:t>
      </w:r>
    </w:p>
    <w:p w14:paraId="075F41D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e.新增综合单价及材料市场价由承包人提出，经监理方及发包人现场代表审核后报发包人确定。</w:t>
      </w:r>
    </w:p>
    <w:p w14:paraId="066D2EB5">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2.发包人</w:t>
      </w:r>
    </w:p>
    <w:p w14:paraId="464729A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2.2发包人代表</w:t>
      </w:r>
    </w:p>
    <w:p w14:paraId="7B3B8FA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发包人代表：</w:t>
      </w:r>
    </w:p>
    <w:p w14:paraId="5198247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姓名：</w:t>
      </w:r>
      <w:r>
        <w:rPr>
          <w:rFonts w:hint="eastAsia" w:ascii="宋体" w:hAnsi="宋体" w:cs="宋体"/>
          <w:szCs w:val="21"/>
          <w:u w:val="single"/>
        </w:rPr>
        <w:t>                               </w:t>
      </w:r>
      <w:r>
        <w:rPr>
          <w:rFonts w:hint="eastAsia" w:ascii="宋体" w:hAnsi="宋体" w:cs="宋体"/>
          <w:szCs w:val="21"/>
        </w:rPr>
        <w:t>；</w:t>
      </w:r>
    </w:p>
    <w:p w14:paraId="4D985F0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身份证号：</w:t>
      </w:r>
      <w:r>
        <w:rPr>
          <w:rFonts w:hint="eastAsia" w:ascii="宋体" w:hAnsi="宋体" w:cs="宋体"/>
          <w:szCs w:val="21"/>
          <w:u w:val="single"/>
        </w:rPr>
        <w:t>                               </w:t>
      </w:r>
      <w:r>
        <w:rPr>
          <w:rFonts w:hint="eastAsia" w:ascii="宋体" w:hAnsi="宋体" w:cs="宋体"/>
          <w:szCs w:val="21"/>
        </w:rPr>
        <w:t>；</w:t>
      </w:r>
    </w:p>
    <w:p w14:paraId="135FA90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职务：</w:t>
      </w:r>
      <w:r>
        <w:rPr>
          <w:rFonts w:hint="eastAsia" w:ascii="宋体" w:hAnsi="宋体" w:cs="宋体"/>
          <w:szCs w:val="21"/>
          <w:u w:val="single"/>
        </w:rPr>
        <w:t>                               </w:t>
      </w:r>
      <w:r>
        <w:rPr>
          <w:rFonts w:hint="eastAsia" w:ascii="宋体" w:hAnsi="宋体" w:cs="宋体"/>
          <w:szCs w:val="21"/>
        </w:rPr>
        <w:t>；</w:t>
      </w:r>
    </w:p>
    <w:p w14:paraId="7F71A81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联系电话：</w:t>
      </w:r>
      <w:r>
        <w:rPr>
          <w:rFonts w:hint="eastAsia" w:ascii="宋体" w:hAnsi="宋体" w:cs="宋体"/>
          <w:szCs w:val="21"/>
          <w:u w:val="single"/>
        </w:rPr>
        <w:t>                               </w:t>
      </w:r>
      <w:r>
        <w:rPr>
          <w:rFonts w:hint="eastAsia" w:ascii="宋体" w:hAnsi="宋体" w:cs="宋体"/>
          <w:szCs w:val="21"/>
        </w:rPr>
        <w:t>；</w:t>
      </w:r>
    </w:p>
    <w:p w14:paraId="11340CF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电子信箱：</w:t>
      </w:r>
      <w:r>
        <w:rPr>
          <w:rFonts w:hint="eastAsia" w:ascii="宋体" w:hAnsi="宋体" w:cs="宋体"/>
          <w:szCs w:val="21"/>
          <w:u w:val="single"/>
        </w:rPr>
        <w:t>                               </w:t>
      </w:r>
      <w:r>
        <w:rPr>
          <w:rFonts w:hint="eastAsia" w:ascii="宋体" w:hAnsi="宋体" w:cs="宋体"/>
          <w:szCs w:val="21"/>
        </w:rPr>
        <w:t>；</w:t>
      </w:r>
    </w:p>
    <w:p w14:paraId="69F0A32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通信地址：</w:t>
      </w:r>
      <w:r>
        <w:rPr>
          <w:rFonts w:hint="eastAsia" w:ascii="宋体" w:hAnsi="宋体" w:cs="宋体"/>
          <w:szCs w:val="21"/>
          <w:u w:val="single"/>
        </w:rPr>
        <w:t>                               </w:t>
      </w:r>
      <w:r>
        <w:rPr>
          <w:rFonts w:hint="eastAsia" w:ascii="宋体" w:hAnsi="宋体" w:cs="宋体"/>
          <w:szCs w:val="21"/>
        </w:rPr>
        <w:t>。</w:t>
      </w:r>
    </w:p>
    <w:p w14:paraId="66C62AA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发包人对发包人代表的授权范围如下：</w:t>
      </w:r>
      <w:r>
        <w:rPr>
          <w:rFonts w:hint="eastAsia" w:ascii="宋体" w:hAnsi="宋体" w:cs="宋体"/>
          <w:szCs w:val="21"/>
          <w:u w:val="single"/>
        </w:rPr>
        <w:t>代表发包人行使权利和履行义务，依据本合同并在其授权范围内履行其职责。主持开展施工现场的全面工作；对施工过程中的合同执行情况进行检查监督以及对监理工作的检查；根据合同约定的向承包人发出的通知，以书面形式送交承包人；代表发包人履行工程量、设计变更等签证、分包单位的确认、工期的签证、工程竣工验收报告的确认职责</w:t>
      </w:r>
    </w:p>
    <w:p w14:paraId="2F32ACC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2.4施工现场、施工条件和基础资料的提供</w:t>
      </w:r>
    </w:p>
    <w:p w14:paraId="1385B90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2.4.1提供施工现场</w:t>
      </w:r>
    </w:p>
    <w:p w14:paraId="093C5BA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关于发包人移交施工现场的期限要求：</w:t>
      </w:r>
      <w:r>
        <w:rPr>
          <w:rFonts w:hint="eastAsia" w:ascii="宋体" w:hAnsi="宋体" w:cs="宋体"/>
          <w:szCs w:val="21"/>
          <w:u w:val="single"/>
        </w:rPr>
        <w:t>开工日期7天前</w:t>
      </w:r>
      <w:r>
        <w:rPr>
          <w:rFonts w:hint="eastAsia" w:ascii="宋体" w:hAnsi="宋体" w:cs="宋体"/>
          <w:szCs w:val="21"/>
        </w:rPr>
        <w:t>。</w:t>
      </w:r>
    </w:p>
    <w:p w14:paraId="47635FF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2.4.2提供施工条件</w:t>
      </w:r>
    </w:p>
    <w:p w14:paraId="6C18BEA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关于发包人应负责提供施工所需要的条件，包括：</w:t>
      </w:r>
      <w:r>
        <w:rPr>
          <w:rFonts w:hint="eastAsia" w:ascii="宋体" w:hAnsi="宋体" w:cs="宋体"/>
          <w:szCs w:val="21"/>
          <w:u w:val="single"/>
        </w:rPr>
        <w:t>1、施工所需临时供电、临时供水、临时进场道路由承包人自行调查解决并承担所有费用，发包人不再单独计列。承包人于投标前必须根据现场情况，分析施工条件（水、电、路等）；涉及到的（水、电、路等）须增加投入的因素，承包人已在合同总价中予以考虑，结算时不得调整。</w:t>
      </w:r>
    </w:p>
    <w:p w14:paraId="59F432F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2、开工前，发包人以书面形式向承包人提供水准点与坐标控制点，由发包人、承包人和监理人三方人员对水准点与坐标控制点数据进行现场交验。交验完毕，即由承包人负责保护，此后由于破坏或失准带来的重新测量、放点费用及由此造成的其他损失均由承包人承担。</w:t>
      </w:r>
    </w:p>
    <w:p w14:paraId="0144A4E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3、施工场地与场外公共道路以现场实际场地条件为准，发包人对此将不增加任何投入，承包人已充分考虑该因素，相关费用已计入本合同总价内，不得以此为理由延误进场施工。</w:t>
      </w:r>
    </w:p>
    <w:p w14:paraId="270CFF8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4、前期施工许可证等建设程序相关手续由发包人按规定办理，并及时提供。临时用地、停水、停电、中断道路交通、爆破作业等的申请批准手续由承包人负责办理，相关费用由承包人承担，发包人帮助协调。</w:t>
      </w:r>
    </w:p>
    <w:p w14:paraId="69474195">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5、施工场地周围地下管线和邻近建筑物、构筑物（含文物保护建筑）、古树名木的保护等工作由承包人负责，相关费用由承包人承担，发包人帮助协调。</w:t>
      </w:r>
    </w:p>
    <w:p w14:paraId="6D61C17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6、双方约定发包人应做的其他工作：由发包人委托，承包人不得拒绝。</w:t>
      </w:r>
    </w:p>
    <w:p w14:paraId="6189E8E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7、施工场地具备施工条件的要求及完成的时间：按现状发包，场地已具备一定的施工条件。若有不全事项承包人自行完善，费用已包含在合同总价中。</w:t>
      </w:r>
    </w:p>
    <w:p w14:paraId="43D79FD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8、本项目施工地点为学校校园内，不具备搭建临时宿舍的条件，承包人需在校外住宿，工作人员住宿相关费用由承包人承担。</w:t>
      </w:r>
    </w:p>
    <w:p w14:paraId="744B126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2.5资金来源证明及支付担保</w:t>
      </w:r>
    </w:p>
    <w:p w14:paraId="53DAD24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发包人提供资金来源证明的期限要求：</w:t>
      </w:r>
      <w:r>
        <w:rPr>
          <w:rFonts w:hint="eastAsia" w:ascii="宋体" w:hAnsi="宋体" w:cs="宋体"/>
          <w:szCs w:val="21"/>
          <w:u w:val="single"/>
        </w:rPr>
        <w:t>/</w:t>
      </w:r>
      <w:r>
        <w:rPr>
          <w:rFonts w:hint="eastAsia" w:ascii="宋体" w:hAnsi="宋体" w:cs="宋体"/>
          <w:szCs w:val="21"/>
        </w:rPr>
        <w:t>。</w:t>
      </w:r>
    </w:p>
    <w:p w14:paraId="0F218F9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发包人是否提供支付担保：</w:t>
      </w:r>
      <w:r>
        <w:rPr>
          <w:rFonts w:hint="eastAsia" w:ascii="宋体" w:hAnsi="宋体" w:cs="宋体"/>
          <w:szCs w:val="21"/>
          <w:u w:val="single"/>
        </w:rPr>
        <w:t>/</w:t>
      </w:r>
      <w:r>
        <w:rPr>
          <w:rFonts w:hint="eastAsia" w:ascii="宋体" w:hAnsi="宋体" w:cs="宋体"/>
          <w:szCs w:val="21"/>
        </w:rPr>
        <w:t>。</w:t>
      </w:r>
    </w:p>
    <w:p w14:paraId="3F02C86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发包人提供支付担保的形式：</w:t>
      </w:r>
      <w:r>
        <w:rPr>
          <w:rFonts w:hint="eastAsia" w:ascii="宋体" w:hAnsi="宋体" w:cs="宋体"/>
          <w:szCs w:val="21"/>
          <w:u w:val="single"/>
        </w:rPr>
        <w:t>/</w:t>
      </w:r>
      <w:r>
        <w:rPr>
          <w:rFonts w:hint="eastAsia" w:ascii="宋体" w:hAnsi="宋体" w:cs="宋体"/>
          <w:szCs w:val="21"/>
        </w:rPr>
        <w:t>。</w:t>
      </w:r>
    </w:p>
    <w:p w14:paraId="1665765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3.承包人</w:t>
      </w:r>
    </w:p>
    <w:p w14:paraId="5EA96CB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3.1承包人的一般义务</w:t>
      </w:r>
    </w:p>
    <w:p w14:paraId="62EC2FE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（9）承包人提交的竣工资料的内容：</w:t>
      </w:r>
      <w:r>
        <w:rPr>
          <w:rFonts w:hint="eastAsia" w:ascii="宋体" w:hAnsi="宋体" w:cs="宋体"/>
          <w:szCs w:val="21"/>
          <w:u w:val="single"/>
        </w:rPr>
        <w:t>按照GB/T50328-2014《建设工程文件归档整理规范》绘制竣工图一式两份及电子版壹份，根据国家、省、市、区相关规定提交工程竣工验收资料和工程竣工结算资料。所需费用已包含在合同总价中。</w:t>
      </w:r>
    </w:p>
    <w:p w14:paraId="63CB5FC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承包人需要提交的竣工资料套数：</w:t>
      </w:r>
      <w:r>
        <w:rPr>
          <w:rFonts w:hint="eastAsia" w:ascii="宋体" w:hAnsi="宋体" w:cs="宋体"/>
          <w:szCs w:val="21"/>
          <w:u w:val="single"/>
        </w:rPr>
        <w:t>一式两份及电子版壹份。</w:t>
      </w:r>
    </w:p>
    <w:p w14:paraId="393C5B1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承包人提交的竣工资料的费用承担：</w:t>
      </w:r>
      <w:r>
        <w:rPr>
          <w:rFonts w:hint="eastAsia" w:ascii="宋体" w:hAnsi="宋体" w:cs="宋体"/>
          <w:szCs w:val="21"/>
          <w:u w:val="single"/>
        </w:rPr>
        <w:t>由承包人承担，费用包含在总价中。</w:t>
      </w:r>
    </w:p>
    <w:p w14:paraId="5F2E9AD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承包人提交的竣工资料移交时间：</w:t>
      </w:r>
      <w:r>
        <w:rPr>
          <w:rFonts w:hint="eastAsia" w:ascii="宋体" w:hAnsi="宋体" w:cs="宋体"/>
          <w:szCs w:val="21"/>
          <w:u w:val="single"/>
        </w:rPr>
        <w:t>竣工验收后28日内。</w:t>
      </w:r>
    </w:p>
    <w:p w14:paraId="3D179A6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承包人提交的竣工资料形式要求：</w:t>
      </w:r>
      <w:r>
        <w:rPr>
          <w:rFonts w:hint="eastAsia" w:ascii="宋体" w:hAnsi="宋体" w:cs="宋体"/>
          <w:szCs w:val="21"/>
          <w:u w:val="single"/>
        </w:rPr>
        <w:t>书面形式及电子版。</w:t>
      </w:r>
    </w:p>
    <w:p w14:paraId="433F74D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（10）承包人应履行的其他义务：</w:t>
      </w:r>
    </w:p>
    <w:p w14:paraId="3671B50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1）必须按发包人和监理人的要求完成开工前的申请报告以及所要求的各类报表，有针对性的施工组织设计。提供施工进度总计划，供应材料清单及时间要求、承包人自购材料清单、材料进场计划、劳动力及用款计划等资料；按发包人要求向发包人、监理提交详细的施工进度计划，已完工作量报表，施工计划及已完成情况报表。上述施工计划将作为承包人全面适当履行本合同的重要依据，承包人未按照施工计划投入相应劳动力及完成相应工程进度的，则构成违约，承包人应承担相应的违约责任。</w:t>
      </w:r>
    </w:p>
    <w:p w14:paraId="712BD99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2）在实施和完成本工程过程中，承包人承担施工范围内的安全保卫工作，建立安全巡查制度，对施工场地的安全防护工作（包括照明、安全设施、脚手架、支架等）负全责。承包人应充分关注和保障所有在场人员及行人的安全，采取有效措施，使施工现场和本工程的实施保持有条不紊；为保护本工程免遭损坏，保障现场附近和过往人群的安全与方便，或当监理工程师或有关主管部门要求时，承包人应根据施工现场情况自费提供照明、警卫、护栅、警告标志等安全防护措施。非施工人员不得进入现场。费用包含在合同总价中，发生安全事故所产生的一切后果及费用由承包人承担。</w:t>
      </w:r>
    </w:p>
    <w:p w14:paraId="1E3B95A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3）遵守政府有关主管部门对施工场地交通、施工噪音以及环境保护和安全生产等的管理规定，办理有关手续及承担费用，并以书面形式通知发包人。</w:t>
      </w:r>
    </w:p>
    <w:p w14:paraId="1F7B411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遵守政府和市容、环保等有关部门对施工现场的一切规定和要求，承担因自身原因违反有关规定造成的损失和罚款。</w:t>
      </w:r>
    </w:p>
    <w:p w14:paraId="1426FAA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承包人应自费采取一切必要措施，使其施工对于邻近单位、人员的干扰、不方便及危险降至最低程度。工程事故引起的一切责任与费用，均由承包人承担。承包人必须保证发包人不承担由于施工产生的安全事故、噪音、污染或其他干扰所造成的一切索赔、诉讼、损害、费用、罚款及开支等有关的责任。</w:t>
      </w:r>
    </w:p>
    <w:p w14:paraId="358ECB6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因重大活动、领导视察而发生的道路保洁、交通畅通、控制施工噪音、临时停工等方面的临时突击工作而产生的费用由承包人承担，此费用包含合同总价内，承包人不得另行提出此项付款请求。</w:t>
      </w:r>
    </w:p>
    <w:p w14:paraId="1C5A1E1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4）承包人应充分了解其它项目工程施工已存在的、或潜在的因素对本项目管线的破坏因素，并采取切实的保护措施，防止本项目管道遭到破坏。同时，承包人应充分了解本项目工程施工对其他市政公用管线已存在的、或潜在的破坏因素，并要求本项目工程管理和施工人员采取切实的保护措施，防止因本项目工程施工而破坏其他市政公用管线，承包人因采取此类措施所需费用已包括在合同总价中。</w:t>
      </w:r>
    </w:p>
    <w:p w14:paraId="3479D0A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5）施工场地周围地下管线和邻近建筑物、构筑物(含文物保护建筑)、古树名木的保护要求及费用承担：承包人应自费做好施工场地地下管线（如果有）和邻近建筑物、构筑物、高压线、古树名木的保护工作。承包人应采取相应的措施，保证其安全及正常使用，如未履行上述义务造成损失的，由承包人承担责任及所发生的费用。施工单位应做好管线保护工作，必须做到：1、有审批手续；2、有施工方案；3、有标志标识；4、有管线资料和现场交底；5、有探挖工序；6、有应急预案（联络方式）。</w:t>
      </w:r>
    </w:p>
    <w:p w14:paraId="4D8438F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6）临时工程用地是承包人为完成工程建设临时占用的土地，不含取土场用地。临时工程用地中，临时工程的租地费用、场地处理、工程完工后承包人将临时工程用地上的构筑物拆除、恢复（含复垦）等费用由承包人摊入各相关项目的综合单价或措施项目单价中，不单独计量。</w:t>
      </w:r>
    </w:p>
    <w:p w14:paraId="37655E7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7）按文件要求执行，做到文明施工、规范施工，保持场地整洁卫生，竣工验收合格后一周内负责将现场所有临时设施拆除，将建筑垃圾清运出场，做到工完场清，并承担相关费用。如承包人未按要求做到工完场清，发包人有权另行委托他人进行清场，相关费用直接从承包人的工程款中扣除。</w:t>
      </w:r>
    </w:p>
    <w:p w14:paraId="3219E88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8）保证施工现场符合南京市和浦口区建设、规划、环保及城管部门文明施工的有关规定。交工前清理现场达到监理工程师和发包人要求，承担因违反有关规定造成的损失和罚款。该费用由承包人承担，含在合同总价内，承包人不得另行提出此项付款请求。</w:t>
      </w:r>
    </w:p>
    <w:p w14:paraId="3BB9ED6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9）承包人出入现场使用地方道路时，应认为承包人已接受的原有地方道路是完好的，承包人应负责自费与地方协调、改善、加固并养护，因承包人出入或施工运输使用造成的损坏，承包人应负责自行处理，并确保避免为业主带来赔偿和诉讼等不利后果。所有使用的临时道路应恢复到不低于施工前原先的通行标准，费用由承包人负责，含于合同总价中。</w:t>
      </w:r>
    </w:p>
    <w:p w14:paraId="239C15A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10）施工围档（如果有）按发包人统一要求制作，承包人应按发包人要求，按规定做好场内各项标识，标牌，便于检查、视察或参观。费用含于合同总价中。</w:t>
      </w:r>
    </w:p>
    <w:p w14:paraId="66851C6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11）在施工过程中及工程移交的保修期内，由于承包人出现的文明施工、质量问题、安全事故或其他原因，受到报纸、电视等媒体的曝光或政府有关部门的通报，造成严重负面影响时，每曝光一次承包人需向发包人支付5000-10000元的违约金，并在当期工程款中扣除。</w:t>
      </w:r>
    </w:p>
    <w:p w14:paraId="0F9B1AE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12）承包人必须按照相关规定的要求缴纳民工工资保障金；并按照政府相关规定，建立健全雇员工资发放和劳动保障制度。如因雇员的工资发放和劳动保障制度不健全等原因而引发纠纷，发包人有权单方面终止合同。</w:t>
      </w:r>
    </w:p>
    <w:p w14:paraId="2D8EE9F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13）在合同实施期间，根据工程需要，发包人可能在本工程工地进行有关试验，承包人应积极配合并承担相应的工作。承包人有义务配合发包人委托的技术服务单位及相关科研单位的监测、科研、试验等工作，其配合费用已含在综合单价中，不再另行计量与支付。</w:t>
      </w:r>
    </w:p>
    <w:p w14:paraId="1C79B21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14）准时参加业主和监理组织的工程例会和专题会议，如迟到或缺席，发包人有权采取相应的处罚措施。</w:t>
      </w:r>
    </w:p>
    <w:p w14:paraId="20D157E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15）承包人应在施工前对现场进行详细的测量和勘察，如因承包人未能很好地审核图纸和对现场进行详细的测量与勘察，而造成施工中不得不返工的责任应由承包人自行负责，并承担所有相关费用和工期延误责任。</w:t>
      </w:r>
    </w:p>
    <w:p w14:paraId="1C7CF5C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16）开工前承包人对施工图纸认真核查，积极主动核对图纸中的标高、轴线、预留洞口尺寸等技术数据，充分理解设计意图，积极配合发包人组织的设计交底及图纸会审工作，并有义务指出图纸上任何不符施工常规、惯例或规范之处，以及设计图纸中错、漏、碰问题，如有需要修改或澄清的内容，承包人制定相关方案报发包人及监理认可后实施。如因承包人未能在施工该道工序提前10天协调解决好此类矛盾、问题而造成的工期、费用的损失，由承包人承担全部责任。</w:t>
      </w:r>
    </w:p>
    <w:p w14:paraId="50089CD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17）发包人将在项目实施过程中，发布项目管理的相关管理办法，承包人必须遵照执行.</w:t>
      </w:r>
    </w:p>
    <w:p w14:paraId="5DE0B4F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18）在施工配合上，应服从发包人的协调。</w:t>
      </w:r>
    </w:p>
    <w:p w14:paraId="71EB6B7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19）对专项施工方案，承包人应组织专家组会审，专家组成员由发包人或发包人代表选定，所产生费用由承包人承担，含于合同总价中。</w:t>
      </w:r>
    </w:p>
    <w:p w14:paraId="119AA97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20）承包人必须组织采用证照、手续齐全，性能良好，确保能安全施工的车辆、设备进行各项施工，在施工过程中非因发包人原因所发生的一切安全事故均由承包人自行负责。</w:t>
      </w:r>
    </w:p>
    <w:p w14:paraId="0349787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21）严格要求对堆放的施工材料进行覆盖，开挖进行带水作业，加强清尘冲洗；各项工序紧密衔接，快速规范施工，尽量减少扬尘的影响；完工后及时清场，减少扬尘污染；针对为保证交通需要而必须在夜间施工的工地，将严格按照环保部门要求实施，同时主动与住户沟通，争得理解和谅解。</w:t>
      </w:r>
    </w:p>
    <w:p w14:paraId="5540D82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22）因设计变更影响，承包人应因时制宜及时对施工组织和生产要素(工、料、机等)做好调整安排，避免造成停工停机损失。若承包人未及时做好妥善调整和安排，发包人不承担由此引起的索赔和补偿。</w:t>
      </w:r>
    </w:p>
    <w:p w14:paraId="0594749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23）不论材料以何种方式供应，承包人都必须对工程上使用的所有材料与监理及发包人代表共同进行检查和验收，做好开箱检查、抽样、封样、送检等工作，并保证所有用于工程上的材料及设备符合本工程所涉及的有关规范及设计的要求。否则，由承包人承担由此造成的所有责任和损失。承包人还应负责材料设备的卸货、堆放和保管等工作，并承担相应费用。监理、发包人代表对材料的认可，不免除承包人的相关责任。</w:t>
      </w:r>
    </w:p>
    <w:p w14:paraId="533B926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24）在高温天气时，承包人必须对工程覆盖及采取相应保护措施，承包人采取相应措施之前应报监理人，经监理批准后，方可实施，其费用已含在综合单价中，不再另行计量与支付。</w:t>
      </w:r>
    </w:p>
    <w:p w14:paraId="13FCD7D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25）承包人同意在工程实施过程中，因为工程变更、发包人根据工程建设的需要等原因，将可能对承包人承包范围内的项目、材料品种和工程数量进行增加或删减，合同价按合同约定调整。</w:t>
      </w:r>
    </w:p>
    <w:p w14:paraId="0063E70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26）承包人应做好与进入施工现场的发包人的其他承包人的配合、管理及其他一切必要的工作，配合和交叉施工所产生的费用已含在合同总价中，结算时不予调整（包括与其他承包人交叉施工、相互干扰给工程施工带来的增加费用），但其他承包人使用现场水电发生的费用由其他承包人直接和承包人结算。</w:t>
      </w:r>
    </w:p>
    <w:p w14:paraId="549B5E5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27）如因客观原因造成某些分项工程必须由其他专业承包单位进行施工，在取得发包人书面同意后，则承包人须按发包人的书面指令与这些单位签署分包合同，该分包单位的工程款由总承包单位支付。如该承包单位必须与发包人签署合同作为独立承包单位，则该分项工程的相应的工程款从总承包合同金额中扣除。</w:t>
      </w:r>
    </w:p>
    <w:p w14:paraId="1241D7B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28）与发包人另行发包的专业工程（如排水、通风、消防等）的配合工作及其费用由承包人自行考虑计入综合报价，发包人不再另行支付。</w:t>
      </w:r>
    </w:p>
    <w:p w14:paraId="102A82B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29）承包人取得批准分包并不解除合同规定的承包人的任何责任或义务，应对分包人加强监督和管理，并对分包人的工程质量及其职工的行为、违约和疏忽完全负责。分包人就分包项目向发包人承担连带责任。</w:t>
      </w:r>
    </w:p>
    <w:p w14:paraId="391AD335">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30）如项目现场同时存在几个承包人在同一区域施工时，监理人有权协调工程的实施并对工程的衔接提出指示，承包人应在监理人的统一协调下工作，承包人由此增加的费用应认为已含入工程量清单各细目的单价或总额价中，发包人不单独计列。</w:t>
      </w:r>
    </w:p>
    <w:p w14:paraId="5277350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31）在本工程施工期间，发包人在必要时将可以调用承包人的部分机械设备用于其他标段的重点工序的突击作业或抢险。对此，承包人不得拒绝。</w:t>
      </w:r>
    </w:p>
    <w:p w14:paraId="7F1F009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32）承包人在施工期间不得以问题、争议未及时解决而停止施工，如承包人因此未能按合同约定的日期完工，承包人承担违约责任。</w:t>
      </w:r>
    </w:p>
    <w:p w14:paraId="68E17DE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33）已竣工工程未交付发包人之前，承包人应负责保护，保护期间发生损坏，承包人自费予以修复。</w:t>
      </w:r>
    </w:p>
    <w:p w14:paraId="07D552D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34）承包人应按发包人的指令，完成发包人要求的对工程内容任何的增加和删减。承包人在接到中标通知书后，应立即组织投标时承诺数量的机械设备、材料、人员进场。</w:t>
      </w:r>
    </w:p>
    <w:p w14:paraId="1FFEE25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35）承包人负责工地临时设施的维护修理工作，以达到发包人或政府部门要求，费用由承包人承担。</w:t>
      </w:r>
    </w:p>
    <w:p w14:paraId="4DADD6C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36）承包人应负责材料设备的卸货、堆放和保管留样工作，相应费用承包人已列入合同总价中，结算时不作调整。</w:t>
      </w:r>
    </w:p>
    <w:p w14:paraId="5F6532E5">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37）非发包人原因导致的停电、停水，承包人不得向发包人提出索赔。</w:t>
      </w:r>
    </w:p>
    <w:p w14:paraId="79EA690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38）承担总包管理的义务，向场内各专业分包单位提供轴线、标高、脚手架和垂直运输机械、道路、施工场地和办公室的使用、工程验收资料收集与汇总，为专业分包的区域提供水电接口，安全文明施工和保安治安管理、施工协调等，费用含在总承包服务费。</w:t>
      </w:r>
    </w:p>
    <w:p w14:paraId="504906A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39）承包人不能很好提供施工配合，由相关专业施工单位提出，经本工程监理审核后，发包人有权扣减相应分包专业工程总承包服务费，并视为承包人违约，违约金为该分包专业工程总承包服务费的三倍金额。</w:t>
      </w:r>
    </w:p>
    <w:p w14:paraId="62B49C4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40）在施工过程中，必须配合发包人的其他专业施工需要，积极进行现场调整，无条件按发包人要求提供工作面和作业时间，配合其他专业施工。若不能按时配合提供作业面，视承包人违约并承担相应违约责任。影响工期的，按工期违约承担责任。</w:t>
      </w:r>
    </w:p>
    <w:p w14:paraId="5F58B8D5">
      <w:pPr>
        <w:pBdr>
          <w:top w:val="none" w:color="000000" w:sz="0" w:space="0"/>
          <w:left w:val="none" w:color="000000" w:sz="0" w:space="0"/>
          <w:bottom w:val="none" w:color="000000" w:sz="0" w:space="0"/>
          <w:right w:val="none" w:color="000000" w:sz="0" w:space="0"/>
        </w:pBdr>
        <w:tabs>
          <w:tab w:val="left" w:pos="387"/>
        </w:tabs>
        <w:spacing w:before="240" w:after="240" w:line="360" w:lineRule="auto"/>
        <w:ind w:firstLine="480"/>
        <w:rPr>
          <w:rFonts w:hint="eastAsia" w:ascii="宋体" w:hAnsi="宋体" w:cs="宋体"/>
          <w:szCs w:val="21"/>
        </w:rPr>
      </w:pPr>
      <w:r>
        <w:rPr>
          <w:rFonts w:hint="eastAsia" w:ascii="宋体" w:hAnsi="宋体" w:cs="宋体"/>
          <w:szCs w:val="21"/>
          <w:u w:val="single"/>
        </w:rPr>
        <w:t>41）施工过程中须达到以下两点：①施工现场禁止使用国一级以下和排放不达标的非道路移动机械（如有）。②施工现场全部使用水性建筑涂料（如有）。</w:t>
      </w:r>
    </w:p>
    <w:p w14:paraId="706C318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3.2项目经理</w:t>
      </w:r>
    </w:p>
    <w:p w14:paraId="41B0C6D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3.2.1项目经理：</w:t>
      </w:r>
    </w:p>
    <w:p w14:paraId="5B76B76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姓名：</w:t>
      </w:r>
      <w:r>
        <w:rPr>
          <w:rFonts w:hint="eastAsia" w:ascii="宋体" w:hAnsi="宋体" w:cs="宋体"/>
          <w:szCs w:val="21"/>
          <w:u w:val="single"/>
        </w:rPr>
        <w:t>              </w:t>
      </w:r>
      <w:r>
        <w:rPr>
          <w:rFonts w:hint="eastAsia" w:ascii="宋体" w:hAnsi="宋体" w:cs="宋体"/>
          <w:szCs w:val="21"/>
        </w:rPr>
        <w:t>；</w:t>
      </w:r>
    </w:p>
    <w:p w14:paraId="468EEB3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身份证号：</w:t>
      </w:r>
      <w:r>
        <w:rPr>
          <w:rFonts w:hint="eastAsia" w:ascii="宋体" w:hAnsi="宋体" w:cs="宋体"/>
          <w:szCs w:val="21"/>
          <w:u w:val="single"/>
        </w:rPr>
        <w:t>                         </w:t>
      </w:r>
      <w:r>
        <w:rPr>
          <w:rFonts w:hint="eastAsia" w:ascii="宋体" w:hAnsi="宋体" w:cs="宋体"/>
          <w:szCs w:val="21"/>
        </w:rPr>
        <w:t>；</w:t>
      </w:r>
    </w:p>
    <w:p w14:paraId="22A5D9E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建造师执业资格等级：</w:t>
      </w:r>
      <w:r>
        <w:rPr>
          <w:rFonts w:hint="eastAsia" w:ascii="宋体" w:hAnsi="宋体" w:cs="宋体"/>
          <w:szCs w:val="21"/>
          <w:u w:val="single"/>
        </w:rPr>
        <w:t>                         </w:t>
      </w:r>
      <w:r>
        <w:rPr>
          <w:rFonts w:hint="eastAsia" w:ascii="宋体" w:hAnsi="宋体" w:cs="宋体"/>
          <w:szCs w:val="21"/>
        </w:rPr>
        <w:t>；</w:t>
      </w:r>
    </w:p>
    <w:p w14:paraId="36B0589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建造师注册证书号：</w:t>
      </w:r>
      <w:r>
        <w:rPr>
          <w:rFonts w:hint="eastAsia" w:ascii="宋体" w:hAnsi="宋体" w:cs="宋体"/>
          <w:szCs w:val="21"/>
          <w:u w:val="single"/>
        </w:rPr>
        <w:t>                         </w:t>
      </w:r>
      <w:r>
        <w:rPr>
          <w:rFonts w:hint="eastAsia" w:ascii="宋体" w:hAnsi="宋体" w:cs="宋体"/>
          <w:szCs w:val="21"/>
        </w:rPr>
        <w:t>；</w:t>
      </w:r>
    </w:p>
    <w:p w14:paraId="7944A09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建造师执业印章号：</w:t>
      </w:r>
      <w:r>
        <w:rPr>
          <w:rFonts w:hint="eastAsia" w:ascii="宋体" w:hAnsi="宋体" w:cs="宋体"/>
          <w:szCs w:val="21"/>
          <w:u w:val="single"/>
        </w:rPr>
        <w:t>                         </w:t>
      </w:r>
      <w:r>
        <w:rPr>
          <w:rFonts w:hint="eastAsia" w:ascii="宋体" w:hAnsi="宋体" w:cs="宋体"/>
          <w:szCs w:val="21"/>
        </w:rPr>
        <w:t>；</w:t>
      </w:r>
    </w:p>
    <w:p w14:paraId="6EDE14F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安全生产考核合格证书号：</w:t>
      </w:r>
      <w:r>
        <w:rPr>
          <w:rFonts w:hint="eastAsia" w:ascii="宋体" w:hAnsi="宋体" w:cs="宋体"/>
          <w:szCs w:val="21"/>
          <w:u w:val="single"/>
        </w:rPr>
        <w:t>                         </w:t>
      </w:r>
      <w:r>
        <w:rPr>
          <w:rFonts w:hint="eastAsia" w:ascii="宋体" w:hAnsi="宋体" w:cs="宋体"/>
          <w:szCs w:val="21"/>
        </w:rPr>
        <w:t>；</w:t>
      </w:r>
    </w:p>
    <w:p w14:paraId="4AC4E1F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联系电话：</w:t>
      </w:r>
      <w:r>
        <w:rPr>
          <w:rFonts w:hint="eastAsia" w:ascii="宋体" w:hAnsi="宋体" w:cs="宋体"/>
          <w:szCs w:val="21"/>
          <w:u w:val="single"/>
        </w:rPr>
        <w:t>                         </w:t>
      </w:r>
      <w:r>
        <w:rPr>
          <w:rFonts w:hint="eastAsia" w:ascii="宋体" w:hAnsi="宋体" w:cs="宋体"/>
          <w:szCs w:val="21"/>
        </w:rPr>
        <w:t>；</w:t>
      </w:r>
    </w:p>
    <w:p w14:paraId="351FC63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电子信箱：</w:t>
      </w:r>
      <w:r>
        <w:rPr>
          <w:rFonts w:hint="eastAsia" w:ascii="宋体" w:hAnsi="宋体" w:cs="宋体"/>
          <w:szCs w:val="21"/>
          <w:u w:val="single"/>
        </w:rPr>
        <w:t>                         </w:t>
      </w:r>
      <w:r>
        <w:rPr>
          <w:rFonts w:hint="eastAsia" w:ascii="宋体" w:hAnsi="宋体" w:cs="宋体"/>
          <w:szCs w:val="21"/>
        </w:rPr>
        <w:t>；</w:t>
      </w:r>
    </w:p>
    <w:p w14:paraId="6BF390E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通信地址：</w:t>
      </w:r>
      <w:r>
        <w:rPr>
          <w:rFonts w:hint="eastAsia" w:ascii="宋体" w:hAnsi="宋体" w:cs="宋体"/>
          <w:szCs w:val="21"/>
          <w:u w:val="single"/>
        </w:rPr>
        <w:t>                         </w:t>
      </w:r>
      <w:r>
        <w:rPr>
          <w:rFonts w:hint="eastAsia" w:ascii="宋体" w:hAnsi="宋体" w:cs="宋体"/>
          <w:szCs w:val="21"/>
        </w:rPr>
        <w:t>；</w:t>
      </w:r>
    </w:p>
    <w:p w14:paraId="34475E8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承包人对项目经理的授权范围如下：</w:t>
      </w:r>
      <w:r>
        <w:rPr>
          <w:rFonts w:hint="eastAsia" w:ascii="宋体" w:hAnsi="宋体" w:cs="宋体"/>
          <w:szCs w:val="21"/>
          <w:u w:val="single"/>
        </w:rPr>
        <w:t>代表承包人对本项目的建设进行全面管理，行使合同约定的承包人权利，全面履行合同约定的承包人义务和责任。一般情况下，承包人的要求、通知均应以书面形式由承包人项目经理签署并加盖承包人现场项目部或承包人公章后递交发包人/监理。</w:t>
      </w:r>
    </w:p>
    <w:p w14:paraId="1D7F453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关于项目经理每月在施工现场的时间要求：</w:t>
      </w:r>
      <w:r>
        <w:rPr>
          <w:rFonts w:hint="eastAsia" w:ascii="宋体" w:hAnsi="宋体" w:cs="宋体"/>
          <w:szCs w:val="21"/>
          <w:u w:val="single"/>
        </w:rPr>
        <w:t>施工期间每周不少于6天，每天不少于8小时，如有夜间施工的情况，项目经理必须全程在施工现场。</w:t>
      </w:r>
    </w:p>
    <w:p w14:paraId="5805952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承包人未提交劳动合同，以及未提交承包人为项目经理缴纳社会保险证明的违约责任,</w:t>
      </w:r>
      <w:r>
        <w:rPr>
          <w:rFonts w:hint="eastAsia" w:ascii="宋体" w:hAnsi="宋体" w:cs="宋体"/>
          <w:szCs w:val="21"/>
          <w:u w:val="single"/>
        </w:rPr>
        <w:t>一经发现，处以5000元违约金，并要求在一周内签订劳动合同和缴纳社会保险，如未履行，每延迟一天，处以1000元违约金，违约金从工程款中直接扣抵。</w:t>
      </w:r>
    </w:p>
    <w:p w14:paraId="670C007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项目经理未经批准，擅自离开施工现场的违约责任：</w:t>
      </w:r>
      <w:r>
        <w:rPr>
          <w:rFonts w:hint="eastAsia" w:ascii="宋体" w:hAnsi="宋体" w:cs="宋体"/>
          <w:szCs w:val="21"/>
          <w:u w:val="single"/>
        </w:rPr>
        <w:t>按每次人民币5000元向发包人支付违约金，由发包人代表签发处罚指令，此费用将在工程结算时直接扣除；项目经理未经批准，擅自离开施工现场后，施工现场出现紧急情况造成人员伤亡、财产损失的，发包人有权要求更换项目经理，并按10000元/次由承包人向发包人支付违约金，且由此增加的费用和延误的工期由承包人承担。项目经理在合同工期内擅自离开现场累计超过5次的，将按10000元/次由承包人向发包人支付违约金，上述违约金在工程结算时直接扣除，且发包人有权单方解除本合同。</w:t>
      </w:r>
    </w:p>
    <w:p w14:paraId="6C8FA50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3.2.3承包人擅自更换项目经理的违约责任：</w:t>
      </w:r>
      <w:r>
        <w:rPr>
          <w:rFonts w:hint="eastAsia" w:ascii="宋体" w:hAnsi="宋体" w:cs="宋体"/>
          <w:szCs w:val="21"/>
          <w:u w:val="single"/>
        </w:rPr>
        <w:t>承包人向发包人支付合同价5%的违约金，由发包人代表签发处罚指令，该违约金将在工程结算时直接扣除，并勒令停工至发包人书面同意其更换项目经理，停工期间一切损失由承包人承担。发包人有权要求承包人撤换调整发包人认为不称职的项目经理及项目部成员，新项目经理及其他项目部主要成员人选须经发包人书面审核同意，项目经理必须采取有效措施保证在整个施工期间现场有足够的劳力、材料、设备，保证工程顺利实施，并不受节假日的影响，否则视为项目经理失职，发包人有权要求承包人支付10000元/次的违约金，该违约金将在工程结算时直接扣除。承包人的项目经理及其他主要管理人员、主要技术人员等不履行上述义务的，发包人有权单方解除本合同，并由承包人按照10000元/人/次向发包人支付违约金，该违约金在工程结算时直接扣除。</w:t>
      </w:r>
    </w:p>
    <w:p w14:paraId="2307E54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3.2.4承包人无正当理由拒绝更换项目经理的违约责任：</w:t>
      </w:r>
      <w:r>
        <w:rPr>
          <w:rFonts w:hint="eastAsia" w:ascii="宋体" w:hAnsi="宋体" w:cs="宋体"/>
          <w:szCs w:val="21"/>
          <w:u w:val="single"/>
        </w:rPr>
        <w:t>承包人向发包人支付合同价5%的违约金，由发包人代表签发处罚指令，同时发包人有权单方解除合同，由此产生的相关费用、给发包人造成的损失由承包人承担。上述违约金及由此产生的相关费用将在工程结算时直接扣除。</w:t>
      </w:r>
    </w:p>
    <w:p w14:paraId="330BB42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3.3承包人人员</w:t>
      </w:r>
    </w:p>
    <w:p w14:paraId="44448E1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3.3.1承包人提交项目管理机构及施工现场管理人员安排报告的期限：</w:t>
      </w:r>
      <w:r>
        <w:rPr>
          <w:rFonts w:hint="eastAsia" w:ascii="宋体" w:hAnsi="宋体" w:cs="宋体"/>
          <w:szCs w:val="21"/>
          <w:u w:val="single"/>
        </w:rPr>
        <w:t>开工前7天。承包人提交关键人员信息及注册执业资格等证明其具备担任关键人员能力的相关文件的期限：开工前7天。</w:t>
      </w:r>
    </w:p>
    <w:p w14:paraId="507B332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3.3.3承包人无正当理由拒绝撤换主要施工管理人员的违约责任：</w:t>
      </w:r>
      <w:r>
        <w:rPr>
          <w:rFonts w:hint="eastAsia" w:ascii="宋体" w:hAnsi="宋体" w:cs="宋体"/>
          <w:szCs w:val="21"/>
          <w:u w:val="single"/>
        </w:rPr>
        <w:t>按每人次人民币10000元向发包人支付违约金，由发包人代表签发处罚指令，此费用将在工程结算时直接扣除，发包人有权解除合同，由此产生的相关费用、给发包人造成的损失由承包人承担。</w:t>
      </w:r>
    </w:p>
    <w:p w14:paraId="4F0842F5">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3.3.4承包人主要施工管理人员离开施工现场的批准要求：</w:t>
      </w:r>
      <w:r>
        <w:rPr>
          <w:rFonts w:hint="eastAsia" w:ascii="宋体" w:hAnsi="宋体" w:cs="宋体"/>
          <w:szCs w:val="21"/>
          <w:u w:val="single"/>
        </w:rPr>
        <w:t>须经发包人书面同意，否则承包人将向发包人支付2000元违约金/人次，由发包人代表签发处罚指令，该违约金将在工程结算时直接扣除，一个月累计过三次，发包人有权更换人员，发包人有权解除合同，由此产生的相关费用、给发包人造成的损失由承包人承担，且发包人有权在工程结算时直接扣除。</w:t>
      </w:r>
    </w:p>
    <w:p w14:paraId="7D21152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3.3.5承包人擅自更换主要施工管理人员的违约责任：</w:t>
      </w:r>
      <w:r>
        <w:rPr>
          <w:rFonts w:hint="eastAsia" w:ascii="宋体" w:hAnsi="宋体" w:cs="宋体"/>
          <w:szCs w:val="21"/>
          <w:u w:val="single"/>
        </w:rPr>
        <w:t>按每人次人民币5000元向发包人支付违约金，由发包人代表签发处罚指令，此费用将在工程结算时直接扣除，发包人有权解除合同，由此产生的相关费用、给发包人造成的损失由承包人承担。</w:t>
      </w:r>
    </w:p>
    <w:p w14:paraId="23A426C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承包人主要施工管理人员擅自离开施工现场的违约责任：</w:t>
      </w:r>
      <w:r>
        <w:rPr>
          <w:rFonts w:hint="eastAsia" w:ascii="宋体" w:hAnsi="宋体" w:cs="宋体"/>
          <w:szCs w:val="21"/>
          <w:u w:val="single"/>
        </w:rPr>
        <w:t>按每人次人民币2000元向发包人支付违约金，由发包人代表签发处罚指令，此费用将在工程结算时直接扣除。主要施工管理人员未经批准，擅自离开施工现场后，施工现场出现紧急情况造成人员伤亡、财产损失超过1万元或一个月内离开累计超过三次的，发包人有权要求更换主要施工管理人员，并按5000元/人次由承包人向发包人支付违约金，由此增加的费用和延误的工期由承包人承担。施工管理人员在合同工期内擅自离开现场累计超过5次的，将按10000元/次由承包人向发包人支付违约金，上述违约金在工程结算时直接扣除。</w:t>
      </w:r>
    </w:p>
    <w:p w14:paraId="61DDF08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3.5分包</w:t>
      </w:r>
    </w:p>
    <w:p w14:paraId="6FA7748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3.5.1分包的一般约定</w:t>
      </w:r>
    </w:p>
    <w:p w14:paraId="27DF776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禁止分包的工程包括：</w:t>
      </w:r>
      <w:r>
        <w:rPr>
          <w:rFonts w:hint="eastAsia" w:ascii="宋体" w:hAnsi="宋体" w:cs="宋体"/>
          <w:szCs w:val="21"/>
          <w:u w:val="single"/>
        </w:rPr>
        <w:t>主体结构、关键性工作，未经发包人同意，承包人不得擅自分包。</w:t>
      </w:r>
    </w:p>
    <w:p w14:paraId="64D9EFD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主体结构、关键性工作的范围：</w:t>
      </w:r>
      <w:r>
        <w:rPr>
          <w:rFonts w:hint="eastAsia" w:ascii="宋体" w:hAnsi="宋体" w:cs="宋体"/>
          <w:szCs w:val="21"/>
          <w:u w:val="single"/>
        </w:rPr>
        <w:t>本协议约定的所有施工内容</w:t>
      </w:r>
      <w:r>
        <w:rPr>
          <w:rFonts w:hint="eastAsia" w:ascii="宋体" w:hAnsi="宋体" w:cs="宋体"/>
          <w:szCs w:val="21"/>
        </w:rPr>
        <w:t>。</w:t>
      </w:r>
    </w:p>
    <w:p w14:paraId="7531AED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3.5.2分包的确定</w:t>
      </w:r>
    </w:p>
    <w:p w14:paraId="49B02E6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允许分包的专业工程包括：</w:t>
      </w:r>
      <w:r>
        <w:rPr>
          <w:rFonts w:hint="eastAsia" w:ascii="宋体" w:hAnsi="宋体" w:cs="宋体"/>
          <w:szCs w:val="21"/>
          <w:u w:val="single"/>
        </w:rPr>
        <w:t>未经发包人同意，承包人不得擅自分包。</w:t>
      </w:r>
    </w:p>
    <w:p w14:paraId="1D18626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其他关于分包的约定：</w:t>
      </w:r>
      <w:r>
        <w:rPr>
          <w:rFonts w:hint="eastAsia" w:ascii="宋体" w:hAnsi="宋体" w:cs="宋体"/>
          <w:szCs w:val="21"/>
          <w:u w:val="single"/>
        </w:rPr>
        <w:t>经过发包人和监理人同意，承包人可以将其他非主体、非关键性工作分包给第三人，但分包人应当经过发包人和监理人同时审批。发包人和监理人有权拒绝承包人的分包请求和承包人选择的分包人。承包人对分包人的工程质量承担连带责任。</w:t>
      </w:r>
    </w:p>
    <w:p w14:paraId="49F8F56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3.5.4分包合同价款</w:t>
      </w:r>
    </w:p>
    <w:p w14:paraId="787EEA7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关于分包合同价款支付的约定：</w:t>
      </w:r>
      <w:r>
        <w:rPr>
          <w:rFonts w:hint="eastAsia" w:ascii="宋体" w:hAnsi="宋体" w:cs="宋体"/>
          <w:szCs w:val="21"/>
          <w:u w:val="single"/>
        </w:rPr>
        <w:t>由承包人与分包人结算，发包人有监督权。未经承包人同意，发包人不得直接向分包人支付分包工程价款。</w:t>
      </w:r>
    </w:p>
    <w:p w14:paraId="6D2C21C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3.6工程照管与成品、半成品保护</w:t>
      </w:r>
    </w:p>
    <w:p w14:paraId="78C46A8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承包人负责照管工程及工程相关的材料、工程设备的起始时间：</w:t>
      </w:r>
      <w:r>
        <w:rPr>
          <w:rFonts w:hint="eastAsia" w:ascii="宋体" w:hAnsi="宋体" w:cs="宋体"/>
          <w:szCs w:val="21"/>
          <w:u w:val="single"/>
        </w:rPr>
        <w:t>在工程竣工验收合格并交付前，成品保护由承包人负责，费用已含在合同价款内，发生成品损坏，承包人负责予以修复，费用自理；如交付后，发包人要求承包人继续保护，费用另行商定。</w:t>
      </w:r>
    </w:p>
    <w:p w14:paraId="3A66E02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3.7履约担保</w:t>
      </w:r>
    </w:p>
    <w:p w14:paraId="057DDA5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承包人是否提供履约担保：</w:t>
      </w:r>
      <w:r>
        <w:rPr>
          <w:rFonts w:hint="eastAsia" w:ascii="宋体" w:hAnsi="宋体" w:cs="宋体"/>
          <w:szCs w:val="21"/>
          <w:u w:val="single"/>
        </w:rPr>
        <w:t>采用。</w:t>
      </w:r>
    </w:p>
    <w:p w14:paraId="0A5ED3DA">
      <w:pPr>
        <w:pBdr>
          <w:top w:val="none" w:color="000000" w:sz="0" w:space="0"/>
          <w:left w:val="none" w:color="000000" w:sz="0" w:space="0"/>
          <w:bottom w:val="none" w:color="000000" w:sz="0" w:space="0"/>
          <w:right w:val="none" w:color="000000" w:sz="0" w:space="0"/>
        </w:pBdr>
        <w:spacing w:before="240" w:line="360" w:lineRule="auto"/>
        <w:ind w:firstLine="480"/>
        <w:rPr>
          <w:rFonts w:hint="eastAsia" w:ascii="宋体" w:hAnsi="宋体" w:cs="宋体"/>
          <w:szCs w:val="21"/>
        </w:rPr>
      </w:pPr>
      <w:r>
        <w:rPr>
          <w:rFonts w:hint="eastAsia" w:ascii="宋体" w:hAnsi="宋体" w:cs="宋体"/>
          <w:szCs w:val="21"/>
          <w:u w:val="single"/>
        </w:rPr>
        <w:t>承包人提供履约担保的形式、金额及期限的：</w:t>
      </w:r>
    </w:p>
    <w:p w14:paraId="72889802">
      <w:pPr>
        <w:pBdr>
          <w:top w:val="none" w:color="000000" w:sz="0" w:space="0"/>
          <w:left w:val="none" w:color="000000" w:sz="0" w:space="0"/>
          <w:bottom w:val="none" w:color="000000" w:sz="0" w:space="0"/>
          <w:right w:val="none" w:color="000000" w:sz="0" w:space="0"/>
        </w:pBdr>
        <w:spacing w:before="240" w:line="360" w:lineRule="auto"/>
        <w:ind w:firstLine="480"/>
        <w:rPr>
          <w:rFonts w:hint="eastAsia" w:ascii="宋体" w:hAnsi="宋体" w:cs="宋体"/>
          <w:szCs w:val="21"/>
        </w:rPr>
      </w:pPr>
      <w:r>
        <w:rPr>
          <w:rFonts w:hint="eastAsia" w:ascii="宋体" w:hAnsi="宋体" w:cs="宋体"/>
          <w:szCs w:val="21"/>
          <w:u w:val="single"/>
        </w:rPr>
        <w:t>履约担保的形式：履约保证金应以公对公转账的方式缴纳</w:t>
      </w:r>
    </w:p>
    <w:p w14:paraId="6862B5C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履约担保的金额：中标价的5%</w:t>
      </w:r>
    </w:p>
    <w:p w14:paraId="3E88146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承包人在收到成交通知书后，合同签订之前，须向发包人足额提交履约保证金，否则发包人可以取消其成交资格。</w:t>
      </w:r>
    </w:p>
    <w:p w14:paraId="650D5DE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履约保证金的退还：项目完成并验收合格后，承包人凭发包人使用部门同意退还履约保证金的证明、汇款凭证到发包人财务处办理履约保证金退还手续(无息退还)。</w:t>
      </w:r>
    </w:p>
    <w:p w14:paraId="4A2FA60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开户名称：江苏卫生健康职业学院</w:t>
      </w:r>
    </w:p>
    <w:p w14:paraId="4E1AF9C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开 户 行：中国工商银行南京江北新区分行</w:t>
      </w:r>
    </w:p>
    <w:p w14:paraId="1E1D2B7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账   号：4301015619100120908</w:t>
      </w:r>
    </w:p>
    <w:p w14:paraId="7EF6477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行号：102301000534</w:t>
      </w:r>
    </w:p>
    <w:p w14:paraId="2388AD5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 xml:space="preserve">特别提醒:向此账户转账烦请备注汇款事由(备注清楚项目名称及项目编号) </w:t>
      </w:r>
    </w:p>
    <w:p w14:paraId="5B82423B">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szCs w:val="21"/>
        </w:rPr>
      </w:pPr>
      <w:r>
        <w:rPr>
          <w:rFonts w:hint="eastAsia" w:ascii="宋体" w:hAnsi="宋体" w:cs="宋体"/>
          <w:szCs w:val="21"/>
        </w:rPr>
        <w:t>4.监理人</w:t>
      </w:r>
    </w:p>
    <w:p w14:paraId="2BAE7FE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4.1监理人的一般规定</w:t>
      </w:r>
    </w:p>
    <w:p w14:paraId="13A5007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关于监理人的监理内容：</w:t>
      </w:r>
      <w:r>
        <w:rPr>
          <w:rFonts w:hint="eastAsia" w:ascii="宋体" w:hAnsi="宋体" w:cs="宋体"/>
          <w:szCs w:val="21"/>
          <w:u w:val="single"/>
        </w:rPr>
        <w:t>施工阶段质量、进度、造价控制，以及安全管理、合同管理、信息管理和现场的组织协调，具体见本工程监理合同。</w:t>
      </w:r>
    </w:p>
    <w:p w14:paraId="15C1B52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关于监理人的监理权限：</w:t>
      </w:r>
    </w:p>
    <w:p w14:paraId="27C2EB1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（1）审核工程施工组织设计和技术方案或设计变更，按照保质量、保工期、降低成本的原则，优化或修正承包人施工组织设计和技术方案，并向发包人提出书面报告。</w:t>
      </w:r>
    </w:p>
    <w:p w14:paraId="5150D06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（2）主持工程建设的组织协调工作，重要协调事项需事先向发包人报告。</w:t>
      </w:r>
    </w:p>
    <w:p w14:paraId="642305A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（3）征得发包人同意，监理工程师有权发布开工令、停工令、复工令。</w:t>
      </w:r>
    </w:p>
    <w:p w14:paraId="4BB9802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4）对工程上使用的材料、设备和施工质量的检验监督。对于不符合设计要求和合同约定及国家质量标准的材料、构配件、设备，有权通知承包人停止使用并报告发包人；对于不符合规范和质量标准的工序、分部、分项工程和不安全施工作业，有权通知承包人停工整改、返工并报告发包人。承包人得到监理单位复工令后才能复工。</w:t>
      </w:r>
    </w:p>
    <w:p w14:paraId="10BC85D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（5）对工程施工的质量、安全文明、进度的检查、监督权。</w:t>
      </w:r>
    </w:p>
    <w:p w14:paraId="6BB3297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（6）对工程施工过程中费用索赔或工程延期的审查权。</w:t>
      </w:r>
    </w:p>
    <w:p w14:paraId="72FD1A9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（7）在合同约定的工程价格范围内，对工程款支付的审查权，以及工程结算的复查权。</w:t>
      </w:r>
    </w:p>
    <w:p w14:paraId="618ABCD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（8）有权要求更换承包人的施工现场人员。经发包人同意后，监理工程师有权要求承包人撤换那些不能胜任本职工作或行为不端或玩忽职守的施工现场人员。</w:t>
      </w:r>
    </w:p>
    <w:p w14:paraId="6C43B845">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（9）除合同内有明确约定或经发包人同意外，负责的监理工程师无权免除本合同约定的承包人的任何权利与义务。</w:t>
      </w:r>
    </w:p>
    <w:p w14:paraId="6F65429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监理人对以下事项的签证、通知、说明必须经发包人加盖印章批准方为有效：</w:t>
      </w:r>
    </w:p>
    <w:p w14:paraId="0183BA2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（1）发出可能引起工程范围的扩大或缩小、工程质量标准的提高或降低、合同价款增加、合同工期延长的工程变更指令或其他指令；</w:t>
      </w:r>
    </w:p>
    <w:p w14:paraId="4DAF126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（2）批准或同意承包人提出的追加或变更工程价款、补偿损失的申请及工程索赔价款的确认；</w:t>
      </w:r>
    </w:p>
    <w:p w14:paraId="61F25AF5">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（3）批准或同意承包人提出的顺延工期的申请；</w:t>
      </w:r>
    </w:p>
    <w:p w14:paraId="51D8896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（4）批准或同意承包人的材料、设备供应商或承包人对工程的部分或全部的分包；</w:t>
      </w:r>
    </w:p>
    <w:p w14:paraId="0F6CCC05">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（5）工程竣工验收报告或甩项验收报告及工程缺陷证书的确认；</w:t>
      </w:r>
    </w:p>
    <w:p w14:paraId="372BB88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（6）确认工程竣工结算价款；</w:t>
      </w:r>
    </w:p>
    <w:p w14:paraId="18F60505">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（7）撤换承包单位代表（项目经理）；</w:t>
      </w:r>
    </w:p>
    <w:p w14:paraId="067820D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（8）变更合同权利义务关系或作出单方面解除合同的决定。</w:t>
      </w:r>
    </w:p>
    <w:p w14:paraId="4577CF3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监理人在发出上述指令、批准或确认时应附上发包人加盖公章的书面确认。承包人在收到监理人的上述指令、批准或确认时应核对有无发包人的书面确认，一旦监理人未经发包人确认作出上述指令、批准或确认，承包人应该立即将该情况通知发包人，要求发包人予以追认，发包人未予追认的，监理人的该行动对发包人无约束力。</w:t>
      </w:r>
    </w:p>
    <w:p w14:paraId="33E4531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关于监理人在施工现场的办公场所、生活场所的提供和费用承担的约定：</w:t>
      </w:r>
      <w:r>
        <w:rPr>
          <w:rFonts w:hint="eastAsia" w:ascii="宋体" w:hAnsi="宋体" w:cs="宋体"/>
          <w:szCs w:val="21"/>
          <w:u w:val="single"/>
        </w:rPr>
        <w:t>办公场所及生活场所由监理人自行解决，费用由监理人承担。</w:t>
      </w:r>
    </w:p>
    <w:p w14:paraId="0D8A58E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4.2监理人员</w:t>
      </w:r>
    </w:p>
    <w:p w14:paraId="58201CD5">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总监理工程师：</w:t>
      </w:r>
    </w:p>
    <w:p w14:paraId="4F26B7A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姓名：</w:t>
      </w:r>
      <w:r>
        <w:rPr>
          <w:rFonts w:hint="eastAsia" w:ascii="宋体" w:hAnsi="宋体" w:cs="宋体"/>
          <w:szCs w:val="21"/>
          <w:u w:val="single"/>
        </w:rPr>
        <w:t>                </w:t>
      </w:r>
      <w:r>
        <w:rPr>
          <w:rFonts w:hint="eastAsia" w:ascii="宋体" w:hAnsi="宋体" w:cs="宋体"/>
          <w:szCs w:val="21"/>
        </w:rPr>
        <w:t>；</w:t>
      </w:r>
    </w:p>
    <w:p w14:paraId="3A22E3F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职务：</w:t>
      </w:r>
      <w:r>
        <w:rPr>
          <w:rFonts w:hint="eastAsia" w:ascii="宋体" w:hAnsi="宋体" w:cs="宋体"/>
          <w:szCs w:val="21"/>
          <w:u w:val="single"/>
        </w:rPr>
        <w:t>                </w:t>
      </w:r>
      <w:r>
        <w:rPr>
          <w:rFonts w:hint="eastAsia" w:ascii="宋体" w:hAnsi="宋体" w:cs="宋体"/>
          <w:szCs w:val="21"/>
        </w:rPr>
        <w:t>；</w:t>
      </w:r>
    </w:p>
    <w:p w14:paraId="5358826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监理工程师执业资格证书号：</w:t>
      </w:r>
      <w:r>
        <w:rPr>
          <w:rFonts w:hint="eastAsia" w:ascii="宋体" w:hAnsi="宋体" w:cs="宋体"/>
          <w:szCs w:val="21"/>
          <w:u w:val="single"/>
        </w:rPr>
        <w:t>                </w:t>
      </w:r>
      <w:r>
        <w:rPr>
          <w:rFonts w:hint="eastAsia" w:ascii="宋体" w:hAnsi="宋体" w:cs="宋体"/>
          <w:szCs w:val="21"/>
        </w:rPr>
        <w:t>；</w:t>
      </w:r>
    </w:p>
    <w:p w14:paraId="689B16B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联系电话：</w:t>
      </w:r>
      <w:r>
        <w:rPr>
          <w:rFonts w:hint="eastAsia" w:ascii="宋体" w:hAnsi="宋体" w:cs="宋体"/>
          <w:szCs w:val="21"/>
          <w:u w:val="single"/>
        </w:rPr>
        <w:t>                </w:t>
      </w:r>
      <w:r>
        <w:rPr>
          <w:rFonts w:hint="eastAsia" w:ascii="宋体" w:hAnsi="宋体" w:cs="宋体"/>
          <w:szCs w:val="21"/>
        </w:rPr>
        <w:t>；</w:t>
      </w:r>
    </w:p>
    <w:p w14:paraId="6CF1A62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电子信箱：</w:t>
      </w:r>
      <w:r>
        <w:rPr>
          <w:rFonts w:hint="eastAsia" w:ascii="宋体" w:hAnsi="宋体" w:cs="宋体"/>
          <w:szCs w:val="21"/>
          <w:u w:val="single"/>
        </w:rPr>
        <w:t>                </w:t>
      </w:r>
      <w:r>
        <w:rPr>
          <w:rFonts w:hint="eastAsia" w:ascii="宋体" w:hAnsi="宋体" w:cs="宋体"/>
          <w:szCs w:val="21"/>
        </w:rPr>
        <w:t>；</w:t>
      </w:r>
    </w:p>
    <w:p w14:paraId="6CCE7E8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通信地址：</w:t>
      </w:r>
      <w:r>
        <w:rPr>
          <w:rFonts w:hint="eastAsia" w:ascii="宋体" w:hAnsi="宋体" w:cs="宋体"/>
          <w:szCs w:val="21"/>
          <w:u w:val="single"/>
        </w:rPr>
        <w:t>                </w:t>
      </w:r>
      <w:r>
        <w:rPr>
          <w:rFonts w:hint="eastAsia" w:ascii="宋体" w:hAnsi="宋体" w:cs="宋体"/>
          <w:szCs w:val="21"/>
        </w:rPr>
        <w:t>；</w:t>
      </w:r>
    </w:p>
    <w:p w14:paraId="3E929A5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关于监理人的其他约定：</w:t>
      </w:r>
      <w:r>
        <w:rPr>
          <w:rFonts w:hint="eastAsia" w:ascii="宋体" w:hAnsi="宋体" w:cs="宋体"/>
          <w:szCs w:val="21"/>
          <w:u w:val="single"/>
        </w:rPr>
        <w:t>经发包人委托，监理人职责如下：1、工程变更（含设计变更及工程量变更）及现场签证单；2、工期顺延及费用索赔的认可或确认；3、承包人付款的审核及确认（含索赔）；4、开工/停工（在紧急状态下的情况除外）/复工/竣工指令。5、分包单位的确定；6、材料设备价格及品牌的认定。</w:t>
      </w:r>
    </w:p>
    <w:p w14:paraId="1CFF7BE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监理工程师下达给承包人或其项目经理的任何涉及工程造价的指示，必须得到发包人及造价咨询的书面认可，该指示于发包人及造价咨询批准之日起有效。</w:t>
      </w:r>
    </w:p>
    <w:p w14:paraId="3870965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监理工程师的职责包含以上内容，但不限于以上内容。</w:t>
      </w:r>
    </w:p>
    <w:p w14:paraId="5A7A3D3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4.4商定或确定</w:t>
      </w:r>
    </w:p>
    <w:p w14:paraId="75ED55A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在发包人和承包人不能通过协商达成一致意见时，发包人授权监理人对以下事项进行确定：</w:t>
      </w:r>
    </w:p>
    <w:p w14:paraId="0BD41F6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（1）分部分项施工方案及其调整；</w:t>
      </w:r>
    </w:p>
    <w:p w14:paraId="1405E1A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（2）关于工程建设安全方面的相关问题；</w:t>
      </w:r>
    </w:p>
    <w:p w14:paraId="691D164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（3）关于工程建设进度方面的相关问题；</w:t>
      </w:r>
    </w:p>
    <w:p w14:paraId="331A567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（4）关于工程建设质量方面的相关问题。</w:t>
      </w:r>
    </w:p>
    <w:p w14:paraId="283EE81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5.工程质量</w:t>
      </w:r>
    </w:p>
    <w:p w14:paraId="53DE2E6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5.1质量要求</w:t>
      </w:r>
    </w:p>
    <w:p w14:paraId="0B6FFC6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5.1.1特殊质量标准和要求：</w:t>
      </w:r>
      <w:r>
        <w:rPr>
          <w:rFonts w:hint="eastAsia" w:ascii="宋体" w:hAnsi="宋体" w:cs="宋体"/>
          <w:szCs w:val="21"/>
          <w:u w:val="single"/>
        </w:rPr>
        <w:t>工程质量必须满足最新《建筑工程施工质量验收统一标准》（GB50300-2013）以及现行国家和江苏省有关工程施工质量验收规范和标准、设计文件（含施工图）规定要求。</w:t>
      </w:r>
    </w:p>
    <w:p w14:paraId="04D778F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质量检测：承包人100%自检，承包人的试验检测工作应委托具有相应资质等级并经监理工程师批准的检测单位进行，费用计入合同总价中。</w:t>
      </w:r>
    </w:p>
    <w:p w14:paraId="53E9F05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承包人应采取一切必要的措施，严格执行招标文件要求、国家或行业技术规范、标准及施工图纸的各项规定，当上述文件要求有冲突时，以要求高者为准，以保证达到合同规定的质量要求，在工程交工和竣工质量要求未发生实质性改变的情况下，即使业主或监理工程师对施工工艺提出了特别要求，承包人也不得就此要求业主给予额外费用补贴，由此发生的一切费用视为已计入合同总价中。</w:t>
      </w:r>
    </w:p>
    <w:p w14:paraId="0715BFB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工程完工后的相关检测如室内空气检测等必须符合国家有关标准，若不符合，由此产生的返工费、治理费等一切损失由承办方承担。检测费计入合同总价中（工程验收时承包方应提交第三方出具的室内空气质量检测报告）。发包人有权委托第三方进行检测，检测结果合格的，费用由发包人承担；检测结果不合格的，检测费用由承包人承担。</w:t>
      </w:r>
    </w:p>
    <w:p w14:paraId="4B188E9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开工前承包商必须提供详细的、切实可行的计划报监理及发包人现场代表。按照国家有关工程竣工验收标准以及设计施工图的要求进行验收。</w:t>
      </w:r>
    </w:p>
    <w:p w14:paraId="06AE6C2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关于工程奖项的约定：</w:t>
      </w:r>
      <w:r>
        <w:rPr>
          <w:rFonts w:hint="eastAsia" w:ascii="宋体" w:hAnsi="宋体" w:cs="宋体"/>
          <w:szCs w:val="21"/>
          <w:u w:val="single"/>
        </w:rPr>
        <w:t>无。</w:t>
      </w:r>
    </w:p>
    <w:p w14:paraId="50FFF04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5.3隐蔽工程检查</w:t>
      </w:r>
    </w:p>
    <w:p w14:paraId="4BF453A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5.3.2承包人提前通知监理人隐蔽工程检查的期限的约定：</w:t>
      </w:r>
      <w:r>
        <w:rPr>
          <w:rFonts w:hint="eastAsia" w:ascii="宋体" w:hAnsi="宋体" w:cs="宋体"/>
          <w:szCs w:val="21"/>
          <w:u w:val="single"/>
        </w:rPr>
        <w:t>共同检查前24小时书面通知监理人。隐蔽及中间工程未经发包人及监理检查，承包人不得进行下一个工序施工。已经进行的施工必须返工，返工费用由承包人自行承担。造成发包人损失的，承包人还应承担赔偿责任，由此产生的相关费用发包人有权在结算工程款时直接扣除。发包人对承包人隐蔽的工程若有质量疑问时，可委托专业检测机构检测，如检测结果符合质量验收要求，检测费用由发包人承担。如检测结果不能满足验收要求，检测费用由承包人承担，发包人保留因此对承包人进行索赔的权力</w:t>
      </w:r>
      <w:r>
        <w:rPr>
          <w:rFonts w:hint="eastAsia" w:ascii="宋体" w:hAnsi="宋体" w:cs="宋体"/>
          <w:szCs w:val="21"/>
        </w:rPr>
        <w:t>。</w:t>
      </w:r>
    </w:p>
    <w:p w14:paraId="131BD20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监理人不能按时进行检查时，应提前</w:t>
      </w:r>
      <w:r>
        <w:rPr>
          <w:rFonts w:hint="eastAsia" w:ascii="宋体" w:hAnsi="宋体" w:cs="宋体"/>
          <w:szCs w:val="21"/>
          <w:u w:val="single"/>
        </w:rPr>
        <w:t>12</w:t>
      </w:r>
      <w:r>
        <w:rPr>
          <w:rFonts w:hint="eastAsia" w:ascii="宋体" w:hAnsi="宋体" w:cs="宋体"/>
          <w:szCs w:val="21"/>
        </w:rPr>
        <w:t>小时提交书面延期要求。</w:t>
      </w:r>
    </w:p>
    <w:p w14:paraId="5DC998C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关于延期最长不得超过：</w:t>
      </w:r>
      <w:r>
        <w:rPr>
          <w:rFonts w:hint="eastAsia" w:ascii="宋体" w:hAnsi="宋体" w:cs="宋体"/>
          <w:szCs w:val="21"/>
          <w:u w:val="single"/>
        </w:rPr>
        <w:t>48</w:t>
      </w:r>
      <w:r>
        <w:rPr>
          <w:rFonts w:hint="eastAsia" w:ascii="宋体" w:hAnsi="宋体" w:cs="宋体"/>
          <w:szCs w:val="21"/>
        </w:rPr>
        <w:t>小时。</w:t>
      </w:r>
    </w:p>
    <w:p w14:paraId="1855F31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6.安全文明施工与环境保护</w:t>
      </w:r>
    </w:p>
    <w:p w14:paraId="7C5EE645">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6.1安全文明施工</w:t>
      </w:r>
    </w:p>
    <w:p w14:paraId="2192476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6.1.1项目安全生产的达标目标及相应事项的约定：</w:t>
      </w:r>
      <w:r>
        <w:rPr>
          <w:rFonts w:hint="eastAsia" w:ascii="宋体" w:hAnsi="宋体" w:cs="宋体"/>
          <w:szCs w:val="21"/>
          <w:u w:val="single"/>
        </w:rPr>
        <w:t>除执行通用条款的相关规定外，承包人必须按照江苏省、南京市相关文件规定的标准实行文明施工管理，总承包单位对施工现场的安全施工负总责，专业工程承包单位应当服从总承包单位的文明施工管理；注重安全保障，承包人在施工现场的安全教育和安全事故及因此发生的费用（包括造成发包人工期延误，并由此产生的全部损失）由承包方承担。1）施工现场应围挡整齐，沿街及重要部位须按发包人的要求设置，并保证安全美观，施工标语内容须征得发包人的认可；现场布局合理整洁，无杂草、积水、异味，场内道路必须进行硬化并保证畅通；各种材料应堆放整齐，施工垃圾须定点堆放，及时清运，严禁在施工现场以外堆放材料、垃圾。2）施工现场布局及工序安排应考虑噪声、照明控制，严格按照江苏省、南京市、工程所在行政区有关规定执行，避免扰民；施工现场必须设置专用厕所，并有专人管理，严禁随意大小便；生活、生产废水及施工降水未处理合格，不得排入市政地下水；不得破坏树木、绿地；土方外运过程，严格按程序操作，不得遗洒，同时应有避免扬尘的措施。3）施工人员必须办理相关证件，禁止非施工单位人员在工地留宿，施工现场禁止聚众打牌、饮酒闹事、传阅淫秽物品、吸毒等；禁止施工人员在非施工区随意走动，严禁发生冲突。4）施工车辆进出时注意交通安全，必须缓速行驶，必须封路施工时，须征得发包人及有关主管部门的批准，并在路口设置明显的提示标志。5）施工现场临时用电必须符合《施工现场临时用电安全技术规范》，固定式配电箱应设置围栏并有明显的安全警示标志，严禁非专业人员接拆电线，防止发生触电事故，严禁使用电炉子等妨碍现场安全的用电设备。6）现场消火栓及其他消防器材配备齐全、位置合理，应有明显的警示标志，严禁挪用，保证消防道路畅通；施工现场严禁吸烟，剧毒、易燃易爆物品及施工动火必须有专人负责管理。在机房内施工时，应严格执行工程方案中规定的各项安全措施和有关安全条款，并且在机房内严禁使用明火。确因工程需要必须动用明火时，应向发包人提出书面申请，并认真填写《要害部位动火作业证》，在得到发包人批准后方可施工。7）现场施工人员须着装整齐、遵章守纪，无违章指挥、违章作业行为，严禁闲杂人员进入施工现场；进入施工现场必须佩戴安全帽，高空作业必须系好安全带，严禁工人酒后上岗，严禁攀爬脚手架。发包人或监理检查，每发现一人次没有按规范佩戴安全帽，发包人在工程结算时直接扣除违约金200元。8）各种施工机械的合格证、检测证及安全防护装置齐全。9）承包人现场应有专门负责安全、文明施工的管理人员，定期检查，发现问题及时整改；对发包人及监理提出的其他有关安全、文明施工等方面问题必须积极配合，认真履行。10）施工期间，承包人应及时整理和安排所有机械、工具、材料、建筑垃圾等，以上物品在不需用时应按发包人要求清理出工地。11）施工现场各类垃圾应当天清理，否则由发包人指派人员清理，清理费用从工程款中扣除。12）严禁在绿地上堆物及行走或严禁污染绿地，一旦发现，即扣除违约金500元/次，而无须任何确认手续即可生效。13）发包人或监理对承包人的违章现象提出整改通知后24小时内未采取相应整改措施，承包人每次支付违约金500元。累计3次后，每次支付违约金2000元。14）施工期间由于承包人原因造成人员伤亡而导致停工，承包人应按停工时间支付10000元/天的违约金。15）施工期间由于承包人违反安全操作规程，被政府有关部门处罚，如通报、批评、警告和罚款等，承包人应支付5000元/次的违约金。16）除本合同已有约定外，承包人未履行本条义务的，发包人有权要求其立即整改。承包人不整改或整改仍不符合要求的，承包人应向发包人支付合同总额1%的违约金。该违约金将从履约保证金中直接扣除。情况严重的，发包人有权解除合同。</w:t>
      </w:r>
    </w:p>
    <w:p w14:paraId="49A8AD3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6.1.4关于治安保卫的特别约定：</w:t>
      </w:r>
      <w:r>
        <w:rPr>
          <w:rFonts w:hint="eastAsia" w:ascii="宋体" w:hAnsi="宋体" w:cs="宋体"/>
          <w:szCs w:val="21"/>
          <w:u w:val="single"/>
        </w:rPr>
        <w:t>承包人应保证在整个合同履行期间中不发生治安或刑事案件，妥善保护好施工现场人员人身及财产安全。</w:t>
      </w:r>
    </w:p>
    <w:p w14:paraId="62E27F3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关于编制施工场地治安管理计划的约定：</w:t>
      </w:r>
      <w:r>
        <w:rPr>
          <w:rFonts w:hint="eastAsia" w:ascii="宋体" w:hAnsi="宋体" w:cs="宋体"/>
          <w:szCs w:val="21"/>
          <w:u w:val="single"/>
        </w:rPr>
        <w:t>在开工前提交的施工组织设计中体现，由承包人制定，发包人协助。</w:t>
      </w:r>
    </w:p>
    <w:p w14:paraId="7D3252D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6.1.5文明施工</w:t>
      </w:r>
    </w:p>
    <w:p w14:paraId="52908F9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合同当事人对文明施工的要求：</w:t>
      </w:r>
    </w:p>
    <w:p w14:paraId="79115F1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（1）因承包人原因出现重大安全事故造成的停工，不得作为顺延工期的理由</w:t>
      </w:r>
      <w:r>
        <w:rPr>
          <w:rFonts w:hint="eastAsia" w:ascii="宋体" w:hAnsi="宋体" w:cs="宋体"/>
          <w:szCs w:val="21"/>
        </w:rPr>
        <w:t>；</w:t>
      </w:r>
    </w:p>
    <w:p w14:paraId="68D418F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（2）承包人应严格执行发包人施工现场安全生产处罚规定</w:t>
      </w:r>
      <w:r>
        <w:rPr>
          <w:rFonts w:hint="eastAsia" w:ascii="宋体" w:hAnsi="宋体" w:cs="宋体"/>
          <w:szCs w:val="21"/>
        </w:rPr>
        <w:t>；</w:t>
      </w:r>
    </w:p>
    <w:p w14:paraId="3C88D61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（3）承包人必须实行文明施工管理，对施工现场的安全施工负总责，承包人有权对专业工程承包单位的建筑垃圾堆放等进行督促、管理，各专业承包单位应服从承包人的文明施工管理；</w:t>
      </w:r>
    </w:p>
    <w:p w14:paraId="3F1AB5E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4）承包人负责施工现场场地（含现场临时建筑和水电）的统一规划和分配，并按照江苏省省级标化星级工地的要求进行场地硬化，公平公正地为本工程各专业承包单位提供现场施工场地，并不得以此为借口向各专业承包单位收取费用；</w:t>
      </w:r>
    </w:p>
    <w:p w14:paraId="7B2E762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（5）具体执行关于安全生产的相关规定和《施工现场管理条例及处罚制度标准》。</w:t>
      </w:r>
    </w:p>
    <w:p w14:paraId="0F98950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6）本工程在整个施工期间杜绝一切人身伤亡和重大质量安全事故，如发生上述事故，则发包人视为承包人违约；承包人承担一切法律及经济赔偿责任。在施工期间每发生一起重大人身伤亡事故，承包人除了接受相关行政监督部门的处罚外，承包人赔偿发包人违约金5万元；承包人应保证在整个合同履行过程中所用的全部工器具、设备、施工机械及现场设施等的安全、性能和状态完好，能够实现预定的作用，满足合同约定和业主代表的合理要求。与工程有关的大、中型施工机械、现场变配电设备以及重要施工器具等的检修、维护须提前3天通知发包人/监理工程师。承包人必须服从发包人现场安全考核管理办法。</w:t>
      </w:r>
    </w:p>
    <w:p w14:paraId="4DA8FD2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6.1.6关于安全文明施工费支付比例和支付期限的约定：</w:t>
      </w:r>
      <w:r>
        <w:rPr>
          <w:rFonts w:hint="eastAsia" w:ascii="宋体" w:hAnsi="宋体" w:cs="宋体"/>
          <w:szCs w:val="21"/>
          <w:u w:val="single"/>
        </w:rPr>
        <w:t>/</w:t>
      </w:r>
    </w:p>
    <w:p w14:paraId="7B8064F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7.工期和进度</w:t>
      </w:r>
    </w:p>
    <w:p w14:paraId="4BE2B65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7.1施工组织设计</w:t>
      </w:r>
    </w:p>
    <w:p w14:paraId="2F90EFA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7.1.1合同当事人约定的施工组织设计应包括的其他内容：</w:t>
      </w:r>
      <w:r>
        <w:rPr>
          <w:rFonts w:hint="eastAsia" w:ascii="宋体" w:hAnsi="宋体" w:cs="宋体"/>
          <w:szCs w:val="21"/>
          <w:u w:val="single"/>
        </w:rPr>
        <w:t>承包人中标后，应在开工前7天内编制出更为详细的施工组织设计，报监理单位审批。施工组织设计至少应包括：施工技术方案；进度计划（含总进度计划、时间节点进度计划等）；全部设备、材料、成品、半成品等需求供应进场计划；人员安排、质保体系、安全文明施工措施、施工机械设备配置情况；其他保证措施（如成品保护、夜间施工及冬雨季施工等）；施工现场优化布置总平面图等内容，此施工组织设计的内容及要求不得低于投标书中的施工组织设计中的内容及要求，对于投标书中的施工组织设计进行的所有变动，其增加费用由承包人自行承担，合理减少的费用由发包人接受，在工程结算时扣除相应费用。发包人接到监理报来的施工组织设计后7天内组织审核批准或提出修改意见，发包人批准的施工组织设计可作为工程款支付的参考依据。承包人不按时送审符合要求的施工组织设计，造成发包人无法判断工程进展顺利与否，发包人可按照现实情况要求承包人支付1000-5000元的违约金，并可拒付工程进度款，责任由承包人承担。</w:t>
      </w:r>
    </w:p>
    <w:p w14:paraId="1F8A5A2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7.1.2施工组织设计的提交和修改</w:t>
      </w:r>
    </w:p>
    <w:p w14:paraId="1C1ED74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承包人提交详细施工组织设计的期限的约定：</w:t>
      </w:r>
      <w:r>
        <w:rPr>
          <w:rFonts w:hint="eastAsia" w:ascii="宋体" w:hAnsi="宋体" w:cs="宋体"/>
          <w:szCs w:val="21"/>
          <w:u w:val="single"/>
        </w:rPr>
        <w:t>进场施工前7天内。</w:t>
      </w:r>
    </w:p>
    <w:p w14:paraId="0F5B5C0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发包人和监理人在收到详细的施工组织设计后确认或提出修改意见的期限：</w:t>
      </w:r>
      <w:r>
        <w:rPr>
          <w:rFonts w:hint="eastAsia" w:ascii="宋体" w:hAnsi="宋体" w:cs="宋体"/>
          <w:szCs w:val="21"/>
          <w:u w:val="single"/>
        </w:rPr>
        <w:t>接收计划后7天内。</w:t>
      </w:r>
    </w:p>
    <w:p w14:paraId="4BD89D9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7.2施工进度计划</w:t>
      </w:r>
    </w:p>
    <w:p w14:paraId="0EA40CE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7.2.2施工进度计划的修订</w:t>
      </w:r>
    </w:p>
    <w:p w14:paraId="64289EA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发包人和监理人在收到修订的施工进度计划后确认或提出修改意见的期限：</w:t>
      </w:r>
      <w:r>
        <w:rPr>
          <w:rFonts w:hint="eastAsia" w:ascii="宋体" w:hAnsi="宋体" w:cs="宋体"/>
          <w:szCs w:val="21"/>
          <w:u w:val="single"/>
        </w:rPr>
        <w:t>承包人提供的施工组织设计必须是经发包方和监理方审核后的施工组织设计。收到承包方资料一周内予以答复告知确认的时间。工程师对施工组织设计和进度计划的任何确认和修改意见不免除和减轻承包人责任。</w:t>
      </w:r>
    </w:p>
    <w:p w14:paraId="01E785F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7.3开工</w:t>
      </w:r>
    </w:p>
    <w:p w14:paraId="7F42A38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7.3.1开工准备</w:t>
      </w:r>
    </w:p>
    <w:p w14:paraId="6DCC13B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关于承包人提交工程开工报审表的期限：</w:t>
      </w:r>
      <w:r>
        <w:rPr>
          <w:rFonts w:hint="eastAsia" w:ascii="宋体" w:hAnsi="宋体" w:cs="宋体"/>
          <w:szCs w:val="21"/>
          <w:u w:val="single"/>
        </w:rPr>
        <w:t>应在合同签订后14天内，但至迟不得晚于开工日期前7天。</w:t>
      </w:r>
    </w:p>
    <w:p w14:paraId="53318D1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关于承包人应完成的其他开工准备工作及期限：</w:t>
      </w:r>
      <w:r>
        <w:rPr>
          <w:rFonts w:hint="eastAsia" w:ascii="宋体" w:hAnsi="宋体" w:cs="宋体"/>
          <w:szCs w:val="21"/>
          <w:u w:val="single"/>
        </w:rPr>
        <w:t>开工前。1）承包人应当按照发包人书面指定的开工日期开工，并办理开工报告。承包人不能按时开工，应当不迟于发包人通知的开工日期前3天，以书面形式向发包人提出延期开工的理由和要求。发包人不同意延期要求或承包人未在规定的时间内提出开工延期要求，工期不予顺延。2）承包人至少应于合同约定的开工日期前7天内去发包人工地接收工地，接收工地后应立即开展工作，不得因工地上有任何问题而拒绝接收工地，否则发包人将按延误工期处罚。3）若工地上确实存在问题或其他工程施工进度对本项目施工产生的影响足以耽误本工程开工的，承包人须以书面形式通知发包人，经发包人批准后开工时间方可调整，工期方可顺延，但合同价款不予调整。4）承包人在本工程开工前，须全面检查工地上已完工程（可能对本工程施工产生影响）的标高、定位、尺寸、质量等，直到符合要求为止，方可施工。若已完工程有错误或不能满足本工程需要的，承包人须立即以书面形式通知发包人。若承包人未进行以上工作而直接进行本工程施工，则视为承包人已全面接受已完工程，今后因上述问题引起的延误、损失等均由承包人承担。</w:t>
      </w:r>
    </w:p>
    <w:p w14:paraId="2558877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7.3.2开工通知</w:t>
      </w:r>
    </w:p>
    <w:p w14:paraId="7348668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因发包人原因造成监理人未能在计划开工日期之日起</w:t>
      </w:r>
      <w:r>
        <w:rPr>
          <w:rFonts w:hint="eastAsia" w:ascii="宋体" w:hAnsi="宋体" w:cs="宋体"/>
          <w:szCs w:val="21"/>
          <w:u w:val="single"/>
        </w:rPr>
        <w:t>90</w:t>
      </w:r>
      <w:r>
        <w:rPr>
          <w:rFonts w:hint="eastAsia" w:ascii="宋体" w:hAnsi="宋体" w:cs="宋体"/>
          <w:szCs w:val="21"/>
        </w:rPr>
        <w:t>天内发出开工通知的，承包人有权提出价格调整要求，或者解除合同。</w:t>
      </w:r>
    </w:p>
    <w:p w14:paraId="72F584B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7.4测量放线</w:t>
      </w:r>
    </w:p>
    <w:p w14:paraId="62B93CC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7.4.1发包人通过监理人向承包人提供测量基准点、基准线和水准点及其书面资料的期限：</w:t>
      </w:r>
      <w:r>
        <w:rPr>
          <w:rFonts w:hint="eastAsia" w:ascii="宋体" w:hAnsi="宋体" w:cs="宋体"/>
          <w:szCs w:val="21"/>
          <w:u w:val="single"/>
        </w:rPr>
        <w:t>同通用条款。</w:t>
      </w:r>
    </w:p>
    <w:p w14:paraId="06F7A73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7.5工期延误</w:t>
      </w:r>
    </w:p>
    <w:p w14:paraId="3F88646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7.5.1因发包人原因导致工期延误</w:t>
      </w:r>
    </w:p>
    <w:p w14:paraId="1802B46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（7）因发包人原因导致工期延误的其他情形：</w:t>
      </w:r>
      <w:r>
        <w:rPr>
          <w:rFonts w:hint="eastAsia" w:ascii="宋体" w:hAnsi="宋体" w:cs="宋体"/>
          <w:szCs w:val="21"/>
          <w:u w:val="single"/>
        </w:rPr>
        <w:t>非承包人原因造成政府部门指令的停工、暂停施工作业</w:t>
      </w:r>
      <w:r>
        <w:rPr>
          <w:rFonts w:hint="eastAsia" w:ascii="宋体" w:hAnsi="宋体" w:cs="宋体"/>
          <w:szCs w:val="21"/>
        </w:rPr>
        <w:t>。</w:t>
      </w:r>
    </w:p>
    <w:p w14:paraId="5188A8C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7.5.2因承包人原因导致工期延误</w:t>
      </w:r>
    </w:p>
    <w:p w14:paraId="1167D61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因承包人原因造成工期延误，逾期竣工违约金的计算方法为：</w:t>
      </w:r>
      <w:r>
        <w:rPr>
          <w:rFonts w:hint="eastAsia" w:ascii="宋体" w:hAnsi="宋体" w:cs="宋体"/>
          <w:szCs w:val="21"/>
          <w:u w:val="single"/>
        </w:rPr>
        <w:t>每天5000元，发包方可从应向承包方支付的任何款项中扣除此违约金,此违约金的支付并不能解除承包方完成工程的责任和合同规定的其他责任。如工期拖延超过15天或施工过程中承包方在监理和发包方合理要求下不按要求增加施工机械和人员的，超过五天以上，发包方有权另行安排具有相应资质的单位进行剩余工程的施工，由此产生的所有费用由承包方承担，且承包人应当按本合同总价的5%支付发包人违约金。如造成发包方损失的，还应承担赔偿责任。</w:t>
      </w:r>
    </w:p>
    <w:p w14:paraId="6A9BB26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因承包人原因造成工期延误，逾期竣工违约金的上限：</w:t>
      </w:r>
      <w:r>
        <w:rPr>
          <w:rFonts w:hint="eastAsia" w:ascii="宋体" w:hAnsi="宋体" w:cs="宋体"/>
          <w:szCs w:val="21"/>
          <w:u w:val="single"/>
        </w:rPr>
        <w:t>总额不超过合同价款的5%。延误超过30天的发包方有权终止合同，并要求承包方赔偿全部损失。</w:t>
      </w:r>
    </w:p>
    <w:p w14:paraId="38B714B5">
      <w:pPr>
        <w:pBdr>
          <w:top w:val="none" w:color="000000" w:sz="0" w:space="0"/>
          <w:left w:val="none" w:color="000000" w:sz="0" w:space="0"/>
          <w:bottom w:val="none" w:color="000000" w:sz="0" w:space="0"/>
          <w:right w:val="none" w:color="000000" w:sz="0" w:space="0"/>
        </w:pBdr>
        <w:spacing w:line="360" w:lineRule="auto"/>
        <w:ind w:firstLine="482"/>
        <w:rPr>
          <w:rFonts w:hint="eastAsia" w:ascii="宋体" w:hAnsi="宋体" w:cs="宋体"/>
          <w:szCs w:val="21"/>
        </w:rPr>
      </w:pPr>
      <w:r>
        <w:rPr>
          <w:rFonts w:hint="eastAsia" w:ascii="宋体" w:hAnsi="宋体" w:cs="宋体"/>
          <w:b/>
          <w:szCs w:val="21"/>
        </w:rPr>
        <w:t>因承包人原因造成工期延误的，延误期间发生的材料价格上涨差额由承包人承担。</w:t>
      </w:r>
    </w:p>
    <w:p w14:paraId="0223C1B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7.6不利物质条件</w:t>
      </w:r>
    </w:p>
    <w:p w14:paraId="7668C58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不利物质条件的其他情形和有关约定：</w:t>
      </w:r>
      <w:r>
        <w:rPr>
          <w:rFonts w:hint="eastAsia" w:ascii="宋体" w:hAnsi="宋体" w:cs="宋体"/>
          <w:szCs w:val="21"/>
          <w:u w:val="single"/>
        </w:rPr>
        <w:t>同通用条款。</w:t>
      </w:r>
    </w:p>
    <w:p w14:paraId="17EB4F6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7.7异常恶劣的气候条件</w:t>
      </w:r>
    </w:p>
    <w:p w14:paraId="39B7B31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发包人和承包人同意以下情形视为异常恶劣的气候条件：</w:t>
      </w:r>
    </w:p>
    <w:p w14:paraId="79671E0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（1）暴雪；</w:t>
      </w:r>
    </w:p>
    <w:p w14:paraId="7A7DDC6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（2）洪水；</w:t>
      </w:r>
    </w:p>
    <w:p w14:paraId="7ABB1DA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（3）5级以上的地震并实际影响工程施工的（根据江苏地震局发布的为准）。</w:t>
      </w:r>
    </w:p>
    <w:p w14:paraId="0B1D05B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7.9提前竣工的奖励</w:t>
      </w:r>
    </w:p>
    <w:p w14:paraId="3CD2A79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7.9.2提前竣工的奖励：</w:t>
      </w:r>
      <w:r>
        <w:rPr>
          <w:rFonts w:hint="eastAsia" w:ascii="宋体" w:hAnsi="宋体" w:cs="宋体"/>
          <w:szCs w:val="21"/>
          <w:u w:val="single"/>
        </w:rPr>
        <w:t>无。</w:t>
      </w:r>
    </w:p>
    <w:p w14:paraId="52EAD68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8.材料与设备</w:t>
      </w:r>
    </w:p>
    <w:p w14:paraId="64F9642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8.2承包人采购材料与工程设备</w:t>
      </w:r>
    </w:p>
    <w:p w14:paraId="595B3BA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(1)、承包人应根据采购需要在其项目经理部中配置专门的、熟悉业务的采购人员。</w:t>
      </w:r>
    </w:p>
    <w:p w14:paraId="26E18CD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(2)、承包人在项目中使用的采购程序和质量控制办法应报发包人、监理备案。</w:t>
      </w:r>
    </w:p>
    <w:p w14:paraId="18148FC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(3)、双方约定,除甲供材或甲控乙购材料外，其他材料均为乙购，所有乙购材料进场前应将采购的材料设备以书面形式对其性能、产地、厂家、品牌、规格型号、价格等向发包人作出说明，并提供产品出厂证明、质量说明、质量合格证书、准用证，进口产品还应提供原产地证明、报关手续等证明资料。</w:t>
      </w:r>
    </w:p>
    <w:p w14:paraId="41ED51D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采用甲控品牌（或甲控乙供）乙供采购方式的由承包人采购的材料：承包人在采购之前应按招标文件及投标文件要求将厂商资料（发包人要求提供样品的，须提供样品）提供给发包人且必须经发包人确认并实物验收合格方能购买或使用。投标文件已经确定的材料设备的品牌、规格、材质未经发包人准许，承包人不得擅自变更。</w:t>
      </w:r>
    </w:p>
    <w:p w14:paraId="3D7C3F7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(4)、承包人采购进场的材料设备应严格按照设计要求、招标文件和有关标准、规范进行检验。材料按标准、规范和设计文件要求的检验或复试报告、质量合格证书、质保资料及使用、维修说明书等其他相关技术文件应要求供应商与货物同时完整交付，由承包人并作为交工文件的一部分妥善保存，以备竣工时移交发包人。</w:t>
      </w:r>
    </w:p>
    <w:p w14:paraId="5F234DB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(5)、材料设备按规定在使用前必须进行材料设备的检测或复试，不符合发包人要求或质量不合格的不得使用，按规定需要检测或复试的材料设备要在有资质的检测单位进行，所有费用由承包人承担。材料的检测或复试结果证明材料设备合格的方能购买或使用。承包人使用代用材料前，代用材料的采购价格和品牌及其他相关技术文件必须经发包人、监理人、设计单位的书面认可后方可进行采购,并以此作为调整投标报价中材料价格的依据。如发包人或监理人发现不符合发包人要求或质量不合格的材料设备进场，有权责令其无条件退场，由此造成的工期延误损失由承包人承担；对于已经使用的不符合发包人要求或质量不合格的材料设备，承包人应无条件返工，由此造成的工期延误损失由承包人承担；不按要求退场或返工的，承包人承担相应责任及赔偿由此给发包人带来一切损失。</w:t>
      </w:r>
    </w:p>
    <w:p w14:paraId="02CBE90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(6)、承包人应对其采购的材料设备的数量、规格及供应时间负责，满足工程要求。除发包人已明确采购范围的，必须选用市场主流品牌厂家的优质产品，否则在工程实施过程中，发包人有权予以变更厂家。如承包人所采购的材料市场价格明显低于投标时所报单价，或承包人擅自变更或取消合同项目，发包人有权选择由发包人供应，并以招标控制价对应价格的三倍从承包人合同价中扣除相关费用作为承包人应当支付发包人的违约金。</w:t>
      </w:r>
    </w:p>
    <w:p w14:paraId="06E12DE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(7)、如发包人推荐了品牌范围，承包人可以在推荐的品牌范围中选择一个进行报价，或者选择与推荐品牌同等及以上档次的品牌，并在投标文件中注明品牌名称。结算时按照承包人在投标时承诺的价格结算。招标文件和工程量清单中未确定品牌、规格及档次的材料，承包人必须按照投标文件中明确的品牌经发包人认可后方可施工。</w:t>
      </w:r>
    </w:p>
    <w:p w14:paraId="21468D0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(8)、对于乙供材料，发包人应作为材料供应合同的鉴定方，来控制乙供材的质量、付款及进度。根据工程需要，发包人有权直接从工程款中扣除部分材料的供货款，并直接支付给相关材料的供货方。</w:t>
      </w:r>
    </w:p>
    <w:p w14:paraId="705ACD3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(9)、对于由承包人采购的材料（包括成品、半成品和配件等），承包人应根据材料规格、平面尺寸等自行测算其加工损耗，材料的加工辅助材料费用、加工人工机械费用、采保费、包装费、运输费、上下力费等均包含在合同价中。</w:t>
      </w:r>
    </w:p>
    <w:p w14:paraId="65F46D0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(10)、监理工程师或发包人对承包人自行采购材料的批准或认可并不解除承包人应负的质量、工期的责任，也不解除承包人对材料设备应负的职责。</w:t>
      </w:r>
    </w:p>
    <w:p w14:paraId="14D4656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8.4材料与工程设备的保管与使用</w:t>
      </w:r>
    </w:p>
    <w:p w14:paraId="58FCE3F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8.4.1发包人供应的材料设备的保管费用的承担：</w:t>
      </w:r>
      <w:r>
        <w:rPr>
          <w:rFonts w:hint="eastAsia" w:ascii="宋体" w:hAnsi="宋体" w:cs="宋体"/>
          <w:szCs w:val="21"/>
          <w:u w:val="single"/>
        </w:rPr>
        <w:t>由承包人承担。</w:t>
      </w:r>
    </w:p>
    <w:p w14:paraId="63A4AF6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8.6样品</w:t>
      </w:r>
    </w:p>
    <w:p w14:paraId="71F10E7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8.6.1样品的报送与封存</w:t>
      </w:r>
    </w:p>
    <w:p w14:paraId="67271E3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需要承包人报送样品的材料或工程设备，样品的种类、名称、规格、数量要求：</w:t>
      </w:r>
      <w:r>
        <w:rPr>
          <w:rFonts w:hint="eastAsia" w:ascii="宋体" w:hAnsi="宋体" w:cs="宋体"/>
          <w:szCs w:val="21"/>
          <w:u w:val="single"/>
        </w:rPr>
        <w:t>以现场发包人指令或监理指令为准。</w:t>
      </w:r>
    </w:p>
    <w:p w14:paraId="7844136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8.8施工设备和临时设施</w:t>
      </w:r>
    </w:p>
    <w:p w14:paraId="29DB233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8.8.1承包人提供的施工设备和临时设施</w:t>
      </w:r>
    </w:p>
    <w:p w14:paraId="5C43F86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关于修建临时设施费用承担的约定：</w:t>
      </w:r>
      <w:r>
        <w:rPr>
          <w:rFonts w:hint="eastAsia" w:ascii="宋体" w:hAnsi="宋体" w:cs="宋体"/>
          <w:szCs w:val="21"/>
          <w:u w:val="single"/>
        </w:rPr>
        <w:t>由承包人承担，已包含在合同价内。</w:t>
      </w:r>
    </w:p>
    <w:p w14:paraId="73FA531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9.试验与检验</w:t>
      </w:r>
    </w:p>
    <w:p w14:paraId="17B4005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9.1试验设备与试验人员</w:t>
      </w:r>
    </w:p>
    <w:p w14:paraId="64CF25B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9.1.2试验设备</w:t>
      </w:r>
    </w:p>
    <w:p w14:paraId="0273E08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施工现场需要配置的试验场所：</w:t>
      </w:r>
      <w:r>
        <w:rPr>
          <w:rFonts w:hint="eastAsia" w:ascii="宋体" w:hAnsi="宋体" w:cs="宋体"/>
          <w:szCs w:val="21"/>
          <w:u w:val="single"/>
        </w:rPr>
        <w:t>符合相应试验规程的要求。</w:t>
      </w:r>
    </w:p>
    <w:p w14:paraId="20201DF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施工现场需要配备的试验设备：</w:t>
      </w:r>
      <w:r>
        <w:rPr>
          <w:rFonts w:hint="eastAsia" w:ascii="宋体" w:hAnsi="宋体" w:cs="宋体"/>
          <w:szCs w:val="21"/>
          <w:u w:val="single"/>
        </w:rPr>
        <w:t>为保证本工程达到约定质量标准所必需的试验设备。</w:t>
      </w:r>
    </w:p>
    <w:p w14:paraId="1DED056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施工现场需要具备的其他试验条件：</w:t>
      </w:r>
      <w:r>
        <w:rPr>
          <w:rFonts w:hint="eastAsia" w:ascii="宋体" w:hAnsi="宋体" w:cs="宋体"/>
          <w:szCs w:val="21"/>
          <w:u w:val="single"/>
        </w:rPr>
        <w:t>符合相应试验规程的要求。</w:t>
      </w:r>
    </w:p>
    <w:p w14:paraId="3E8FDF2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9.4现场工艺试验</w:t>
      </w:r>
    </w:p>
    <w:p w14:paraId="6C4C72C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现场工艺试验的有关约定：</w:t>
      </w:r>
      <w:r>
        <w:rPr>
          <w:rFonts w:hint="eastAsia" w:ascii="宋体" w:hAnsi="宋体" w:cs="宋体"/>
          <w:szCs w:val="21"/>
          <w:u w:val="single"/>
        </w:rPr>
        <w:t>符合发包人或监理人现场要求。</w:t>
      </w:r>
    </w:p>
    <w:p w14:paraId="4448561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10.变更</w:t>
      </w:r>
    </w:p>
    <w:p w14:paraId="5AB564D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10.1变更的范围</w:t>
      </w:r>
    </w:p>
    <w:p w14:paraId="53C5AA5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关于变更的范围的约定：</w:t>
      </w:r>
    </w:p>
    <w:p w14:paraId="1CB9CC0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a、以下情况允许进行合同价款变更</w:t>
      </w:r>
    </w:p>
    <w:p w14:paraId="015E1385">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（1）发包人、监理方、承包人及设计方四方均认可的工程设计变更；</w:t>
      </w:r>
    </w:p>
    <w:p w14:paraId="66B2B84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（2）工程量签证需发包人、监理方、承包人、三方均认可；</w:t>
      </w:r>
    </w:p>
    <w:p w14:paraId="7D7E2BB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3）有效工程变更签证的认定原则：签证单上必须有发包人代表、监理工程师、承包人（项目部）、三方的签字和盖章，方可作为竣工结算的依据；签证单上必须明确签证的原因、位置、尺寸、数量、材料、人工、机械台班、价格等和签证时间。</w:t>
      </w:r>
    </w:p>
    <w:p w14:paraId="5382956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（4）政策性调整。（合同约定除外）</w:t>
      </w:r>
    </w:p>
    <w:p w14:paraId="38C17FF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5）承包人不得随意更改设计，因承包人自身原因导致的工程变更，承包人无权要求追加合同价款；造成发包人损失的，发包人有权要求其承担赔偿责任并承担违约责任。经过发包人同意的变更内容，承包人须无条件接受，所需发生造价的变更，承包人必须在变更发出后7天以内向监理和发包人驻现场代表以书面的形式提出，并须得到发包人和监理的书面确认，否则视为不需变更造价。</w:t>
      </w:r>
    </w:p>
    <w:p w14:paraId="18AA9EB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b、关于临时用工的签证事项，双方应在签证通知单上协商确定以下问题：工作内容及工作量、工作时间、工作人数、取定的人工单价（综合单价，已含管理费和利润）；</w:t>
      </w:r>
    </w:p>
    <w:p w14:paraId="2D072D8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c、当变更的工作内容完成之后，承包人要及时督促监理人员、发包人工地代表签字确认，对于隐蔽工程的签证，必须在覆盖前完成验收手续、工程量的确认和费用的报送，否则发包人可以不予支付；对于其他签证，承包人要及时督促监理人员、发包人工地代表必须在完工后10日内签字确认；所有变更签证对未能及时报送，事后补报的发包人一律不予认可。</w:t>
      </w:r>
    </w:p>
    <w:p w14:paraId="1A35704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10.4变更估价</w:t>
      </w:r>
    </w:p>
    <w:p w14:paraId="1F70604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10.4.1变更估价原则</w:t>
      </w:r>
    </w:p>
    <w:p w14:paraId="391D2E0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关于变更估价的约定：</w:t>
      </w:r>
    </w:p>
    <w:p w14:paraId="43D95D5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1）已标价工程量清单有相同项目的，变更量在15%以内的,按照相同项目单价认定。变更导致实际完成的变更工程量与已标价工程量清单中列明的该项目工程量的变化幅度超过15%的，按以下方式调整：变动在15%以内的按照投标单价；增加超出15%以外部分的，单价下浮5%；减少超出15%以外部分的，单价不作调整；</w:t>
      </w:r>
    </w:p>
    <w:p w14:paraId="27F076A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（2）已标价工程量清单中无相同项目，但有类似项目的，可在合理范围内参照类似子目的单价，参照投标报价水平重新组价；</w:t>
      </w:r>
    </w:p>
    <w:p w14:paraId="0F4269C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3）已标价工程量清单中没有适用也没有类似于变更工程项目的，由承包人根据变更工程资料（施工图变更文件和项目监理人批复的工程变更施工方案）、计量规则和计价办法、南京工程造价管理的信息价格（变更当月）和承包人报价浮动率提出变更工程项目的单价，报发包人及项目造价咨询单位确认后调整乘以（1-承包人报价浮动率L）为结算综合单价。承包人报价浮动率按下列公式计算：</w:t>
      </w:r>
    </w:p>
    <w:p w14:paraId="3C9D0F8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承包人报价浮动率L=[1-（中标价/招标控制价）]×100%；</w:t>
      </w:r>
    </w:p>
    <w:p w14:paraId="2D8519A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（4）对于按照（1）、（2）条的综合单价变更合同价款的，其综合单价如在投标报价时采用了不平衡报价，且超过正常报价+10%的综合单价按上述变更方法执行。</w:t>
      </w:r>
    </w:p>
    <w:p w14:paraId="3FB304F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10.5承包人的合理化建议</w:t>
      </w:r>
    </w:p>
    <w:p w14:paraId="169B6F8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监理人审查承包人合理化建议的期限：</w:t>
      </w:r>
      <w:r>
        <w:rPr>
          <w:rFonts w:hint="eastAsia" w:ascii="宋体" w:hAnsi="宋体" w:cs="宋体"/>
          <w:szCs w:val="21"/>
          <w:u w:val="single"/>
        </w:rPr>
        <w:t>收到承包人提交的合理化建议后7天内审查完毕。</w:t>
      </w:r>
    </w:p>
    <w:p w14:paraId="4F0C1AF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发包人审批承包人合理化建议的期限：</w:t>
      </w:r>
      <w:r>
        <w:rPr>
          <w:rFonts w:hint="eastAsia" w:ascii="宋体" w:hAnsi="宋体" w:cs="宋体"/>
          <w:szCs w:val="21"/>
          <w:u w:val="single"/>
        </w:rPr>
        <w:t>收到监理人报送的合理化建议后7天内审批完毕。</w:t>
      </w:r>
    </w:p>
    <w:p w14:paraId="42794EA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承包人提出的合理化建议降低了合同价格或者提高了工程经济效益的奖励的方法和金额为：</w:t>
      </w:r>
      <w:r>
        <w:rPr>
          <w:rFonts w:hint="eastAsia" w:ascii="宋体" w:hAnsi="宋体" w:cs="宋体"/>
          <w:szCs w:val="21"/>
          <w:u w:val="single"/>
        </w:rPr>
        <w:t>无。</w:t>
      </w:r>
    </w:p>
    <w:p w14:paraId="715C357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10.7暂估价</w:t>
      </w:r>
    </w:p>
    <w:p w14:paraId="06BB747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暂估价材料和工程设备的明细详见附件11：</w:t>
      </w:r>
      <w:r>
        <w:rPr>
          <w:rFonts w:hint="eastAsia" w:ascii="宋体" w:hAnsi="宋体" w:cs="宋体"/>
          <w:szCs w:val="21"/>
          <w:u w:val="single"/>
        </w:rPr>
        <w:t>《暂估价一览表》。</w:t>
      </w:r>
    </w:p>
    <w:p w14:paraId="75C0C10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10.7.1依法必须招标的暂估价项目</w:t>
      </w:r>
    </w:p>
    <w:p w14:paraId="2EBBB61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对于依法必须招标的暂估价项目的确认和批准采取第</w:t>
      </w:r>
      <w:r>
        <w:rPr>
          <w:rFonts w:hint="eastAsia" w:ascii="宋体" w:hAnsi="宋体" w:cs="宋体"/>
          <w:szCs w:val="21"/>
          <w:u w:val="single"/>
        </w:rPr>
        <w:t>2</w:t>
      </w:r>
      <w:r>
        <w:rPr>
          <w:rFonts w:hint="eastAsia" w:ascii="宋体" w:hAnsi="宋体" w:cs="宋体"/>
          <w:szCs w:val="21"/>
        </w:rPr>
        <w:t>种方式确定。</w:t>
      </w:r>
    </w:p>
    <w:p w14:paraId="6A8CF82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第2种方式：</w:t>
      </w:r>
      <w:r>
        <w:rPr>
          <w:rFonts w:hint="eastAsia" w:ascii="宋体" w:hAnsi="宋体" w:cs="宋体"/>
          <w:szCs w:val="21"/>
          <w:u w:val="single"/>
        </w:rPr>
        <w:t>对于依法必须招标的暂估价项目，由发包人招标确定暂估价供应商或分包人，确定中标人后，由发包人、承包人与中标人共同签订暂估价合同。</w:t>
      </w:r>
    </w:p>
    <w:p w14:paraId="67BDD105">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10.7.2不属于依法必须招标的暂估价项目</w:t>
      </w:r>
    </w:p>
    <w:p w14:paraId="04EEB4F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对于不属于依法必须招标的暂估价项目的确认和批准采取第</w:t>
      </w:r>
      <w:r>
        <w:rPr>
          <w:rFonts w:hint="eastAsia" w:ascii="宋体" w:hAnsi="宋体" w:cs="宋体"/>
          <w:szCs w:val="21"/>
          <w:u w:val="single"/>
        </w:rPr>
        <w:t>3</w:t>
      </w:r>
      <w:r>
        <w:rPr>
          <w:rFonts w:hint="eastAsia" w:ascii="宋体" w:hAnsi="宋体" w:cs="宋体"/>
          <w:szCs w:val="21"/>
        </w:rPr>
        <w:t>种方式确定。</w:t>
      </w:r>
    </w:p>
    <w:p w14:paraId="4B43065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第3种方式：</w:t>
      </w:r>
      <w:r>
        <w:rPr>
          <w:rFonts w:hint="eastAsia" w:ascii="宋体" w:hAnsi="宋体" w:cs="宋体"/>
          <w:szCs w:val="21"/>
          <w:u w:val="single"/>
        </w:rPr>
        <w:t>如承包人不具备实施暂估价项目的资格和条件的，由发包人招标确定暂估价供应商或分包人。如承包人具备实施暂估价项目的资格和条件的，经发包人和承包人协商一致后，可由承包人自行实施暂估价项目。如协商不成，最终由发包人招标确定暂估价供应商或分包人。</w:t>
      </w:r>
    </w:p>
    <w:p w14:paraId="0D215D9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由承包人实施暂估价项目时，承包人应按照本合同相应条款的规定提出专业工程价款随直接实施书面申请报发包人审批，经发包人批准后以此为依据取代专业工程暂估价，调整合同价款。</w:t>
      </w:r>
    </w:p>
    <w:p w14:paraId="093FC40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10.8暂列金额</w:t>
      </w:r>
    </w:p>
    <w:p w14:paraId="02C69D3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合同当事人关于暂列金额使用的约定：</w:t>
      </w:r>
      <w:r>
        <w:rPr>
          <w:rFonts w:hint="eastAsia" w:ascii="宋体" w:hAnsi="宋体" w:cs="宋体"/>
          <w:szCs w:val="21"/>
          <w:u w:val="single"/>
        </w:rPr>
        <w:t>经发包人同意后，方可使用。在用于各项价款调整、索赔与现场签证后，若有余额，则余额全部归发包人。结算该余额时，该余额费用（含费税）执行怎么进怎么出的结算原则。</w:t>
      </w:r>
    </w:p>
    <w:p w14:paraId="294D04C5">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11.价格调整</w:t>
      </w:r>
    </w:p>
    <w:p w14:paraId="0E705D8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11.1市场价格波动引起的调整</w:t>
      </w:r>
    </w:p>
    <w:p w14:paraId="08CFB10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市场价格波动是否调整合同价格的约定：</w:t>
      </w:r>
      <w:r>
        <w:rPr>
          <w:rFonts w:hint="eastAsia" w:ascii="宋体" w:hAnsi="宋体" w:cs="宋体"/>
          <w:szCs w:val="21"/>
          <w:u w:val="single"/>
        </w:rPr>
        <w:t>调整。</w:t>
      </w:r>
    </w:p>
    <w:p w14:paraId="42B0160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因市场价格波动调整合同价格，采用以下第</w:t>
      </w:r>
      <w:r>
        <w:rPr>
          <w:rFonts w:hint="eastAsia" w:ascii="宋体" w:hAnsi="宋体" w:cs="宋体"/>
          <w:szCs w:val="21"/>
          <w:u w:val="single"/>
        </w:rPr>
        <w:t xml:space="preserve"> 2 </w:t>
      </w:r>
      <w:r>
        <w:rPr>
          <w:rFonts w:hint="eastAsia" w:ascii="宋体" w:hAnsi="宋体" w:cs="宋体"/>
          <w:szCs w:val="21"/>
        </w:rPr>
        <w:t>种方式对合同价格进行调整：</w:t>
      </w:r>
    </w:p>
    <w:p w14:paraId="1DC9C5C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第1种方式：</w:t>
      </w:r>
      <w:r>
        <w:rPr>
          <w:rFonts w:hint="eastAsia" w:ascii="宋体" w:hAnsi="宋体" w:cs="宋体"/>
          <w:szCs w:val="21"/>
          <w:u w:val="single"/>
        </w:rPr>
        <w:t>采用价格指数进行价格调整。</w:t>
      </w:r>
    </w:p>
    <w:p w14:paraId="00687E7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 xml:space="preserve">关于各可调因子、定值和变值权重，以及基本价格指数及其来源的约定： </w:t>
      </w:r>
      <w:r>
        <w:rPr>
          <w:rFonts w:hint="eastAsia" w:ascii="宋体" w:hAnsi="宋体" w:cs="宋体"/>
          <w:szCs w:val="21"/>
          <w:u w:val="single"/>
        </w:rPr>
        <w:t xml:space="preserve">不采用 </w:t>
      </w:r>
      <w:r>
        <w:rPr>
          <w:rFonts w:hint="eastAsia" w:ascii="宋体" w:hAnsi="宋体" w:cs="宋体"/>
          <w:szCs w:val="21"/>
        </w:rPr>
        <w:t>。</w:t>
      </w:r>
    </w:p>
    <w:p w14:paraId="10B5D39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第2种方式：</w:t>
      </w:r>
      <w:r>
        <w:rPr>
          <w:rFonts w:hint="eastAsia" w:ascii="宋体" w:hAnsi="宋体" w:cs="宋体"/>
          <w:szCs w:val="21"/>
          <w:u w:val="single"/>
        </w:rPr>
        <w:t>采用造价信息按第12.1条风险范围以外合同价格的调整方法进行价格调整。</w:t>
      </w:r>
    </w:p>
    <w:p w14:paraId="23E7016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关于基准价格的约定：</w:t>
      </w:r>
      <w:r>
        <w:rPr>
          <w:rFonts w:hint="eastAsia" w:ascii="宋体" w:hAnsi="宋体" w:cs="宋体"/>
          <w:szCs w:val="21"/>
          <w:u w:val="single"/>
        </w:rPr>
        <w:t>材料设备按合同基准期（投标截止日前28天）的当月南京市浦口区建设工程造价管理所发布的南京市浦口区地方材料及部分安装工程材料的预算指导价和南京市建设工程造价管理处与南京市工程造价管理协会共同发布的《南京工程造价管理》中的指导价，采用一般计税方法计算增值税的按扣除增值税可抵扣进项税额后的指导价格（简称“除税价格”）；人工、机械价格按合同基准期（投标截止日28天前）的江苏省、南京市的相关文件规定执行。</w:t>
      </w:r>
    </w:p>
    <w:p w14:paraId="5C6B0E5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第3种方式：其他价格调整方式：</w:t>
      </w:r>
      <w:r>
        <w:rPr>
          <w:rFonts w:hint="eastAsia" w:ascii="宋体" w:hAnsi="宋体" w:cs="宋体"/>
          <w:szCs w:val="21"/>
          <w:u w:val="single"/>
        </w:rPr>
        <w:t>不采用。</w:t>
      </w:r>
    </w:p>
    <w:p w14:paraId="3FF78DD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12.合同价格、计量与支付及审计费用的承担支付。</w:t>
      </w:r>
    </w:p>
    <w:p w14:paraId="03D282F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12.1合同价格形式</w:t>
      </w:r>
    </w:p>
    <w:p w14:paraId="06119C3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1、单价合同。</w:t>
      </w:r>
    </w:p>
    <w:p w14:paraId="58FFFBB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12.1.1.2综合单价包含的风险范围：</w:t>
      </w:r>
    </w:p>
    <w:p w14:paraId="7A88AFC4">
      <w:pPr>
        <w:pBdr>
          <w:top w:val="none" w:color="000000" w:sz="0" w:space="0"/>
          <w:left w:val="none" w:color="000000" w:sz="0" w:space="0"/>
          <w:bottom w:val="none" w:color="000000" w:sz="0" w:space="0"/>
          <w:right w:val="none" w:color="000000" w:sz="0" w:space="0"/>
        </w:pBdr>
        <w:tabs>
          <w:tab w:val="left" w:pos="397"/>
        </w:tabs>
        <w:spacing w:line="360" w:lineRule="auto"/>
        <w:ind w:firstLine="480"/>
        <w:rPr>
          <w:rFonts w:hint="eastAsia" w:ascii="宋体" w:hAnsi="宋体" w:cs="宋体"/>
          <w:szCs w:val="21"/>
        </w:rPr>
      </w:pPr>
      <w:r>
        <w:rPr>
          <w:rFonts w:hint="eastAsia" w:ascii="宋体" w:hAnsi="宋体" w:cs="宋体"/>
          <w:szCs w:val="21"/>
          <w:u w:val="single"/>
        </w:rPr>
        <w:t>A、对图纸、清单、现场条件的理解偏差及预测不足导致的报价失误及费用增加。</w:t>
      </w:r>
    </w:p>
    <w:p w14:paraId="5F617BC1">
      <w:pPr>
        <w:pBdr>
          <w:top w:val="none" w:color="000000" w:sz="0" w:space="0"/>
          <w:left w:val="none" w:color="000000" w:sz="0" w:space="0"/>
          <w:bottom w:val="none" w:color="000000" w:sz="0" w:space="0"/>
          <w:right w:val="none" w:color="000000" w:sz="0" w:space="0"/>
        </w:pBdr>
        <w:tabs>
          <w:tab w:val="left" w:pos="397"/>
        </w:tabs>
        <w:spacing w:line="360" w:lineRule="auto"/>
        <w:ind w:firstLine="480"/>
        <w:rPr>
          <w:rFonts w:hint="eastAsia" w:ascii="宋体" w:hAnsi="宋体" w:cs="宋体"/>
          <w:szCs w:val="21"/>
        </w:rPr>
      </w:pPr>
      <w:r>
        <w:rPr>
          <w:rFonts w:hint="eastAsia" w:ascii="宋体" w:hAnsi="宋体" w:cs="宋体"/>
          <w:szCs w:val="21"/>
          <w:u w:val="single"/>
        </w:rPr>
        <w:t>B、按合同工期完工所采取的赶工措施费。</w:t>
      </w:r>
    </w:p>
    <w:p w14:paraId="70DC3CC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C、承包人在实际施工中改变既定的施工组织、施工顺序、施工方法导致的费用增加风险（包括技术和其他措施费用）。</w:t>
      </w:r>
    </w:p>
    <w:p w14:paraId="42F2A5C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D、合同约定的其他由承包人承担的降效风险。措施项目费（除安全文明措施费及模板）、承包人原因引起的工期延误所造成的承包人费用增加的风险等风险均已包含在合同总价中，今后不作调整。</w:t>
      </w:r>
    </w:p>
    <w:p w14:paraId="512F987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承包人在投标报价时，要结合场地现场情况，充分考虑施工现场场地狭小等限制原因，对材料堆场、加工点及各类临时设施的搭建等进行合理布置，费用在合同总价中综合考虑，结算时与此相关项均不作调整。如需发包人协调，由此产生的相关协调费用亦由承包人支付。</w:t>
      </w:r>
    </w:p>
    <w:p w14:paraId="584B952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风险费用的计算方法：</w:t>
      </w:r>
      <w:r>
        <w:rPr>
          <w:rFonts w:hint="eastAsia" w:ascii="宋体" w:hAnsi="宋体" w:cs="宋体"/>
          <w:szCs w:val="21"/>
          <w:u w:val="single"/>
        </w:rPr>
        <w:t>已包含于签约合同价中，不予调整。</w:t>
      </w:r>
    </w:p>
    <w:p w14:paraId="48B8F0E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12.1.1.3风险范围以外合同价格的调整方法：</w:t>
      </w:r>
    </w:p>
    <w:p w14:paraId="3780A2F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工程设计变更、现场变更签证以及发包人另行委托施工的追加工程。必须经发包人、监理等有关各方共同签字确认，经确定后14天内由承包人按照投标报价和取费标准提出变更工程价款的报告，经发包人、监理在收到变更工程价款报告之日起14天内予以审核确认。在工程完工后，进行汇总结算。具体对设计变更、签证部分的结算办法双方约定如下；①）已标价工程量清单有相同项目的，变更量在15%以内的,按照相同项目单价认定。变更导致实际完成的变更工程量与已标价工程量清单中列明的该项目工程量的变化幅度超过15%的，按以下方式调整：变动在15%以内的按照投标单价；增加超出15%以外部分的，单价下浮5%；减少单价不作调整；②合同中有类似于变更工程价款的，可以参照此价格确定变更合同价款③合同中没有适用或类似于变更工程价格，具体计算方法依据江苏省计价表内人工、机械、材料的消耗量，人工、机械单价、管理费、利润依照承包人投标书相应单价或费率（如合同总价中人工、机械、材料的消耗量、管理费率、利润率有下浮比例的按投标下浮比例计算，如各部分下浮比例不一致时按投标报价时该分部的最低系数计算），材料单价按同期信息指导价，信息指导价没有的，由承包人提出相应单价，然后三方询价，最后按发包人、监理核定的价格计取。</w:t>
      </w:r>
    </w:p>
    <w:p w14:paraId="5C272A7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因市场价格波动调整合同价格，采用以下方式对合同价格进行调整：</w:t>
      </w:r>
    </w:p>
    <w:p w14:paraId="7D1A0D6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1、价格调整：因市场价格波动调整合同价格，采用以下方式：①投标文件承包人材料价格明细表已有的材料，根据承包人材料价格明细表所列的材料单价计算；②承包人材料价格明细表中没有的材料，由承包人呈报价格, 最终经监理审核、发包人批准后的价格为准。③如承包人材料价格明细表中已有的材料，在建设过程中因市场原因无法采购，而发生材料代用时，必须经监理和发包人同意后方可代用，并由承包人呈报价格，经监理审核、发包人批准后的价格为准，超出原材料价款的费用由承包人承担，节省的费用由发包人扣回。④因发包人原因造成材料代换时，除非该代换为工程所必须的，须由承包人呈报价格经设计、监理审核，发包人批准确定该材料价格，否则材料代换发生的价格变化不予调整。</w:t>
      </w:r>
    </w:p>
    <w:p w14:paraId="48B39AB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2、因承包人原因造成工期延误的，延误期间发生的材料价格上涨差额由承包人承担。</w:t>
      </w:r>
    </w:p>
    <w:p w14:paraId="58EB24F5">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3、人工工资的政策性调整予以调整，人工工资按《省住房和城乡建设厅关于发布2026年上半年建设工程人工价格指数的通知》[苏建函价〔2026〕27号]文件执行。</w:t>
      </w:r>
    </w:p>
    <w:p w14:paraId="5F72DD5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12.1.2总价合同。</w:t>
      </w:r>
    </w:p>
    <w:p w14:paraId="6C2629D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总价包含的风险范围：</w:t>
      </w:r>
      <w:r>
        <w:rPr>
          <w:rFonts w:hint="eastAsia" w:ascii="宋体" w:hAnsi="宋体" w:cs="宋体"/>
          <w:szCs w:val="21"/>
          <w:u w:val="single"/>
        </w:rPr>
        <w:t>/。</w:t>
      </w:r>
    </w:p>
    <w:p w14:paraId="02652BA5">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风险费用的计算方法：</w:t>
      </w:r>
      <w:r>
        <w:rPr>
          <w:rFonts w:hint="eastAsia" w:ascii="宋体" w:hAnsi="宋体" w:cs="宋体"/>
          <w:szCs w:val="21"/>
          <w:u w:val="single"/>
        </w:rPr>
        <w:t>/。</w:t>
      </w:r>
    </w:p>
    <w:p w14:paraId="1B8A7AF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风险范围以外合同价格的调整方法：</w:t>
      </w:r>
      <w:r>
        <w:rPr>
          <w:rFonts w:hint="eastAsia" w:ascii="宋体" w:hAnsi="宋体" w:cs="宋体"/>
          <w:szCs w:val="21"/>
          <w:u w:val="single"/>
        </w:rPr>
        <w:t>/。</w:t>
      </w:r>
    </w:p>
    <w:p w14:paraId="26B2882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3、其他价格方式：</w:t>
      </w:r>
      <w:r>
        <w:rPr>
          <w:rFonts w:hint="eastAsia" w:ascii="宋体" w:hAnsi="宋体" w:cs="宋体"/>
          <w:szCs w:val="21"/>
          <w:u w:val="single"/>
        </w:rPr>
        <w:t>/。</w:t>
      </w:r>
    </w:p>
    <w:p w14:paraId="527159F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12.2预付款</w:t>
      </w:r>
    </w:p>
    <w:p w14:paraId="42DF333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12.2.1预付款的支付</w:t>
      </w:r>
    </w:p>
    <w:p w14:paraId="377C6F8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预付款支付比例或金额：</w:t>
      </w:r>
      <w:r>
        <w:rPr>
          <w:rFonts w:hint="eastAsia" w:ascii="宋体" w:hAnsi="宋体" w:cs="宋体"/>
          <w:szCs w:val="21"/>
          <w:u w:val="single"/>
        </w:rPr>
        <w:t>/。</w:t>
      </w:r>
    </w:p>
    <w:p w14:paraId="5673FBB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预付款支付期限：</w:t>
      </w:r>
      <w:r>
        <w:rPr>
          <w:rFonts w:hint="eastAsia" w:ascii="宋体" w:hAnsi="宋体" w:cs="宋体"/>
          <w:szCs w:val="21"/>
          <w:u w:val="single"/>
        </w:rPr>
        <w:t>/</w:t>
      </w:r>
      <w:r>
        <w:rPr>
          <w:rFonts w:hint="eastAsia" w:ascii="宋体" w:hAnsi="宋体" w:cs="宋体"/>
          <w:szCs w:val="21"/>
        </w:rPr>
        <w:t>。</w:t>
      </w:r>
    </w:p>
    <w:p w14:paraId="6077653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预付款扣回的方式：</w:t>
      </w:r>
      <w:r>
        <w:rPr>
          <w:rFonts w:hint="eastAsia" w:ascii="宋体" w:hAnsi="宋体" w:cs="宋体"/>
          <w:szCs w:val="21"/>
          <w:u w:val="single"/>
        </w:rPr>
        <w:t>/</w:t>
      </w:r>
      <w:r>
        <w:rPr>
          <w:rFonts w:hint="eastAsia" w:ascii="宋体" w:hAnsi="宋体" w:cs="宋体"/>
          <w:szCs w:val="21"/>
        </w:rPr>
        <w:t>。</w:t>
      </w:r>
    </w:p>
    <w:p w14:paraId="3AA41E0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12.2.2预付款担保</w:t>
      </w:r>
    </w:p>
    <w:p w14:paraId="6DDC45F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承包人提交预付款担保的期限：</w:t>
      </w:r>
      <w:r>
        <w:rPr>
          <w:rFonts w:hint="eastAsia" w:ascii="宋体" w:hAnsi="宋体" w:cs="宋体"/>
          <w:szCs w:val="21"/>
          <w:u w:val="single"/>
        </w:rPr>
        <w:t xml:space="preserve">/ </w:t>
      </w:r>
      <w:r>
        <w:rPr>
          <w:rFonts w:hint="eastAsia" w:ascii="宋体" w:hAnsi="宋体" w:cs="宋体"/>
          <w:szCs w:val="21"/>
        </w:rPr>
        <w:t>。</w:t>
      </w:r>
    </w:p>
    <w:p w14:paraId="571F8BD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预付款担保的形式为：和预付款同等金额，</w:t>
      </w:r>
      <w:r>
        <w:rPr>
          <w:rFonts w:hint="eastAsia" w:ascii="宋体" w:hAnsi="宋体" w:cs="宋体"/>
          <w:szCs w:val="21"/>
          <w:u w:val="single"/>
        </w:rPr>
        <w:t>银行保函，保函有效期5个月。</w:t>
      </w:r>
    </w:p>
    <w:p w14:paraId="322997C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12.3计量</w:t>
      </w:r>
    </w:p>
    <w:p w14:paraId="2AC7FA6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12.3.1计量原则</w:t>
      </w:r>
    </w:p>
    <w:p w14:paraId="6E1DBC3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工程量计算规则：</w:t>
      </w:r>
      <w:r>
        <w:rPr>
          <w:rFonts w:hint="eastAsia" w:ascii="宋体" w:hAnsi="宋体" w:cs="宋体"/>
          <w:szCs w:val="21"/>
          <w:u w:val="single"/>
        </w:rPr>
        <w:t>按苏建价（2014）448号《省住房城乡建设厅关于〈建设工程工程量清单计价规范〉（GB50500-2013）及其9本工程量计算规范的贯彻意见》执行。</w:t>
      </w:r>
    </w:p>
    <w:p w14:paraId="3F05F1D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有下列情况之一者，不予计量与支付：</w:t>
      </w:r>
    </w:p>
    <w:p w14:paraId="4892527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(a)无开工报告或开工报告未经批准；</w:t>
      </w:r>
    </w:p>
    <w:p w14:paraId="2AB21AA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(b)无计量资料或计量资料不完整；</w:t>
      </w:r>
    </w:p>
    <w:p w14:paraId="39192AF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(c)因施工错误而增加的工程量；</w:t>
      </w:r>
    </w:p>
    <w:p w14:paraId="23B8265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(d)工程量计算不符合相关计算规则；</w:t>
      </w:r>
    </w:p>
    <w:p w14:paraId="74263AE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(e)措施项目超出投标报价措施项目费总额；</w:t>
      </w:r>
    </w:p>
    <w:p w14:paraId="1B169CF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(f)材料未按规定试验，或未被确认为合格；</w:t>
      </w:r>
    </w:p>
    <w:p w14:paraId="7EE95D0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(g)合同外项目费用未按发包人有关规定办理审批手续。</w:t>
      </w:r>
    </w:p>
    <w:p w14:paraId="5CF7A2D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12.3.2计量周期</w:t>
      </w:r>
    </w:p>
    <w:p w14:paraId="7E3D964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关于计量周期的约定：</w:t>
      </w:r>
      <w:r>
        <w:rPr>
          <w:rFonts w:hint="eastAsia" w:ascii="宋体" w:hAnsi="宋体" w:cs="宋体"/>
          <w:szCs w:val="21"/>
          <w:u w:val="single"/>
        </w:rPr>
        <w:t>按通用条款执行。</w:t>
      </w:r>
    </w:p>
    <w:p w14:paraId="1E3CE01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12.3.3单价合同的计量</w:t>
      </w:r>
    </w:p>
    <w:p w14:paraId="05579F8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关于单价合同计量的约定：</w:t>
      </w:r>
      <w:r>
        <w:rPr>
          <w:rFonts w:hint="eastAsia" w:ascii="宋体" w:hAnsi="宋体" w:cs="宋体"/>
          <w:szCs w:val="21"/>
          <w:u w:val="single"/>
        </w:rPr>
        <w:t>每月25日前提交本月（上月26日至本月25日，下同）已完工程量月产值报表（含计算明细）、已完工程进度月报表、下月施工进度计划月报表以及发包人合理要求承包人提交的其他报表，承包人应按时提交并对报表的准确性及完整性负责,否则发包人将有权不予支付本期工程进度款或推迟付款时间。</w:t>
      </w:r>
    </w:p>
    <w:p w14:paraId="39A9A2C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12.3.4总价合同的计量</w:t>
      </w:r>
    </w:p>
    <w:p w14:paraId="1532C65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关于总价合同计量的约定：</w:t>
      </w:r>
      <w:r>
        <w:rPr>
          <w:rFonts w:hint="eastAsia" w:ascii="宋体" w:hAnsi="宋体" w:cs="宋体"/>
          <w:szCs w:val="21"/>
          <w:u w:val="single"/>
        </w:rPr>
        <w:t>/</w:t>
      </w:r>
      <w:r>
        <w:rPr>
          <w:rFonts w:hint="eastAsia" w:ascii="宋体" w:hAnsi="宋体" w:cs="宋体"/>
          <w:szCs w:val="21"/>
        </w:rPr>
        <w:t>。</w:t>
      </w:r>
    </w:p>
    <w:p w14:paraId="069C9FE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12.3.5总价合同采用支付分解表计量支付的，是否适用第12.3.4项〔总价合同的计量〕约定进行计量：</w:t>
      </w:r>
      <w:r>
        <w:rPr>
          <w:rFonts w:hint="eastAsia" w:ascii="宋体" w:hAnsi="宋体" w:cs="宋体"/>
          <w:szCs w:val="21"/>
          <w:u w:val="single"/>
        </w:rPr>
        <w:t>/</w:t>
      </w:r>
      <w:r>
        <w:rPr>
          <w:rFonts w:hint="eastAsia" w:ascii="宋体" w:hAnsi="宋体" w:cs="宋体"/>
          <w:szCs w:val="21"/>
        </w:rPr>
        <w:t>。</w:t>
      </w:r>
    </w:p>
    <w:p w14:paraId="0FF79D3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12.3.6其他价格形式合同的计量</w:t>
      </w:r>
    </w:p>
    <w:p w14:paraId="7CC4F69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其他价格形式的计量方式和程序：</w:t>
      </w:r>
      <w:r>
        <w:rPr>
          <w:rFonts w:hint="eastAsia" w:ascii="宋体" w:hAnsi="宋体" w:cs="宋体"/>
          <w:szCs w:val="21"/>
          <w:u w:val="single"/>
        </w:rPr>
        <w:t>/</w:t>
      </w:r>
      <w:r>
        <w:rPr>
          <w:rFonts w:hint="eastAsia" w:ascii="宋体" w:hAnsi="宋体" w:cs="宋体"/>
          <w:szCs w:val="21"/>
        </w:rPr>
        <w:t>。</w:t>
      </w:r>
    </w:p>
    <w:p w14:paraId="01FE17C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12.4工程进度款支付</w:t>
      </w:r>
    </w:p>
    <w:p w14:paraId="3B01A71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12.4.1付款周期</w:t>
      </w:r>
    </w:p>
    <w:p w14:paraId="4B5414B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关于付款周期的约定：</w:t>
      </w:r>
    </w:p>
    <w:p w14:paraId="5118135A">
      <w:pPr>
        <w:pBdr>
          <w:top w:val="none" w:color="000000" w:sz="0" w:space="0"/>
          <w:left w:val="none" w:color="000000" w:sz="0" w:space="0"/>
          <w:bottom w:val="none" w:color="000000" w:sz="0" w:space="0"/>
          <w:right w:val="none" w:color="000000" w:sz="0" w:space="0"/>
        </w:pBdr>
        <w:spacing w:line="360" w:lineRule="auto"/>
        <w:ind w:left="-220" w:right="-220" w:firstLine="480"/>
        <w:rPr>
          <w:rFonts w:ascii="宋体" w:hAnsi="宋体" w:cs="宋体"/>
          <w:szCs w:val="21"/>
        </w:rPr>
      </w:pPr>
      <w:r>
        <w:rPr>
          <w:rFonts w:hint="eastAsia" w:ascii="宋体" w:hAnsi="宋体" w:cs="宋体"/>
          <w:szCs w:val="21"/>
        </w:rPr>
        <w:t>（1）合同签订后，发包人向承包人支付合同总价30%的预付款；</w:t>
      </w:r>
    </w:p>
    <w:p w14:paraId="75CDD6F1">
      <w:pPr>
        <w:pBdr>
          <w:top w:val="none" w:color="000000" w:sz="0" w:space="0"/>
          <w:left w:val="none" w:color="000000" w:sz="0" w:space="0"/>
          <w:bottom w:val="none" w:color="000000" w:sz="0" w:space="0"/>
          <w:right w:val="none" w:color="000000" w:sz="0" w:space="0"/>
        </w:pBdr>
        <w:spacing w:line="360" w:lineRule="auto"/>
        <w:ind w:left="-220" w:right="-220" w:firstLine="480"/>
        <w:rPr>
          <w:rFonts w:ascii="宋体" w:hAnsi="宋体" w:cs="宋体"/>
          <w:szCs w:val="21"/>
        </w:rPr>
      </w:pPr>
      <w:r>
        <w:rPr>
          <w:rFonts w:hint="eastAsia" w:ascii="宋体" w:hAnsi="宋体" w:cs="宋体"/>
          <w:szCs w:val="21"/>
        </w:rPr>
        <w:t>（2）工程完工验收合格待所有资料移交发包人后，付至合同总价（扣除暂列金及专业工程暂估价）的70%；</w:t>
      </w:r>
    </w:p>
    <w:p w14:paraId="06005BC7">
      <w:pPr>
        <w:pBdr>
          <w:top w:val="none" w:color="000000" w:sz="0" w:space="0"/>
          <w:left w:val="none" w:color="000000" w:sz="0" w:space="0"/>
          <w:bottom w:val="none" w:color="000000" w:sz="0" w:space="0"/>
          <w:right w:val="none" w:color="000000" w:sz="0" w:space="0"/>
        </w:pBdr>
        <w:spacing w:line="360" w:lineRule="auto"/>
        <w:ind w:left="-220" w:right="-220" w:firstLine="480"/>
        <w:rPr>
          <w:rFonts w:ascii="宋体" w:hAnsi="宋体" w:cs="宋体"/>
          <w:szCs w:val="21"/>
        </w:rPr>
      </w:pPr>
      <w:r>
        <w:rPr>
          <w:rFonts w:hint="eastAsia" w:ascii="宋体" w:hAnsi="宋体" w:cs="宋体"/>
          <w:szCs w:val="21"/>
        </w:rPr>
        <w:t>（3）承包人提供竣工结算报告及完整的结算资料，发包人组织结算及审计，审计完成后付至工程审定价款的97%；</w:t>
      </w:r>
    </w:p>
    <w:p w14:paraId="67709CD1">
      <w:pPr>
        <w:pBdr>
          <w:top w:val="none" w:color="000000" w:sz="0" w:space="0"/>
          <w:left w:val="none" w:color="000000" w:sz="0" w:space="0"/>
          <w:bottom w:val="none" w:color="000000" w:sz="0" w:space="0"/>
          <w:right w:val="none" w:color="000000" w:sz="0" w:space="0"/>
        </w:pBdr>
        <w:spacing w:line="360" w:lineRule="auto"/>
        <w:ind w:left="-220" w:right="-220" w:firstLine="480"/>
        <w:rPr>
          <w:rFonts w:ascii="宋体" w:hAnsi="宋体" w:cs="宋体"/>
          <w:szCs w:val="21"/>
        </w:rPr>
      </w:pPr>
      <w:r>
        <w:rPr>
          <w:rFonts w:hint="eastAsia" w:ascii="宋体" w:hAnsi="宋体" w:cs="宋体"/>
          <w:szCs w:val="21"/>
        </w:rPr>
        <w:t>（4）剩余3%，待质保期满后无息付清。</w:t>
      </w:r>
    </w:p>
    <w:p w14:paraId="72E4F3FA">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Cs w:val="21"/>
        </w:rPr>
      </w:pPr>
      <w:r>
        <w:rPr>
          <w:rFonts w:hint="eastAsia" w:ascii="宋体" w:hAnsi="宋体" w:cs="宋体"/>
          <w:szCs w:val="21"/>
        </w:rPr>
        <w:t>备注：每次付款前，承包人应提供当地税务部门认可的等额正规发票，否则发包人有权延期支付相应款项。</w:t>
      </w:r>
    </w:p>
    <w:p w14:paraId="7CFDCBC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12.4.2进度付款申请单的编制</w:t>
      </w:r>
    </w:p>
    <w:p w14:paraId="282B281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关于进度付款申请单编制的约定：</w:t>
      </w:r>
      <w:r>
        <w:rPr>
          <w:rFonts w:hint="eastAsia" w:ascii="宋体" w:hAnsi="宋体" w:cs="宋体"/>
          <w:szCs w:val="21"/>
          <w:u w:val="single"/>
        </w:rPr>
        <w:t>按通用条款执行。</w:t>
      </w:r>
    </w:p>
    <w:p w14:paraId="763E72C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12.4.3进度付款申请单的提交</w:t>
      </w:r>
    </w:p>
    <w:p w14:paraId="2B6ABB15">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（1）单价合同进度付款申请单提交的约定：</w:t>
      </w:r>
      <w:r>
        <w:rPr>
          <w:rFonts w:hint="eastAsia" w:ascii="宋体" w:hAnsi="宋体" w:cs="宋体"/>
          <w:szCs w:val="21"/>
          <w:u w:val="single"/>
        </w:rPr>
        <w:t>根据付款约定提交。</w:t>
      </w:r>
    </w:p>
    <w:p w14:paraId="7E998B8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（2）总价合同进度付款申请单提交的约定：</w:t>
      </w:r>
      <w:r>
        <w:rPr>
          <w:rFonts w:hint="eastAsia" w:ascii="宋体" w:hAnsi="宋体" w:cs="宋体"/>
          <w:szCs w:val="21"/>
          <w:u w:val="single"/>
        </w:rPr>
        <w:t>/。</w:t>
      </w:r>
    </w:p>
    <w:p w14:paraId="722DCEF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（3）其他价格形式合同进度付款申请单提交的约定：</w:t>
      </w:r>
      <w:r>
        <w:rPr>
          <w:rFonts w:hint="eastAsia" w:ascii="宋体" w:hAnsi="宋体" w:cs="宋体"/>
          <w:szCs w:val="21"/>
          <w:u w:val="single"/>
        </w:rPr>
        <w:t>/。</w:t>
      </w:r>
    </w:p>
    <w:p w14:paraId="4877AD5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12.4.4进度款审核和支付</w:t>
      </w:r>
    </w:p>
    <w:p w14:paraId="6ADBE70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（1）监理人审查并报送发包人的期限：</w:t>
      </w:r>
      <w:r>
        <w:rPr>
          <w:rFonts w:hint="eastAsia" w:ascii="宋体" w:hAnsi="宋体" w:cs="宋体"/>
          <w:szCs w:val="21"/>
          <w:u w:val="single"/>
        </w:rPr>
        <w:t>5个工作日内。</w:t>
      </w:r>
    </w:p>
    <w:p w14:paraId="4E06FE4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发包人完成审批并签发进度款支付证书的期限：</w:t>
      </w:r>
      <w:r>
        <w:rPr>
          <w:rFonts w:hint="eastAsia" w:ascii="宋体" w:hAnsi="宋体" w:cs="宋体"/>
          <w:szCs w:val="21"/>
          <w:u w:val="single"/>
        </w:rPr>
        <w:t>/。</w:t>
      </w:r>
    </w:p>
    <w:p w14:paraId="43A5E0A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（2）发包人支付进度款的期限：</w:t>
      </w:r>
      <w:r>
        <w:rPr>
          <w:rFonts w:hint="eastAsia" w:ascii="宋体" w:hAnsi="宋体" w:cs="宋体"/>
          <w:szCs w:val="21"/>
          <w:u w:val="single"/>
        </w:rPr>
        <w:t>/。</w:t>
      </w:r>
    </w:p>
    <w:p w14:paraId="5590481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发包人逾期支付进度款的违约金的计算方式：</w:t>
      </w:r>
      <w:r>
        <w:rPr>
          <w:rFonts w:hint="eastAsia" w:ascii="宋体" w:hAnsi="宋体" w:cs="宋体"/>
          <w:szCs w:val="21"/>
          <w:u w:val="single"/>
        </w:rPr>
        <w:t>/。</w:t>
      </w:r>
    </w:p>
    <w:p w14:paraId="3ADCB5B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12.4.6支付分解表的编制</w:t>
      </w:r>
    </w:p>
    <w:p w14:paraId="1FD95F1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2.总价合同支付分解表的编制与审批：</w:t>
      </w:r>
      <w:r>
        <w:rPr>
          <w:rFonts w:hint="eastAsia" w:ascii="宋体" w:hAnsi="宋体" w:cs="宋体"/>
          <w:szCs w:val="21"/>
          <w:u w:val="single"/>
        </w:rPr>
        <w:t>/。</w:t>
      </w:r>
    </w:p>
    <w:p w14:paraId="2B079FF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3.单价合同的总价项目支付分解表的编制与审批：</w:t>
      </w:r>
      <w:r>
        <w:rPr>
          <w:rFonts w:hint="eastAsia" w:ascii="宋体" w:hAnsi="宋体" w:cs="宋体"/>
          <w:szCs w:val="21"/>
          <w:u w:val="single"/>
        </w:rPr>
        <w:t>/。</w:t>
      </w:r>
    </w:p>
    <w:p w14:paraId="77D121D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 xml:space="preserve">12.5审计费用的承担与支付（按发包人工程建设项目审计办法有关规定合理分摊审计服务费）： </w:t>
      </w:r>
    </w:p>
    <w:p w14:paraId="1322A33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①审计费用按发包人工程建设项目审计办法有关规定合理分摊审计服务费，具体规定如下：</w:t>
      </w:r>
    </w:p>
    <w:p w14:paraId="6411C5E5">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a、单项工程核减率超过10%的，其审计费用全部由承包人承担，并由发包人从承包人工程款中扣除（下同）；</w:t>
      </w:r>
    </w:p>
    <w:p w14:paraId="1314057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b、单项工程核减率在8%-10%（含10%）之间的，其审计费用由发包人承担20%，承包人承担80%；</w:t>
      </w:r>
    </w:p>
    <w:p w14:paraId="21B525B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c、单项工程核减率在5%-8%（含8%）之间的，其审计费用由承包人承担20%，发包人承担80%；</w:t>
      </w:r>
    </w:p>
    <w:p w14:paraId="401FDD0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d、单项工程核减率在5%及其以下的，其审计费用由发包人承担；</w:t>
      </w:r>
    </w:p>
    <w:p w14:paraId="71DB2C4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e、非复审项目的核减率按照审计核减额/承包人申报的决算额*100%计算；</w:t>
      </w:r>
    </w:p>
    <w:p w14:paraId="5D4D519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f、复审项目的核减率按照（初审核减额+复审核减额）/承包人申报的决算额*100%计算；</w:t>
      </w:r>
    </w:p>
    <w:p w14:paraId="7EFA3A4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g、上述审计核减率的计算以及审计费用承担条款应写入发包人与承包人签订的有关合同中。</w:t>
      </w:r>
    </w:p>
    <w:p w14:paraId="5C58374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②复审项目应预留30%的初审费用作为审计质量保证金，待复审结束后符合支付条件的，再予以支付。</w:t>
      </w:r>
    </w:p>
    <w:p w14:paraId="6AD36CF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③委托社会中介机构实施工程结算初审的项目，按以下规则扣减审计质量保证金：</w:t>
      </w:r>
    </w:p>
    <w:p w14:paraId="1D9A0CC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a、复审核减率在1%以下（含1%）的，不扣除该初审中介机构的审计质量保证金；复审核减率在1%（不含1%）-2%（含2%）的，应扣除该初审中介机构审计质量保证金的1/3；</w:t>
      </w:r>
    </w:p>
    <w:p w14:paraId="2140CE5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b、复审核减率在2%（不含2%）-3%（含3%）的，应扣除该初审中介机构审计质量保证金的2/3；</w:t>
      </w:r>
    </w:p>
    <w:p w14:paraId="2CF5AA9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c、复审核减率在3%以上的，应扣除该初审中介机构的全部审计质量保证金；</w:t>
      </w:r>
    </w:p>
    <w:p w14:paraId="53D9E2F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d、复审核减率按复审核减额/承包人申报的决算额*100%计算；</w:t>
      </w:r>
    </w:p>
    <w:p w14:paraId="135C0B2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e、上述复审核减率的计算方式、预留审计质量保证金及其扣减规则应写入发包人与中介机构的审计服务合同中。</w:t>
      </w:r>
    </w:p>
    <w:p w14:paraId="331C5BF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13.验收和工程试车</w:t>
      </w:r>
    </w:p>
    <w:p w14:paraId="0F035F2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13.1分部分项工程验收</w:t>
      </w:r>
    </w:p>
    <w:p w14:paraId="0181D37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13.1.2监理人不能按时进行验收时，应提前</w:t>
      </w:r>
      <w:r>
        <w:rPr>
          <w:rFonts w:hint="eastAsia" w:ascii="宋体" w:hAnsi="宋体" w:cs="宋体"/>
          <w:szCs w:val="21"/>
          <w:u w:val="single"/>
        </w:rPr>
        <w:t>24</w:t>
      </w:r>
      <w:r>
        <w:rPr>
          <w:rFonts w:hint="eastAsia" w:ascii="宋体" w:hAnsi="宋体" w:cs="宋体"/>
          <w:szCs w:val="21"/>
        </w:rPr>
        <w:t>小时提交书面延期要求。</w:t>
      </w:r>
    </w:p>
    <w:p w14:paraId="1406527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关于延期最长不得超过：</w:t>
      </w:r>
      <w:r>
        <w:rPr>
          <w:rFonts w:hint="eastAsia" w:ascii="宋体" w:hAnsi="宋体" w:cs="宋体"/>
          <w:szCs w:val="21"/>
          <w:u w:val="single"/>
        </w:rPr>
        <w:t>48</w:t>
      </w:r>
      <w:r>
        <w:rPr>
          <w:rFonts w:hint="eastAsia" w:ascii="宋体" w:hAnsi="宋体" w:cs="宋体"/>
          <w:szCs w:val="21"/>
        </w:rPr>
        <w:t>小时。</w:t>
      </w:r>
    </w:p>
    <w:p w14:paraId="5BD6550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13.2竣工验收</w:t>
      </w:r>
    </w:p>
    <w:p w14:paraId="7EDED95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13.2.2竣工验收程序</w:t>
      </w:r>
    </w:p>
    <w:p w14:paraId="5FFC9D4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关于竣工验收程序的约定：</w:t>
      </w:r>
    </w:p>
    <w:p w14:paraId="39FCA61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p>
    <w:p w14:paraId="4362A74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（2）监理人审查后认为已具备竣工验收条件的，应将竣工验收申请报告提交发包人，发包人应在收到经监理人审核的竣工验收申请报告后28天内审批完毕并组织监理人、承包人、设计人等相关单位完成竣工验收。</w:t>
      </w:r>
    </w:p>
    <w:p w14:paraId="63E473C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（3）竣工验收合格的，发包人应在验收合格后14天内向承包人签发工程接收证书。发包人无正当理由逾期不颁发工程接收证书的，自验收合格后第15天起视为已颁发工程接收证书。</w:t>
      </w:r>
    </w:p>
    <w:p w14:paraId="0CFF7D6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p>
    <w:p w14:paraId="22B0B63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（5）本合同规定的竣工验收日期是指本合同约定工程承包内容全部完工，并通过发包人组织的竣工验收之日，承包内容中任何一项分部分项工程未完工或经发包人组织的验收评定不合格，均视为工期延误。</w:t>
      </w:r>
    </w:p>
    <w:p w14:paraId="5DAF6E3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发包人不按照本项约定组织竣工验收、颁发工程接收证书的违约金的计算方法：</w:t>
      </w:r>
      <w:r>
        <w:rPr>
          <w:rFonts w:hint="eastAsia" w:ascii="宋体" w:hAnsi="宋体" w:cs="宋体"/>
          <w:szCs w:val="21"/>
          <w:u w:val="single"/>
        </w:rPr>
        <w:t>无。</w:t>
      </w:r>
    </w:p>
    <w:p w14:paraId="5E508DB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13.2.5移交、接收全部与部分工程</w:t>
      </w:r>
    </w:p>
    <w:p w14:paraId="1B6C168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承包人向发包人移交工程的期限：</w:t>
      </w:r>
      <w:r>
        <w:rPr>
          <w:rFonts w:hint="eastAsia" w:ascii="宋体" w:hAnsi="宋体" w:cs="宋体"/>
          <w:szCs w:val="21"/>
          <w:u w:val="single"/>
        </w:rPr>
        <w:t>自竣工验收合格之日起20天内</w:t>
      </w:r>
      <w:r>
        <w:rPr>
          <w:rFonts w:hint="eastAsia" w:ascii="宋体" w:hAnsi="宋体" w:cs="宋体"/>
          <w:szCs w:val="21"/>
        </w:rPr>
        <w:t>。</w:t>
      </w:r>
    </w:p>
    <w:p w14:paraId="68FC268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发包人未按本合同约定接收全部或部分工程的，违约金的计算方法为：</w:t>
      </w:r>
      <w:r>
        <w:rPr>
          <w:rFonts w:hint="eastAsia" w:ascii="宋体" w:hAnsi="宋体" w:cs="宋体"/>
          <w:szCs w:val="21"/>
          <w:u w:val="single"/>
        </w:rPr>
        <w:t>按照中国人民银行发布的同期同类贷款基准利率支付违约金。</w:t>
      </w:r>
    </w:p>
    <w:p w14:paraId="74B94FF5">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承包人未按时移交工程的，违约金的计算方法为：</w:t>
      </w:r>
      <w:r>
        <w:rPr>
          <w:rFonts w:hint="eastAsia" w:ascii="宋体" w:hAnsi="宋体" w:cs="宋体"/>
          <w:szCs w:val="21"/>
          <w:u w:val="single"/>
        </w:rPr>
        <w:t>除不可抗力与发包人的原因外，工期不得拖延。若承包方原因造成工期延误，则由承包人以5000元/天的违约金向发包人支付，以合同总价的5%为限，此违约金并不能免除承包人应完成工程的责任或合同及法律规定的其他责任。如承包人累计延误工期达合同工期的30%，则发包人有权解除合同，并追究承包人的违约责任。</w:t>
      </w:r>
    </w:p>
    <w:p w14:paraId="581B6A8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13.3工程试车</w:t>
      </w:r>
    </w:p>
    <w:p w14:paraId="4C4E044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13.3.1试车程序</w:t>
      </w:r>
    </w:p>
    <w:p w14:paraId="3C9C06F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工程试车内容：</w:t>
      </w:r>
      <w:r>
        <w:rPr>
          <w:rFonts w:hint="eastAsia" w:ascii="宋体" w:hAnsi="宋体" w:cs="宋体"/>
          <w:szCs w:val="21"/>
          <w:u w:val="single"/>
        </w:rPr>
        <w:t>无。</w:t>
      </w:r>
    </w:p>
    <w:p w14:paraId="3258F3E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（1）单机无负荷试车费用由/承担；</w:t>
      </w:r>
    </w:p>
    <w:p w14:paraId="0D7B9BD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（2）无负荷联动试车费用由/承担。</w:t>
      </w:r>
    </w:p>
    <w:p w14:paraId="5478313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13.3.3投料试车</w:t>
      </w:r>
    </w:p>
    <w:p w14:paraId="7BD6E2E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关于投料试车相关事项的约定：</w:t>
      </w:r>
      <w:r>
        <w:rPr>
          <w:rFonts w:hint="eastAsia" w:ascii="宋体" w:hAnsi="宋体" w:cs="宋体"/>
          <w:szCs w:val="21"/>
          <w:u w:val="single"/>
        </w:rPr>
        <w:t>无。</w:t>
      </w:r>
    </w:p>
    <w:p w14:paraId="416B84E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13.6竣工退场</w:t>
      </w:r>
    </w:p>
    <w:p w14:paraId="4A6DFF6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13.6.1竣工退场</w:t>
      </w:r>
    </w:p>
    <w:p w14:paraId="36699BB5">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承包人完成竣工退场的期限：</w:t>
      </w:r>
      <w:r>
        <w:rPr>
          <w:rFonts w:hint="eastAsia" w:ascii="宋体" w:hAnsi="宋体" w:cs="宋体"/>
          <w:szCs w:val="21"/>
          <w:u w:val="single"/>
        </w:rPr>
        <w:t>自验收结束之日起20天内承包人将工程移交给发包人，撤出全部临建、施工人员、施工机械和剩余材料，并将施工现场及临时占地范围内的所有场地清理干净。</w:t>
      </w:r>
    </w:p>
    <w:p w14:paraId="18D1BD2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14.竣工结算</w:t>
      </w:r>
    </w:p>
    <w:p w14:paraId="6D82CC0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14.1竣工付款申请</w:t>
      </w:r>
    </w:p>
    <w:p w14:paraId="08B132F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承包人提交竣工结算的期限：</w:t>
      </w:r>
      <w:r>
        <w:rPr>
          <w:rFonts w:hint="eastAsia" w:ascii="宋体" w:hAnsi="宋体" w:cs="宋体"/>
          <w:szCs w:val="21"/>
          <w:u w:val="single"/>
        </w:rPr>
        <w:t>工程竣工验收合格且完成竣工验收备案后的28 天内，承包人必须将符合规范的完整的竣工结算资料递交给发包人。否则，由此造成发包人、监理人单位管理费用的增加，由承包人承担。</w:t>
      </w:r>
    </w:p>
    <w:p w14:paraId="121CF0A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承包人提交竣工付款申请单的期限：</w:t>
      </w:r>
      <w:r>
        <w:rPr>
          <w:rFonts w:hint="eastAsia" w:ascii="宋体" w:hAnsi="宋体" w:cs="宋体"/>
          <w:szCs w:val="21"/>
          <w:u w:val="single"/>
        </w:rPr>
        <w:t>结算审计结束后7日内</w:t>
      </w:r>
      <w:r>
        <w:rPr>
          <w:rFonts w:hint="eastAsia" w:ascii="宋体" w:hAnsi="宋体" w:cs="宋体"/>
          <w:szCs w:val="21"/>
        </w:rPr>
        <w:t>。</w:t>
      </w:r>
    </w:p>
    <w:p w14:paraId="7B7B321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竣工付款申请单应包括的内容：</w:t>
      </w:r>
      <w:r>
        <w:rPr>
          <w:rFonts w:hint="eastAsia" w:ascii="宋体" w:hAnsi="宋体" w:cs="宋体"/>
          <w:szCs w:val="21"/>
          <w:u w:val="single"/>
        </w:rPr>
        <w:t>/。</w:t>
      </w:r>
    </w:p>
    <w:p w14:paraId="0B6B8FC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14.2竣工结算审核</w:t>
      </w:r>
    </w:p>
    <w:p w14:paraId="2ADC06C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发包人审批竣工付款申请单的期限：</w:t>
      </w:r>
      <w:r>
        <w:rPr>
          <w:rFonts w:hint="eastAsia" w:ascii="宋体" w:hAnsi="宋体" w:cs="宋体"/>
          <w:szCs w:val="21"/>
          <w:u w:val="single"/>
        </w:rPr>
        <w:t>发包人、承包人对竣工结算审核审计结果无异议的，发包人应在双方签认后14天内，向承包人出具竣工付款证书。</w:t>
      </w:r>
    </w:p>
    <w:p w14:paraId="17A8829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发包人完成竣工付款的期限：</w:t>
      </w:r>
      <w:r>
        <w:rPr>
          <w:rFonts w:hint="eastAsia" w:ascii="宋体" w:hAnsi="宋体" w:cs="宋体"/>
          <w:szCs w:val="21"/>
          <w:u w:val="single"/>
        </w:rPr>
        <w:t>发包人应在签发竣工付款证书后的14天内，完成对承包人的竣工付款。发包人逾期支付的，按照中国人民银行发布的同期同类贷款基准利率支付违约金</w:t>
      </w:r>
      <w:r>
        <w:rPr>
          <w:rFonts w:hint="eastAsia" w:ascii="宋体" w:hAnsi="宋体" w:cs="宋体"/>
          <w:szCs w:val="21"/>
        </w:rPr>
        <w:t>。</w:t>
      </w:r>
    </w:p>
    <w:p w14:paraId="00E5455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关于竣工付款证书异议部分复核的方式和程序：</w:t>
      </w:r>
      <w:r>
        <w:rPr>
          <w:rFonts w:hint="eastAsia" w:ascii="宋体" w:hAnsi="宋体" w:cs="宋体"/>
          <w:szCs w:val="21"/>
          <w:u w:val="single"/>
        </w:rPr>
        <w:t>对于有异议部分应在收到发包人签认的竣工付款证书后7天内提出异议，并共同委托给第三方或建设工程造价管理部门鉴证，或按照第20条（争议解决）约定处理。</w:t>
      </w:r>
    </w:p>
    <w:p w14:paraId="152FCF7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14.4最终结清</w:t>
      </w:r>
    </w:p>
    <w:p w14:paraId="0EB02A8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14.4.1最终结清申请单</w:t>
      </w:r>
    </w:p>
    <w:p w14:paraId="4131733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承包人提交最终结清申请单的份数：</w:t>
      </w:r>
      <w:r>
        <w:rPr>
          <w:rFonts w:hint="eastAsia" w:ascii="宋体" w:hAnsi="宋体" w:cs="宋体"/>
          <w:szCs w:val="21"/>
          <w:u w:val="single"/>
        </w:rPr>
        <w:t>按发包人要求。</w:t>
      </w:r>
    </w:p>
    <w:p w14:paraId="77DAC9E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承包人提交最终结算申请单的期限：</w:t>
      </w:r>
      <w:r>
        <w:rPr>
          <w:rFonts w:hint="eastAsia" w:ascii="宋体" w:hAnsi="宋体" w:cs="宋体"/>
          <w:szCs w:val="21"/>
          <w:u w:val="single"/>
        </w:rPr>
        <w:t>按发包人要求。</w:t>
      </w:r>
    </w:p>
    <w:p w14:paraId="4CC7343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14.4.2最终结清证书和支付</w:t>
      </w:r>
    </w:p>
    <w:p w14:paraId="5BCB605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（1）发包人完成最终结清申请单的审批并颁发最终结清证书的期限：</w:t>
      </w:r>
      <w:r>
        <w:rPr>
          <w:rFonts w:hint="eastAsia" w:ascii="宋体" w:hAnsi="宋体" w:cs="宋体"/>
          <w:szCs w:val="21"/>
          <w:u w:val="single"/>
        </w:rPr>
        <w:t>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p>
    <w:p w14:paraId="49AF5B9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（2）发包人完成支付的期限：</w:t>
      </w:r>
      <w:r>
        <w:rPr>
          <w:rFonts w:hint="eastAsia" w:ascii="宋体" w:hAnsi="宋体" w:cs="宋体"/>
          <w:szCs w:val="21"/>
          <w:u w:val="single"/>
        </w:rPr>
        <w:t>发包人应在颁发最终结清证书后14天内完成支付。发包人逾期支付的，按照中国人民银行发布的同期同类贷款基准利率支付违约金。</w:t>
      </w:r>
    </w:p>
    <w:p w14:paraId="0D0A7FF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15.缺陷责任期与保修</w:t>
      </w:r>
    </w:p>
    <w:p w14:paraId="65E81EB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15.2缺陷责任期</w:t>
      </w:r>
    </w:p>
    <w:p w14:paraId="18FEAC5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缺陷责任期的具体期限：</w:t>
      </w:r>
      <w:r>
        <w:rPr>
          <w:rFonts w:hint="eastAsia" w:ascii="宋体" w:hAnsi="宋体" w:cs="宋体"/>
          <w:szCs w:val="21"/>
          <w:u w:val="single"/>
        </w:rPr>
        <w:t>工程竣工验收合格之日起24个月</w:t>
      </w:r>
      <w:r>
        <w:rPr>
          <w:rFonts w:hint="eastAsia" w:ascii="宋体" w:hAnsi="宋体" w:cs="宋体"/>
          <w:szCs w:val="21"/>
        </w:rPr>
        <w:t>。</w:t>
      </w:r>
    </w:p>
    <w:p w14:paraId="3339197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15.3质量保证金</w:t>
      </w:r>
    </w:p>
    <w:p w14:paraId="7671DCD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关于是否扣留质量保证金的约定：</w:t>
      </w:r>
      <w:r>
        <w:rPr>
          <w:rFonts w:hint="eastAsia" w:ascii="宋体" w:hAnsi="宋体" w:cs="宋体"/>
          <w:szCs w:val="21"/>
          <w:u w:val="single"/>
        </w:rPr>
        <w:t>扣留3%的工程款作为质量保证金</w:t>
      </w:r>
      <w:r>
        <w:rPr>
          <w:rFonts w:hint="eastAsia" w:ascii="宋体" w:hAnsi="宋体" w:cs="宋体"/>
          <w:szCs w:val="21"/>
        </w:rPr>
        <w:t>。</w:t>
      </w:r>
    </w:p>
    <w:p w14:paraId="4B4F4C1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15.3.1承包人提供质量保证金的方式</w:t>
      </w:r>
    </w:p>
    <w:p w14:paraId="746491E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质量保证金采用以下第</w:t>
      </w:r>
      <w:r>
        <w:rPr>
          <w:rFonts w:hint="eastAsia" w:ascii="宋体" w:hAnsi="宋体" w:cs="宋体"/>
          <w:szCs w:val="21"/>
          <w:u w:val="single"/>
        </w:rPr>
        <w:t>（2）</w:t>
      </w:r>
      <w:r>
        <w:rPr>
          <w:rFonts w:hint="eastAsia" w:ascii="宋体" w:hAnsi="宋体" w:cs="宋体"/>
          <w:szCs w:val="21"/>
        </w:rPr>
        <w:t>种方式：</w:t>
      </w:r>
    </w:p>
    <w:p w14:paraId="46DFE09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（1）质量保证金保函，保证金额为：</w:t>
      </w:r>
      <w:r>
        <w:rPr>
          <w:rFonts w:hint="eastAsia" w:ascii="宋体" w:hAnsi="宋体" w:cs="宋体"/>
          <w:szCs w:val="21"/>
          <w:u w:val="single"/>
        </w:rPr>
        <w:t>不采用</w:t>
      </w:r>
      <w:r>
        <w:rPr>
          <w:rFonts w:hint="eastAsia" w:ascii="宋体" w:hAnsi="宋体" w:cs="宋体"/>
          <w:szCs w:val="21"/>
        </w:rPr>
        <w:t xml:space="preserve">； </w:t>
      </w:r>
    </w:p>
    <w:p w14:paraId="59E3A91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（2）</w:t>
      </w:r>
      <w:r>
        <w:rPr>
          <w:rFonts w:hint="eastAsia" w:ascii="宋体" w:hAnsi="宋体" w:cs="宋体"/>
          <w:szCs w:val="21"/>
          <w:u w:val="single"/>
        </w:rPr>
        <w:t>3%</w:t>
      </w:r>
      <w:r>
        <w:rPr>
          <w:rFonts w:hint="eastAsia" w:ascii="宋体" w:hAnsi="宋体" w:cs="宋体"/>
          <w:szCs w:val="21"/>
        </w:rPr>
        <w:t>的工程款；</w:t>
      </w:r>
    </w:p>
    <w:p w14:paraId="1113C0A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（3）其他方式：</w:t>
      </w:r>
      <w:r>
        <w:rPr>
          <w:rFonts w:hint="eastAsia" w:ascii="宋体" w:hAnsi="宋体" w:cs="宋体"/>
          <w:szCs w:val="21"/>
          <w:u w:val="single"/>
        </w:rPr>
        <w:t>不采用</w:t>
      </w:r>
      <w:r>
        <w:rPr>
          <w:rFonts w:hint="eastAsia" w:ascii="宋体" w:hAnsi="宋体" w:cs="宋体"/>
          <w:szCs w:val="21"/>
        </w:rPr>
        <w:t>。</w:t>
      </w:r>
    </w:p>
    <w:p w14:paraId="296F78E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15.3.2质量保证金的扣留</w:t>
      </w:r>
    </w:p>
    <w:p w14:paraId="4AA4174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质量保证金的扣留采取以下第</w:t>
      </w:r>
      <w:r>
        <w:rPr>
          <w:rFonts w:hint="eastAsia" w:ascii="宋体" w:hAnsi="宋体" w:cs="宋体"/>
          <w:szCs w:val="21"/>
          <w:u w:val="single"/>
        </w:rPr>
        <w:t> 2</w:t>
      </w:r>
      <w:r>
        <w:rPr>
          <w:rFonts w:hint="eastAsia" w:ascii="宋体" w:hAnsi="宋体" w:cs="宋体"/>
          <w:szCs w:val="21"/>
        </w:rPr>
        <w:t>种方式：</w:t>
      </w:r>
    </w:p>
    <w:p w14:paraId="0D72A8C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（1）在支付工程进度款时逐次扣留，在此情形下，质量保证金的计算基数不包括预付款的支付、扣回以及价格调整的金额；</w:t>
      </w:r>
    </w:p>
    <w:p w14:paraId="0CC774D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（2）工程竣工结算时一次性扣留质量保证金；</w:t>
      </w:r>
    </w:p>
    <w:p w14:paraId="68CF637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（3）其他扣留方式；</w:t>
      </w:r>
    </w:p>
    <w:p w14:paraId="25A58E1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关于质量保证金的补充约定：</w:t>
      </w:r>
      <w:r>
        <w:rPr>
          <w:rFonts w:hint="eastAsia" w:ascii="宋体" w:hAnsi="宋体" w:cs="宋体"/>
          <w:szCs w:val="21"/>
          <w:u w:val="single"/>
        </w:rPr>
        <w:t>结算审计价款的3%余款作为质保金，质保期满后十五日付清（保修金不计利息，并扣除发包人自行维修的费用）。</w:t>
      </w:r>
    </w:p>
    <w:p w14:paraId="309CAEA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15.4保修</w:t>
      </w:r>
    </w:p>
    <w:p w14:paraId="700912D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15.4.1保修责任</w:t>
      </w:r>
    </w:p>
    <w:p w14:paraId="36A752B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工程保修期为：</w:t>
      </w:r>
      <w:r>
        <w:rPr>
          <w:rFonts w:hint="eastAsia" w:ascii="宋体" w:hAnsi="宋体" w:cs="宋体"/>
          <w:szCs w:val="21"/>
          <w:u w:val="single"/>
        </w:rPr>
        <w:t>本工程的质量保修期以工程竣工验收合格之日起计算，质量保修期限详见质量保修书。</w:t>
      </w:r>
    </w:p>
    <w:p w14:paraId="56A606D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15.4.3修复通知</w:t>
      </w:r>
    </w:p>
    <w:p w14:paraId="1DDDDEE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承包人收到保修通知并到达工程现场的合理时间：</w:t>
      </w:r>
      <w:r>
        <w:rPr>
          <w:rFonts w:hint="eastAsia" w:ascii="宋体" w:hAnsi="宋体" w:cs="宋体"/>
          <w:szCs w:val="21"/>
          <w:u w:val="single"/>
        </w:rPr>
        <w:t>承包人收到保修通知后24小时内到达工程现场。</w:t>
      </w:r>
    </w:p>
    <w:p w14:paraId="5145B51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16.违约</w:t>
      </w:r>
    </w:p>
    <w:p w14:paraId="4DA51C3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16.1发包人违约</w:t>
      </w:r>
    </w:p>
    <w:p w14:paraId="368026B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16.1.1发包人违约的情形</w:t>
      </w:r>
    </w:p>
    <w:p w14:paraId="5D4827A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发包人违约的其他情形：</w:t>
      </w:r>
      <w:r>
        <w:rPr>
          <w:rFonts w:hint="eastAsia" w:ascii="宋体" w:hAnsi="宋体" w:cs="宋体"/>
          <w:szCs w:val="21"/>
          <w:u w:val="single"/>
        </w:rPr>
        <w:t>无。</w:t>
      </w:r>
    </w:p>
    <w:p w14:paraId="225BA3E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16.1.2发包人违约的责任</w:t>
      </w:r>
    </w:p>
    <w:p w14:paraId="27E712B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发包人违约责任的承担方式和计算方法：</w:t>
      </w:r>
    </w:p>
    <w:p w14:paraId="3A95BA2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（1）因发包人原因未能在计划开工日期前7天内下达开工通知的违约责任：工期顺延。</w:t>
      </w:r>
    </w:p>
    <w:p w14:paraId="69A8688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（2）因发包人原因未能按合同约定支付合同价款的违约责任：无。</w:t>
      </w:r>
    </w:p>
    <w:p w14:paraId="6A92AA3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（3）发包人违反变更要求，自行实施被取消的工作或转由他人实施的违约责任：发包人不承担责任。</w:t>
      </w:r>
    </w:p>
    <w:p w14:paraId="7A9C307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（4）发包人提供的材料、工程设备的规格、数量或质量不符合合同约定，或因发包人原因导致交货日期延误或交货地点变更等情况的违约责任：双方协商。</w:t>
      </w:r>
    </w:p>
    <w:p w14:paraId="196AEA2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（5）因发包人违反合同约定造成暂停施工的违约责任：双方协商。</w:t>
      </w:r>
    </w:p>
    <w:p w14:paraId="74B153B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（6）发包人无正当理由没有在约定期限内发出复工指示，导致承包人无法复工的违约责任：双方协商。</w:t>
      </w:r>
    </w:p>
    <w:p w14:paraId="33A7D66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（7）其他：无。</w:t>
      </w:r>
    </w:p>
    <w:p w14:paraId="3F0A7B8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16.1.3因发包人违约解除合同</w:t>
      </w:r>
    </w:p>
    <w:p w14:paraId="1AD6F40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承包人按16.1.1项〔发包人违约的情形〕约定暂停施工满</w:t>
      </w:r>
      <w:r>
        <w:rPr>
          <w:rFonts w:hint="eastAsia" w:ascii="宋体" w:hAnsi="宋体" w:cs="宋体"/>
          <w:szCs w:val="21"/>
          <w:u w:val="single"/>
        </w:rPr>
        <w:t>28</w:t>
      </w:r>
      <w:r>
        <w:rPr>
          <w:rFonts w:hint="eastAsia" w:ascii="宋体" w:hAnsi="宋体" w:cs="宋体"/>
          <w:szCs w:val="21"/>
        </w:rPr>
        <w:t>天后发包人仍不纠正其违约行为并致使合同目的不能实现的，承包人有权解除合同。</w:t>
      </w:r>
    </w:p>
    <w:p w14:paraId="02B6769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16.2承包人违约</w:t>
      </w:r>
    </w:p>
    <w:p w14:paraId="0875C3E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16.2.1承包人违约的情形</w:t>
      </w:r>
    </w:p>
    <w:p w14:paraId="70EC484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承包人违约的其他情形：</w:t>
      </w:r>
    </w:p>
    <w:p w14:paraId="00F1276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1）承包人承包的工程质量必须符合国家质量验收标准及图纸要求，如不符合国家质量验收标准及图纸要求，承包人应在发包人限定的时间内整改到位，所发生的一切返工费用及由此给发包人造成的经济损失均由承包人承担，并按工程结算价款的20%支付违约金，发包人有权在结算工程款时直接扣除，此项赔偿并不能解除中标单位完成工程的责任及合同规定的其他责任。整改超过一个月仍达不到合同和设计要求，发包人有权单方面解除合同，承包人无权要求支付工程款，发包人已付的工程款承包人应无条件立即退还，已供设备和已完成工作归发包人所有。</w:t>
      </w:r>
    </w:p>
    <w:p w14:paraId="7E3E4D1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2）如因施工质量、施工管理、施工行为导致安全生产事故、消防事故、水电安全事故、人身伤亡等，由承包人承担包括损失赔偿在内的事故处理的一切费用、工程的恢复费用及因此而造成后续工程延误费用。在工序验收中，如复验仍不合格，除必须返工达标外，承包人按每项次2000元人民币向发包人支付违约金。在分项验收中，如复验仍不合格，除必须返工达标外，承包人按每项次3000-30000元人民币向发包人支付违约金。上述违约金发包人有权在结算工程款时直接扣除。</w:t>
      </w:r>
    </w:p>
    <w:p w14:paraId="576FC21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3）材料进场管理的违约责任：所有进入本项目工地的材料即为本工程使用的材料，承包人负有保管义务，因材料设备损坏或灭失而造成的损失，由承包人承担；承包方不得将其他项目的材料设备运入本项目现场，否则视为不合格材料进入现场；进入现场的材料设备，没有经过发包方同意，不得擅自运出现场；承包方须严格执行材料设备进场报验程序，没有经发包方和监理方验收的材料设备进入现场施工，发包方有权要求承包方无条件将该批材料设备退场，由此造成工期延误的，由承包人承担，并且发包人有权按违反监理程序要求承包人支付3000元/次违约金，该违约金发包人有权在结算工程款时直接扣除；承包人不按合同履行应承担的工作，对工程进展造成影响时，发包人有权自行或委托他人完成合同约定承包人该项工作，所产生的费用从承包人应得的款项中获得，不足部分由承包人偿付。</w:t>
      </w:r>
    </w:p>
    <w:p w14:paraId="154EF35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4）现场必须达到标准化现场的要求，按照安全文明措施费使用的范围进行实施，如没有达到相关要求，发包方有权安排其他单位代为行使相关义务、责任，有关费用按其他单位报价的1.2倍从工程结算款直接扣除，并且根据情节轻重，向发包方支付安全文明基本费1～5％支付违约金，该违约金发包人有权在结算工程款时直接扣除。</w:t>
      </w:r>
    </w:p>
    <w:p w14:paraId="2A475F7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5）双方约定的承包人其他违约责任：在施工期间承包人如发生重大质量和安全事故、消防事故、水电安全事故、人身伤亡事故的，承包人必须承担包括损失赔偿在内的事故处理的一切费用、工程的恢复费用及因此造成后续工程延期费用（承包人应按照10000元/天的标准向发包人支付违约金，该违约金发包人有权在结算工程款时直接扣除），发包人有权单方解除本合同并勒令承包人退场，或减少其承包内容，所造成的损失由承包人承担。</w:t>
      </w:r>
    </w:p>
    <w:p w14:paraId="03E68BE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非因发包人原因导致工程未按时竣工，承包人应向发包人支付违约金5000元/天。发包方可从承包方支付的任何款项中扣除此违约金,此违约金的支付并不能解除承包方完成工程的责任和合同规定的其他责任。</w:t>
      </w:r>
    </w:p>
    <w:p w14:paraId="6452D22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16.2.2承包人违约的责任</w:t>
      </w:r>
    </w:p>
    <w:p w14:paraId="476FFA1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承包人违约责任的承担方式和计算方法：</w:t>
      </w:r>
    </w:p>
    <w:p w14:paraId="01004E7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（1）因承包人原因导致技术文件（包括竣工图纸、签证等）未能按约定时间提交，每迟一天，发包人在支付给承包人的工程款内扣除1000元的违约金。同时并不解除承包人继续交付上述技术文件的义务。</w:t>
      </w:r>
    </w:p>
    <w:p w14:paraId="7DD18C3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2）若承包人擅自停工或单方面终止合同的执行或违约，造成合同无法履行，在本合同解除后，承包人必须在5天内无条件退场。承包人应承担由此而给发包方造成的一切损失，由此给发包人造成的损失及承包人应当支付的违约金及其他费用，发包人有权在结算工程款时予以扣除。</w:t>
      </w:r>
    </w:p>
    <w:p w14:paraId="35E6169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16.2.3因承包人违约解除合同</w:t>
      </w:r>
    </w:p>
    <w:p w14:paraId="54E944A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关于承包人违约解除合同的特别约定：</w:t>
      </w:r>
      <w:r>
        <w:rPr>
          <w:rFonts w:hint="eastAsia" w:ascii="宋体" w:hAnsi="宋体" w:cs="宋体"/>
          <w:szCs w:val="21"/>
          <w:u w:val="single"/>
        </w:rPr>
        <w:t>承包人存在招标过程中的违法行为和发包人认为承包人已不具备正常履约能力。</w:t>
      </w:r>
    </w:p>
    <w:p w14:paraId="7527410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承包人发生下列情况解除合同，履约保证金不予退还，承包人退场：</w:t>
      </w:r>
    </w:p>
    <w:p w14:paraId="7C411B7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（一）发生挂靠、擅自转包、擅自分包；</w:t>
      </w:r>
    </w:p>
    <w:p w14:paraId="4BC2B35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（二）施工任务、计划工期进度因承包人自身原因延误合同工期30%以上天数或发生重大质量安全事故的；</w:t>
      </w:r>
    </w:p>
    <w:p w14:paraId="11C99F8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（三）连续两个月以上不按法律、法规规定要求发放工人工资或因其造成工地工人群体上访恶性事件的（因被拖欠工程款引发的除外）；</w:t>
      </w:r>
    </w:p>
    <w:p w14:paraId="54E076E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（四）拒不履行投标承诺及合约职责与义务的。</w:t>
      </w:r>
    </w:p>
    <w:p w14:paraId="130FCBF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合同解除承包人退场后，发包人组织相关责任单位进行工程质量验收和工程造价清算，重新确定承包人，由此产生的费用超过原中标价部分由原承包人负责赔偿。同时承包人应向发包人支付合同总价30%的违约金。</w:t>
      </w:r>
    </w:p>
    <w:p w14:paraId="49E402F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发包人继续使用承包人在施工现场的材料、设备、临时工程、承包人文件和由承包人或以其名义编制的其他文件的费用承担方式：另行协商。</w:t>
      </w:r>
    </w:p>
    <w:p w14:paraId="0481A99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因承包人原因解除合同的，承包人应向发包人支付合同价30%的违约金。违约金不能完全赔偿发包人损失的，承包人应在支付违约金外，继续赔偿剩余损失。</w:t>
      </w:r>
    </w:p>
    <w:p w14:paraId="15580E3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17.不可抗力</w:t>
      </w:r>
    </w:p>
    <w:p w14:paraId="05EA762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17.1不可抗力的确认</w:t>
      </w:r>
    </w:p>
    <w:p w14:paraId="795B333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除通用合同条款约定的不可抗力事件之外，视为不可抗力的其他情形：</w:t>
      </w:r>
      <w:r>
        <w:rPr>
          <w:rFonts w:hint="eastAsia" w:ascii="宋体" w:hAnsi="宋体" w:cs="宋体"/>
          <w:szCs w:val="21"/>
          <w:u w:val="single"/>
        </w:rPr>
        <w:t>因国家、省、市政府政策调整或重大事件，或是发包人上级主管单位规划调整，发包人被动暂停或取消本工程的全部或部分工作内容。</w:t>
      </w:r>
    </w:p>
    <w:p w14:paraId="30C63A8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17.4因不可抗力解除合同</w:t>
      </w:r>
    </w:p>
    <w:p w14:paraId="164CB89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合同解除后，发包人应在商定或确定发包人应支付款项后</w:t>
      </w:r>
      <w:r>
        <w:rPr>
          <w:rFonts w:hint="eastAsia" w:ascii="宋体" w:hAnsi="宋体" w:cs="宋体"/>
          <w:szCs w:val="21"/>
          <w:u w:val="single"/>
        </w:rPr>
        <w:t>28</w:t>
      </w:r>
      <w:r>
        <w:rPr>
          <w:rFonts w:hint="eastAsia" w:ascii="宋体" w:hAnsi="宋体" w:cs="宋体"/>
          <w:szCs w:val="21"/>
        </w:rPr>
        <w:t>天内完成款项的支付。</w:t>
      </w:r>
    </w:p>
    <w:p w14:paraId="12505DB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18.保险</w:t>
      </w:r>
    </w:p>
    <w:p w14:paraId="5B23BC6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18.1工程保险</w:t>
      </w:r>
    </w:p>
    <w:p w14:paraId="388A2D8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关于工程保险的特别约定：</w:t>
      </w:r>
      <w:r>
        <w:rPr>
          <w:rFonts w:hint="eastAsia" w:ascii="宋体" w:hAnsi="宋体" w:cs="宋体"/>
          <w:szCs w:val="21"/>
          <w:u w:val="single"/>
        </w:rPr>
        <w:t>发包人委托承包人办理本项目的建筑工程一切险和第三者责任险。保险费包含在承包人报价中。承包人必须为其设备投保设备险、雇员（包括临时工和民工）投保人身意外事故险，此项保险的一切费用包含在所报的合同总价中，不单独计量与支付。</w:t>
      </w:r>
    </w:p>
    <w:p w14:paraId="0E9AF7B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承包人投保内容：</w:t>
      </w:r>
      <w:r>
        <w:rPr>
          <w:rFonts w:hint="eastAsia" w:ascii="宋体" w:hAnsi="宋体" w:cs="宋体"/>
          <w:szCs w:val="21"/>
          <w:u w:val="single"/>
        </w:rPr>
        <w:t>必须为施工场地内员工办理意外伤害保险，并缴纳保险费。</w:t>
      </w:r>
    </w:p>
    <w:p w14:paraId="568DE15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18.3其他保险</w:t>
      </w:r>
    </w:p>
    <w:p w14:paraId="16ABA57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关于其他保险的约定：</w:t>
      </w:r>
      <w:r>
        <w:rPr>
          <w:rFonts w:hint="eastAsia" w:ascii="宋体" w:hAnsi="宋体" w:cs="宋体"/>
          <w:szCs w:val="21"/>
          <w:u w:val="single"/>
        </w:rPr>
        <w:t>承包人必须按法律法规及省市政策、文件要求为该项目所有人员办理保险，包括工伤保险、施工现场从事危险作业的人员投保人身意外伤害险，以及自有机械机具的保险等，并及时支付保险费，承担保险责任。一旦发生上述保险范围内的事件，损失由承包人自行承担。承包人必须在工程开工前将保单提供给发包人或其委托的监理工程师核查和备案。</w:t>
      </w:r>
    </w:p>
    <w:p w14:paraId="24A0BE2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承包人是否应为其施工设备等办理财产保险：</w:t>
      </w:r>
      <w:r>
        <w:rPr>
          <w:rFonts w:hint="eastAsia" w:ascii="宋体" w:hAnsi="宋体" w:cs="宋体"/>
          <w:szCs w:val="21"/>
          <w:u w:val="single"/>
        </w:rPr>
        <w:t>是。</w:t>
      </w:r>
    </w:p>
    <w:p w14:paraId="04D1514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18.7通知义务</w:t>
      </w:r>
    </w:p>
    <w:p w14:paraId="1300B4D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关于变更保险合同时的通知义务的约定：</w:t>
      </w:r>
      <w:r>
        <w:rPr>
          <w:rFonts w:hint="eastAsia" w:ascii="宋体" w:hAnsi="宋体" w:cs="宋体"/>
          <w:szCs w:val="21"/>
          <w:u w:val="single"/>
        </w:rPr>
        <w:t>按通用条款执行。</w:t>
      </w:r>
    </w:p>
    <w:p w14:paraId="0342755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20.争议解决</w:t>
      </w:r>
    </w:p>
    <w:p w14:paraId="39B2B15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20.3争议评审</w:t>
      </w:r>
    </w:p>
    <w:p w14:paraId="2B1CCF4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合同当事人是否同意将工程争议提交争议评审小组决定：</w:t>
      </w:r>
      <w:r>
        <w:rPr>
          <w:rFonts w:hint="eastAsia" w:ascii="宋体" w:hAnsi="宋体" w:cs="宋体"/>
          <w:szCs w:val="21"/>
          <w:u w:val="single"/>
        </w:rPr>
        <w:t>不采用。</w:t>
      </w:r>
    </w:p>
    <w:p w14:paraId="2ED0C90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20.3.1争议评审小组的确定</w:t>
      </w:r>
    </w:p>
    <w:p w14:paraId="2277A92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争议评审小组成员的确定：</w:t>
      </w:r>
      <w:r>
        <w:rPr>
          <w:rFonts w:hint="eastAsia" w:ascii="宋体" w:hAnsi="宋体" w:cs="宋体"/>
          <w:szCs w:val="21"/>
          <w:u w:val="single"/>
        </w:rPr>
        <w:t>/。</w:t>
      </w:r>
    </w:p>
    <w:p w14:paraId="697A20C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选定争议评审员的期限：</w:t>
      </w:r>
      <w:r>
        <w:rPr>
          <w:rFonts w:hint="eastAsia" w:ascii="宋体" w:hAnsi="宋体" w:cs="宋体"/>
          <w:szCs w:val="21"/>
          <w:u w:val="single"/>
        </w:rPr>
        <w:t>/。</w:t>
      </w:r>
    </w:p>
    <w:p w14:paraId="0764A74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争议评审小组成员的报酬承担方式：</w:t>
      </w:r>
      <w:r>
        <w:rPr>
          <w:rFonts w:hint="eastAsia" w:ascii="宋体" w:hAnsi="宋体" w:cs="宋体"/>
          <w:szCs w:val="21"/>
          <w:u w:val="single"/>
        </w:rPr>
        <w:t>/。</w:t>
      </w:r>
    </w:p>
    <w:p w14:paraId="106A560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其他事项的约定：</w:t>
      </w:r>
      <w:r>
        <w:rPr>
          <w:rFonts w:hint="eastAsia" w:ascii="宋体" w:hAnsi="宋体" w:cs="宋体"/>
          <w:szCs w:val="21"/>
          <w:u w:val="single"/>
        </w:rPr>
        <w:t>/。</w:t>
      </w:r>
    </w:p>
    <w:p w14:paraId="701C2D4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20.3.2争议评审小组的决定</w:t>
      </w:r>
    </w:p>
    <w:p w14:paraId="70A6FD5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合同当事人关于本项的约定：</w:t>
      </w:r>
      <w:r>
        <w:rPr>
          <w:rFonts w:hint="eastAsia" w:ascii="宋体" w:hAnsi="宋体" w:cs="宋体"/>
          <w:szCs w:val="21"/>
          <w:u w:val="single"/>
        </w:rPr>
        <w:t>/。</w:t>
      </w:r>
    </w:p>
    <w:p w14:paraId="1E60394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20.4仲裁或诉讼</w:t>
      </w:r>
    </w:p>
    <w:p w14:paraId="1C5AC885">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因合同及合同有关事项发生的争议，按下列第</w:t>
      </w:r>
      <w:r>
        <w:rPr>
          <w:rFonts w:hint="eastAsia" w:ascii="宋体" w:hAnsi="宋体" w:cs="宋体"/>
          <w:szCs w:val="21"/>
          <w:u w:val="single"/>
        </w:rPr>
        <w:t>2</w:t>
      </w:r>
      <w:r>
        <w:rPr>
          <w:rFonts w:hint="eastAsia" w:ascii="宋体" w:hAnsi="宋体" w:cs="宋体"/>
          <w:szCs w:val="21"/>
        </w:rPr>
        <w:t>种方式解决：</w:t>
      </w:r>
    </w:p>
    <w:p w14:paraId="0B962D25">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（1）向</w:t>
      </w:r>
      <w:r>
        <w:rPr>
          <w:rFonts w:hint="eastAsia" w:ascii="宋体" w:hAnsi="宋体" w:cs="宋体"/>
          <w:szCs w:val="21"/>
          <w:u w:val="single"/>
        </w:rPr>
        <w:t>工程所在地</w:t>
      </w:r>
      <w:r>
        <w:rPr>
          <w:rFonts w:hint="eastAsia" w:ascii="宋体" w:hAnsi="宋体" w:cs="宋体"/>
          <w:szCs w:val="21"/>
        </w:rPr>
        <w:t>仲裁委员会申请仲裁；</w:t>
      </w:r>
    </w:p>
    <w:p w14:paraId="6833EA5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（2）向</w:t>
      </w:r>
      <w:r>
        <w:rPr>
          <w:rFonts w:hint="eastAsia" w:ascii="宋体" w:hAnsi="宋体" w:cs="宋体"/>
          <w:szCs w:val="21"/>
          <w:u w:val="single"/>
        </w:rPr>
        <w:t>工程所在地</w:t>
      </w:r>
      <w:r>
        <w:rPr>
          <w:rFonts w:hint="eastAsia" w:ascii="宋体" w:hAnsi="宋体" w:cs="宋体"/>
          <w:szCs w:val="21"/>
        </w:rPr>
        <w:t>人民法院起诉。</w:t>
      </w:r>
    </w:p>
    <w:p w14:paraId="4150EF1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21补充条款：</w:t>
      </w:r>
    </w:p>
    <w:p w14:paraId="07EEE30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1.施工单位完工后，要向相关的主管部门进行报验，并保证能通过相关部门的验收。</w:t>
      </w:r>
    </w:p>
    <w:p w14:paraId="706FDEF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2.凡是非设计变更及非发包人原因造成的施工条件的变更，施工方案和施工措施的修改而造成增加的费用由承包人承担。</w:t>
      </w:r>
    </w:p>
    <w:p w14:paraId="731E1D6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3.本次招标范围内由于设计图纸的误差而造成各单项工程、单位工程、各施工工种之间的施工交叉、矛盾等，承包人应在实施施工之前予以解决。凡实施施工之前未予解决而造成的返工，拆除部分的制作、安装、拆除及外运费用由承包人承担。</w:t>
      </w:r>
    </w:p>
    <w:p w14:paraId="6ABD0C2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4.任何图纸未明确工作量的项目，涉及工程造价变更和增项的确认要遵循“先批后建”的原则，必须得到发包人监理人和造价咨询人的书面确认后方可生效。</w:t>
      </w:r>
    </w:p>
    <w:p w14:paraId="052BC86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5.竣工验收前，承包人需提供完整的竣工验收资料，竣工验收后一个月内提供完整的竣工结算资料。审计费用的计取标准：按发包人审计部门要求确定。承包人提供的所有资料需满足工程备案要求。</w:t>
      </w:r>
    </w:p>
    <w:p w14:paraId="211F1C3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6.承包人应配合发包人监理人对本工程的监督、检查，按发包人要求及时报送有关资料和变更价款情况。</w:t>
      </w:r>
    </w:p>
    <w:p w14:paraId="3142106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7.如发生施工单位间的纠纷协调由各施工单位自行解决，发包人不承担任何连带责任。</w:t>
      </w:r>
    </w:p>
    <w:p w14:paraId="6750BA3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8.其他未尽事宜由双方协商解决。</w:t>
      </w:r>
    </w:p>
    <w:p w14:paraId="654426EB">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szCs w:val="21"/>
        </w:rPr>
      </w:pPr>
      <w:r>
        <w:rPr>
          <w:rFonts w:hint="eastAsia" w:ascii="宋体" w:hAnsi="宋体" w:cs="宋体"/>
          <w:szCs w:val="21"/>
        </w:rPr>
        <w:br w:type="page" w:clear="all"/>
      </w:r>
    </w:p>
    <w:p w14:paraId="55B5DE6E">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szCs w:val="21"/>
        </w:rPr>
      </w:pPr>
      <w:r>
        <w:rPr>
          <w:rFonts w:hint="eastAsia" w:ascii="宋体" w:hAnsi="宋体" w:cs="宋体"/>
          <w:szCs w:val="21"/>
        </w:rPr>
        <w:t>附件1：</w:t>
      </w:r>
    </w:p>
    <w:p w14:paraId="10298D9D">
      <w:pPr>
        <w:pBdr>
          <w:top w:val="none" w:color="000000" w:sz="0" w:space="0"/>
          <w:left w:val="none" w:color="000000" w:sz="0" w:space="0"/>
          <w:bottom w:val="none" w:color="000000" w:sz="0" w:space="0"/>
          <w:right w:val="none" w:color="000000" w:sz="0" w:space="0"/>
        </w:pBdr>
        <w:spacing w:line="360" w:lineRule="auto"/>
        <w:ind w:firstLine="643"/>
        <w:jc w:val="center"/>
        <w:rPr>
          <w:rFonts w:hint="eastAsia" w:ascii="宋体" w:hAnsi="宋体" w:cs="宋体"/>
          <w:szCs w:val="21"/>
        </w:rPr>
      </w:pPr>
      <w:r>
        <w:rPr>
          <w:rFonts w:hint="eastAsia" w:ascii="宋体" w:hAnsi="宋体" w:cs="宋体"/>
          <w:b/>
          <w:szCs w:val="21"/>
        </w:rPr>
        <w:t>工程质量保修书</w:t>
      </w:r>
    </w:p>
    <w:p w14:paraId="287E67B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发包人（全称）：江苏卫生健康职业学院</w:t>
      </w:r>
    </w:p>
    <w:p w14:paraId="41545C6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 xml:space="preserve">承包人（全称）： </w:t>
      </w:r>
    </w:p>
    <w:p w14:paraId="4BFE737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发包人和承包人根据《中华人民共和国建筑法》和《建设工程质量管理条例》，经协商一致就</w:t>
      </w:r>
      <w:r>
        <w:rPr>
          <w:rFonts w:hint="eastAsia" w:ascii="宋体" w:hAnsi="宋体" w:cs="宋体"/>
          <w:szCs w:val="21"/>
          <w:u w:val="single"/>
        </w:rPr>
        <w:t>江苏卫生健康职业学院图书馆校园书吧装修项目</w:t>
      </w:r>
      <w:r>
        <w:rPr>
          <w:rFonts w:hint="eastAsia" w:ascii="宋体" w:hAnsi="宋体" w:cs="宋体"/>
          <w:szCs w:val="21"/>
        </w:rPr>
        <w:t>签订工程质量保修书。</w:t>
      </w:r>
    </w:p>
    <w:p w14:paraId="402262AF">
      <w:pPr>
        <w:pBdr>
          <w:top w:val="none" w:color="000000" w:sz="0" w:space="0"/>
          <w:left w:val="none" w:color="000000" w:sz="0" w:space="0"/>
          <w:bottom w:val="none" w:color="000000" w:sz="0" w:space="0"/>
          <w:right w:val="none" w:color="000000" w:sz="0" w:space="0"/>
        </w:pBdr>
        <w:spacing w:line="360" w:lineRule="auto"/>
        <w:ind w:firstLine="482"/>
        <w:rPr>
          <w:rFonts w:hint="eastAsia" w:ascii="宋体" w:hAnsi="宋体" w:cs="宋体"/>
          <w:szCs w:val="21"/>
        </w:rPr>
      </w:pPr>
      <w:r>
        <w:rPr>
          <w:rFonts w:hint="eastAsia" w:ascii="宋体" w:hAnsi="宋体" w:cs="宋体"/>
          <w:b/>
          <w:szCs w:val="21"/>
        </w:rPr>
        <w:t>一、工程质量保修范围和内容</w:t>
      </w:r>
    </w:p>
    <w:p w14:paraId="699C148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承包人在质量保修期内，按照有关法律规定和合同约定，承担工程质量保修责任。</w:t>
      </w:r>
    </w:p>
    <w:p w14:paraId="4D0D48C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14:paraId="4029A5B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但凡非人为原因影响建设项目正常使用的情况均属保修内容</w:t>
      </w:r>
      <w:r>
        <w:rPr>
          <w:rFonts w:hint="eastAsia" w:ascii="宋体" w:hAnsi="宋体" w:cs="宋体"/>
          <w:szCs w:val="21"/>
        </w:rPr>
        <w:t>。</w:t>
      </w:r>
    </w:p>
    <w:p w14:paraId="7A01B590">
      <w:pPr>
        <w:pBdr>
          <w:top w:val="none" w:color="000000" w:sz="0" w:space="0"/>
          <w:left w:val="none" w:color="000000" w:sz="0" w:space="0"/>
          <w:bottom w:val="none" w:color="000000" w:sz="0" w:space="0"/>
          <w:right w:val="none" w:color="000000" w:sz="0" w:space="0"/>
        </w:pBdr>
        <w:spacing w:line="360" w:lineRule="auto"/>
        <w:ind w:firstLine="482"/>
        <w:rPr>
          <w:rFonts w:hint="eastAsia" w:ascii="宋体" w:hAnsi="宋体" w:cs="宋体"/>
          <w:szCs w:val="21"/>
        </w:rPr>
      </w:pPr>
      <w:r>
        <w:rPr>
          <w:rFonts w:hint="eastAsia" w:ascii="宋体" w:hAnsi="宋体" w:cs="宋体"/>
          <w:b/>
          <w:szCs w:val="21"/>
        </w:rPr>
        <w:t>二、质量保修期</w:t>
      </w:r>
    </w:p>
    <w:p w14:paraId="157548E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根据《建设工程质量管理条例》及有关规定，工程的质量保修期如下：</w:t>
      </w:r>
    </w:p>
    <w:p w14:paraId="5657A407">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Cs w:val="21"/>
        </w:rPr>
      </w:pPr>
      <w:r>
        <w:rPr>
          <w:rFonts w:hint="eastAsia" w:ascii="宋体" w:hAnsi="宋体" w:cs="宋体"/>
          <w:szCs w:val="21"/>
        </w:rPr>
        <w:t>（1）地基基础工程和主体结构工程为设计文件规定的工程合理使用年限；</w:t>
      </w:r>
    </w:p>
    <w:p w14:paraId="7AD203E9">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Cs w:val="21"/>
        </w:rPr>
      </w:pPr>
      <w:r>
        <w:rPr>
          <w:rFonts w:hint="eastAsia" w:ascii="宋体" w:hAnsi="宋体" w:cs="宋体"/>
          <w:szCs w:val="21"/>
        </w:rPr>
        <w:t>（2）屋面防水工程、有防水要求的卫生间、房间和外墙面的防渗为5年；</w:t>
      </w:r>
    </w:p>
    <w:p w14:paraId="616A120D">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Cs w:val="21"/>
        </w:rPr>
      </w:pPr>
      <w:r>
        <w:rPr>
          <w:rFonts w:hint="eastAsia" w:ascii="宋体" w:hAnsi="宋体" w:cs="宋体"/>
          <w:szCs w:val="21"/>
        </w:rPr>
        <w:t>（3）装修工程为2年；</w:t>
      </w:r>
    </w:p>
    <w:p w14:paraId="3B508C57">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Cs w:val="21"/>
        </w:rPr>
      </w:pPr>
      <w:r>
        <w:rPr>
          <w:rFonts w:hint="eastAsia" w:ascii="宋体" w:hAnsi="宋体" w:cs="宋体"/>
          <w:szCs w:val="21"/>
        </w:rPr>
        <w:t>（4）电气管线、给排水管道、设备安装工程为2年；</w:t>
      </w:r>
    </w:p>
    <w:p w14:paraId="2322FDC0">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Cs w:val="21"/>
        </w:rPr>
      </w:pPr>
      <w:r>
        <w:rPr>
          <w:rFonts w:hint="eastAsia" w:ascii="宋体" w:hAnsi="宋体" w:cs="宋体"/>
          <w:szCs w:val="21"/>
        </w:rPr>
        <w:t>（5）供热与供冷系统为2个采暖期、供冷期；</w:t>
      </w:r>
    </w:p>
    <w:p w14:paraId="0DC0EC7D">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Cs w:val="21"/>
        </w:rPr>
      </w:pPr>
      <w:r>
        <w:rPr>
          <w:rFonts w:hint="eastAsia" w:ascii="宋体" w:hAnsi="宋体" w:cs="宋体"/>
          <w:szCs w:val="21"/>
        </w:rPr>
        <w:t>（6）住宅小区内的给排水设施、道路等配套工程为2年；</w:t>
      </w:r>
    </w:p>
    <w:p w14:paraId="467C904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（7）其他项目保修期限约定如下：</w:t>
      </w:r>
    </w:p>
    <w:p w14:paraId="620B498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u w:val="single"/>
        </w:rPr>
        <w:t>本工程其他项目保修期为2年</w:t>
      </w:r>
      <w:r>
        <w:rPr>
          <w:rFonts w:hint="eastAsia" w:ascii="宋体" w:hAnsi="宋体" w:cs="宋体"/>
          <w:szCs w:val="21"/>
        </w:rPr>
        <w:t>。</w:t>
      </w:r>
    </w:p>
    <w:p w14:paraId="7B77FC1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质量保修期自工程竣工验收合格之日起计算。</w:t>
      </w:r>
    </w:p>
    <w:p w14:paraId="3E613F2A">
      <w:pPr>
        <w:pBdr>
          <w:top w:val="none" w:color="000000" w:sz="0" w:space="0"/>
          <w:left w:val="none" w:color="000000" w:sz="0" w:space="0"/>
          <w:bottom w:val="none" w:color="000000" w:sz="0" w:space="0"/>
          <w:right w:val="none" w:color="000000" w:sz="0" w:space="0"/>
        </w:pBdr>
        <w:spacing w:line="360" w:lineRule="auto"/>
        <w:ind w:firstLine="482"/>
        <w:rPr>
          <w:rFonts w:hint="eastAsia" w:ascii="宋体" w:hAnsi="宋体" w:cs="宋体"/>
          <w:szCs w:val="21"/>
        </w:rPr>
      </w:pPr>
      <w:r>
        <w:rPr>
          <w:rFonts w:hint="eastAsia" w:ascii="宋体" w:hAnsi="宋体" w:cs="宋体"/>
          <w:b/>
          <w:szCs w:val="21"/>
        </w:rPr>
        <w:t>三、缺陷责任期</w:t>
      </w:r>
    </w:p>
    <w:p w14:paraId="77A9A4C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工程缺陷责任期为24个月，缺陷责任期自工程通过竣工验收之日起计算。单位工程先于全部工程进行验收，单位工程缺陷责任期自单位工程验收合格之日起算。</w:t>
      </w:r>
    </w:p>
    <w:p w14:paraId="17BB1377">
      <w:pPr>
        <w:pBdr>
          <w:top w:val="none" w:color="000000" w:sz="0" w:space="0"/>
          <w:left w:val="none" w:color="000000" w:sz="0" w:space="0"/>
          <w:bottom w:val="none" w:color="000000" w:sz="0" w:space="0"/>
          <w:right w:val="none" w:color="000000" w:sz="0" w:space="0"/>
        </w:pBdr>
        <w:spacing w:line="360" w:lineRule="auto"/>
        <w:ind w:firstLine="482"/>
        <w:rPr>
          <w:rFonts w:hint="eastAsia" w:ascii="宋体" w:hAnsi="宋体" w:cs="宋体"/>
          <w:szCs w:val="21"/>
        </w:rPr>
      </w:pPr>
      <w:r>
        <w:rPr>
          <w:rFonts w:hint="eastAsia" w:ascii="宋体" w:hAnsi="宋体" w:cs="宋体"/>
          <w:b/>
          <w:szCs w:val="21"/>
        </w:rPr>
        <w:t>四、质量保修责任</w:t>
      </w:r>
    </w:p>
    <w:p w14:paraId="198AD86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1.属于保修范围、内容的项目，承包人应当在接到保修通知之日起2天内派人保修。承包人不在约定期限内派人保修的，发包人可以委托他人修理。</w:t>
      </w:r>
    </w:p>
    <w:p w14:paraId="47CC977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2.发生紧急事故需抢修的，承包人在接到事故通知后，应当立即到达事故现场抢修。</w:t>
      </w:r>
    </w:p>
    <w:p w14:paraId="2068ADA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3FB3DA0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4.质量保修完成后，由发包人组织验收。</w:t>
      </w:r>
    </w:p>
    <w:p w14:paraId="46853873">
      <w:pPr>
        <w:pBdr>
          <w:top w:val="none" w:color="000000" w:sz="0" w:space="0"/>
          <w:left w:val="none" w:color="000000" w:sz="0" w:space="0"/>
          <w:bottom w:val="none" w:color="000000" w:sz="0" w:space="0"/>
          <w:right w:val="none" w:color="000000" w:sz="0" w:space="0"/>
        </w:pBdr>
        <w:spacing w:line="360" w:lineRule="auto"/>
        <w:ind w:firstLine="482"/>
        <w:rPr>
          <w:rFonts w:hint="eastAsia" w:ascii="宋体" w:hAnsi="宋体" w:cs="宋体"/>
          <w:szCs w:val="21"/>
        </w:rPr>
      </w:pPr>
      <w:r>
        <w:rPr>
          <w:rFonts w:hint="eastAsia" w:ascii="宋体" w:hAnsi="宋体" w:cs="宋体"/>
          <w:b/>
          <w:szCs w:val="21"/>
        </w:rPr>
        <w:t>五、保修费用</w:t>
      </w:r>
    </w:p>
    <w:p w14:paraId="12A0B52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保修费用由造成质量缺陷的责任方承担。</w:t>
      </w:r>
    </w:p>
    <w:p w14:paraId="52513ECE">
      <w:pPr>
        <w:pBdr>
          <w:top w:val="none" w:color="000000" w:sz="0" w:space="0"/>
          <w:left w:val="none" w:color="000000" w:sz="0" w:space="0"/>
          <w:bottom w:val="none" w:color="000000" w:sz="0" w:space="0"/>
          <w:right w:val="none" w:color="000000" w:sz="0" w:space="0"/>
        </w:pBdr>
        <w:spacing w:line="360" w:lineRule="auto"/>
        <w:ind w:firstLine="482"/>
        <w:rPr>
          <w:rFonts w:hint="eastAsia" w:ascii="宋体" w:hAnsi="宋体" w:cs="宋体"/>
          <w:szCs w:val="21"/>
        </w:rPr>
      </w:pPr>
      <w:r>
        <w:rPr>
          <w:rFonts w:hint="eastAsia" w:ascii="宋体" w:hAnsi="宋体" w:cs="宋体"/>
          <w:b/>
          <w:szCs w:val="21"/>
        </w:rPr>
        <w:t>六、双方约定的其他工程质量保修事项</w:t>
      </w:r>
    </w:p>
    <w:p w14:paraId="1311644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1.发包人指定发包人现场代表负责协调保修具体事宜。</w:t>
      </w:r>
    </w:p>
    <w:p w14:paraId="506B5E3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2.本工程质量保修书，由施工合同发包人、承包人双方共同签署，作为施工合同附件，其有效期限至保修期满。</w:t>
      </w:r>
    </w:p>
    <w:p w14:paraId="1FBA74F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3.承包人上门维保人员须持证上岗，具备相关资质，持有相关有效证件；且承包人须为上门维保人员缴纳人身意外险，人身意外险保额应大于等于100万元，承包人须保证社保和人身意外险的真实性、有效性。</w:t>
      </w:r>
    </w:p>
    <w:p w14:paraId="6612EF7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4.本保修书经承、发包双方签章后生效，未尽事宜由双方另行签订补充条款进行约定。任何一方不得擅自变更或解除本保修书。</w:t>
      </w:r>
    </w:p>
    <w:p w14:paraId="7A0724B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5.工程质量保修书由发包人、承包人在工程竣工验收前共同签署，作为施工合同附件，其有效期限至保修期满。</w:t>
      </w:r>
    </w:p>
    <w:p w14:paraId="183691D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 </w:t>
      </w:r>
    </w:p>
    <w:p w14:paraId="40F34EB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 xml:space="preserve">发包人(公章)：江苏卫生健康职业学院    承包人(公章)： </w:t>
      </w:r>
    </w:p>
    <w:p w14:paraId="64D2A24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 xml:space="preserve">地址：  地址： </w:t>
      </w:r>
    </w:p>
    <w:p w14:paraId="0E6B5E9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法定代表人(签名)：                  法定代表人(签名)：</w:t>
      </w:r>
    </w:p>
    <w:p w14:paraId="2910556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委托代理人(签名)：                委托代理人(签名)：</w:t>
      </w:r>
    </w:p>
    <w:p w14:paraId="2B0D400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电话：                电话：</w:t>
      </w:r>
    </w:p>
    <w:p w14:paraId="3326C99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传真：                传真：</w:t>
      </w:r>
    </w:p>
    <w:p w14:paraId="40D3A11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开户银行：                 开户银行：</w:t>
      </w:r>
    </w:p>
    <w:p w14:paraId="2472CBF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账号：                  账号：</w:t>
      </w:r>
    </w:p>
    <w:p w14:paraId="7E2DEF4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邮政编码：               邮政编码：</w:t>
      </w:r>
    </w:p>
    <w:p w14:paraId="33E3490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 </w:t>
      </w:r>
    </w:p>
    <w:p w14:paraId="1FD5B759">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szCs w:val="21"/>
        </w:rPr>
      </w:pPr>
      <w:r>
        <w:rPr>
          <w:rFonts w:hint="eastAsia" w:ascii="宋体" w:hAnsi="宋体" w:cs="宋体"/>
          <w:szCs w:val="21"/>
        </w:rPr>
        <w:t> </w:t>
      </w:r>
    </w:p>
    <w:p w14:paraId="58E353FD">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szCs w:val="21"/>
        </w:rPr>
      </w:pPr>
      <w:r>
        <w:rPr>
          <w:rFonts w:hint="eastAsia" w:ascii="宋体" w:hAnsi="宋体" w:cs="宋体"/>
          <w:szCs w:val="21"/>
        </w:rPr>
        <w:t> </w:t>
      </w:r>
    </w:p>
    <w:p w14:paraId="0A8D95EC">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szCs w:val="21"/>
        </w:rPr>
      </w:pPr>
      <w:r>
        <w:rPr>
          <w:rFonts w:hint="eastAsia" w:ascii="宋体" w:hAnsi="宋体" w:cs="宋体"/>
          <w:szCs w:val="21"/>
        </w:rPr>
        <w:t> </w:t>
      </w:r>
    </w:p>
    <w:p w14:paraId="6725A002">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szCs w:val="21"/>
        </w:rPr>
      </w:pPr>
      <w:r>
        <w:rPr>
          <w:rFonts w:hint="eastAsia" w:ascii="宋体" w:hAnsi="宋体" w:cs="宋体"/>
          <w:szCs w:val="21"/>
        </w:rPr>
        <w:br w:type="page" w:clear="all"/>
      </w:r>
    </w:p>
    <w:p w14:paraId="3779A113">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szCs w:val="21"/>
        </w:rPr>
      </w:pPr>
      <w:r>
        <w:rPr>
          <w:rFonts w:hint="eastAsia" w:ascii="宋体" w:hAnsi="宋体" w:cs="宋体"/>
          <w:szCs w:val="21"/>
        </w:rPr>
        <w:t>附件2：</w:t>
      </w:r>
    </w:p>
    <w:p w14:paraId="3FCD75FF">
      <w:pPr>
        <w:pBdr>
          <w:top w:val="none" w:color="000000" w:sz="0" w:space="0"/>
          <w:left w:val="none" w:color="000000" w:sz="0" w:space="0"/>
          <w:bottom w:val="none" w:color="000000" w:sz="0" w:space="0"/>
          <w:right w:val="none" w:color="000000" w:sz="0" w:space="0"/>
        </w:pBdr>
        <w:spacing w:line="360" w:lineRule="auto"/>
        <w:jc w:val="center"/>
        <w:rPr>
          <w:rFonts w:hint="eastAsia" w:ascii="宋体" w:hAnsi="宋体" w:cs="宋体"/>
          <w:szCs w:val="21"/>
        </w:rPr>
      </w:pPr>
      <w:r>
        <w:rPr>
          <w:rFonts w:hint="eastAsia" w:ascii="宋体" w:hAnsi="宋体" w:cs="宋体"/>
          <w:b/>
          <w:szCs w:val="21"/>
        </w:rPr>
        <w:t>安全生产责任协议书</w:t>
      </w:r>
    </w:p>
    <w:p w14:paraId="3F90242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为落实安全生产的管理要求，确保工程建设的顺利进行，经甲乙双方共同协商，一致同意如下：</w:t>
      </w:r>
    </w:p>
    <w:p w14:paraId="0DF34A8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一、发包人在施工开始前向承包人提交必要的施工场地，明确承包人安全生产管理的责任区域和要求，承包人负责施工现场的安全管理工作，是施工现场的安全管理的责任单位。承包人必须建立安全生产保证体系，其相关文件报发包人备案。</w:t>
      </w:r>
    </w:p>
    <w:p w14:paraId="4C5FF91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二、发包人可以组织和督促承包人开展安全达标活动；及时传达和部署上级的有关安全生产精神和要求，定期听取承包人的意见和要求。加强安全生产的指导和协调。</w:t>
      </w:r>
    </w:p>
    <w:p w14:paraId="529E1F6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三、发包人有权组织对承包人安全规范作业、文明施工情况的检查，定期组织考核；对承包人及有关人员在安全生产工作中有突出贡献或成绩显著的集体、个人可以给予表彰和物资奖励。对承包人及有关人员发生的违章、违法行为和存在的问题以及在安全生产、文明施工等创优达标活动中不积极配合的，发包人有权进行教育、责成其限期整改。发包人有权按200—500元不等向承包人收取违约金（发包人有权从应付工程款项中扣除相应违约金金额）。对未按要求限期整改的或整改不力、情节严重并造成一定后果的，发包人有权按1000—2000元不等向承包人收取违约金（发包人有权从应付工程款项中扣除相应违约金金额）。</w:t>
      </w:r>
    </w:p>
    <w:p w14:paraId="10B580F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四、凡工地内发生生产事故或重大人员伤亡的，发包人派员参与劳动行政部门、司法机关调查处理。发包人可按其造成的后果及影响，对责任单以按责任违约给予一次性经济的处理。责任违约的经济处罚按照司法行政机关处理意见从工程款中扣除。事故造成的经济损失及因承包人责任给发包人造成的连带经济损失全部由承包人承担。</w:t>
      </w:r>
    </w:p>
    <w:p w14:paraId="3E6F42F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五、承包人要严格贯彻执行国家和本市颁发的有关安全生产的法律、法规，严格按照中华人民共和国建设部《关于印发&lt;2009年工程建设标准规范制订、修订计划&gt;的通知》（建标[2009]88号）要求修订后的《建筑施工安全检查标准》(编号JGJ59-2011)的要求加强内部安全管理，落实各项安全防护措施，确保工程建设中不发生重大伤亡事故。</w:t>
      </w:r>
    </w:p>
    <w:p w14:paraId="0A6D1D5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六、承包人要按照安全作业规范针对本工程项目的特点、性质、规模以及施工现场条件编制施工组织设计和施工方案，制定和组织落实各项的施工安全技术措施，并向全体施工人员进行安全技术交底。严格按照施工组织设计和有关安全要求施工。深基坑开挖必须按科技委审查批准的方案实施。</w:t>
      </w:r>
    </w:p>
    <w:p w14:paraId="762758C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七、乙方进入工地后应明确落实施工现场安全生产第一责任人。乙方应当根据住房城乡建设部2025年9月26日印发《建筑施工企业、工程项目安全生产管理机构设置及安全生产管理人员配备办法》（建质规〔2025〕3号）文件规定为本项目配备专职安全生产管理人员，且施工期间在岗履职人员数量应当满足下列要求：（一）建筑工程、装修工程项目按照建筑面积配备：1万平方米以下的项目不少于1人；1万～5万平方米的项目不少于2人；5万平方米以上的项目不少于3人，且每增加5万平方米，应当至少增加1名专职安全生产管理人员；（二）市政基础设施工程项目按照工程合同价款配备：5000万元以下的项目不少于1人；5000万～2亿元的项目不少于2人；2亿元以上的项目不少于3人，且每增加2亿元，应当至少增加1名专职安全生产管理人员；（三）在前款所述基础上，施工活动涉及建筑起重机械的，应当至少增加1名机械类专职安全生产管理人员。如本项目允许分包的，则乙方应当在分包合同中明确分包企业项目专职安全生产管理人员的配备要求，且人员数量应当至少满足下列要求：50人以下的，配备不少于1人；50人～200人的，配备不少于2人；200人以上的，配备不少于3人，且不得少于工程施工人员总人数的1%，并根据所承担的分部分项工程施工危险程度增加。城市桥梁、隧道、城市轨道交通工程以及采用新技术、新工艺、新材料、新设备或致害因素多、施工作业难度大、同时实施多项危险性较大的分部分项工程的项目，乙方应当根据施工实际情况，在以上规定的配备标准上增加项目专职安全生产管理人员的数量。乙方应当将配备的专职安全生产管理人员名单报甲方备案。乙方要建立健全安全生产保证体系，落实各级安全责任制，完善各项安全生产制度(包括奖惩制度)；按照“谁施工谁负责”的原则，负责单位内部和施工责任区域的安全生产管理工作。</w:t>
      </w:r>
    </w:p>
    <w:p w14:paraId="01A6E1D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八、承包人对施工人员及外聘人员的安全生产工作要纳入本单位统一管理的范围，明确要求，签订管理协议；要加强对全体施工人员安全作业、文明施工和自我保护的宣传教育；做好上岗前的安全培训，特殊工种作业人员必须做到持证上岗；进入本市施工的外省市特殊作业人员，还必须经本市有关特种作业考核站进行审证教育，禁止实习、学习人员现场作业。严格执行各种安全操作规程，确保施工安全。</w:t>
      </w:r>
    </w:p>
    <w:p w14:paraId="60CD634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九、承包人要按照“安全自查，隐患自改、责任自负”的原则加强对施工责任区的日常安全检查。及时制止和处理各类违章违法行为。对查获的隐患要及时落实整改措施，消除隐患。</w:t>
      </w:r>
    </w:p>
    <w:p w14:paraId="2FFDB8C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十、承包人应主动接受发包人在安全生产工作上的业务指导，检查和督促，服从管理；对发包人的工作布置和组织的活动要积极贯彻实施和参加。对发包人给予因责任违约的经济处理如有异议可要求复核。对发包人工作人员利用职权营私舞弊、有意刁难的违法行为，有权检举揭发，要求处理。</w:t>
      </w:r>
    </w:p>
    <w:p w14:paraId="4A24983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十一、承包人因疏于管理违章违法作业发生安全事故或造成人员伤亡的，应在积极抢救受伤人员、保护现场的同时，严格按安全事故上报的规定时限向发包人和当地劳动行政部门汇报，不得迟报瞒报。</w:t>
      </w:r>
    </w:p>
    <w:p w14:paraId="68C0940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十二、本协议中未涉及的有关条款，甲乙双方可根据需要协商补充修改。如遇有国家和本市的有关法规不符的，应按国家和本市的有关法规执行。</w:t>
      </w:r>
    </w:p>
    <w:p w14:paraId="05B3866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十三、本协议作为甲乙双方工程合同的附件，在工程合同签约后生效，与工程合同具有同等法律效力。工程合同期满，本协议终止。</w:t>
      </w:r>
    </w:p>
    <w:p w14:paraId="04DD106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发包人：(盖章)江苏卫生健康职业学院    承包人：(盖章)  </w:t>
      </w:r>
    </w:p>
    <w:p w14:paraId="5886849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法定代表人：                             法定代表人：</w:t>
      </w:r>
    </w:p>
    <w:p w14:paraId="327A3A1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委托代理人：                             委托代理人：</w:t>
      </w:r>
    </w:p>
    <w:p w14:paraId="6A3C3E5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地址：                                   地址：</w:t>
      </w:r>
    </w:p>
    <w:p w14:paraId="5C51D7F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电话：                                   电话：</w:t>
      </w:r>
    </w:p>
    <w:p w14:paraId="0AD4771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Cs w:val="21"/>
        </w:rPr>
      </w:pPr>
      <w:r>
        <w:rPr>
          <w:rFonts w:hint="eastAsia" w:ascii="宋体" w:hAnsi="宋体" w:cs="宋体"/>
          <w:szCs w:val="21"/>
        </w:rPr>
        <w:t>2026年月日                             2026年月日</w:t>
      </w:r>
    </w:p>
    <w:p w14:paraId="4439CFA1">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szCs w:val="21"/>
        </w:rPr>
      </w:pPr>
      <w:r>
        <w:rPr>
          <w:rFonts w:hint="eastAsia" w:ascii="宋体" w:hAnsi="宋体" w:cs="宋体"/>
          <w:szCs w:val="21"/>
        </w:rPr>
        <w:t> </w:t>
      </w:r>
    </w:p>
    <w:p w14:paraId="14FFB0DD">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szCs w:val="21"/>
        </w:rPr>
      </w:pPr>
      <w:r>
        <w:rPr>
          <w:rFonts w:hint="eastAsia" w:ascii="宋体" w:hAnsi="宋体" w:cs="宋体"/>
          <w:szCs w:val="21"/>
        </w:rPr>
        <w:br w:type="page" w:clear="all"/>
      </w:r>
      <w:r>
        <w:rPr>
          <w:rFonts w:hint="eastAsia" w:ascii="宋体" w:hAnsi="宋体" w:cs="宋体"/>
          <w:szCs w:val="21"/>
        </w:rPr>
        <w:t>附件3：                           </w:t>
      </w:r>
      <w:r>
        <w:rPr>
          <w:rFonts w:hint="eastAsia" w:ascii="宋体" w:hAnsi="宋体" w:cs="宋体"/>
          <w:b/>
          <w:szCs w:val="21"/>
        </w:rPr>
        <w:t>     </w:t>
      </w:r>
    </w:p>
    <w:p w14:paraId="422A4E6B">
      <w:pPr>
        <w:spacing w:line="360" w:lineRule="auto"/>
        <w:jc w:val="center"/>
        <w:outlineLvl w:val="0"/>
        <w:rPr>
          <w:rFonts w:hint="eastAsia" w:ascii="Cambria" w:hAnsi="Cambria" w:eastAsia="方正小标宋_GBK"/>
          <w:sz w:val="44"/>
          <w:szCs w:val="44"/>
        </w:rPr>
      </w:pPr>
      <w:r>
        <w:rPr>
          <w:rFonts w:hint="eastAsia" w:eastAsia="方正黑体_GBK"/>
          <w:b/>
          <w:bCs/>
          <w:sz w:val="32"/>
          <w:szCs w:val="32"/>
        </w:rPr>
        <w:t>廉</w:t>
      </w:r>
      <w:r>
        <w:rPr>
          <w:rFonts w:hint="eastAsia" w:ascii="Cambria" w:hAnsi="Cambria" w:eastAsia="方正黑体_GBK"/>
          <w:b/>
          <w:bCs/>
          <w:sz w:val="32"/>
          <w:szCs w:val="32"/>
        </w:rPr>
        <w:t xml:space="preserve">  政  协  议  书</w:t>
      </w:r>
    </w:p>
    <w:p w14:paraId="223E6E86">
      <w:pPr>
        <w:rPr>
          <w:rFonts w:hint="eastAsia" w:ascii="宋体" w:hAnsi="宋体"/>
          <w:szCs w:val="21"/>
        </w:rPr>
      </w:pPr>
    </w:p>
    <w:p w14:paraId="239C5FCE">
      <w:pPr>
        <w:spacing w:line="360" w:lineRule="auto"/>
        <w:ind w:firstLine="420"/>
        <w:rPr>
          <w:bCs/>
          <w:szCs w:val="22"/>
        </w:rPr>
      </w:pPr>
      <w:r>
        <w:rPr>
          <w:rFonts w:hint="eastAsia"/>
          <w:bCs/>
          <w:szCs w:val="22"/>
        </w:rPr>
        <w:t xml:space="preserve">发包人（甲方）: 江苏卫生健康职业学院          </w:t>
      </w:r>
    </w:p>
    <w:p w14:paraId="52CDF838">
      <w:pPr>
        <w:spacing w:line="360" w:lineRule="auto"/>
        <w:ind w:firstLine="420"/>
        <w:rPr>
          <w:bCs/>
          <w:szCs w:val="22"/>
        </w:rPr>
      </w:pPr>
      <w:r>
        <w:rPr>
          <w:rFonts w:hint="eastAsia"/>
          <w:bCs/>
          <w:szCs w:val="22"/>
        </w:rPr>
        <w:t xml:space="preserve">承包人（乙方）:                           </w:t>
      </w:r>
    </w:p>
    <w:p w14:paraId="645892D8">
      <w:pPr>
        <w:spacing w:line="360" w:lineRule="auto"/>
        <w:ind w:firstLine="420"/>
        <w:rPr>
          <w:bCs/>
          <w:szCs w:val="22"/>
        </w:rPr>
      </w:pPr>
      <w:r>
        <w:rPr>
          <w:rFonts w:hint="eastAsia"/>
          <w:bCs/>
          <w:szCs w:val="22"/>
        </w:rPr>
        <w:t xml:space="preserve">甲乙双方按照《中华人民共和国民法典》和国家颁布的廉政建设有关规定,协商签订本协议。 </w:t>
      </w:r>
    </w:p>
    <w:p w14:paraId="4E29D55B">
      <w:pPr>
        <w:spacing w:line="360" w:lineRule="auto"/>
        <w:ind w:firstLine="420"/>
        <w:rPr>
          <w:bCs/>
          <w:szCs w:val="22"/>
        </w:rPr>
      </w:pPr>
      <w:r>
        <w:rPr>
          <w:rFonts w:hint="eastAsia"/>
          <w:bCs/>
          <w:szCs w:val="22"/>
        </w:rPr>
        <w:t xml:space="preserve">第一条 本协议为甲乙双方签订的工程业务合同(以下简称《业务合同》的附协议。 </w:t>
      </w:r>
    </w:p>
    <w:p w14:paraId="4148AF23">
      <w:pPr>
        <w:spacing w:line="360" w:lineRule="auto"/>
        <w:ind w:firstLine="420"/>
        <w:rPr>
          <w:bCs/>
          <w:szCs w:val="22"/>
        </w:rPr>
      </w:pPr>
      <w:r>
        <w:rPr>
          <w:rFonts w:hint="eastAsia"/>
          <w:bCs/>
          <w:szCs w:val="22"/>
        </w:rPr>
        <w:t xml:space="preserve">第二条  甲乙双方在业务活动中必须遵守国家廉政建设的各项规定，自觉抵制行业不正之风，遵纪守法。 </w:t>
      </w:r>
    </w:p>
    <w:p w14:paraId="1FBDF5D5">
      <w:pPr>
        <w:spacing w:line="360" w:lineRule="auto"/>
        <w:ind w:firstLine="420"/>
        <w:rPr>
          <w:rFonts w:hint="eastAsia" w:ascii="方正仿宋_GBK" w:hAnsi="宋体" w:eastAsia="方正仿宋_GBK"/>
          <w:sz w:val="32"/>
          <w:szCs w:val="32"/>
        </w:rPr>
      </w:pPr>
      <w:r>
        <w:rPr>
          <w:rFonts w:hint="eastAsia"/>
          <w:bCs/>
          <w:szCs w:val="22"/>
        </w:rPr>
        <w:t xml:space="preserve">第三条 </w:t>
      </w:r>
      <w:r>
        <w:rPr>
          <w:rFonts w:hint="eastAsia"/>
          <w:b/>
          <w:szCs w:val="22"/>
        </w:rPr>
        <w:t xml:space="preserve"> 甲乙双方人员严禁通过损害国家、学校和企业利益的方式谋取私利。</w:t>
      </w:r>
      <w:r>
        <w:rPr>
          <w:rFonts w:hint="eastAsia"/>
          <w:bCs/>
          <w:szCs w:val="22"/>
        </w:rPr>
        <w:t xml:space="preserve"> </w:t>
      </w:r>
    </w:p>
    <w:p w14:paraId="73A95A57">
      <w:pPr>
        <w:spacing w:line="360" w:lineRule="auto"/>
        <w:ind w:firstLine="420"/>
        <w:rPr>
          <w:bCs/>
          <w:szCs w:val="22"/>
        </w:rPr>
      </w:pPr>
      <w:r>
        <w:rPr>
          <w:rFonts w:hint="eastAsia"/>
          <w:bCs/>
          <w:szCs w:val="22"/>
        </w:rPr>
        <w:t xml:space="preserve">第四条  甲乙双方人员不得在家中洽谈业务。 </w:t>
      </w:r>
    </w:p>
    <w:p w14:paraId="69598834">
      <w:pPr>
        <w:spacing w:line="360" w:lineRule="auto"/>
        <w:ind w:firstLine="420"/>
        <w:rPr>
          <w:bCs/>
          <w:szCs w:val="22"/>
        </w:rPr>
      </w:pPr>
      <w:r>
        <w:rPr>
          <w:rFonts w:hint="eastAsia"/>
          <w:bCs/>
          <w:szCs w:val="22"/>
        </w:rPr>
        <w:t xml:space="preserve">第五条  甲乙双方人员不得以任何理由或借口，赠送或收受《业务合同》规定以外的任何钱物（含各类有价证券等）。 </w:t>
      </w:r>
    </w:p>
    <w:p w14:paraId="6932712B">
      <w:pPr>
        <w:spacing w:line="360" w:lineRule="auto"/>
        <w:ind w:firstLine="420"/>
        <w:rPr>
          <w:bCs/>
          <w:szCs w:val="22"/>
        </w:rPr>
      </w:pPr>
      <w:r>
        <w:rPr>
          <w:rFonts w:hint="eastAsia"/>
          <w:bCs/>
          <w:szCs w:val="22"/>
        </w:rPr>
        <w:t xml:space="preserve">第六条  甲方人员不得参加由乙方人员(含乙方关系人)支付的娱乐消费等活动。 </w:t>
      </w:r>
    </w:p>
    <w:p w14:paraId="516ADF22">
      <w:pPr>
        <w:spacing w:line="360" w:lineRule="auto"/>
        <w:ind w:firstLine="420"/>
        <w:rPr>
          <w:bCs/>
          <w:szCs w:val="22"/>
        </w:rPr>
      </w:pPr>
      <w:r>
        <w:rPr>
          <w:rFonts w:hint="eastAsia"/>
          <w:bCs/>
          <w:szCs w:val="22"/>
        </w:rPr>
        <w:t xml:space="preserve">第七条  乙方人员不得支付应由甲方人员自行支付的各类费用。 </w:t>
      </w:r>
    </w:p>
    <w:p w14:paraId="753F0AB3">
      <w:pPr>
        <w:spacing w:line="360" w:lineRule="auto"/>
        <w:ind w:firstLine="420"/>
        <w:rPr>
          <w:bCs/>
          <w:szCs w:val="22"/>
        </w:rPr>
      </w:pPr>
      <w:r>
        <w:rPr>
          <w:rFonts w:hint="eastAsia"/>
          <w:bCs/>
          <w:szCs w:val="22"/>
        </w:rPr>
        <w:t>第八条  甲方人员违反本协议，甲方单位将按有关规定对违纪者进行查处，并向乙方道歉。</w:t>
      </w:r>
    </w:p>
    <w:p w14:paraId="002653A7">
      <w:pPr>
        <w:spacing w:line="360" w:lineRule="auto"/>
        <w:ind w:firstLine="420"/>
        <w:rPr>
          <w:bCs/>
          <w:szCs w:val="22"/>
        </w:rPr>
      </w:pPr>
      <w:r>
        <w:rPr>
          <w:rFonts w:hint="eastAsia"/>
          <w:bCs/>
          <w:szCs w:val="22"/>
        </w:rPr>
        <w:t xml:space="preserve">第九条  乙方人员违反本协议第二、三、四条款规定,甲方可以终止《业务合同》，给甲方造成的经济损失，由乙方给予赔偿。 </w:t>
      </w:r>
    </w:p>
    <w:p w14:paraId="0630DBB9">
      <w:pPr>
        <w:spacing w:line="360" w:lineRule="auto"/>
        <w:ind w:firstLine="420"/>
        <w:rPr>
          <w:bCs/>
          <w:szCs w:val="22"/>
        </w:rPr>
      </w:pPr>
      <w:r>
        <w:rPr>
          <w:rFonts w:hint="eastAsia"/>
          <w:bCs/>
          <w:szCs w:val="22"/>
        </w:rPr>
        <w:t xml:space="preserve">第十条  乙方人员违反本合同第五、六、七条款规定,甲方按所涉及金额的10倍扣罚乙方违约金。 </w:t>
      </w:r>
    </w:p>
    <w:p w14:paraId="64D7B69F">
      <w:pPr>
        <w:spacing w:line="360" w:lineRule="auto"/>
        <w:ind w:firstLine="420"/>
        <w:rPr>
          <w:bCs/>
          <w:szCs w:val="22"/>
        </w:rPr>
      </w:pPr>
      <w:r>
        <w:rPr>
          <w:rFonts w:hint="eastAsia"/>
          <w:bCs/>
          <w:szCs w:val="22"/>
        </w:rPr>
        <w:t xml:space="preserve">第十一条  乙方如发生以上行为，将取消乙方在我单位签订工程项目合同的资格。 </w:t>
      </w:r>
    </w:p>
    <w:p w14:paraId="7F41F03A">
      <w:pPr>
        <w:spacing w:line="360" w:lineRule="auto"/>
        <w:rPr>
          <w:rFonts w:hint="eastAsia" w:ascii="方正仿宋_GBK" w:hAnsi="宋体" w:eastAsia="方正仿宋_GBK"/>
          <w:sz w:val="32"/>
          <w:szCs w:val="32"/>
        </w:rPr>
      </w:pPr>
    </w:p>
    <w:p w14:paraId="2FF84695">
      <w:pPr>
        <w:spacing w:line="360" w:lineRule="auto"/>
        <w:rPr>
          <w:rFonts w:hint="eastAsia" w:ascii="方正仿宋_GBK" w:hAnsi="宋体" w:eastAsia="方正仿宋_GBK"/>
          <w:sz w:val="32"/>
          <w:szCs w:val="32"/>
        </w:rPr>
      </w:pPr>
    </w:p>
    <w:p w14:paraId="42BCA2B1">
      <w:pPr>
        <w:spacing w:line="360" w:lineRule="auto"/>
        <w:rPr>
          <w:rFonts w:hint="eastAsia" w:ascii="方正仿宋_GBK" w:hAnsi="宋体" w:eastAsia="方正仿宋_GBK"/>
          <w:sz w:val="32"/>
          <w:szCs w:val="32"/>
        </w:rPr>
      </w:pPr>
    </w:p>
    <w:p w14:paraId="1416E374">
      <w:pPr>
        <w:spacing w:line="360" w:lineRule="auto"/>
        <w:rPr>
          <w:rFonts w:hint="eastAsia" w:ascii="方正仿宋_GBK" w:hAnsi="宋体" w:eastAsia="方正仿宋_GBK"/>
          <w:sz w:val="32"/>
          <w:szCs w:val="32"/>
        </w:rPr>
      </w:pPr>
    </w:p>
    <w:p w14:paraId="2A1AE0B7">
      <w:pPr>
        <w:spacing w:line="360" w:lineRule="auto"/>
        <w:rPr>
          <w:rFonts w:hint="eastAsia" w:ascii="方正仿宋_GBK" w:hAnsi="宋体" w:eastAsia="方正仿宋_GBK"/>
          <w:sz w:val="32"/>
          <w:szCs w:val="32"/>
        </w:rPr>
      </w:pPr>
    </w:p>
    <w:p w14:paraId="76B5C511">
      <w:pPr>
        <w:spacing w:line="360" w:lineRule="auto"/>
        <w:rPr>
          <w:rFonts w:hint="eastAsia" w:ascii="方正仿宋_GBK" w:hAnsi="宋体" w:eastAsia="方正仿宋_GBK"/>
          <w:sz w:val="32"/>
          <w:szCs w:val="32"/>
        </w:rPr>
      </w:pPr>
    </w:p>
    <w:p w14:paraId="2CE2FC98">
      <w:pPr>
        <w:spacing w:line="360" w:lineRule="auto"/>
        <w:ind w:firstLine="420"/>
        <w:rPr>
          <w:rFonts w:hint="eastAsia" w:ascii="宋体" w:hAnsi="宋体"/>
          <w:szCs w:val="21"/>
        </w:rPr>
      </w:pPr>
      <w:r>
        <w:rPr>
          <w:rFonts w:hint="eastAsia" w:ascii="宋体" w:hAnsi="宋体"/>
          <w:szCs w:val="21"/>
        </w:rPr>
        <w:t xml:space="preserve">附件：双方廉政责任清单 </w:t>
      </w:r>
    </w:p>
    <w:tbl>
      <w:tblPr>
        <w:tblStyle w:val="144"/>
        <w:tblW w:w="9215" w:type="dxa"/>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07"/>
        <w:gridCol w:w="4608"/>
      </w:tblGrid>
      <w:tr w14:paraId="761694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607" w:type="dxa"/>
            <w:noWrap w:val="0"/>
            <w:vAlign w:val="top"/>
          </w:tcPr>
          <w:p w14:paraId="5A22D9C7">
            <w:pPr>
              <w:spacing w:line="360" w:lineRule="auto"/>
              <w:jc w:val="center"/>
              <w:rPr>
                <w:rFonts w:hint="eastAsia" w:ascii="宋体" w:hAnsi="宋体"/>
                <w:szCs w:val="21"/>
              </w:rPr>
            </w:pPr>
            <w:r>
              <w:rPr>
                <w:rFonts w:hint="eastAsia" w:ascii="宋体" w:hAnsi="宋体"/>
                <w:szCs w:val="21"/>
              </w:rPr>
              <w:t>甲方廉政责任清单</w:t>
            </w:r>
          </w:p>
        </w:tc>
        <w:tc>
          <w:tcPr>
            <w:tcW w:w="4608" w:type="dxa"/>
            <w:noWrap w:val="0"/>
            <w:vAlign w:val="top"/>
          </w:tcPr>
          <w:p w14:paraId="2F0649F3">
            <w:pPr>
              <w:spacing w:line="360" w:lineRule="auto"/>
              <w:jc w:val="center"/>
              <w:rPr>
                <w:rFonts w:hint="eastAsia" w:ascii="宋体" w:hAnsi="宋体"/>
                <w:szCs w:val="21"/>
              </w:rPr>
            </w:pPr>
            <w:r>
              <w:rPr>
                <w:rFonts w:hint="eastAsia" w:ascii="宋体" w:hAnsi="宋体"/>
                <w:szCs w:val="21"/>
              </w:rPr>
              <w:t>乙方</w:t>
            </w:r>
            <w:r>
              <w:rPr>
                <w:rFonts w:ascii="宋体" w:hAnsi="宋体"/>
                <w:szCs w:val="21"/>
              </w:rPr>
              <w:t>廉政责任清单</w:t>
            </w:r>
            <w:r>
              <w:rPr>
                <w:szCs w:val="21"/>
              </w:rPr>
              <w:t>​</w:t>
            </w:r>
          </w:p>
        </w:tc>
      </w:tr>
      <w:tr w14:paraId="6FFF58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607" w:type="dxa"/>
            <w:noWrap w:val="0"/>
            <w:vAlign w:val="top"/>
          </w:tcPr>
          <w:p w14:paraId="049498EA">
            <w:pPr>
              <w:spacing w:line="360" w:lineRule="auto"/>
              <w:ind w:left="360"/>
              <w:rPr>
                <w:rFonts w:hint="eastAsia" w:ascii="宋体" w:hAnsi="宋体"/>
                <w:szCs w:val="21"/>
              </w:rPr>
            </w:pPr>
            <w:r>
              <w:rPr>
                <w:rFonts w:hint="eastAsia" w:ascii="宋体" w:hAnsi="宋体"/>
                <w:szCs w:val="21"/>
              </w:rPr>
              <w:t>１.每年度组织召开基建廉政专题会议，分析研判项目建设中的廉政风险点，针对招投标、工程变更、资金拨付等关键环节制定防控措施。</w:t>
            </w:r>
            <w:r>
              <w:rPr>
                <w:szCs w:val="21"/>
              </w:rPr>
              <w:t>​</w:t>
            </w:r>
          </w:p>
          <w:p w14:paraId="015DC001">
            <w:pPr>
              <w:spacing w:line="360" w:lineRule="auto"/>
              <w:ind w:left="360"/>
              <w:rPr>
                <w:rFonts w:ascii="宋体" w:hAnsi="宋体"/>
                <w:szCs w:val="21"/>
              </w:rPr>
            </w:pPr>
            <w:r>
              <w:rPr>
                <w:rFonts w:hint="eastAsia" w:ascii="宋体" w:hAnsi="宋体"/>
                <w:szCs w:val="21"/>
              </w:rPr>
              <w:t>2．带头执行廉政规定，主动接受监督，严禁利用职务之便为亲属、特定关系人承揽工程或干预项目正常招投标、施工管理等工作。</w:t>
            </w:r>
            <w:r>
              <w:rPr>
                <w:szCs w:val="21"/>
              </w:rPr>
              <w:t>​</w:t>
            </w:r>
          </w:p>
          <w:p w14:paraId="4CDDDCE1">
            <w:pPr>
              <w:spacing w:line="360" w:lineRule="auto"/>
              <w:ind w:left="360"/>
              <w:rPr>
                <w:rFonts w:hint="eastAsia" w:ascii="宋体" w:hAnsi="宋体"/>
                <w:szCs w:val="21"/>
              </w:rPr>
            </w:pPr>
            <w:r>
              <w:rPr>
                <w:rFonts w:hint="eastAsia" w:ascii="宋体" w:hAnsi="宋体"/>
                <w:szCs w:val="21"/>
              </w:rPr>
              <w:t>3．贯彻落实学校基建廉政管理制度，对分管业务科室的廉政工作负直接领导责任，定期检查科室廉政责任落实情况。</w:t>
            </w:r>
            <w:r>
              <w:rPr>
                <w:szCs w:val="21"/>
              </w:rPr>
              <w:t>​</w:t>
            </w:r>
          </w:p>
          <w:p w14:paraId="6C32C60B">
            <w:pPr>
              <w:spacing w:line="360" w:lineRule="auto"/>
              <w:ind w:left="360"/>
              <w:rPr>
                <w:rFonts w:hint="eastAsia" w:ascii="宋体" w:hAnsi="宋体"/>
                <w:szCs w:val="21"/>
              </w:rPr>
            </w:pPr>
            <w:r>
              <w:rPr>
                <w:rFonts w:hint="eastAsia" w:ascii="宋体" w:hAnsi="宋体"/>
                <w:szCs w:val="21"/>
              </w:rPr>
              <w:t>4．组织开展人员廉政教育培训，每半年至少开展　１　次廉政警示教育活动，提高工作人员廉洁自律意识和风险防范能力。</w:t>
            </w:r>
            <w:r>
              <w:rPr>
                <w:szCs w:val="21"/>
              </w:rPr>
              <w:t>​</w:t>
            </w:r>
          </w:p>
          <w:p w14:paraId="45DAC2E3">
            <w:pPr>
              <w:spacing w:line="360" w:lineRule="auto"/>
              <w:ind w:left="360"/>
              <w:rPr>
                <w:rFonts w:hint="eastAsia" w:ascii="宋体" w:hAnsi="宋体"/>
                <w:szCs w:val="21"/>
              </w:rPr>
            </w:pPr>
            <w:r>
              <w:rPr>
                <w:rFonts w:hint="eastAsia" w:ascii="宋体" w:hAnsi="宋体"/>
                <w:szCs w:val="21"/>
              </w:rPr>
              <w:t>5．严格审核工程变更、签证、进度款支付等事项，加强对项目现场管理人员履职情况的监督，及时发现并纠正违规行为。</w:t>
            </w:r>
            <w:r>
              <w:rPr>
                <w:szCs w:val="21"/>
              </w:rPr>
              <w:t>​</w:t>
            </w:r>
          </w:p>
          <w:p w14:paraId="15526B3C">
            <w:pPr>
              <w:spacing w:line="360" w:lineRule="auto"/>
              <w:ind w:left="360"/>
              <w:rPr>
                <w:rFonts w:hint="eastAsia" w:ascii="宋体" w:hAnsi="宋体"/>
                <w:szCs w:val="21"/>
              </w:rPr>
            </w:pPr>
            <w:r>
              <w:rPr>
                <w:rFonts w:hint="eastAsia" w:ascii="宋体" w:hAnsi="宋体"/>
                <w:szCs w:val="21"/>
              </w:rPr>
              <w:t>6．严格遵守江苏卫生健康职业学院基建项目管理规章制度和廉政协议要求，在项目招投标、施工管理、验收结算等工作中，不接受承建单位的宴请、礼品、礼金及其他不正当利益。</w:t>
            </w:r>
            <w:r>
              <w:rPr>
                <w:szCs w:val="21"/>
              </w:rPr>
              <w:t>​</w:t>
            </w:r>
          </w:p>
          <w:p w14:paraId="4B3871C8">
            <w:pPr>
              <w:spacing w:line="360" w:lineRule="auto"/>
              <w:ind w:left="360"/>
              <w:rPr>
                <w:rFonts w:hint="eastAsia" w:ascii="宋体" w:hAnsi="宋体"/>
                <w:szCs w:val="21"/>
              </w:rPr>
            </w:pPr>
            <w:r>
              <w:rPr>
                <w:rFonts w:hint="eastAsia" w:ascii="宋体" w:hAnsi="宋体"/>
                <w:szCs w:val="21"/>
              </w:rPr>
              <w:t>7．如实记录工程建设过程中的各类事项，及时整理归档项目资料，发现承建单位存在违规行为或廉政风险隐患，须在　２４　小时内向部门负责人报告。</w:t>
            </w:r>
            <w:r>
              <w:rPr>
                <w:szCs w:val="21"/>
              </w:rPr>
              <w:t>​</w:t>
            </w:r>
            <w:r>
              <w:rPr>
                <w:rFonts w:hint="eastAsia" w:ascii="宋体" w:hAnsi="宋体"/>
                <w:szCs w:val="21"/>
              </w:rPr>
              <w:t>8．积极配合学校纪检监察部门、审计部门对基建项目的监督检查工作，如实提供相关资料和情况说明。</w:t>
            </w:r>
          </w:p>
        </w:tc>
        <w:tc>
          <w:tcPr>
            <w:tcW w:w="4608" w:type="dxa"/>
            <w:noWrap w:val="0"/>
            <w:vAlign w:val="top"/>
          </w:tcPr>
          <w:p w14:paraId="430A5053">
            <w:pPr>
              <w:spacing w:line="360" w:lineRule="auto"/>
              <w:ind w:left="360"/>
              <w:rPr>
                <w:rFonts w:hint="eastAsia" w:ascii="宋体" w:hAnsi="宋体"/>
                <w:szCs w:val="21"/>
              </w:rPr>
            </w:pPr>
            <w:r>
              <w:rPr>
                <w:rFonts w:hint="eastAsia" w:ascii="宋体" w:hAnsi="宋体"/>
                <w:szCs w:val="21"/>
              </w:rPr>
              <w:t>1．对江苏卫生健康职业学院基建项目廉政工作进行专项检查和评估，对发现的问题及时整改，确保各项廉政措施有效落实。</w:t>
            </w:r>
            <w:r>
              <w:rPr>
                <w:szCs w:val="21"/>
              </w:rPr>
              <w:t>​</w:t>
            </w:r>
          </w:p>
          <w:p w14:paraId="7323CE04">
            <w:pPr>
              <w:spacing w:line="360" w:lineRule="auto"/>
              <w:ind w:left="360"/>
              <w:rPr>
                <w:rFonts w:hint="eastAsia" w:ascii="宋体" w:hAnsi="宋体"/>
                <w:szCs w:val="21"/>
              </w:rPr>
            </w:pPr>
            <w:r>
              <w:rPr>
                <w:rFonts w:hint="eastAsia" w:ascii="宋体" w:hAnsi="宋体"/>
                <w:szCs w:val="21"/>
              </w:rPr>
              <w:t>2．严禁授意或纵容企业员工通过不正当手段获取江苏卫生健康职业学院基建项目，不得与其他企业串通围标、串标，扰乱市场秩序。</w:t>
            </w:r>
          </w:p>
          <w:p w14:paraId="4F975CF7">
            <w:pPr>
              <w:spacing w:line="360" w:lineRule="auto"/>
              <w:ind w:left="360"/>
              <w:rPr>
                <w:rFonts w:hint="eastAsia" w:ascii="宋体" w:hAnsi="宋体"/>
                <w:szCs w:val="21"/>
              </w:rPr>
            </w:pPr>
            <w:r>
              <w:rPr>
                <w:szCs w:val="21"/>
              </w:rPr>
              <w:t>​</w:t>
            </w:r>
            <w:r>
              <w:rPr>
                <w:rFonts w:hint="eastAsia" w:ascii="宋体" w:hAnsi="宋体"/>
                <w:szCs w:val="21"/>
              </w:rPr>
              <w:t>3．组织实施企业廉政管理制度，对项目团队成员的廉政行为进行日常监督管理，将廉洁施工情况纳入员工绩效考核。</w:t>
            </w:r>
            <w:r>
              <w:rPr>
                <w:szCs w:val="21"/>
              </w:rPr>
              <w:t>​</w:t>
            </w:r>
          </w:p>
          <w:p w14:paraId="213D54C5">
            <w:pPr>
              <w:spacing w:line="360" w:lineRule="auto"/>
              <w:ind w:left="360"/>
              <w:rPr>
                <w:rFonts w:hint="eastAsia" w:ascii="宋体" w:hAnsi="宋体"/>
                <w:szCs w:val="21"/>
              </w:rPr>
            </w:pPr>
            <w:r>
              <w:rPr>
                <w:rFonts w:hint="eastAsia" w:ascii="宋体" w:hAnsi="宋体"/>
                <w:szCs w:val="21"/>
              </w:rPr>
              <w:t>4．严格审核项目资金使用情况，规范工程款项支付流程，防止出现挪用资金、虚报费用等违规行为，确保资金专款专用。</w:t>
            </w:r>
            <w:r>
              <w:rPr>
                <w:szCs w:val="21"/>
              </w:rPr>
              <w:t>​</w:t>
            </w:r>
          </w:p>
          <w:p w14:paraId="60E76BB1">
            <w:pPr>
              <w:spacing w:line="360" w:lineRule="auto"/>
              <w:ind w:left="360"/>
              <w:rPr>
                <w:rFonts w:hint="eastAsia" w:ascii="宋体" w:hAnsi="宋体"/>
                <w:szCs w:val="21"/>
              </w:rPr>
            </w:pPr>
            <w:r>
              <w:rPr>
                <w:rFonts w:hint="eastAsia" w:ascii="宋体" w:hAnsi="宋体"/>
                <w:szCs w:val="21"/>
              </w:rPr>
              <w:t>5．积极配合江苏卫生健康职业学院后勤基建处、纪检监察部门的廉政检查工作，如实提供项目合同、财务账目、施工日志等相关资料。</w:t>
            </w:r>
            <w:r>
              <w:rPr>
                <w:szCs w:val="21"/>
              </w:rPr>
              <w:t>​</w:t>
            </w:r>
          </w:p>
          <w:p w14:paraId="4397A1DB">
            <w:pPr>
              <w:spacing w:line="360" w:lineRule="auto"/>
              <w:ind w:left="360"/>
              <w:rPr>
                <w:rFonts w:hint="eastAsia" w:ascii="宋体" w:hAnsi="宋体"/>
                <w:szCs w:val="21"/>
              </w:rPr>
            </w:pPr>
            <w:r>
              <w:rPr>
                <w:rFonts w:hint="eastAsia" w:ascii="宋体" w:hAnsi="宋体"/>
                <w:szCs w:val="21"/>
              </w:rPr>
              <w:t>6．在工程施工过程中，严格按照设计图纸和规范要求施工，不使用不合格材料设备，不擅自变更施工方案，确保工程质量安全，杜绝通过偷工减料谋取利益。</w:t>
            </w:r>
            <w:r>
              <w:rPr>
                <w:szCs w:val="21"/>
              </w:rPr>
              <w:t>​</w:t>
            </w:r>
          </w:p>
          <w:p w14:paraId="48B2BBB3">
            <w:pPr>
              <w:spacing w:line="360" w:lineRule="auto"/>
              <w:ind w:left="360"/>
              <w:rPr>
                <w:rFonts w:hint="eastAsia" w:ascii="宋体" w:hAnsi="宋体"/>
                <w:szCs w:val="21"/>
              </w:rPr>
            </w:pPr>
            <w:r>
              <w:rPr>
                <w:rFonts w:hint="eastAsia" w:ascii="宋体" w:hAnsi="宋体"/>
                <w:szCs w:val="21"/>
              </w:rPr>
              <w:t>7．发现江苏卫生健康职业学院基建处工作人员存在违规索贿、吃拿卡要等行为，应及时向企业管理层和江苏卫生健康职业学院纪检监察部门举报。</w:t>
            </w:r>
            <w:r>
              <w:rPr>
                <w:szCs w:val="21"/>
              </w:rPr>
              <w:t>​</w:t>
            </w:r>
          </w:p>
          <w:p w14:paraId="00CAAACB">
            <w:pPr>
              <w:spacing w:line="360" w:lineRule="auto"/>
              <w:ind w:left="360"/>
              <w:rPr>
                <w:rFonts w:hint="eastAsia" w:ascii="宋体" w:hAnsi="宋体"/>
                <w:szCs w:val="21"/>
              </w:rPr>
            </w:pPr>
            <w:r>
              <w:rPr>
                <w:rFonts w:hint="eastAsia" w:ascii="宋体" w:hAnsi="宋体"/>
                <w:szCs w:val="21"/>
              </w:rPr>
              <w:t>8．做好施工过程中的各类记录，包括材料进场验收、隐蔽工程施工、工程量变更等，确保资料真实、完整、可追溯，为项目审计和验收提供依据。</w:t>
            </w:r>
          </w:p>
        </w:tc>
      </w:tr>
    </w:tbl>
    <w:p w14:paraId="2D59206A">
      <w:pPr>
        <w:spacing w:line="360" w:lineRule="auto"/>
        <w:rPr>
          <w:rFonts w:hint="eastAsia" w:ascii="宋体" w:hAnsi="宋体"/>
          <w:szCs w:val="21"/>
        </w:rPr>
      </w:pPr>
    </w:p>
    <w:p w14:paraId="5C3CBF07">
      <w:pPr>
        <w:spacing w:line="360" w:lineRule="auto"/>
        <w:rPr>
          <w:rFonts w:ascii="宋体" w:hAnsi="宋体"/>
          <w:szCs w:val="21"/>
        </w:rPr>
      </w:pPr>
      <w:r>
        <w:rPr>
          <w:rFonts w:hint="eastAsia" w:ascii="宋体" w:hAnsi="宋体"/>
          <w:szCs w:val="21"/>
        </w:rPr>
        <w:t>发包人（</w:t>
      </w:r>
      <w:r>
        <w:rPr>
          <w:rFonts w:hint="eastAsia" w:ascii="宋体" w:hAnsi="宋体" w:cs="宋体"/>
          <w:bCs/>
          <w:szCs w:val="21"/>
        </w:rPr>
        <w:t>盖章</w:t>
      </w:r>
      <w:r>
        <w:rPr>
          <w:rFonts w:hint="eastAsia" w:ascii="宋体" w:hAnsi="宋体"/>
          <w:szCs w:val="21"/>
        </w:rPr>
        <w:t xml:space="preserve">）            </w:t>
      </w:r>
      <w:r>
        <w:rPr>
          <w:rFonts w:hint="eastAsia" w:ascii="宋体" w:hAnsi="宋体"/>
          <w:szCs w:val="21"/>
        </w:rPr>
        <w:tab/>
      </w:r>
      <w:r>
        <w:rPr>
          <w:rFonts w:hint="eastAsia" w:ascii="宋体" w:hAnsi="宋体"/>
          <w:szCs w:val="21"/>
        </w:rPr>
        <w:t>承包人（</w:t>
      </w:r>
      <w:r>
        <w:rPr>
          <w:rFonts w:hint="eastAsia" w:ascii="宋体" w:hAnsi="宋体" w:cs="宋体"/>
          <w:bCs/>
          <w:szCs w:val="21"/>
        </w:rPr>
        <w:t>盖章</w:t>
      </w:r>
      <w:r>
        <w:rPr>
          <w:rFonts w:hint="eastAsia" w:ascii="宋体" w:hAnsi="宋体"/>
          <w:szCs w:val="21"/>
        </w:rPr>
        <w:t xml:space="preserve">） </w:t>
      </w:r>
    </w:p>
    <w:p w14:paraId="43091374">
      <w:pPr>
        <w:pBdr>
          <w:top w:val="none" w:color="000000" w:sz="0" w:space="0"/>
          <w:left w:val="none" w:color="000000" w:sz="0" w:space="0"/>
          <w:bottom w:val="none" w:color="000000" w:sz="0" w:space="0"/>
          <w:right w:val="none" w:color="000000" w:sz="0" w:space="0"/>
        </w:pBdr>
        <w:spacing w:line="85" w:lineRule="atLeast"/>
      </w:pPr>
      <w:r>
        <w:rPr>
          <w:rFonts w:ascii="宋体" w:hAnsi="宋体" w:cs="宋体"/>
          <w:sz w:val="24"/>
        </w:rPr>
        <w:t> </w:t>
      </w:r>
    </w:p>
    <w:p w14:paraId="0D5ED598">
      <w:pPr>
        <w:rPr>
          <w:rFonts w:hint="eastAsia" w:ascii="宋体" w:hAnsi="宋体" w:cs="宋体"/>
        </w:rPr>
      </w:pPr>
    </w:p>
    <w:bookmarkEnd w:id="30"/>
    <w:bookmarkEnd w:id="31"/>
    <w:p w14:paraId="5F358211">
      <w:pPr>
        <w:pStyle w:val="137"/>
        <w:rPr>
          <w:rFonts w:hint="eastAsia" w:ascii="宋体" w:hAnsi="宋体" w:cs="宋体"/>
        </w:rPr>
      </w:pPr>
      <w:bookmarkStart w:id="58" w:name="_Toc10404"/>
      <w:r>
        <w:rPr>
          <w:rFonts w:hint="eastAsia" w:ascii="宋体" w:hAnsi="宋体" w:cs="宋体"/>
          <w:lang w:val="zh-CN"/>
        </w:rPr>
        <w:t xml:space="preserve">第六章  </w:t>
      </w:r>
      <w:bookmarkEnd w:id="32"/>
      <w:bookmarkEnd w:id="33"/>
      <w:bookmarkEnd w:id="34"/>
      <w:r>
        <w:rPr>
          <w:rFonts w:hint="eastAsia" w:ascii="宋体" w:hAnsi="宋体" w:cs="宋体"/>
          <w:szCs w:val="21"/>
        </w:rPr>
        <w:t>磋商响应文件格式及附件</w:t>
      </w:r>
      <w:bookmarkEnd w:id="58"/>
    </w:p>
    <w:p w14:paraId="1B3B6C64">
      <w:pPr>
        <w:spacing w:line="440" w:lineRule="exact"/>
        <w:rPr>
          <w:rFonts w:hint="eastAsia" w:ascii="宋体" w:hAnsi="宋体" w:cs="宋体"/>
          <w:sz w:val="20"/>
        </w:rPr>
      </w:pPr>
    </w:p>
    <w:p w14:paraId="6AD81BF0">
      <w:pPr>
        <w:spacing w:line="440" w:lineRule="exact"/>
        <w:jc w:val="center"/>
        <w:rPr>
          <w:rFonts w:hint="eastAsia" w:ascii="宋体" w:hAnsi="宋体" w:cs="宋体"/>
          <w:sz w:val="20"/>
        </w:rPr>
      </w:pPr>
    </w:p>
    <w:p w14:paraId="621D8690">
      <w:pPr>
        <w:spacing w:line="440" w:lineRule="exact"/>
        <w:jc w:val="center"/>
        <w:rPr>
          <w:rFonts w:hint="eastAsia" w:ascii="宋体" w:hAnsi="宋体" w:cs="宋体"/>
          <w:sz w:val="20"/>
        </w:rPr>
      </w:pPr>
    </w:p>
    <w:p w14:paraId="10692D43">
      <w:pPr>
        <w:spacing w:line="440" w:lineRule="exact"/>
        <w:rPr>
          <w:rFonts w:hint="eastAsia" w:ascii="宋体" w:hAnsi="宋体" w:cs="宋体"/>
          <w:sz w:val="20"/>
        </w:rPr>
      </w:pPr>
    </w:p>
    <w:p w14:paraId="17B0C0CF">
      <w:pPr>
        <w:spacing w:line="440" w:lineRule="exact"/>
        <w:rPr>
          <w:rFonts w:hint="eastAsia" w:ascii="宋体" w:hAnsi="宋体" w:cs="宋体"/>
          <w:sz w:val="20"/>
        </w:rPr>
      </w:pPr>
    </w:p>
    <w:p w14:paraId="11617B81">
      <w:pPr>
        <w:jc w:val="center"/>
        <w:rPr>
          <w:rFonts w:hint="eastAsia" w:ascii="宋体" w:hAnsi="宋体" w:cs="宋体"/>
          <w:sz w:val="28"/>
          <w:szCs w:val="28"/>
        </w:rPr>
      </w:pPr>
      <w:r>
        <w:rPr>
          <w:rFonts w:hint="eastAsia" w:ascii="宋体" w:hAnsi="宋体" w:cs="宋体"/>
          <w:sz w:val="28"/>
          <w:szCs w:val="28"/>
        </w:rPr>
        <w:t>（项目名称）</w:t>
      </w:r>
    </w:p>
    <w:p w14:paraId="7F8673BA">
      <w:pPr>
        <w:spacing w:line="440" w:lineRule="exact"/>
        <w:jc w:val="center"/>
        <w:rPr>
          <w:rFonts w:hint="eastAsia" w:ascii="宋体" w:hAnsi="宋体" w:cs="宋体"/>
          <w:sz w:val="20"/>
        </w:rPr>
      </w:pPr>
    </w:p>
    <w:p w14:paraId="72A87E75">
      <w:pPr>
        <w:jc w:val="center"/>
        <w:rPr>
          <w:rFonts w:hint="eastAsia" w:ascii="宋体" w:hAnsi="宋体" w:cs="宋体"/>
          <w:sz w:val="20"/>
        </w:rPr>
      </w:pPr>
    </w:p>
    <w:p w14:paraId="174EC0B0">
      <w:pPr>
        <w:jc w:val="center"/>
        <w:rPr>
          <w:rFonts w:hint="eastAsia" w:ascii="宋体" w:hAnsi="宋体" w:cs="宋体"/>
          <w:sz w:val="20"/>
        </w:rPr>
      </w:pPr>
    </w:p>
    <w:p w14:paraId="4B9367AC">
      <w:pPr>
        <w:jc w:val="center"/>
        <w:rPr>
          <w:rFonts w:hint="eastAsia" w:ascii="宋体" w:hAnsi="宋体" w:cs="宋体"/>
          <w:sz w:val="20"/>
        </w:rPr>
      </w:pPr>
    </w:p>
    <w:p w14:paraId="5935F92F">
      <w:pPr>
        <w:jc w:val="center"/>
        <w:rPr>
          <w:rFonts w:hint="eastAsia" w:ascii="宋体" w:hAnsi="宋体" w:cs="宋体"/>
          <w:sz w:val="44"/>
          <w:szCs w:val="44"/>
        </w:rPr>
      </w:pPr>
      <w:r>
        <w:rPr>
          <w:rFonts w:hint="eastAsia" w:ascii="宋体" w:hAnsi="宋体" w:cs="宋体"/>
          <w:sz w:val="44"/>
          <w:szCs w:val="44"/>
        </w:rPr>
        <w:t>竞争性磋商响应文件</w:t>
      </w:r>
    </w:p>
    <w:p w14:paraId="6C0EC120">
      <w:pPr>
        <w:rPr>
          <w:rFonts w:hint="eastAsia" w:ascii="宋体" w:hAnsi="宋体" w:cs="宋体"/>
          <w:sz w:val="28"/>
          <w:szCs w:val="28"/>
        </w:rPr>
      </w:pPr>
    </w:p>
    <w:p w14:paraId="7DD8FE3F">
      <w:pPr>
        <w:jc w:val="center"/>
        <w:rPr>
          <w:rFonts w:hint="eastAsia" w:ascii="宋体" w:hAnsi="宋体" w:cs="宋体"/>
          <w:sz w:val="28"/>
          <w:szCs w:val="28"/>
        </w:rPr>
      </w:pPr>
      <w:r>
        <w:rPr>
          <w:rFonts w:hint="eastAsia" w:ascii="宋体" w:hAnsi="宋体" w:cs="宋体"/>
          <w:sz w:val="28"/>
          <w:szCs w:val="28"/>
        </w:rPr>
        <w:t>（项目编号）</w:t>
      </w:r>
    </w:p>
    <w:p w14:paraId="64B784C7">
      <w:pPr>
        <w:rPr>
          <w:rFonts w:hint="eastAsia" w:ascii="宋体" w:hAnsi="宋体" w:cs="宋体"/>
          <w:sz w:val="28"/>
          <w:szCs w:val="28"/>
        </w:rPr>
      </w:pPr>
    </w:p>
    <w:p w14:paraId="169382F8">
      <w:pPr>
        <w:rPr>
          <w:rFonts w:hint="eastAsia" w:ascii="宋体" w:hAnsi="宋体" w:cs="宋体"/>
          <w:sz w:val="28"/>
          <w:szCs w:val="28"/>
        </w:rPr>
      </w:pPr>
    </w:p>
    <w:p w14:paraId="0C24EF83">
      <w:pPr>
        <w:rPr>
          <w:rFonts w:hint="eastAsia" w:ascii="宋体" w:hAnsi="宋体" w:cs="宋体"/>
          <w:sz w:val="28"/>
          <w:szCs w:val="28"/>
        </w:rPr>
      </w:pPr>
    </w:p>
    <w:p w14:paraId="0D8B192D">
      <w:pPr>
        <w:rPr>
          <w:rFonts w:hint="eastAsia" w:ascii="宋体" w:hAnsi="宋体" w:cs="宋体"/>
          <w:sz w:val="28"/>
          <w:szCs w:val="28"/>
        </w:rPr>
      </w:pPr>
    </w:p>
    <w:p w14:paraId="5FB6DFCF">
      <w:pPr>
        <w:rPr>
          <w:rFonts w:hint="eastAsia" w:ascii="宋体" w:hAnsi="宋体" w:cs="宋体"/>
          <w:sz w:val="28"/>
          <w:szCs w:val="28"/>
        </w:rPr>
      </w:pPr>
    </w:p>
    <w:p w14:paraId="5CE0F86B">
      <w:pPr>
        <w:rPr>
          <w:rFonts w:hint="eastAsia" w:ascii="宋体" w:hAnsi="宋体" w:cs="宋体"/>
          <w:sz w:val="28"/>
          <w:szCs w:val="28"/>
        </w:rPr>
      </w:pPr>
    </w:p>
    <w:p w14:paraId="7A622BC6">
      <w:pPr>
        <w:rPr>
          <w:rFonts w:ascii="宋体" w:hAnsi="宋体" w:cs="宋体"/>
          <w:sz w:val="28"/>
          <w:szCs w:val="28"/>
        </w:rPr>
      </w:pPr>
    </w:p>
    <w:p w14:paraId="33EAA055">
      <w:pPr>
        <w:rPr>
          <w:rFonts w:ascii="宋体" w:hAnsi="宋体" w:cs="宋体"/>
          <w:sz w:val="28"/>
          <w:szCs w:val="28"/>
        </w:rPr>
      </w:pPr>
    </w:p>
    <w:p w14:paraId="45227003">
      <w:pPr>
        <w:rPr>
          <w:rFonts w:ascii="宋体" w:hAnsi="宋体" w:cs="宋体"/>
          <w:sz w:val="28"/>
          <w:szCs w:val="28"/>
        </w:rPr>
      </w:pPr>
    </w:p>
    <w:p w14:paraId="4BBFCBF2">
      <w:pPr>
        <w:rPr>
          <w:rFonts w:ascii="宋体" w:hAnsi="宋体" w:cs="宋体"/>
          <w:sz w:val="28"/>
          <w:szCs w:val="28"/>
        </w:rPr>
      </w:pPr>
    </w:p>
    <w:p w14:paraId="56478542">
      <w:pPr>
        <w:rPr>
          <w:rFonts w:hint="eastAsia" w:ascii="宋体" w:hAnsi="宋体" w:cs="宋体"/>
          <w:sz w:val="28"/>
          <w:szCs w:val="28"/>
        </w:rPr>
      </w:pPr>
    </w:p>
    <w:p w14:paraId="087E1F2A">
      <w:pPr>
        <w:jc w:val="center"/>
        <w:rPr>
          <w:rFonts w:hint="eastAsia" w:ascii="宋体" w:hAnsi="宋体" w:cs="宋体"/>
          <w:sz w:val="28"/>
          <w:szCs w:val="28"/>
          <w:u w:val="single"/>
        </w:rPr>
      </w:pPr>
      <w:r>
        <w:rPr>
          <w:rFonts w:hint="eastAsia" w:ascii="宋体" w:hAnsi="宋体" w:cs="宋体"/>
          <w:sz w:val="28"/>
          <w:szCs w:val="28"/>
        </w:rPr>
        <w:t>供应商：（盖单位电子章）</w:t>
      </w:r>
    </w:p>
    <w:p w14:paraId="7B6544BA">
      <w:pPr>
        <w:jc w:val="center"/>
        <w:rPr>
          <w:rFonts w:hint="eastAsia" w:ascii="宋体" w:hAnsi="宋体" w:cs="宋体"/>
          <w:sz w:val="28"/>
          <w:szCs w:val="28"/>
        </w:rPr>
      </w:pPr>
      <w:r>
        <w:rPr>
          <w:rFonts w:hint="eastAsia" w:ascii="宋体" w:hAnsi="宋体" w:cs="宋体"/>
          <w:sz w:val="28"/>
          <w:szCs w:val="28"/>
        </w:rPr>
        <w:t>法定代表人或其授权代表：（签字/签章）</w:t>
      </w:r>
    </w:p>
    <w:p w14:paraId="426F275D">
      <w:pPr>
        <w:jc w:val="center"/>
        <w:rPr>
          <w:rFonts w:hint="eastAsia" w:ascii="宋体" w:hAnsi="宋体" w:cs="宋体"/>
          <w:sz w:val="20"/>
        </w:rPr>
      </w:pPr>
      <w:r>
        <w:rPr>
          <w:rFonts w:hint="eastAsia" w:ascii="宋体" w:hAnsi="宋体" w:cs="宋体"/>
          <w:sz w:val="28"/>
          <w:szCs w:val="28"/>
        </w:rPr>
        <w:t>年 月 日</w:t>
      </w:r>
    </w:p>
    <w:p w14:paraId="77332CD3">
      <w:pPr>
        <w:widowControl/>
        <w:shd w:val="clear" w:color="auto" w:fill="FFFFFF"/>
        <w:spacing w:line="360" w:lineRule="auto"/>
        <w:ind w:firstLine="472"/>
        <w:rPr>
          <w:rFonts w:hint="eastAsia" w:ascii="宋体" w:hAnsi="宋体" w:cs="宋体"/>
          <w:b/>
          <w:bCs/>
          <w:sz w:val="24"/>
        </w:rPr>
      </w:pPr>
      <w:r>
        <w:rPr>
          <w:rFonts w:hint="eastAsia" w:ascii="宋体" w:hAnsi="宋体" w:cs="宋体"/>
          <w:b/>
          <w:bCs/>
          <w:sz w:val="24"/>
        </w:rPr>
        <w:br w:type="page" w:clear="all"/>
      </w:r>
    </w:p>
    <w:p w14:paraId="11E8B8C7">
      <w:pPr>
        <w:spacing w:before="312" w:after="312"/>
        <w:rPr>
          <w:rFonts w:hint="eastAsia" w:ascii="宋体" w:hAnsi="宋体" w:cs="宋体"/>
          <w:b/>
        </w:rPr>
      </w:pPr>
      <w:bookmarkStart w:id="59" w:name="_Toc534273677"/>
      <w:bookmarkStart w:id="60" w:name="_Toc504573083"/>
      <w:bookmarkStart w:id="61" w:name="_Toc534273800"/>
      <w:bookmarkStart w:id="62" w:name="_Toc490133028"/>
      <w:bookmarkStart w:id="63" w:name="_Toc504044380"/>
      <w:bookmarkStart w:id="64" w:name="_Toc504056868"/>
      <w:r>
        <w:rPr>
          <w:rFonts w:hint="eastAsia" w:ascii="宋体" w:hAnsi="宋体" w:cs="宋体"/>
          <w:b/>
        </w:rPr>
        <w:t>附件一、竞争性磋商申请及声明</w:t>
      </w:r>
      <w:bookmarkEnd w:id="59"/>
      <w:bookmarkEnd w:id="60"/>
      <w:bookmarkEnd w:id="61"/>
      <w:bookmarkEnd w:id="62"/>
      <w:bookmarkEnd w:id="63"/>
      <w:bookmarkEnd w:id="64"/>
    </w:p>
    <w:p w14:paraId="08787199">
      <w:pPr>
        <w:rPr>
          <w:rFonts w:hint="eastAsia" w:ascii="宋体" w:hAnsi="宋体" w:cs="宋体"/>
          <w:szCs w:val="21"/>
          <w:lang w:val="zh-CN"/>
        </w:rPr>
      </w:pPr>
    </w:p>
    <w:p w14:paraId="72C6FD3E">
      <w:pPr>
        <w:jc w:val="center"/>
        <w:rPr>
          <w:rFonts w:hint="eastAsia" w:ascii="宋体" w:hAnsi="宋体" w:cs="宋体"/>
          <w:b/>
          <w:sz w:val="36"/>
          <w:szCs w:val="36"/>
        </w:rPr>
      </w:pPr>
      <w:r>
        <w:rPr>
          <w:rFonts w:hint="eastAsia" w:ascii="宋体" w:hAnsi="宋体" w:cs="宋体"/>
          <w:b/>
          <w:sz w:val="36"/>
          <w:szCs w:val="36"/>
        </w:rPr>
        <w:t>竞争性磋商申请及声明</w:t>
      </w:r>
    </w:p>
    <w:p w14:paraId="74804D49">
      <w:pPr>
        <w:jc w:val="center"/>
        <w:rPr>
          <w:rFonts w:hint="eastAsia" w:ascii="宋体" w:hAnsi="宋体" w:cs="宋体"/>
          <w:szCs w:val="21"/>
        </w:rPr>
      </w:pPr>
    </w:p>
    <w:p w14:paraId="22E90A7C">
      <w:pPr>
        <w:spacing w:line="360" w:lineRule="auto"/>
        <w:ind w:firstLine="420"/>
        <w:rPr>
          <w:rFonts w:hint="eastAsia" w:ascii="宋体" w:hAnsi="宋体" w:cs="宋体"/>
          <w:szCs w:val="21"/>
          <w:lang w:val="zh-CN"/>
        </w:rPr>
      </w:pPr>
      <w:r>
        <w:rPr>
          <w:rFonts w:hint="eastAsia" w:ascii="宋体" w:hAnsi="宋体" w:cs="宋体"/>
          <w:szCs w:val="21"/>
          <w:lang w:val="zh-CN"/>
        </w:rPr>
        <w:t>致：南京江城工程项目管理有限公司</w:t>
      </w:r>
    </w:p>
    <w:p w14:paraId="05C72EDC">
      <w:pPr>
        <w:spacing w:line="440" w:lineRule="exact"/>
        <w:ind w:firstLine="420"/>
        <w:rPr>
          <w:rFonts w:hint="eastAsia" w:ascii="宋体" w:hAnsi="宋体" w:cs="宋体"/>
          <w:szCs w:val="21"/>
          <w:lang w:val="zh-CN"/>
        </w:rPr>
      </w:pPr>
      <w:r>
        <w:rPr>
          <w:rFonts w:hint="eastAsia" w:ascii="宋体" w:hAnsi="宋体" w:cs="宋体"/>
          <w:szCs w:val="21"/>
          <w:lang w:val="zh-CN"/>
        </w:rPr>
        <w:t>根据贵方</w:t>
      </w:r>
      <w:r>
        <w:rPr>
          <w:rFonts w:hint="eastAsia" w:ascii="宋体" w:hAnsi="宋体" w:cs="宋体"/>
          <w:szCs w:val="21"/>
          <w:u w:val="single"/>
          <w:lang w:val="zh-CN"/>
        </w:rPr>
        <w:t xml:space="preserve">                            </w:t>
      </w:r>
      <w:r>
        <w:rPr>
          <w:rFonts w:hint="eastAsia" w:ascii="宋体" w:hAnsi="宋体" w:cs="宋体"/>
          <w:szCs w:val="21"/>
          <w:lang w:val="zh-CN"/>
        </w:rPr>
        <w:t>（项目名称）</w:t>
      </w:r>
      <w:r>
        <w:rPr>
          <w:rFonts w:hint="eastAsia" w:ascii="宋体" w:hAnsi="宋体" w:cs="宋体"/>
          <w:szCs w:val="21"/>
          <w:u w:val="single"/>
          <w:lang w:val="zh-CN"/>
        </w:rPr>
        <w:t xml:space="preserve">           </w:t>
      </w:r>
      <w:r>
        <w:rPr>
          <w:rFonts w:hint="eastAsia" w:ascii="宋体" w:hAnsi="宋体" w:cs="宋体"/>
          <w:szCs w:val="21"/>
          <w:lang w:val="zh-CN"/>
        </w:rPr>
        <w:t>（项目编号）竞争性磋商公告，正式授权下述签字人</w:t>
      </w:r>
      <w:r>
        <w:rPr>
          <w:rFonts w:hint="eastAsia" w:ascii="宋体" w:hAnsi="宋体" w:cs="宋体"/>
          <w:szCs w:val="21"/>
          <w:u w:val="single"/>
          <w:lang w:val="zh-CN"/>
        </w:rPr>
        <w:t xml:space="preserve">                   </w:t>
      </w:r>
      <w:r>
        <w:rPr>
          <w:rFonts w:hint="eastAsia" w:ascii="宋体" w:hAnsi="宋体" w:cs="宋体"/>
          <w:szCs w:val="21"/>
          <w:lang w:val="zh-CN"/>
        </w:rPr>
        <w:t>(姓名和职务)代表（供应商名称），提交响应性文件并参加磋商。</w:t>
      </w:r>
    </w:p>
    <w:p w14:paraId="0A4C05BA">
      <w:pPr>
        <w:spacing w:line="440" w:lineRule="exact"/>
        <w:ind w:firstLine="420"/>
        <w:rPr>
          <w:rFonts w:hint="eastAsia" w:ascii="宋体" w:hAnsi="宋体" w:cs="宋体"/>
          <w:szCs w:val="21"/>
        </w:rPr>
      </w:pPr>
      <w:r>
        <w:rPr>
          <w:rFonts w:hint="eastAsia" w:ascii="宋体" w:hAnsi="宋体" w:cs="宋体"/>
          <w:szCs w:val="21"/>
        </w:rPr>
        <w:t>据此函，签字人兹宣布同意如下：</w:t>
      </w:r>
    </w:p>
    <w:p w14:paraId="19FBC5A2">
      <w:pPr>
        <w:spacing w:line="440" w:lineRule="exact"/>
        <w:ind w:firstLine="420"/>
        <w:rPr>
          <w:rFonts w:hint="eastAsia" w:ascii="宋体" w:hAnsi="宋体" w:cs="宋体"/>
          <w:szCs w:val="21"/>
        </w:rPr>
      </w:pPr>
      <w:r>
        <w:rPr>
          <w:rFonts w:hint="eastAsia" w:ascii="宋体" w:hAnsi="宋体" w:cs="宋体"/>
          <w:szCs w:val="21"/>
        </w:rPr>
        <w:t>1、</w:t>
      </w:r>
      <w:r>
        <w:rPr>
          <w:rFonts w:hint="eastAsia" w:ascii="宋体" w:hAnsi="宋体" w:cs="宋体"/>
          <w:szCs w:val="21"/>
          <w:lang w:val="zh-CN"/>
        </w:rPr>
        <w:t>我们的资格条件完全符合政府采购法和本次采购要求，</w:t>
      </w:r>
      <w:r>
        <w:rPr>
          <w:rFonts w:hint="eastAsia" w:ascii="宋体" w:hAnsi="宋体" w:cs="宋体"/>
          <w:szCs w:val="21"/>
        </w:rPr>
        <w:t>我们</w:t>
      </w:r>
      <w:r>
        <w:rPr>
          <w:rFonts w:hint="eastAsia" w:ascii="宋体" w:hAnsi="宋体" w:cs="宋体"/>
          <w:szCs w:val="21"/>
          <w:lang w:val="zh-CN"/>
        </w:rPr>
        <w:t>同意并向贵方提供了与本次采购活动有关的所有证据和资料</w:t>
      </w:r>
      <w:r>
        <w:rPr>
          <w:rFonts w:hint="eastAsia" w:ascii="宋体" w:hAnsi="宋体" w:cs="宋体"/>
          <w:szCs w:val="21"/>
        </w:rPr>
        <w:t>。</w:t>
      </w:r>
    </w:p>
    <w:p w14:paraId="5AB71B01">
      <w:pPr>
        <w:spacing w:line="440" w:lineRule="exact"/>
        <w:ind w:firstLine="420"/>
        <w:rPr>
          <w:rFonts w:hint="eastAsia" w:ascii="宋体" w:hAnsi="宋体" w:cs="宋体"/>
          <w:szCs w:val="21"/>
        </w:rPr>
      </w:pPr>
      <w:r>
        <w:rPr>
          <w:rFonts w:hint="eastAsia" w:ascii="宋体" w:hAnsi="宋体" w:cs="宋体"/>
          <w:szCs w:val="21"/>
        </w:rPr>
        <w:t>2、按磋商文件要求，我们的总报价</w:t>
      </w:r>
      <w:r>
        <w:rPr>
          <w:rFonts w:hint="eastAsia" w:ascii="宋体" w:hAnsi="宋体" w:cs="宋体"/>
          <w:szCs w:val="21"/>
          <w:u w:val="single"/>
        </w:rPr>
        <w:t>详见报价一览表</w:t>
      </w:r>
      <w:r>
        <w:rPr>
          <w:rFonts w:hint="eastAsia" w:ascii="宋体" w:hAnsi="宋体" w:cs="宋体"/>
          <w:szCs w:val="21"/>
        </w:rPr>
        <w:t>。</w:t>
      </w:r>
    </w:p>
    <w:p w14:paraId="6EE15AC7">
      <w:pPr>
        <w:spacing w:line="440" w:lineRule="exact"/>
        <w:ind w:firstLine="420"/>
        <w:rPr>
          <w:rFonts w:hint="eastAsia" w:ascii="宋体" w:hAnsi="宋体" w:cs="宋体"/>
          <w:szCs w:val="21"/>
        </w:rPr>
      </w:pPr>
      <w:r>
        <w:rPr>
          <w:rFonts w:hint="eastAsia" w:ascii="宋体" w:hAnsi="宋体" w:cs="宋体"/>
          <w:szCs w:val="21"/>
        </w:rPr>
        <w:t>3、本项目交付时间为：</w:t>
      </w:r>
      <w:r>
        <w:rPr>
          <w:rFonts w:hint="eastAsia" w:ascii="宋体" w:hAnsi="宋体" w:cs="宋体"/>
          <w:szCs w:val="21"/>
          <w:u w:val="single"/>
        </w:rPr>
        <w:t>满足磋商文件要求</w:t>
      </w:r>
      <w:r>
        <w:rPr>
          <w:rFonts w:hint="eastAsia" w:ascii="宋体" w:hAnsi="宋体" w:cs="宋体"/>
          <w:szCs w:val="21"/>
        </w:rPr>
        <w:t>。</w:t>
      </w:r>
    </w:p>
    <w:p w14:paraId="2A4CB748">
      <w:pPr>
        <w:spacing w:line="440" w:lineRule="exact"/>
        <w:ind w:firstLine="420"/>
        <w:rPr>
          <w:rFonts w:hint="eastAsia" w:ascii="宋体" w:hAnsi="宋体" w:cs="宋体"/>
          <w:szCs w:val="21"/>
          <w:lang w:val="zh-CN"/>
        </w:rPr>
      </w:pPr>
      <w:r>
        <w:rPr>
          <w:rFonts w:hint="eastAsia" w:ascii="宋体" w:hAnsi="宋体" w:cs="宋体"/>
          <w:szCs w:val="21"/>
        </w:rPr>
        <w:t>4、</w:t>
      </w:r>
      <w:r>
        <w:rPr>
          <w:rFonts w:hint="eastAsia" w:ascii="宋体" w:hAnsi="宋体" w:cs="宋体"/>
          <w:szCs w:val="21"/>
          <w:lang w:val="zh-CN"/>
        </w:rPr>
        <w:t>我们已详细阅读全部磋商文件及其有效补充文件，我们放弃对磋商文件任何误解的权利，提交响应文件后，</w:t>
      </w:r>
      <w:r>
        <w:rPr>
          <w:rFonts w:hint="eastAsia" w:ascii="宋体" w:hAnsi="宋体" w:cs="宋体"/>
          <w:b/>
          <w:szCs w:val="21"/>
          <w:lang w:val="zh-CN"/>
        </w:rPr>
        <w:t>不对磋商文件本身提出质疑</w:t>
      </w:r>
      <w:r>
        <w:rPr>
          <w:rFonts w:hint="eastAsia" w:ascii="宋体" w:hAnsi="宋体" w:cs="宋体"/>
          <w:szCs w:val="21"/>
          <w:lang w:val="zh-CN"/>
        </w:rPr>
        <w:t>。</w:t>
      </w:r>
    </w:p>
    <w:p w14:paraId="192B3326">
      <w:pPr>
        <w:widowControl/>
        <w:shd w:val="clear" w:color="auto" w:fill="FFFFFF"/>
        <w:spacing w:line="440" w:lineRule="exact"/>
        <w:ind w:firstLine="420"/>
        <w:rPr>
          <w:rFonts w:hint="eastAsia" w:ascii="宋体" w:hAnsi="宋体" w:cs="宋体"/>
          <w:szCs w:val="21"/>
        </w:rPr>
      </w:pPr>
      <w:r>
        <w:rPr>
          <w:rFonts w:hint="eastAsia" w:ascii="宋体" w:hAnsi="宋体" w:cs="宋体"/>
          <w:szCs w:val="21"/>
        </w:rPr>
        <w:t>5、一旦我方成交，我方将根据磋商文件的规定及我方响应承诺严格履行合同。</w:t>
      </w:r>
    </w:p>
    <w:p w14:paraId="4B9C284A">
      <w:pPr>
        <w:spacing w:line="440" w:lineRule="exact"/>
        <w:ind w:firstLine="420"/>
        <w:rPr>
          <w:rFonts w:hint="eastAsia" w:ascii="宋体" w:hAnsi="宋体" w:cs="宋体"/>
          <w:szCs w:val="21"/>
        </w:rPr>
      </w:pPr>
      <w:r>
        <w:rPr>
          <w:rFonts w:hint="eastAsia" w:ascii="宋体" w:hAnsi="宋体" w:cs="宋体"/>
          <w:szCs w:val="21"/>
        </w:rPr>
        <w:t>6、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p>
    <w:p w14:paraId="6E3676BB">
      <w:pPr>
        <w:spacing w:line="440" w:lineRule="exact"/>
        <w:ind w:firstLine="420"/>
        <w:rPr>
          <w:rFonts w:hint="eastAsia" w:ascii="宋体" w:hAnsi="宋体" w:cs="宋体"/>
          <w:szCs w:val="21"/>
        </w:rPr>
      </w:pPr>
      <w:r>
        <w:rPr>
          <w:rFonts w:hint="eastAsia" w:ascii="宋体" w:hAnsi="宋体" w:cs="宋体"/>
          <w:szCs w:val="21"/>
        </w:rPr>
        <w:t>7、我方正式通讯方式为：</w:t>
      </w:r>
    </w:p>
    <w:p w14:paraId="6FD62027">
      <w:pPr>
        <w:spacing w:line="440" w:lineRule="exact"/>
        <w:ind w:firstLine="420"/>
        <w:rPr>
          <w:rFonts w:hint="eastAsia" w:ascii="宋体" w:hAnsi="宋体" w:cs="宋体"/>
          <w:szCs w:val="21"/>
          <w:u w:val="single"/>
        </w:rPr>
      </w:pPr>
      <w:r>
        <w:rPr>
          <w:rFonts w:hint="eastAsia" w:ascii="宋体" w:hAnsi="宋体" w:cs="宋体"/>
          <w:szCs w:val="21"/>
        </w:rPr>
        <w:t>地   址：</w:t>
      </w:r>
      <w:r>
        <w:rPr>
          <w:rFonts w:hint="eastAsia" w:ascii="宋体" w:hAnsi="宋体" w:cs="宋体"/>
          <w:szCs w:val="21"/>
          <w:u w:val="single"/>
        </w:rPr>
        <w:t xml:space="preserve">                       </w:t>
      </w:r>
    </w:p>
    <w:p w14:paraId="5964F7C0">
      <w:pPr>
        <w:spacing w:line="440" w:lineRule="exact"/>
        <w:ind w:firstLine="420"/>
        <w:rPr>
          <w:rFonts w:hint="eastAsia" w:ascii="宋体" w:hAnsi="宋体" w:cs="宋体"/>
          <w:szCs w:val="21"/>
          <w:u w:val="single"/>
        </w:rPr>
      </w:pPr>
      <w:r>
        <w:rPr>
          <w:rFonts w:hint="eastAsia" w:ascii="宋体" w:hAnsi="宋体" w:cs="宋体"/>
          <w:szCs w:val="21"/>
        </w:rPr>
        <w:t>电   话：</w:t>
      </w:r>
      <w:r>
        <w:rPr>
          <w:rFonts w:hint="eastAsia" w:ascii="宋体" w:hAnsi="宋体" w:cs="宋体"/>
          <w:szCs w:val="21"/>
          <w:u w:val="single"/>
        </w:rPr>
        <w:t xml:space="preserve">                       </w:t>
      </w:r>
    </w:p>
    <w:p w14:paraId="23F4F37C">
      <w:pPr>
        <w:spacing w:line="440" w:lineRule="exact"/>
        <w:ind w:firstLine="420"/>
        <w:rPr>
          <w:rFonts w:hint="eastAsia" w:ascii="宋体" w:hAnsi="宋体" w:cs="宋体"/>
          <w:szCs w:val="21"/>
          <w:u w:val="single"/>
        </w:rPr>
      </w:pPr>
      <w:r>
        <w:rPr>
          <w:rFonts w:hint="eastAsia" w:ascii="宋体" w:hAnsi="宋体" w:cs="宋体"/>
          <w:szCs w:val="21"/>
        </w:rPr>
        <w:t>传   真：</w:t>
      </w:r>
      <w:r>
        <w:rPr>
          <w:rFonts w:hint="eastAsia" w:ascii="宋体" w:hAnsi="宋体" w:cs="宋体"/>
          <w:szCs w:val="21"/>
          <w:u w:val="single"/>
        </w:rPr>
        <w:t xml:space="preserve">                       </w:t>
      </w:r>
    </w:p>
    <w:p w14:paraId="2672F886">
      <w:pPr>
        <w:spacing w:line="440" w:lineRule="exact"/>
        <w:ind w:firstLine="420"/>
        <w:rPr>
          <w:rFonts w:hint="eastAsia" w:ascii="宋体" w:hAnsi="宋体" w:cs="宋体"/>
          <w:szCs w:val="21"/>
        </w:rPr>
      </w:pPr>
      <w:r>
        <w:rPr>
          <w:rFonts w:hint="eastAsia" w:ascii="宋体" w:hAnsi="宋体" w:cs="宋体"/>
          <w:szCs w:val="21"/>
        </w:rPr>
        <w:t>8、我方正式开户银行和账号为：</w:t>
      </w:r>
    </w:p>
    <w:p w14:paraId="7550286F">
      <w:pPr>
        <w:spacing w:line="440" w:lineRule="exact"/>
        <w:ind w:firstLine="420"/>
        <w:rPr>
          <w:rFonts w:hint="eastAsia" w:ascii="宋体" w:hAnsi="宋体" w:cs="宋体"/>
          <w:szCs w:val="21"/>
          <w:u w:val="single"/>
        </w:rPr>
      </w:pPr>
      <w:r>
        <w:rPr>
          <w:rFonts w:hint="eastAsia" w:ascii="宋体" w:hAnsi="宋体" w:cs="宋体"/>
          <w:szCs w:val="21"/>
        </w:rPr>
        <w:t>开户银行：</w:t>
      </w:r>
      <w:r>
        <w:rPr>
          <w:rFonts w:hint="eastAsia" w:ascii="宋体" w:hAnsi="宋体" w:cs="宋体"/>
          <w:szCs w:val="21"/>
          <w:u w:val="single"/>
        </w:rPr>
        <w:t xml:space="preserve">                       </w:t>
      </w:r>
    </w:p>
    <w:p w14:paraId="59BD2F7B">
      <w:pPr>
        <w:spacing w:line="440" w:lineRule="exact"/>
        <w:ind w:firstLine="420"/>
        <w:rPr>
          <w:rFonts w:hint="eastAsia" w:ascii="宋体" w:hAnsi="宋体" w:cs="宋体"/>
          <w:szCs w:val="21"/>
        </w:rPr>
      </w:pPr>
      <w:r>
        <w:rPr>
          <w:rFonts w:hint="eastAsia" w:ascii="宋体" w:hAnsi="宋体" w:cs="宋体"/>
          <w:szCs w:val="21"/>
        </w:rPr>
        <w:t>账    号：</w:t>
      </w:r>
      <w:r>
        <w:rPr>
          <w:rFonts w:hint="eastAsia" w:ascii="宋体" w:hAnsi="宋体" w:cs="宋体"/>
          <w:szCs w:val="21"/>
          <w:u w:val="single"/>
        </w:rPr>
        <w:t xml:space="preserve">                       </w:t>
      </w:r>
    </w:p>
    <w:p w14:paraId="58021054">
      <w:pPr>
        <w:spacing w:line="440" w:lineRule="exact"/>
        <w:ind w:firstLine="420"/>
        <w:rPr>
          <w:rFonts w:hint="eastAsia" w:ascii="宋体" w:hAnsi="宋体" w:cs="宋体"/>
          <w:szCs w:val="21"/>
        </w:rPr>
      </w:pPr>
      <w:r>
        <w:rPr>
          <w:rFonts w:hint="eastAsia" w:ascii="宋体" w:hAnsi="宋体" w:cs="宋体"/>
          <w:szCs w:val="21"/>
        </w:rPr>
        <w:t>供应商名称（加盖电子公章）：</w:t>
      </w:r>
      <w:r>
        <w:rPr>
          <w:rFonts w:hint="eastAsia" w:ascii="宋体" w:hAnsi="宋体" w:cs="宋体"/>
          <w:szCs w:val="21"/>
          <w:u w:val="single"/>
        </w:rPr>
        <w:t xml:space="preserve">                 </w:t>
      </w:r>
    </w:p>
    <w:p w14:paraId="23BE8B46">
      <w:pPr>
        <w:spacing w:line="440" w:lineRule="exact"/>
        <w:ind w:firstLine="420"/>
        <w:rPr>
          <w:rFonts w:hint="eastAsia" w:ascii="宋体" w:hAnsi="宋体" w:cs="宋体"/>
          <w:szCs w:val="21"/>
        </w:rPr>
      </w:pPr>
      <w:r>
        <w:rPr>
          <w:rFonts w:hint="eastAsia" w:ascii="宋体" w:hAnsi="宋体" w:cs="宋体"/>
          <w:szCs w:val="21"/>
        </w:rPr>
        <w:t>日    期：</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w:t>
      </w:r>
    </w:p>
    <w:p w14:paraId="64F481ED">
      <w:pPr>
        <w:spacing w:before="312" w:after="312"/>
        <w:rPr>
          <w:rFonts w:hint="eastAsia" w:ascii="宋体" w:hAnsi="宋体" w:cs="宋体"/>
          <w:b/>
        </w:rPr>
      </w:pPr>
      <w:r>
        <w:rPr>
          <w:rFonts w:hint="eastAsia" w:ascii="宋体" w:hAnsi="宋体" w:cs="宋体"/>
          <w:szCs w:val="21"/>
          <w:lang w:val="zh-CN"/>
        </w:rPr>
        <w:br w:type="page" w:clear="all"/>
      </w:r>
      <w:bookmarkStart w:id="65" w:name="_Toc504056869"/>
      <w:bookmarkStart w:id="66" w:name="_Toc490133029"/>
      <w:bookmarkStart w:id="67" w:name="_Toc534273801"/>
      <w:bookmarkStart w:id="68" w:name="_Toc504044381"/>
      <w:bookmarkStart w:id="69" w:name="_Toc534273678"/>
      <w:bookmarkStart w:id="70" w:name="_Toc504573084"/>
      <w:r>
        <w:rPr>
          <w:rFonts w:hint="eastAsia" w:ascii="宋体" w:hAnsi="宋体" w:cs="宋体"/>
          <w:b/>
        </w:rPr>
        <w:t>附件二、法定代表人授权书格式</w:t>
      </w:r>
      <w:bookmarkEnd w:id="65"/>
      <w:bookmarkEnd w:id="66"/>
      <w:bookmarkEnd w:id="67"/>
      <w:bookmarkEnd w:id="68"/>
      <w:bookmarkEnd w:id="69"/>
      <w:bookmarkEnd w:id="70"/>
    </w:p>
    <w:p w14:paraId="52D73F04">
      <w:pPr>
        <w:rPr>
          <w:rFonts w:hint="eastAsia" w:ascii="宋体" w:hAnsi="宋体" w:cs="宋体"/>
          <w:b/>
          <w:szCs w:val="21"/>
          <w:lang w:val="zh-CN"/>
        </w:rPr>
      </w:pPr>
    </w:p>
    <w:p w14:paraId="6298EA1C">
      <w:pPr>
        <w:jc w:val="center"/>
        <w:rPr>
          <w:rFonts w:hint="eastAsia" w:ascii="宋体" w:hAnsi="宋体" w:cs="宋体"/>
          <w:b/>
          <w:sz w:val="36"/>
          <w:szCs w:val="36"/>
        </w:rPr>
      </w:pPr>
      <w:r>
        <w:rPr>
          <w:rFonts w:hint="eastAsia" w:ascii="宋体" w:hAnsi="宋体" w:cs="宋体"/>
          <w:b/>
          <w:sz w:val="36"/>
          <w:szCs w:val="36"/>
        </w:rPr>
        <w:t>法定代表人授权书</w:t>
      </w:r>
    </w:p>
    <w:p w14:paraId="7962A53E">
      <w:pPr>
        <w:spacing w:line="360" w:lineRule="auto"/>
        <w:rPr>
          <w:rFonts w:hint="eastAsia" w:ascii="宋体" w:hAnsi="宋体" w:cs="宋体"/>
          <w:szCs w:val="21"/>
          <w:lang w:val="zh-CN"/>
        </w:rPr>
      </w:pPr>
    </w:p>
    <w:p w14:paraId="53636B18">
      <w:pPr>
        <w:spacing w:line="360" w:lineRule="auto"/>
        <w:rPr>
          <w:rFonts w:hint="eastAsia" w:ascii="宋体" w:hAnsi="宋体" w:cs="宋体"/>
          <w:szCs w:val="21"/>
          <w:lang w:val="zh-CN"/>
        </w:rPr>
      </w:pPr>
      <w:r>
        <w:rPr>
          <w:rFonts w:hint="eastAsia" w:ascii="宋体" w:hAnsi="宋体" w:cs="宋体"/>
          <w:szCs w:val="21"/>
        </w:rPr>
        <w:t>致：</w:t>
      </w:r>
      <w:r>
        <w:rPr>
          <w:rFonts w:hint="eastAsia" w:ascii="宋体" w:hAnsi="宋体" w:cs="宋体"/>
          <w:szCs w:val="21"/>
          <w:lang w:val="zh-CN"/>
        </w:rPr>
        <w:t>南京江城工程项目管理有限公司</w:t>
      </w:r>
    </w:p>
    <w:p w14:paraId="3C1C6DEC">
      <w:pPr>
        <w:spacing w:line="360" w:lineRule="auto"/>
        <w:ind w:firstLine="420"/>
        <w:rPr>
          <w:rFonts w:hint="eastAsia" w:ascii="宋体" w:hAnsi="宋体" w:cs="宋体"/>
          <w:szCs w:val="21"/>
          <w:lang w:val="zh-CN"/>
        </w:rPr>
      </w:pPr>
      <w:r>
        <w:rPr>
          <w:rFonts w:hint="eastAsia" w:ascii="宋体" w:hAnsi="宋体" w:cs="宋体"/>
          <w:szCs w:val="21"/>
          <w:lang w:val="zh-CN"/>
        </w:rPr>
        <w:t>本授权书声明：注册于</w:t>
      </w:r>
      <w:r>
        <w:rPr>
          <w:rFonts w:hint="eastAsia" w:ascii="宋体" w:hAnsi="宋体" w:cs="宋体"/>
          <w:szCs w:val="21"/>
          <w:u w:val="single"/>
          <w:lang w:val="zh-CN"/>
        </w:rPr>
        <w:t xml:space="preserve">                      </w:t>
      </w:r>
      <w:r>
        <w:rPr>
          <w:rFonts w:hint="eastAsia" w:ascii="宋体" w:hAnsi="宋体" w:cs="宋体"/>
          <w:szCs w:val="21"/>
          <w:lang w:val="zh-CN"/>
        </w:rPr>
        <w:t>（供应商住址）的</w:t>
      </w:r>
      <w:r>
        <w:rPr>
          <w:rFonts w:hint="eastAsia" w:ascii="宋体" w:hAnsi="宋体" w:cs="宋体"/>
          <w:szCs w:val="21"/>
          <w:u w:val="single"/>
          <w:lang w:val="zh-CN"/>
        </w:rPr>
        <w:t xml:space="preserve">             </w:t>
      </w:r>
      <w:r>
        <w:rPr>
          <w:rFonts w:hint="eastAsia" w:ascii="宋体" w:hAnsi="宋体" w:cs="宋体"/>
          <w:szCs w:val="21"/>
          <w:lang w:val="zh-CN"/>
        </w:rPr>
        <w:t>（供应商名称）法定代表人</w:t>
      </w:r>
      <w:r>
        <w:rPr>
          <w:rFonts w:hint="eastAsia" w:ascii="宋体" w:hAnsi="宋体" w:cs="宋体"/>
          <w:szCs w:val="21"/>
          <w:u w:val="single"/>
          <w:lang w:val="zh-CN"/>
        </w:rPr>
        <w:t xml:space="preserve">                      </w:t>
      </w:r>
      <w:r>
        <w:rPr>
          <w:rFonts w:hint="eastAsia" w:ascii="宋体" w:hAnsi="宋体" w:cs="宋体"/>
          <w:szCs w:val="21"/>
          <w:lang w:val="zh-CN"/>
        </w:rPr>
        <w:t>（法定代表人姓名、职务）代表本公司授权在下面签字的</w:t>
      </w:r>
      <w:r>
        <w:rPr>
          <w:rFonts w:hint="eastAsia" w:ascii="宋体" w:hAnsi="宋体" w:cs="宋体"/>
          <w:szCs w:val="21"/>
          <w:u w:val="single"/>
          <w:lang w:val="zh-CN"/>
        </w:rPr>
        <w:t xml:space="preserve">                       </w:t>
      </w:r>
      <w:r>
        <w:rPr>
          <w:rFonts w:hint="eastAsia" w:ascii="宋体" w:hAnsi="宋体" w:cs="宋体"/>
          <w:szCs w:val="21"/>
          <w:lang w:val="zh-CN"/>
        </w:rPr>
        <w:t>（供应商代表姓名、职务）为本公司的合法代理人，就贵方组织的项目名称</w:t>
      </w:r>
      <w:r>
        <w:rPr>
          <w:rFonts w:hint="eastAsia" w:ascii="宋体" w:hAnsi="宋体" w:cs="宋体"/>
          <w:bCs/>
          <w:szCs w:val="21"/>
          <w:u w:val="single"/>
          <w:lang w:val="zh-CN"/>
        </w:rPr>
        <w:t xml:space="preserve">                    </w:t>
      </w:r>
      <w:r>
        <w:rPr>
          <w:rFonts w:hint="eastAsia" w:ascii="宋体" w:hAnsi="宋体" w:cs="宋体"/>
          <w:szCs w:val="21"/>
          <w:lang w:val="zh-CN"/>
        </w:rPr>
        <w:t>，项目编号：</w:t>
      </w:r>
      <w:r>
        <w:rPr>
          <w:rFonts w:hint="eastAsia" w:ascii="宋体" w:hAnsi="宋体" w:cs="宋体"/>
          <w:szCs w:val="21"/>
          <w:u w:val="single"/>
          <w:lang w:val="zh-CN"/>
        </w:rPr>
        <w:t xml:space="preserve">        </w:t>
      </w:r>
      <w:r>
        <w:rPr>
          <w:rFonts w:hint="eastAsia" w:ascii="宋体" w:hAnsi="宋体" w:cs="宋体"/>
          <w:szCs w:val="21"/>
          <w:lang w:val="zh-CN"/>
        </w:rPr>
        <w:t>竞争性磋商，以本公司名义处理一切与之有关的事务。</w:t>
      </w:r>
    </w:p>
    <w:p w14:paraId="05164009">
      <w:pPr>
        <w:spacing w:line="360" w:lineRule="auto"/>
        <w:ind w:firstLine="420"/>
        <w:rPr>
          <w:rFonts w:hint="eastAsia" w:ascii="宋体" w:hAnsi="宋体" w:cs="宋体"/>
          <w:szCs w:val="21"/>
          <w:lang w:val="zh-CN"/>
        </w:rPr>
      </w:pPr>
      <w:r>
        <w:rPr>
          <w:rFonts w:hint="eastAsia" w:ascii="宋体" w:hAnsi="宋体" w:cs="宋体"/>
          <w:szCs w:val="21"/>
          <w:lang w:val="zh-CN"/>
        </w:rPr>
        <w:t>本授权书于        年   月   日签字生效，特此声明。</w:t>
      </w:r>
    </w:p>
    <w:p w14:paraId="53C79041">
      <w:pPr>
        <w:tabs>
          <w:tab w:val="left" w:pos="1440"/>
        </w:tabs>
        <w:spacing w:line="360" w:lineRule="auto"/>
        <w:ind w:firstLine="420"/>
        <w:rPr>
          <w:rFonts w:hint="eastAsia" w:ascii="宋体" w:hAnsi="宋体" w:cs="宋体"/>
          <w:szCs w:val="21"/>
          <w:lang w:val="zh-CN"/>
        </w:rPr>
      </w:pPr>
      <w:r>
        <w:rPr>
          <w:rFonts w:hint="eastAsia" w:ascii="宋体" w:hAnsi="宋体" w:cs="宋体"/>
          <w:szCs w:val="21"/>
          <w:lang w:val="zh-CN"/>
        </w:rPr>
        <w:t>被授权人身份证号码：</w:t>
      </w:r>
    </w:p>
    <w:p w14:paraId="678D7B71">
      <w:pPr>
        <w:tabs>
          <w:tab w:val="left" w:pos="1440"/>
        </w:tabs>
        <w:spacing w:line="360" w:lineRule="auto"/>
        <w:ind w:firstLine="420"/>
        <w:rPr>
          <w:rFonts w:hint="eastAsia" w:ascii="宋体" w:hAnsi="宋体" w:cs="宋体"/>
          <w:szCs w:val="21"/>
          <w:lang w:val="zh-CN"/>
        </w:rPr>
      </w:pPr>
      <w:r>
        <w:rPr>
          <w:rFonts w:hint="eastAsia" w:ascii="宋体" w:hAnsi="宋体" w:cs="宋体"/>
          <w:szCs w:val="21"/>
          <w:lang w:val="zh-CN"/>
        </w:rPr>
        <w:t>被授权人联系电话：（手机）</w:t>
      </w:r>
    </w:p>
    <w:p w14:paraId="0816F0D0">
      <w:pPr>
        <w:tabs>
          <w:tab w:val="left" w:pos="1440"/>
        </w:tabs>
        <w:spacing w:line="360" w:lineRule="auto"/>
        <w:ind w:firstLine="420"/>
        <w:rPr>
          <w:rFonts w:hint="eastAsia" w:ascii="宋体" w:hAnsi="宋体" w:cs="宋体"/>
          <w:szCs w:val="21"/>
          <w:lang w:val="zh-CN"/>
        </w:rPr>
      </w:pPr>
      <w:r>
        <w:rPr>
          <w:rFonts w:hint="eastAsia" w:ascii="宋体" w:hAnsi="宋体" w:cs="宋体"/>
          <w:szCs w:val="21"/>
          <w:lang w:val="zh-CN"/>
        </w:rPr>
        <w:t>单位名称：（加盖电子公章）</w:t>
      </w:r>
    </w:p>
    <w:p w14:paraId="7CE0CF0C">
      <w:pPr>
        <w:tabs>
          <w:tab w:val="left" w:pos="1440"/>
        </w:tabs>
        <w:spacing w:line="360" w:lineRule="auto"/>
        <w:ind w:firstLine="420"/>
        <w:rPr>
          <w:rFonts w:hint="eastAsia" w:ascii="宋体" w:hAnsi="宋体" w:cs="宋体"/>
          <w:szCs w:val="21"/>
          <w:lang w:val="zh-CN"/>
        </w:rPr>
      </w:pPr>
      <w:r>
        <w:rPr>
          <w:rFonts w:hint="eastAsia" w:ascii="宋体" w:hAnsi="宋体" w:cs="宋体"/>
          <w:szCs w:val="21"/>
          <w:lang w:val="zh-CN"/>
        </w:rPr>
        <w:t>单位地址：</w:t>
      </w:r>
    </w:p>
    <w:p w14:paraId="1B6E9C18">
      <w:pPr>
        <w:tabs>
          <w:tab w:val="left" w:pos="1440"/>
        </w:tabs>
        <w:spacing w:line="360" w:lineRule="auto"/>
        <w:ind w:firstLine="420"/>
        <w:rPr>
          <w:rFonts w:hint="eastAsia" w:ascii="宋体" w:hAnsi="宋体" w:cs="宋体"/>
          <w:szCs w:val="21"/>
          <w:lang w:val="zh-CN"/>
        </w:rPr>
      </w:pPr>
      <w:r>
        <w:rPr>
          <w:rFonts w:hint="eastAsia" w:ascii="宋体" w:hAnsi="宋体" w:cs="宋体"/>
          <w:szCs w:val="21"/>
          <w:lang w:val="zh-CN"/>
        </w:rPr>
        <w:t>日    期：</w:t>
      </w:r>
    </w:p>
    <w:p w14:paraId="3DBAEE5E">
      <w:pPr>
        <w:spacing w:line="360" w:lineRule="auto"/>
        <w:rPr>
          <w:rFonts w:hint="eastAsia" w:ascii="宋体" w:hAnsi="宋体" w:cs="宋体"/>
          <w:szCs w:val="21"/>
          <w:lang w:val="zh-CN"/>
        </w:rPr>
      </w:pPr>
    </w:p>
    <w:p w14:paraId="7DC35B3E">
      <w:pPr>
        <w:spacing w:before="312" w:after="312"/>
        <w:rPr>
          <w:rFonts w:hint="eastAsia" w:ascii="宋体" w:hAnsi="宋体" w:cs="宋体"/>
          <w:b/>
          <w:szCs w:val="21"/>
        </w:rPr>
      </w:pPr>
      <w:r>
        <w:rPr>
          <w:rFonts w:hint="eastAsia" w:ascii="宋体" w:hAnsi="宋体" w:cs="宋体"/>
          <w:b/>
          <w:szCs w:val="21"/>
        </w:rPr>
        <w:t>附：法定代表人、供应商授权代表的身份证</w:t>
      </w:r>
      <w:r>
        <w:rPr>
          <w:rFonts w:hint="eastAsia" w:ascii="宋体" w:hAnsi="宋体" w:cs="宋体"/>
          <w:b/>
          <w:szCs w:val="21"/>
          <w:lang w:eastAsia="zh-CN"/>
        </w:rPr>
        <w:t>扫描件</w:t>
      </w:r>
      <w:r>
        <w:rPr>
          <w:rFonts w:hint="eastAsia" w:ascii="宋体" w:hAnsi="宋体" w:cs="宋体"/>
          <w:b/>
          <w:szCs w:val="21"/>
        </w:rPr>
        <w:t>：</w:t>
      </w:r>
    </w:p>
    <w:p w14:paraId="6D48AEA8">
      <w:pPr>
        <w:spacing w:before="312" w:after="312"/>
        <w:rPr>
          <w:rFonts w:hint="eastAsia" w:ascii="宋体" w:hAnsi="宋体" w:cs="宋体"/>
          <w:b/>
          <w:szCs w:val="21"/>
        </w:rPr>
      </w:pPr>
    </w:p>
    <w:p w14:paraId="5D83CB39">
      <w:pPr>
        <w:spacing w:before="312" w:after="312"/>
        <w:rPr>
          <w:rFonts w:hint="eastAsia" w:ascii="宋体" w:hAnsi="宋体" w:cs="宋体"/>
          <w:b/>
        </w:rPr>
      </w:pPr>
      <w:r>
        <w:rPr>
          <w:rFonts w:hint="eastAsia" w:ascii="宋体" w:hAnsi="宋体" w:cs="宋体"/>
          <w:lang w:val="zh-CN"/>
        </w:rPr>
        <w:br w:type="page" w:clear="all"/>
      </w:r>
      <w:bookmarkStart w:id="71" w:name="_Toc504044382"/>
      <w:bookmarkStart w:id="72" w:name="_Toc504056870"/>
      <w:bookmarkStart w:id="73" w:name="_Toc534273802"/>
      <w:bookmarkStart w:id="74" w:name="_Toc504573085"/>
      <w:bookmarkStart w:id="75" w:name="_Toc534273679"/>
      <w:bookmarkStart w:id="76" w:name="_Toc490133030"/>
      <w:bookmarkStart w:id="77" w:name="_Hlk213935803"/>
      <w:r>
        <w:rPr>
          <w:rFonts w:hint="eastAsia" w:ascii="宋体" w:hAnsi="宋体" w:cs="宋体"/>
          <w:b/>
        </w:rPr>
        <w:t>附件三、报价表</w:t>
      </w:r>
      <w:bookmarkEnd w:id="71"/>
      <w:bookmarkEnd w:id="72"/>
      <w:bookmarkEnd w:id="73"/>
      <w:bookmarkEnd w:id="74"/>
      <w:bookmarkEnd w:id="75"/>
      <w:bookmarkEnd w:id="76"/>
    </w:p>
    <w:p w14:paraId="5FA30389">
      <w:pPr>
        <w:rPr>
          <w:rFonts w:hint="eastAsia" w:ascii="宋体" w:hAnsi="宋体" w:cs="宋体"/>
          <w:b/>
          <w:szCs w:val="21"/>
          <w:lang w:val="zh-CN"/>
        </w:rPr>
      </w:pPr>
    </w:p>
    <w:p w14:paraId="07AA7434">
      <w:pPr>
        <w:jc w:val="center"/>
        <w:rPr>
          <w:rFonts w:hint="eastAsia" w:ascii="宋体" w:hAnsi="宋体" w:cs="宋体"/>
          <w:b/>
          <w:sz w:val="36"/>
          <w:szCs w:val="36"/>
        </w:rPr>
      </w:pPr>
      <w:r>
        <w:rPr>
          <w:rFonts w:hint="eastAsia" w:ascii="宋体" w:hAnsi="宋体" w:cs="宋体"/>
          <w:b/>
          <w:sz w:val="36"/>
          <w:szCs w:val="36"/>
        </w:rPr>
        <w:t>报价一览表</w:t>
      </w:r>
    </w:p>
    <w:p w14:paraId="073438CD">
      <w:pPr>
        <w:widowControl/>
        <w:shd w:val="clear" w:color="auto" w:fill="FFFFFF"/>
        <w:spacing w:line="360" w:lineRule="auto"/>
        <w:jc w:val="center"/>
        <w:rPr>
          <w:rFonts w:hint="eastAsia" w:ascii="宋体" w:hAnsi="宋体" w:cs="宋体"/>
          <w:szCs w:val="21"/>
        </w:rPr>
      </w:pPr>
      <w:r>
        <w:rPr>
          <w:rFonts w:hint="eastAsia" w:ascii="宋体" w:hAnsi="宋体" w:cs="宋体"/>
          <w:szCs w:val="21"/>
          <w:lang w:val="zh-CN"/>
        </w:rPr>
        <w:t xml:space="preserve">               </w:t>
      </w:r>
    </w:p>
    <w:p w14:paraId="78A43810">
      <w:pPr>
        <w:pStyle w:val="61"/>
        <w:spacing w:line="440" w:lineRule="exact"/>
        <w:ind w:firstLine="473"/>
        <w:rPr>
          <w:rFonts w:hint="eastAsia" w:ascii="宋体" w:hAnsi="宋体" w:cs="宋体"/>
          <w:szCs w:val="21"/>
        </w:rPr>
      </w:pPr>
      <w:r>
        <w:rPr>
          <w:rFonts w:hint="eastAsia" w:ascii="宋体" w:hAnsi="宋体" w:cs="宋体"/>
          <w:szCs w:val="21"/>
        </w:rPr>
        <w:t>项目名称：                                         项目编号：</w:t>
      </w:r>
    </w:p>
    <w:tbl>
      <w:tblPr>
        <w:tblStyle w:val="28"/>
        <w:tblW w:w="4998" w:type="pct"/>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962"/>
        <w:gridCol w:w="1284"/>
        <w:gridCol w:w="5473"/>
      </w:tblGrid>
      <w:tr w14:paraId="419BAF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63" w:hRule="atLeast"/>
        </w:trPr>
        <w:tc>
          <w:tcPr>
            <w:tcW w:w="1951" w:type="dxa"/>
            <w:noWrap w:val="0"/>
            <w:vAlign w:val="center"/>
          </w:tcPr>
          <w:p w14:paraId="2341B303">
            <w:pPr>
              <w:pStyle w:val="61"/>
              <w:spacing w:line="440" w:lineRule="exact"/>
              <w:ind w:firstLine="0"/>
              <w:jc w:val="center"/>
              <w:rPr>
                <w:rFonts w:hint="eastAsia" w:ascii="宋体" w:hAnsi="宋体" w:cs="宋体"/>
                <w:szCs w:val="21"/>
              </w:rPr>
            </w:pPr>
            <w:r>
              <w:rPr>
                <w:rFonts w:hint="eastAsia" w:ascii="宋体" w:hAnsi="宋体" w:cs="宋体"/>
                <w:szCs w:val="21"/>
              </w:rPr>
              <w:t>响应总价</w:t>
            </w:r>
          </w:p>
        </w:tc>
        <w:tc>
          <w:tcPr>
            <w:tcW w:w="1276" w:type="dxa"/>
            <w:noWrap w:val="0"/>
            <w:vAlign w:val="center"/>
          </w:tcPr>
          <w:p w14:paraId="438559E0">
            <w:pPr>
              <w:pStyle w:val="61"/>
              <w:spacing w:line="440" w:lineRule="exact"/>
              <w:ind w:firstLine="0"/>
              <w:jc w:val="center"/>
              <w:rPr>
                <w:rFonts w:hint="eastAsia" w:ascii="宋体" w:hAnsi="宋体" w:cs="宋体"/>
                <w:szCs w:val="21"/>
              </w:rPr>
            </w:pPr>
            <w:r>
              <w:rPr>
                <w:rFonts w:hint="eastAsia" w:ascii="宋体" w:hAnsi="宋体" w:cs="宋体"/>
                <w:szCs w:val="21"/>
              </w:rPr>
              <w:t>合计</w:t>
            </w:r>
          </w:p>
        </w:tc>
        <w:tc>
          <w:tcPr>
            <w:tcW w:w="5266" w:type="dxa"/>
            <w:noWrap w:val="0"/>
            <w:vAlign w:val="center"/>
          </w:tcPr>
          <w:p w14:paraId="595E1345">
            <w:pPr>
              <w:pStyle w:val="61"/>
              <w:spacing w:line="440" w:lineRule="exact"/>
              <w:ind w:firstLine="0"/>
              <w:rPr>
                <w:rFonts w:hint="eastAsia" w:ascii="宋体" w:hAnsi="宋体" w:cs="宋体"/>
                <w:bCs/>
                <w:szCs w:val="21"/>
              </w:rPr>
            </w:pPr>
            <w:r>
              <w:rPr>
                <w:rFonts w:hint="eastAsia" w:ascii="宋体" w:hAnsi="宋体" w:cs="宋体"/>
                <w:szCs w:val="21"/>
              </w:rPr>
              <w:t>小写：人民币            元</w:t>
            </w:r>
          </w:p>
          <w:p w14:paraId="54EE23BE">
            <w:pPr>
              <w:pStyle w:val="61"/>
              <w:spacing w:line="440" w:lineRule="exact"/>
              <w:ind w:firstLine="473"/>
              <w:rPr>
                <w:rFonts w:hint="eastAsia" w:ascii="宋体" w:hAnsi="宋体" w:cs="宋体"/>
                <w:szCs w:val="21"/>
              </w:rPr>
            </w:pPr>
          </w:p>
          <w:p w14:paraId="232B835B">
            <w:pPr>
              <w:pStyle w:val="61"/>
              <w:spacing w:line="440" w:lineRule="exact"/>
              <w:ind w:firstLine="0"/>
              <w:rPr>
                <w:rFonts w:hint="eastAsia" w:ascii="宋体" w:hAnsi="宋体" w:cs="宋体"/>
                <w:szCs w:val="21"/>
              </w:rPr>
            </w:pPr>
            <w:r>
              <w:rPr>
                <w:rFonts w:hint="eastAsia" w:ascii="宋体" w:hAnsi="宋体" w:cs="宋体"/>
                <w:szCs w:val="21"/>
              </w:rPr>
              <w:t>大写：人民币            元</w:t>
            </w:r>
          </w:p>
        </w:tc>
      </w:tr>
      <w:tr w14:paraId="7F14E1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6" w:hRule="atLeast"/>
        </w:trPr>
        <w:tc>
          <w:tcPr>
            <w:tcW w:w="1951" w:type="dxa"/>
            <w:noWrap w:val="0"/>
            <w:vAlign w:val="center"/>
          </w:tcPr>
          <w:p w14:paraId="5953D9F7">
            <w:pPr>
              <w:pStyle w:val="61"/>
              <w:spacing w:line="440" w:lineRule="exact"/>
              <w:ind w:firstLine="0"/>
              <w:jc w:val="center"/>
              <w:rPr>
                <w:rFonts w:hint="eastAsia" w:ascii="宋体" w:hAnsi="宋体" w:cs="宋体"/>
                <w:szCs w:val="21"/>
              </w:rPr>
            </w:pPr>
            <w:r>
              <w:rPr>
                <w:rFonts w:hint="eastAsia" w:ascii="宋体" w:hAnsi="宋体" w:cs="宋体"/>
                <w:szCs w:val="21"/>
              </w:rPr>
              <w:t>工期</w:t>
            </w:r>
          </w:p>
        </w:tc>
        <w:tc>
          <w:tcPr>
            <w:tcW w:w="6716" w:type="dxa"/>
            <w:gridSpan w:val="2"/>
            <w:noWrap w:val="0"/>
            <w:vAlign w:val="center"/>
          </w:tcPr>
          <w:p w14:paraId="6DCBB9AD">
            <w:pPr>
              <w:pStyle w:val="61"/>
              <w:spacing w:line="440" w:lineRule="exact"/>
              <w:ind w:firstLine="2100"/>
              <w:rPr>
                <w:rFonts w:hint="eastAsia" w:ascii="宋体" w:hAnsi="宋体" w:cs="宋体"/>
                <w:szCs w:val="21"/>
                <w:u w:val="single"/>
              </w:rPr>
            </w:pPr>
            <w:r>
              <w:rPr>
                <w:rFonts w:hint="eastAsia" w:ascii="宋体" w:hAnsi="宋体" w:cs="宋体"/>
                <w:szCs w:val="21"/>
                <w:u w:val="single"/>
              </w:rPr>
              <w:t>满足磋商文件要求。</w:t>
            </w:r>
          </w:p>
        </w:tc>
      </w:tr>
      <w:tr w14:paraId="3E6A6B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6" w:hRule="atLeast"/>
        </w:trPr>
        <w:tc>
          <w:tcPr>
            <w:tcW w:w="1951" w:type="dxa"/>
            <w:noWrap w:val="0"/>
            <w:vAlign w:val="center"/>
          </w:tcPr>
          <w:p w14:paraId="5F885C8E">
            <w:pPr>
              <w:pStyle w:val="61"/>
              <w:spacing w:line="440" w:lineRule="exact"/>
              <w:ind w:firstLine="0"/>
              <w:jc w:val="center"/>
              <w:rPr>
                <w:rFonts w:hint="eastAsia" w:ascii="宋体" w:hAnsi="宋体" w:cs="宋体"/>
                <w:szCs w:val="21"/>
              </w:rPr>
            </w:pPr>
            <w:r>
              <w:rPr>
                <w:rFonts w:hint="eastAsia" w:ascii="宋体" w:hAnsi="宋体" w:cs="宋体"/>
                <w:szCs w:val="21"/>
              </w:rPr>
              <w:t>供应商是否属于小微型企业</w:t>
            </w:r>
          </w:p>
        </w:tc>
        <w:tc>
          <w:tcPr>
            <w:tcW w:w="6716" w:type="dxa"/>
            <w:gridSpan w:val="2"/>
            <w:noWrap w:val="0"/>
            <w:vAlign w:val="center"/>
          </w:tcPr>
          <w:p w14:paraId="0382CCCC">
            <w:pPr>
              <w:pStyle w:val="61"/>
              <w:spacing w:line="440" w:lineRule="exact"/>
              <w:ind w:firstLine="2100"/>
              <w:rPr>
                <w:rFonts w:hint="eastAsia" w:ascii="宋体" w:hAnsi="宋体" w:cs="宋体"/>
                <w:szCs w:val="21"/>
                <w:u w:val="single"/>
              </w:rPr>
            </w:pPr>
            <w:r>
              <w:rPr>
                <w:rFonts w:hint="eastAsia" w:ascii="宋体" w:hAnsi="宋体" w:cs="宋体"/>
                <w:szCs w:val="21"/>
              </w:rPr>
              <w:t>（</w:t>
            </w:r>
            <w:r>
              <w:rPr>
                <w:rFonts w:hint="eastAsia" w:ascii="宋体" w:hAnsi="宋体" w:cs="宋体"/>
                <w:szCs w:val="21"/>
                <w:lang w:val="zh-CN"/>
              </w:rPr>
              <w:t>填写“是”或“否”</w:t>
            </w:r>
            <w:r>
              <w:rPr>
                <w:rFonts w:hint="eastAsia" w:ascii="宋体" w:hAnsi="宋体" w:cs="宋体"/>
                <w:szCs w:val="21"/>
              </w:rPr>
              <w:t>）</w:t>
            </w:r>
          </w:p>
        </w:tc>
      </w:tr>
      <w:tr w14:paraId="074AD5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6" w:hRule="atLeast"/>
        </w:trPr>
        <w:tc>
          <w:tcPr>
            <w:tcW w:w="1951" w:type="dxa"/>
            <w:noWrap w:val="0"/>
            <w:vAlign w:val="center"/>
          </w:tcPr>
          <w:p w14:paraId="6CBAE3C4">
            <w:pPr>
              <w:pStyle w:val="61"/>
              <w:spacing w:line="440" w:lineRule="exact"/>
              <w:ind w:firstLine="0"/>
              <w:jc w:val="center"/>
              <w:rPr>
                <w:rFonts w:hint="eastAsia" w:ascii="宋体" w:hAnsi="宋体" w:cs="宋体"/>
                <w:szCs w:val="21"/>
              </w:rPr>
            </w:pPr>
            <w:r>
              <w:rPr>
                <w:rFonts w:hint="eastAsia" w:ascii="宋体" w:hAnsi="宋体" w:cs="宋体"/>
                <w:szCs w:val="21"/>
              </w:rPr>
              <w:t>备注</w:t>
            </w:r>
          </w:p>
        </w:tc>
        <w:tc>
          <w:tcPr>
            <w:tcW w:w="6716" w:type="dxa"/>
            <w:gridSpan w:val="2"/>
            <w:noWrap w:val="0"/>
            <w:vAlign w:val="center"/>
          </w:tcPr>
          <w:p w14:paraId="74F2317B">
            <w:pPr>
              <w:pStyle w:val="61"/>
              <w:spacing w:line="440" w:lineRule="exact"/>
              <w:ind w:firstLine="0"/>
              <w:rPr>
                <w:rFonts w:hint="eastAsia" w:ascii="宋体" w:hAnsi="宋体" w:cs="宋体"/>
                <w:szCs w:val="21"/>
                <w:u w:val="single"/>
              </w:rPr>
            </w:pPr>
            <w:r>
              <w:rPr>
                <w:rFonts w:hint="eastAsia" w:ascii="宋体" w:hAnsi="宋体" w:cs="宋体"/>
                <w:szCs w:val="21"/>
              </w:rPr>
              <w:t>如电子响应文件总价金额前后不一致，系统将以“标书制作客户端——基本目录——磋商报价表”中填写的金额为准</w:t>
            </w:r>
          </w:p>
        </w:tc>
      </w:tr>
    </w:tbl>
    <w:p w14:paraId="4BA6740D">
      <w:pPr>
        <w:widowControl/>
        <w:shd w:val="clear" w:color="auto" w:fill="FFFFFF"/>
        <w:spacing w:line="360" w:lineRule="auto"/>
        <w:jc w:val="left"/>
        <w:rPr>
          <w:rFonts w:hint="eastAsia" w:ascii="宋体" w:hAnsi="宋体" w:cs="宋体"/>
        </w:rPr>
      </w:pPr>
      <w:r>
        <w:rPr>
          <w:rFonts w:hint="eastAsia" w:ascii="宋体" w:hAnsi="宋体" w:cs="宋体"/>
        </w:rPr>
        <w:t xml:space="preserve"> </w:t>
      </w:r>
    </w:p>
    <w:p w14:paraId="07CD601E">
      <w:pPr>
        <w:widowControl/>
        <w:shd w:val="clear" w:color="auto" w:fill="FFFFFF"/>
        <w:spacing w:line="360" w:lineRule="auto"/>
        <w:jc w:val="left"/>
        <w:rPr>
          <w:rFonts w:hint="eastAsia" w:ascii="宋体" w:hAnsi="宋体" w:cs="宋体"/>
        </w:rPr>
      </w:pPr>
      <w:r>
        <w:rPr>
          <w:rFonts w:hint="eastAsia" w:ascii="宋体" w:hAnsi="宋体" w:cs="宋体"/>
        </w:rPr>
        <w:t>供应商（</w:t>
      </w:r>
      <w:r>
        <w:rPr>
          <w:rFonts w:hint="eastAsia" w:ascii="宋体" w:hAnsi="宋体" w:cs="宋体"/>
          <w:szCs w:val="21"/>
        </w:rPr>
        <w:t>加盖电子公章</w:t>
      </w:r>
      <w:r>
        <w:rPr>
          <w:rFonts w:hint="eastAsia" w:ascii="宋体" w:hAnsi="宋体" w:cs="宋体"/>
        </w:rPr>
        <w:t>）：</w:t>
      </w:r>
      <w:r>
        <w:rPr>
          <w:rFonts w:hint="eastAsia" w:ascii="宋体" w:hAnsi="宋体" w:cs="宋体"/>
          <w:u w:val="single"/>
        </w:rPr>
        <w:t xml:space="preserve">                             </w:t>
      </w:r>
    </w:p>
    <w:p w14:paraId="7F45FD13">
      <w:pPr>
        <w:widowControl/>
        <w:shd w:val="clear" w:color="auto" w:fill="FFFFFF"/>
        <w:spacing w:line="360" w:lineRule="auto"/>
        <w:jc w:val="left"/>
        <w:rPr>
          <w:rFonts w:hint="eastAsia" w:ascii="宋体" w:hAnsi="宋体" w:cs="宋体"/>
          <w:u w:val="single"/>
        </w:rPr>
      </w:pPr>
    </w:p>
    <w:p w14:paraId="7D9367EA">
      <w:pPr>
        <w:widowControl/>
        <w:shd w:val="clear" w:color="auto" w:fill="FFFFFF"/>
        <w:spacing w:line="360" w:lineRule="auto"/>
        <w:jc w:val="left"/>
        <w:rPr>
          <w:rFonts w:hint="eastAsia" w:ascii="宋体" w:hAnsi="宋体" w:cs="宋体"/>
        </w:rPr>
      </w:pPr>
      <w:r>
        <w:rPr>
          <w:rFonts w:hint="eastAsia" w:ascii="宋体" w:hAnsi="宋体" w:cs="宋体"/>
        </w:rPr>
        <w:t>说明：</w:t>
      </w:r>
    </w:p>
    <w:p w14:paraId="468487C1">
      <w:pPr>
        <w:widowControl/>
        <w:shd w:val="clear" w:color="auto" w:fill="FFFFFF"/>
        <w:spacing w:line="360" w:lineRule="auto"/>
        <w:ind w:firstLine="422"/>
        <w:rPr>
          <w:rFonts w:hint="eastAsia" w:ascii="宋体" w:hAnsi="宋体" w:cs="宋体"/>
          <w:b/>
          <w:bCs/>
          <w:szCs w:val="21"/>
        </w:rPr>
      </w:pPr>
      <w:r>
        <w:rPr>
          <w:rFonts w:hint="eastAsia" w:ascii="宋体" w:hAnsi="宋体" w:cs="宋体"/>
          <w:b/>
          <w:bCs/>
          <w:szCs w:val="21"/>
        </w:rPr>
        <w:t>1、本项目仅接受一个价格，不得填报有选择性报价方案。如有优惠条款须注明，但不得影响报价，影响项目履约交付。</w:t>
      </w:r>
    </w:p>
    <w:p w14:paraId="373AD4EC">
      <w:pPr>
        <w:widowControl/>
        <w:shd w:val="clear" w:color="auto" w:fill="FFFFFF"/>
        <w:spacing w:line="360" w:lineRule="auto"/>
        <w:ind w:firstLine="422"/>
        <w:rPr>
          <w:rFonts w:hint="eastAsia" w:ascii="宋体" w:hAnsi="宋体" w:cs="宋体"/>
          <w:b/>
          <w:bCs/>
          <w:szCs w:val="21"/>
        </w:rPr>
      </w:pPr>
      <w:r>
        <w:rPr>
          <w:rFonts w:hint="eastAsia" w:ascii="宋体" w:hAnsi="宋体" w:cs="宋体"/>
          <w:b/>
          <w:bCs/>
          <w:szCs w:val="21"/>
        </w:rPr>
        <w:t>2、“供应商是否属于小微型企业”栏内填写“是”或“否”。如填写“是”，供应商需提供《中小企业声明函》《残疾人福利性单位声明函》《属于监狱企业的证明文件》。</w:t>
      </w:r>
    </w:p>
    <w:p w14:paraId="5F7F0628">
      <w:pPr>
        <w:widowControl/>
        <w:shd w:val="clear" w:color="auto" w:fill="FFFFFF"/>
        <w:spacing w:line="360" w:lineRule="auto"/>
        <w:ind w:firstLine="422"/>
        <w:rPr>
          <w:rFonts w:hint="eastAsia" w:ascii="宋体" w:hAnsi="宋体" w:cs="宋体"/>
          <w:b/>
          <w:bCs/>
          <w:szCs w:val="21"/>
        </w:rPr>
      </w:pPr>
      <w:r>
        <w:rPr>
          <w:rFonts w:hint="eastAsia" w:ascii="宋体" w:hAnsi="宋体" w:cs="宋体"/>
          <w:b/>
          <w:bCs/>
          <w:szCs w:val="21"/>
        </w:rPr>
        <w:t>3、磋商结束后，磋商小组将要求所有实质性响应的供应商在规定时间内提交最后报价。</w:t>
      </w:r>
      <w:bookmarkEnd w:id="77"/>
    </w:p>
    <w:p w14:paraId="711FCA9E">
      <w:pPr>
        <w:widowControl/>
        <w:shd w:val="clear" w:color="auto" w:fill="FFFFFF"/>
        <w:spacing w:line="360" w:lineRule="auto"/>
        <w:ind w:firstLine="422"/>
        <w:jc w:val="left"/>
        <w:rPr>
          <w:rFonts w:hint="eastAsia" w:ascii="宋体" w:hAnsi="宋体" w:cs="宋体"/>
          <w:b/>
          <w:bCs/>
          <w:szCs w:val="21"/>
          <w:lang w:val="zh-CN"/>
        </w:rPr>
      </w:pPr>
      <w:r>
        <w:rPr>
          <w:rFonts w:hint="eastAsia" w:ascii="宋体" w:hAnsi="宋体" w:cs="宋体"/>
          <w:b/>
          <w:bCs/>
          <w:szCs w:val="21"/>
        </w:rPr>
        <w:br w:type="page" w:clear="all"/>
      </w:r>
      <w:r>
        <w:rPr>
          <w:rFonts w:hint="eastAsia" w:ascii="宋体" w:hAnsi="宋体" w:cs="宋体"/>
          <w:b/>
          <w:bCs/>
          <w:szCs w:val="21"/>
        </w:rPr>
        <w:t>附表</w:t>
      </w:r>
      <w:r>
        <w:rPr>
          <w:rFonts w:hint="eastAsia" w:ascii="宋体" w:hAnsi="宋体" w:cs="宋体"/>
          <w:b/>
          <w:bCs/>
          <w:szCs w:val="21"/>
          <w:lang w:val="zh-CN"/>
        </w:rPr>
        <w:t>——分项报价表格式</w:t>
      </w:r>
    </w:p>
    <w:p w14:paraId="601B8275">
      <w:pPr>
        <w:tabs>
          <w:tab w:val="left" w:pos="1440"/>
        </w:tabs>
        <w:spacing w:line="360" w:lineRule="auto"/>
        <w:ind w:firstLine="420"/>
        <w:rPr>
          <w:rFonts w:hint="eastAsia" w:ascii="宋体" w:hAnsi="宋体" w:cs="宋体"/>
          <w:b/>
        </w:rPr>
      </w:pPr>
    </w:p>
    <w:p w14:paraId="587D5CD2">
      <w:pPr>
        <w:rPr>
          <w:rFonts w:hint="eastAsia" w:ascii="宋体" w:hAnsi="宋体" w:cs="宋体"/>
          <w:b/>
          <w:szCs w:val="21"/>
          <w:lang w:val="zh-CN"/>
        </w:rPr>
      </w:pPr>
    </w:p>
    <w:p w14:paraId="17CDB520">
      <w:pPr>
        <w:widowControl/>
        <w:shd w:val="clear" w:color="auto" w:fill="FFFFFF"/>
        <w:spacing w:line="360" w:lineRule="auto"/>
        <w:jc w:val="center"/>
        <w:rPr>
          <w:rFonts w:hint="eastAsia" w:ascii="宋体" w:hAnsi="宋体" w:cs="宋体"/>
          <w:b/>
          <w:sz w:val="36"/>
          <w:szCs w:val="36"/>
        </w:rPr>
      </w:pPr>
      <w:bookmarkStart w:id="78" w:name="_Toc490133032"/>
      <w:bookmarkStart w:id="79" w:name="_Toc534273804"/>
      <w:bookmarkStart w:id="80" w:name="_Toc534273682"/>
      <w:bookmarkStart w:id="81" w:name="_Toc504573087"/>
      <w:bookmarkStart w:id="82" w:name="_Toc534273805"/>
      <w:bookmarkStart w:id="83" w:name="_Toc504044384"/>
      <w:bookmarkStart w:id="84" w:name="_Toc504056872"/>
      <w:bookmarkStart w:id="85" w:name="_Toc534273681"/>
      <w:r>
        <w:rPr>
          <w:rFonts w:hint="eastAsia" w:ascii="宋体" w:hAnsi="宋体" w:cs="宋体"/>
          <w:b/>
          <w:sz w:val="36"/>
          <w:szCs w:val="36"/>
        </w:rPr>
        <w:t>分项报价表</w:t>
      </w:r>
    </w:p>
    <w:p w14:paraId="79F96089">
      <w:pPr>
        <w:spacing w:line="360" w:lineRule="auto"/>
        <w:jc w:val="center"/>
        <w:rPr>
          <w:rFonts w:hint="eastAsia" w:ascii="宋体" w:hAnsi="宋体" w:cs="宋体"/>
          <w:b/>
          <w:sz w:val="36"/>
          <w:szCs w:val="36"/>
        </w:rPr>
      </w:pPr>
      <w:r>
        <w:rPr>
          <w:rFonts w:hint="eastAsia" w:ascii="宋体" w:hAnsi="宋体" w:cs="宋体"/>
          <w:b/>
          <w:sz w:val="36"/>
          <w:szCs w:val="36"/>
        </w:rPr>
        <w:t>（根据提供的工程量清单进行报价）</w:t>
      </w:r>
    </w:p>
    <w:p w14:paraId="75508D98">
      <w:pPr>
        <w:spacing w:line="360" w:lineRule="auto"/>
        <w:rPr>
          <w:rFonts w:hint="eastAsia" w:ascii="宋体" w:hAnsi="宋体" w:cs="宋体"/>
          <w:b/>
          <w:bCs/>
          <w:szCs w:val="21"/>
        </w:rPr>
      </w:pPr>
    </w:p>
    <w:p w14:paraId="05C1E9DD">
      <w:pPr>
        <w:spacing w:line="360" w:lineRule="auto"/>
        <w:rPr>
          <w:rFonts w:hint="eastAsia" w:ascii="宋体" w:hAnsi="宋体" w:cs="宋体"/>
          <w:szCs w:val="21"/>
        </w:rPr>
      </w:pPr>
      <w:r>
        <w:rPr>
          <w:rFonts w:hint="eastAsia" w:ascii="宋体" w:hAnsi="宋体" w:cs="宋体"/>
          <w:szCs w:val="21"/>
        </w:rPr>
        <w:t>注：1、响应报价应包括但不限于完成该项目所有的费用及供应商认为需要的其他相关费用等；每一单项均应计算并填写分项的单价和合价及总价。供应商未填单价、合价的项目，在实施后，采购人将不予支付，并视为该项费用已包括在其他有价款的单价或总价内。</w:t>
      </w:r>
    </w:p>
    <w:p w14:paraId="6D5EEFE6">
      <w:pPr>
        <w:spacing w:line="360" w:lineRule="auto"/>
        <w:rPr>
          <w:rFonts w:hint="eastAsia" w:ascii="宋体" w:hAnsi="宋体" w:cs="宋体"/>
          <w:szCs w:val="21"/>
        </w:rPr>
      </w:pPr>
      <w:r>
        <w:rPr>
          <w:rFonts w:hint="eastAsia" w:ascii="宋体" w:hAnsi="宋体" w:cs="宋体"/>
          <w:szCs w:val="21"/>
        </w:rPr>
        <w:t>2、供应商的任何错漏、优惠、竞争性报价不得作为减轻责任、减少服务、增加收费、降低质量的理由</w:t>
      </w:r>
    </w:p>
    <w:p w14:paraId="1AF06D32">
      <w:pPr>
        <w:spacing w:line="360" w:lineRule="auto"/>
        <w:rPr>
          <w:rFonts w:hint="eastAsia" w:ascii="宋体" w:hAnsi="宋体" w:cs="宋体"/>
          <w:szCs w:val="21"/>
        </w:rPr>
      </w:pPr>
      <w:r>
        <w:rPr>
          <w:rFonts w:hint="eastAsia" w:ascii="宋体" w:hAnsi="宋体" w:cs="宋体"/>
          <w:szCs w:val="21"/>
        </w:rPr>
        <w:t>3、供应商在报价时应充分考虑政策性调整、市场风险等因素，相关费用计入投标报价。成交后发生的政策变化或市场风险所引起的费用变化一律不再调整。</w:t>
      </w:r>
    </w:p>
    <w:p w14:paraId="53ECAB89">
      <w:pPr>
        <w:spacing w:line="360" w:lineRule="auto"/>
        <w:rPr>
          <w:rFonts w:hint="eastAsia" w:ascii="宋体" w:hAnsi="宋体" w:cs="宋体"/>
          <w:szCs w:val="21"/>
        </w:rPr>
      </w:pPr>
      <w:r>
        <w:rPr>
          <w:rFonts w:hint="eastAsia" w:ascii="宋体" w:hAnsi="宋体" w:cs="宋体"/>
          <w:szCs w:val="21"/>
        </w:rPr>
        <w:t>4、经磋商后，二次报价为最终报价，二次报价原则上不高于首次报价，如果成交价低于供应商在响应文件首次报价的，分项报价（除暂列金额、甲供材料费、材料暂估价、专业工程暂估价以外的所有费用）同比例调整。</w:t>
      </w:r>
    </w:p>
    <w:p w14:paraId="45D15B7C">
      <w:pPr>
        <w:widowControl/>
        <w:shd w:val="clear" w:color="auto" w:fill="FFFFFF"/>
        <w:spacing w:line="360" w:lineRule="auto"/>
        <w:jc w:val="left"/>
        <w:rPr>
          <w:rFonts w:hint="eastAsia" w:ascii="宋体" w:hAnsi="宋体" w:cs="宋体"/>
        </w:rPr>
      </w:pPr>
    </w:p>
    <w:p w14:paraId="785ADF2F">
      <w:pPr>
        <w:widowControl/>
        <w:shd w:val="clear" w:color="auto" w:fill="FFFFFF"/>
        <w:spacing w:line="360" w:lineRule="auto"/>
        <w:jc w:val="left"/>
        <w:rPr>
          <w:rFonts w:hint="eastAsia" w:ascii="宋体" w:hAnsi="宋体" w:cs="宋体"/>
          <w:szCs w:val="21"/>
        </w:rPr>
      </w:pPr>
    </w:p>
    <w:p w14:paraId="065935E4">
      <w:pPr>
        <w:widowControl/>
        <w:shd w:val="clear" w:color="auto" w:fill="FFFFFF"/>
        <w:spacing w:line="360" w:lineRule="auto"/>
        <w:jc w:val="left"/>
        <w:rPr>
          <w:rFonts w:hint="eastAsia" w:ascii="宋体" w:hAnsi="宋体" w:cs="宋体"/>
          <w:szCs w:val="21"/>
        </w:rPr>
      </w:pPr>
    </w:p>
    <w:p w14:paraId="2D49BD61">
      <w:pPr>
        <w:widowControl/>
        <w:shd w:val="clear" w:color="auto" w:fill="FFFFFF"/>
        <w:spacing w:line="360" w:lineRule="auto"/>
        <w:jc w:val="left"/>
        <w:rPr>
          <w:rFonts w:hint="eastAsia" w:ascii="宋体" w:hAnsi="宋体" w:cs="宋体"/>
          <w:szCs w:val="21"/>
        </w:rPr>
      </w:pPr>
    </w:p>
    <w:p w14:paraId="10CAC9A2">
      <w:pPr>
        <w:widowControl/>
        <w:shd w:val="clear" w:color="auto" w:fill="FFFFFF"/>
        <w:spacing w:line="360" w:lineRule="auto"/>
        <w:jc w:val="left"/>
        <w:rPr>
          <w:rFonts w:hint="eastAsia" w:ascii="宋体" w:hAnsi="宋体" w:cs="宋体"/>
          <w:szCs w:val="21"/>
        </w:rPr>
      </w:pPr>
    </w:p>
    <w:p w14:paraId="349261A4">
      <w:pPr>
        <w:widowControl/>
        <w:shd w:val="clear" w:color="auto" w:fill="FFFFFF"/>
        <w:spacing w:line="360" w:lineRule="auto"/>
        <w:jc w:val="left"/>
        <w:rPr>
          <w:rFonts w:hint="eastAsia" w:ascii="宋体" w:hAnsi="宋体" w:cs="宋体"/>
          <w:szCs w:val="21"/>
        </w:rPr>
      </w:pPr>
    </w:p>
    <w:p w14:paraId="3A521049">
      <w:pPr>
        <w:widowControl/>
        <w:shd w:val="clear" w:color="auto" w:fill="FFFFFF"/>
        <w:spacing w:line="360" w:lineRule="auto"/>
        <w:jc w:val="left"/>
        <w:rPr>
          <w:rFonts w:hint="eastAsia" w:ascii="宋体" w:hAnsi="宋体" w:cs="宋体"/>
          <w:szCs w:val="21"/>
        </w:rPr>
      </w:pPr>
    </w:p>
    <w:p w14:paraId="2686966A">
      <w:pPr>
        <w:widowControl/>
        <w:shd w:val="clear" w:color="auto" w:fill="FFFFFF"/>
        <w:spacing w:line="360" w:lineRule="auto"/>
        <w:jc w:val="left"/>
        <w:rPr>
          <w:rFonts w:hint="eastAsia" w:ascii="宋体" w:hAnsi="宋体" w:cs="宋体"/>
          <w:szCs w:val="21"/>
        </w:rPr>
      </w:pPr>
    </w:p>
    <w:p w14:paraId="0DB1921F">
      <w:pPr>
        <w:widowControl/>
        <w:shd w:val="clear" w:color="auto" w:fill="FFFFFF"/>
        <w:spacing w:line="360" w:lineRule="auto"/>
        <w:jc w:val="left"/>
        <w:rPr>
          <w:rFonts w:hint="eastAsia" w:ascii="宋体" w:hAnsi="宋体" w:cs="宋体"/>
          <w:szCs w:val="21"/>
        </w:rPr>
      </w:pPr>
    </w:p>
    <w:p w14:paraId="11B4D3EB">
      <w:pPr>
        <w:widowControl/>
        <w:shd w:val="clear" w:color="auto" w:fill="FFFFFF"/>
        <w:spacing w:line="360" w:lineRule="auto"/>
        <w:jc w:val="left"/>
        <w:rPr>
          <w:rFonts w:hint="eastAsia" w:ascii="宋体" w:hAnsi="宋体" w:cs="宋体"/>
          <w:szCs w:val="21"/>
        </w:rPr>
      </w:pPr>
    </w:p>
    <w:p w14:paraId="63EC3BD9">
      <w:pPr>
        <w:widowControl/>
        <w:shd w:val="clear" w:color="auto" w:fill="FFFFFF"/>
        <w:spacing w:line="360" w:lineRule="auto"/>
        <w:jc w:val="left"/>
        <w:rPr>
          <w:rFonts w:hint="eastAsia" w:ascii="宋体" w:hAnsi="宋体" w:cs="宋体"/>
          <w:szCs w:val="21"/>
        </w:rPr>
      </w:pPr>
    </w:p>
    <w:p w14:paraId="5F29B5E3">
      <w:pPr>
        <w:widowControl/>
        <w:shd w:val="clear" w:color="auto" w:fill="FFFFFF"/>
        <w:spacing w:line="360" w:lineRule="auto"/>
        <w:jc w:val="left"/>
        <w:rPr>
          <w:rFonts w:hint="eastAsia" w:ascii="宋体" w:hAnsi="宋体" w:cs="宋体"/>
          <w:szCs w:val="21"/>
        </w:rPr>
      </w:pPr>
      <w:r>
        <w:rPr>
          <w:rFonts w:hint="eastAsia" w:ascii="宋体" w:hAnsi="宋体" w:cs="宋体"/>
          <w:szCs w:val="21"/>
        </w:rPr>
        <w:t>供应商（加盖电子公章）：</w:t>
      </w:r>
      <w:r>
        <w:rPr>
          <w:rFonts w:hint="eastAsia" w:ascii="宋体" w:hAnsi="宋体" w:cs="宋体"/>
          <w:szCs w:val="21"/>
          <w:u w:val="single"/>
        </w:rPr>
        <w:t xml:space="preserve">            </w:t>
      </w:r>
    </w:p>
    <w:p w14:paraId="5EE3CECD">
      <w:pPr>
        <w:widowControl/>
        <w:shd w:val="clear" w:color="auto" w:fill="FFFFFF"/>
        <w:spacing w:line="360" w:lineRule="auto"/>
        <w:jc w:val="left"/>
        <w:rPr>
          <w:rFonts w:hint="eastAsia" w:ascii="宋体" w:hAnsi="宋体" w:cs="宋体"/>
          <w:szCs w:val="21"/>
        </w:rPr>
      </w:pPr>
      <w:r>
        <w:rPr>
          <w:rFonts w:hint="eastAsia" w:ascii="宋体" w:hAnsi="宋体" w:cs="宋体"/>
          <w:szCs w:val="21"/>
        </w:rPr>
        <w:t>日    期：   年    月    日</w:t>
      </w:r>
    </w:p>
    <w:p w14:paraId="545B74F9">
      <w:pPr>
        <w:spacing w:before="312" w:after="312"/>
        <w:rPr>
          <w:rFonts w:hint="eastAsia" w:ascii="宋体" w:hAnsi="宋体" w:cs="宋体"/>
          <w:b/>
        </w:rPr>
      </w:pPr>
      <w:r>
        <w:rPr>
          <w:rFonts w:hint="eastAsia" w:ascii="宋体" w:hAnsi="宋体" w:cs="宋体"/>
          <w:szCs w:val="21"/>
        </w:rPr>
        <w:br w:type="page" w:clear="all"/>
      </w:r>
      <w:r>
        <w:rPr>
          <w:rFonts w:hint="eastAsia" w:ascii="宋体" w:hAnsi="宋体" w:cs="宋体"/>
          <w:b/>
        </w:rPr>
        <w:t>附件四、商务条款偏离表格式</w:t>
      </w:r>
    </w:p>
    <w:p w14:paraId="089C466D">
      <w:pPr>
        <w:ind w:firstLine="420"/>
        <w:rPr>
          <w:rFonts w:hint="eastAsia" w:ascii="宋体" w:hAnsi="宋体" w:cs="宋体"/>
          <w:szCs w:val="21"/>
          <w:lang w:val="zh-CN"/>
        </w:rPr>
      </w:pPr>
    </w:p>
    <w:p w14:paraId="280B2DA5">
      <w:pPr>
        <w:widowControl/>
        <w:shd w:val="clear" w:color="auto" w:fill="FFFFFF"/>
        <w:spacing w:before="312" w:line="360" w:lineRule="auto"/>
        <w:jc w:val="center"/>
        <w:rPr>
          <w:rFonts w:hint="eastAsia" w:ascii="宋体" w:hAnsi="宋体" w:cs="宋体"/>
          <w:b/>
          <w:sz w:val="36"/>
          <w:szCs w:val="36"/>
        </w:rPr>
      </w:pPr>
      <w:r>
        <w:rPr>
          <w:rFonts w:hint="eastAsia" w:ascii="宋体" w:hAnsi="宋体" w:cs="宋体"/>
          <w:b/>
          <w:sz w:val="36"/>
          <w:szCs w:val="36"/>
        </w:rPr>
        <w:t>商务条款偏离表</w:t>
      </w:r>
    </w:p>
    <w:p w14:paraId="4A6665C4">
      <w:pPr>
        <w:rPr>
          <w:rFonts w:hint="eastAsia" w:ascii="宋体" w:hAnsi="宋体" w:cs="宋体"/>
          <w:szCs w:val="21"/>
          <w:lang w:val="zh-CN"/>
        </w:rPr>
      </w:pPr>
    </w:p>
    <w:tbl>
      <w:tblPr>
        <w:tblStyle w:val="28"/>
        <w:tblW w:w="0" w:type="auto"/>
        <w:jc w:val="center"/>
        <w:tblLayout w:type="fixed"/>
        <w:tblCellMar>
          <w:top w:w="0" w:type="dxa"/>
          <w:left w:w="10" w:type="dxa"/>
          <w:bottom w:w="0" w:type="dxa"/>
          <w:right w:w="10" w:type="dxa"/>
        </w:tblCellMar>
      </w:tblPr>
      <w:tblGrid>
        <w:gridCol w:w="665"/>
        <w:gridCol w:w="1656"/>
        <w:gridCol w:w="2759"/>
        <w:gridCol w:w="1656"/>
        <w:gridCol w:w="1638"/>
        <w:gridCol w:w="1038"/>
      </w:tblGrid>
      <w:tr w14:paraId="1006F455">
        <w:tblPrEx>
          <w:tblCellMar>
            <w:top w:w="0" w:type="dxa"/>
            <w:left w:w="10" w:type="dxa"/>
            <w:bottom w:w="0" w:type="dxa"/>
            <w:right w:w="10" w:type="dxa"/>
          </w:tblCellMar>
        </w:tblPrEx>
        <w:trPr>
          <w:trHeight w:val="284" w:hRule="atLeast"/>
          <w:jc w:val="center"/>
        </w:trPr>
        <w:tc>
          <w:tcPr>
            <w:tcW w:w="6736" w:type="dxa"/>
            <w:gridSpan w:val="4"/>
            <w:tcBorders>
              <w:top w:val="nil"/>
              <w:left w:val="nil"/>
              <w:bottom w:val="single" w:color="000000" w:sz="6" w:space="0"/>
              <w:right w:val="nil"/>
            </w:tcBorders>
            <w:noWrap w:val="0"/>
            <w:vAlign w:val="center"/>
          </w:tcPr>
          <w:p w14:paraId="7A0DB55E">
            <w:pPr>
              <w:jc w:val="left"/>
              <w:rPr>
                <w:rFonts w:hint="eastAsia" w:ascii="宋体" w:hAnsi="宋体" w:cs="宋体"/>
                <w:szCs w:val="21"/>
                <w:lang w:val="zh-CN"/>
              </w:rPr>
            </w:pPr>
            <w:r>
              <w:rPr>
                <w:rFonts w:hint="eastAsia" w:ascii="宋体" w:hAnsi="宋体" w:cs="宋体"/>
                <w:szCs w:val="21"/>
                <w:lang w:val="zh-CN"/>
              </w:rPr>
              <w:t>项目名称：</w:t>
            </w:r>
          </w:p>
        </w:tc>
        <w:tc>
          <w:tcPr>
            <w:tcW w:w="2676" w:type="dxa"/>
            <w:gridSpan w:val="2"/>
            <w:tcBorders>
              <w:top w:val="nil"/>
              <w:left w:val="nil"/>
              <w:bottom w:val="single" w:color="000000" w:sz="6" w:space="0"/>
              <w:right w:val="nil"/>
            </w:tcBorders>
            <w:noWrap w:val="0"/>
            <w:vAlign w:val="center"/>
          </w:tcPr>
          <w:p w14:paraId="79654359">
            <w:pPr>
              <w:jc w:val="left"/>
              <w:rPr>
                <w:rFonts w:hint="eastAsia" w:ascii="宋体" w:hAnsi="宋体" w:cs="宋体"/>
                <w:szCs w:val="21"/>
                <w:lang w:val="zh-CN"/>
              </w:rPr>
            </w:pPr>
            <w:r>
              <w:rPr>
                <w:rFonts w:hint="eastAsia" w:ascii="宋体" w:hAnsi="宋体" w:cs="宋体"/>
                <w:szCs w:val="21"/>
                <w:lang w:val="zh-CN"/>
              </w:rPr>
              <w:t xml:space="preserve">项目编号： </w:t>
            </w:r>
          </w:p>
        </w:tc>
      </w:tr>
      <w:tr w14:paraId="4E97125B">
        <w:tblPrEx>
          <w:tblCellMar>
            <w:top w:w="0" w:type="dxa"/>
            <w:left w:w="10" w:type="dxa"/>
            <w:bottom w:w="0" w:type="dxa"/>
            <w:right w:w="10" w:type="dxa"/>
          </w:tblCellMar>
        </w:tblPrEx>
        <w:trPr>
          <w:trHeight w:val="284" w:hRule="atLeast"/>
          <w:jc w:val="center"/>
        </w:trPr>
        <w:tc>
          <w:tcPr>
            <w:tcW w:w="665" w:type="dxa"/>
            <w:tcBorders>
              <w:top w:val="single" w:color="000000" w:sz="6" w:space="0"/>
              <w:left w:val="single" w:color="000000" w:sz="6" w:space="0"/>
              <w:bottom w:val="single" w:color="000000" w:sz="6" w:space="0"/>
              <w:right w:val="single" w:color="000000" w:sz="6" w:space="0"/>
            </w:tcBorders>
            <w:noWrap w:val="0"/>
            <w:vAlign w:val="center"/>
          </w:tcPr>
          <w:p w14:paraId="6DC4C679">
            <w:pPr>
              <w:jc w:val="center"/>
              <w:rPr>
                <w:rFonts w:hint="eastAsia" w:ascii="宋体" w:hAnsi="宋体" w:cs="宋体"/>
                <w:szCs w:val="21"/>
                <w:lang w:val="zh-CN"/>
              </w:rPr>
            </w:pPr>
            <w:r>
              <w:rPr>
                <w:rFonts w:hint="eastAsia" w:ascii="宋体" w:hAnsi="宋体" w:cs="宋体"/>
                <w:szCs w:val="21"/>
                <w:lang w:val="zh-CN"/>
              </w:rPr>
              <w:t>序号</w:t>
            </w:r>
          </w:p>
        </w:tc>
        <w:tc>
          <w:tcPr>
            <w:tcW w:w="1656" w:type="dxa"/>
            <w:tcBorders>
              <w:top w:val="single" w:color="000000" w:sz="6" w:space="0"/>
              <w:left w:val="single" w:color="000000" w:sz="6" w:space="0"/>
              <w:bottom w:val="single" w:color="000000" w:sz="6" w:space="0"/>
              <w:right w:val="single" w:color="000000" w:sz="6" w:space="0"/>
            </w:tcBorders>
            <w:noWrap w:val="0"/>
            <w:vAlign w:val="center"/>
          </w:tcPr>
          <w:p w14:paraId="47C5E8F8">
            <w:pPr>
              <w:jc w:val="center"/>
              <w:rPr>
                <w:rFonts w:hint="eastAsia" w:ascii="宋体" w:hAnsi="宋体" w:cs="宋体"/>
                <w:szCs w:val="21"/>
                <w:lang w:val="zh-CN"/>
              </w:rPr>
            </w:pPr>
            <w:r>
              <w:rPr>
                <w:rFonts w:hint="eastAsia" w:ascii="宋体" w:hAnsi="宋体" w:cs="宋体"/>
                <w:szCs w:val="21"/>
                <w:lang w:val="zh-CN"/>
              </w:rPr>
              <w:t>采购文件条目号</w:t>
            </w:r>
          </w:p>
        </w:tc>
        <w:tc>
          <w:tcPr>
            <w:tcW w:w="2759" w:type="dxa"/>
            <w:tcBorders>
              <w:top w:val="single" w:color="000000" w:sz="6" w:space="0"/>
              <w:left w:val="single" w:color="000000" w:sz="6" w:space="0"/>
              <w:bottom w:val="single" w:color="000000" w:sz="6" w:space="0"/>
              <w:right w:val="single" w:color="000000" w:sz="6" w:space="0"/>
            </w:tcBorders>
            <w:noWrap w:val="0"/>
            <w:vAlign w:val="center"/>
          </w:tcPr>
          <w:p w14:paraId="6478BD96">
            <w:pPr>
              <w:jc w:val="center"/>
              <w:rPr>
                <w:rFonts w:hint="eastAsia" w:ascii="宋体" w:hAnsi="宋体" w:cs="宋体"/>
                <w:szCs w:val="21"/>
              </w:rPr>
            </w:pPr>
            <w:r>
              <w:rPr>
                <w:rFonts w:hint="eastAsia" w:ascii="宋体" w:hAnsi="宋体" w:cs="宋体"/>
                <w:szCs w:val="21"/>
                <w:lang w:val="zh-CN"/>
              </w:rPr>
              <w:t>条款</w:t>
            </w:r>
            <w:r>
              <w:rPr>
                <w:rFonts w:hint="eastAsia" w:ascii="宋体" w:hAnsi="宋体" w:cs="宋体"/>
                <w:szCs w:val="21"/>
              </w:rPr>
              <w:t>内容</w:t>
            </w:r>
          </w:p>
        </w:tc>
        <w:tc>
          <w:tcPr>
            <w:tcW w:w="3294" w:type="dxa"/>
            <w:gridSpan w:val="2"/>
            <w:tcBorders>
              <w:top w:val="single" w:color="000000" w:sz="6" w:space="0"/>
              <w:left w:val="single" w:color="000000" w:sz="6" w:space="0"/>
              <w:bottom w:val="single" w:color="000000" w:sz="6" w:space="0"/>
              <w:right w:val="single" w:color="000000" w:sz="6" w:space="0"/>
            </w:tcBorders>
            <w:noWrap w:val="0"/>
            <w:vAlign w:val="center"/>
          </w:tcPr>
          <w:p w14:paraId="56AD55ED">
            <w:pPr>
              <w:jc w:val="center"/>
              <w:rPr>
                <w:rFonts w:hint="eastAsia" w:ascii="宋体" w:hAnsi="宋体" w:cs="宋体"/>
                <w:szCs w:val="21"/>
                <w:lang w:val="zh-CN"/>
              </w:rPr>
            </w:pPr>
            <w:r>
              <w:rPr>
                <w:rFonts w:hint="eastAsia" w:ascii="宋体" w:hAnsi="宋体" w:cs="宋体"/>
                <w:szCs w:val="21"/>
                <w:lang w:val="zh-CN"/>
              </w:rPr>
              <w:t>磋商响应</w:t>
            </w:r>
          </w:p>
        </w:tc>
        <w:tc>
          <w:tcPr>
            <w:tcW w:w="1038" w:type="dxa"/>
            <w:tcBorders>
              <w:top w:val="single" w:color="000000" w:sz="6" w:space="0"/>
              <w:left w:val="single" w:color="000000" w:sz="6" w:space="0"/>
              <w:bottom w:val="single" w:color="000000" w:sz="6" w:space="0"/>
              <w:right w:val="single" w:color="000000" w:sz="6" w:space="0"/>
            </w:tcBorders>
            <w:noWrap w:val="0"/>
            <w:vAlign w:val="center"/>
          </w:tcPr>
          <w:p w14:paraId="04E494F3">
            <w:pPr>
              <w:jc w:val="center"/>
              <w:rPr>
                <w:rFonts w:hint="eastAsia" w:ascii="宋体" w:hAnsi="宋体" w:cs="宋体"/>
                <w:szCs w:val="21"/>
                <w:lang w:val="zh-CN"/>
              </w:rPr>
            </w:pPr>
            <w:r>
              <w:rPr>
                <w:rFonts w:hint="eastAsia" w:ascii="宋体" w:hAnsi="宋体" w:cs="宋体"/>
                <w:szCs w:val="21"/>
                <w:lang w:val="zh-CN"/>
              </w:rPr>
              <w:t>偏离说明</w:t>
            </w:r>
          </w:p>
        </w:tc>
      </w:tr>
      <w:tr w14:paraId="0CCD27E9">
        <w:tblPrEx>
          <w:tblCellMar>
            <w:top w:w="0" w:type="dxa"/>
            <w:left w:w="10" w:type="dxa"/>
            <w:bottom w:w="0" w:type="dxa"/>
            <w:right w:w="10" w:type="dxa"/>
          </w:tblCellMar>
        </w:tblPrEx>
        <w:trPr>
          <w:trHeight w:val="284" w:hRule="atLeast"/>
          <w:jc w:val="center"/>
        </w:trPr>
        <w:tc>
          <w:tcPr>
            <w:tcW w:w="665" w:type="dxa"/>
            <w:tcBorders>
              <w:top w:val="single" w:color="000000" w:sz="6" w:space="0"/>
              <w:left w:val="single" w:color="000000" w:sz="6" w:space="0"/>
              <w:bottom w:val="single" w:color="000000" w:sz="6" w:space="0"/>
              <w:right w:val="single" w:color="000000" w:sz="6" w:space="0"/>
            </w:tcBorders>
            <w:noWrap w:val="0"/>
            <w:vAlign w:val="center"/>
          </w:tcPr>
          <w:p w14:paraId="6B8D6C80">
            <w:pPr>
              <w:jc w:val="center"/>
              <w:rPr>
                <w:rFonts w:hint="eastAsia" w:ascii="宋体" w:hAnsi="宋体" w:cs="宋体"/>
                <w:szCs w:val="21"/>
                <w:lang w:val="zh-CN"/>
              </w:rPr>
            </w:pPr>
          </w:p>
        </w:tc>
        <w:tc>
          <w:tcPr>
            <w:tcW w:w="1656" w:type="dxa"/>
            <w:tcBorders>
              <w:top w:val="single" w:color="000000" w:sz="6" w:space="0"/>
              <w:left w:val="single" w:color="000000" w:sz="6" w:space="0"/>
              <w:bottom w:val="single" w:color="000000" w:sz="6" w:space="0"/>
              <w:right w:val="single" w:color="000000" w:sz="6" w:space="0"/>
            </w:tcBorders>
            <w:noWrap w:val="0"/>
            <w:vAlign w:val="center"/>
          </w:tcPr>
          <w:p w14:paraId="39E74A7C">
            <w:pPr>
              <w:jc w:val="center"/>
              <w:rPr>
                <w:rFonts w:hint="eastAsia" w:ascii="宋体" w:hAnsi="宋体" w:cs="宋体"/>
                <w:szCs w:val="21"/>
                <w:lang w:val="zh-CN"/>
              </w:rPr>
            </w:pPr>
          </w:p>
        </w:tc>
        <w:tc>
          <w:tcPr>
            <w:tcW w:w="2759" w:type="dxa"/>
            <w:tcBorders>
              <w:top w:val="single" w:color="000000" w:sz="6" w:space="0"/>
              <w:left w:val="single" w:color="000000" w:sz="6" w:space="0"/>
              <w:bottom w:val="single" w:color="000000" w:sz="6" w:space="0"/>
              <w:right w:val="single" w:color="000000" w:sz="6" w:space="0"/>
            </w:tcBorders>
            <w:noWrap w:val="0"/>
            <w:vAlign w:val="center"/>
          </w:tcPr>
          <w:p w14:paraId="44DEBD72">
            <w:pPr>
              <w:jc w:val="center"/>
              <w:rPr>
                <w:rFonts w:hint="eastAsia" w:ascii="宋体" w:hAnsi="宋体" w:cs="宋体"/>
                <w:szCs w:val="21"/>
                <w:lang w:val="zh-CN"/>
              </w:rPr>
            </w:pPr>
          </w:p>
        </w:tc>
        <w:tc>
          <w:tcPr>
            <w:tcW w:w="3294" w:type="dxa"/>
            <w:gridSpan w:val="2"/>
            <w:tcBorders>
              <w:top w:val="single" w:color="000000" w:sz="6" w:space="0"/>
              <w:left w:val="single" w:color="000000" w:sz="6" w:space="0"/>
              <w:bottom w:val="single" w:color="000000" w:sz="6" w:space="0"/>
              <w:right w:val="single" w:color="000000" w:sz="6" w:space="0"/>
            </w:tcBorders>
            <w:noWrap w:val="0"/>
            <w:vAlign w:val="center"/>
          </w:tcPr>
          <w:p w14:paraId="5C8D6467">
            <w:pPr>
              <w:jc w:val="center"/>
              <w:rPr>
                <w:rFonts w:hint="eastAsia" w:ascii="宋体" w:hAnsi="宋体" w:cs="宋体"/>
                <w:szCs w:val="21"/>
                <w:lang w:val="zh-CN"/>
              </w:rPr>
            </w:pPr>
          </w:p>
        </w:tc>
        <w:tc>
          <w:tcPr>
            <w:tcW w:w="1038" w:type="dxa"/>
            <w:tcBorders>
              <w:top w:val="single" w:color="000000" w:sz="6" w:space="0"/>
              <w:left w:val="single" w:color="000000" w:sz="6" w:space="0"/>
              <w:bottom w:val="single" w:color="000000" w:sz="6" w:space="0"/>
              <w:right w:val="single" w:color="000000" w:sz="6" w:space="0"/>
            </w:tcBorders>
            <w:noWrap w:val="0"/>
            <w:vAlign w:val="center"/>
          </w:tcPr>
          <w:p w14:paraId="624DE654">
            <w:pPr>
              <w:jc w:val="center"/>
              <w:rPr>
                <w:rFonts w:hint="eastAsia" w:ascii="宋体" w:hAnsi="宋体" w:cs="宋体"/>
                <w:szCs w:val="21"/>
                <w:lang w:val="zh-CN"/>
              </w:rPr>
            </w:pPr>
          </w:p>
        </w:tc>
      </w:tr>
      <w:tr w14:paraId="29E93DD2">
        <w:tblPrEx>
          <w:tblCellMar>
            <w:top w:w="0" w:type="dxa"/>
            <w:left w:w="10" w:type="dxa"/>
            <w:bottom w:w="0" w:type="dxa"/>
            <w:right w:w="10" w:type="dxa"/>
          </w:tblCellMar>
        </w:tblPrEx>
        <w:trPr>
          <w:trHeight w:val="284" w:hRule="atLeast"/>
          <w:jc w:val="center"/>
        </w:trPr>
        <w:tc>
          <w:tcPr>
            <w:tcW w:w="665" w:type="dxa"/>
            <w:tcBorders>
              <w:top w:val="single" w:color="000000" w:sz="6" w:space="0"/>
              <w:left w:val="single" w:color="000000" w:sz="6" w:space="0"/>
              <w:bottom w:val="single" w:color="000000" w:sz="6" w:space="0"/>
              <w:right w:val="single" w:color="000000" w:sz="6" w:space="0"/>
            </w:tcBorders>
            <w:noWrap w:val="0"/>
            <w:vAlign w:val="center"/>
          </w:tcPr>
          <w:p w14:paraId="7CDCDD92">
            <w:pPr>
              <w:jc w:val="center"/>
              <w:rPr>
                <w:rFonts w:hint="eastAsia" w:ascii="宋体" w:hAnsi="宋体" w:cs="宋体"/>
                <w:szCs w:val="21"/>
                <w:lang w:val="zh-CN"/>
              </w:rPr>
            </w:pPr>
          </w:p>
        </w:tc>
        <w:tc>
          <w:tcPr>
            <w:tcW w:w="1656" w:type="dxa"/>
            <w:tcBorders>
              <w:top w:val="single" w:color="000000" w:sz="6" w:space="0"/>
              <w:left w:val="single" w:color="000000" w:sz="6" w:space="0"/>
              <w:bottom w:val="single" w:color="000000" w:sz="6" w:space="0"/>
              <w:right w:val="single" w:color="000000" w:sz="6" w:space="0"/>
            </w:tcBorders>
            <w:noWrap w:val="0"/>
            <w:vAlign w:val="center"/>
          </w:tcPr>
          <w:p w14:paraId="0446E4DB">
            <w:pPr>
              <w:jc w:val="center"/>
              <w:rPr>
                <w:rFonts w:hint="eastAsia" w:ascii="宋体" w:hAnsi="宋体" w:cs="宋体"/>
                <w:szCs w:val="21"/>
                <w:lang w:val="zh-CN"/>
              </w:rPr>
            </w:pPr>
          </w:p>
        </w:tc>
        <w:tc>
          <w:tcPr>
            <w:tcW w:w="2759" w:type="dxa"/>
            <w:tcBorders>
              <w:top w:val="single" w:color="000000" w:sz="6" w:space="0"/>
              <w:left w:val="single" w:color="000000" w:sz="6" w:space="0"/>
              <w:bottom w:val="single" w:color="000000" w:sz="6" w:space="0"/>
              <w:right w:val="single" w:color="000000" w:sz="6" w:space="0"/>
            </w:tcBorders>
            <w:noWrap w:val="0"/>
            <w:vAlign w:val="center"/>
          </w:tcPr>
          <w:p w14:paraId="41E1BCC6">
            <w:pPr>
              <w:jc w:val="center"/>
              <w:rPr>
                <w:rFonts w:hint="eastAsia" w:ascii="宋体" w:hAnsi="宋体" w:cs="宋体"/>
                <w:szCs w:val="21"/>
                <w:lang w:val="zh-CN"/>
              </w:rPr>
            </w:pPr>
          </w:p>
        </w:tc>
        <w:tc>
          <w:tcPr>
            <w:tcW w:w="3294" w:type="dxa"/>
            <w:gridSpan w:val="2"/>
            <w:tcBorders>
              <w:top w:val="single" w:color="000000" w:sz="6" w:space="0"/>
              <w:left w:val="single" w:color="000000" w:sz="6" w:space="0"/>
              <w:bottom w:val="single" w:color="000000" w:sz="6" w:space="0"/>
              <w:right w:val="single" w:color="000000" w:sz="6" w:space="0"/>
            </w:tcBorders>
            <w:noWrap w:val="0"/>
            <w:vAlign w:val="center"/>
          </w:tcPr>
          <w:p w14:paraId="17CECFBB">
            <w:pPr>
              <w:jc w:val="center"/>
              <w:rPr>
                <w:rFonts w:hint="eastAsia" w:ascii="宋体" w:hAnsi="宋体" w:cs="宋体"/>
                <w:szCs w:val="21"/>
                <w:lang w:val="zh-CN"/>
              </w:rPr>
            </w:pPr>
          </w:p>
        </w:tc>
        <w:tc>
          <w:tcPr>
            <w:tcW w:w="1038" w:type="dxa"/>
            <w:tcBorders>
              <w:top w:val="single" w:color="000000" w:sz="6" w:space="0"/>
              <w:left w:val="single" w:color="000000" w:sz="6" w:space="0"/>
              <w:bottom w:val="single" w:color="000000" w:sz="6" w:space="0"/>
              <w:right w:val="single" w:color="000000" w:sz="6" w:space="0"/>
            </w:tcBorders>
            <w:noWrap w:val="0"/>
            <w:vAlign w:val="center"/>
          </w:tcPr>
          <w:p w14:paraId="454138F6">
            <w:pPr>
              <w:jc w:val="center"/>
              <w:rPr>
                <w:rFonts w:hint="eastAsia" w:ascii="宋体" w:hAnsi="宋体" w:cs="宋体"/>
                <w:szCs w:val="21"/>
                <w:lang w:val="zh-CN"/>
              </w:rPr>
            </w:pPr>
          </w:p>
        </w:tc>
      </w:tr>
      <w:tr w14:paraId="4A1D299B">
        <w:tblPrEx>
          <w:tblCellMar>
            <w:top w:w="0" w:type="dxa"/>
            <w:left w:w="10" w:type="dxa"/>
            <w:bottom w:w="0" w:type="dxa"/>
            <w:right w:w="10" w:type="dxa"/>
          </w:tblCellMar>
        </w:tblPrEx>
        <w:trPr>
          <w:trHeight w:val="284" w:hRule="atLeast"/>
          <w:jc w:val="center"/>
        </w:trPr>
        <w:tc>
          <w:tcPr>
            <w:tcW w:w="665" w:type="dxa"/>
            <w:tcBorders>
              <w:top w:val="single" w:color="000000" w:sz="6" w:space="0"/>
              <w:left w:val="single" w:color="000000" w:sz="6" w:space="0"/>
              <w:bottom w:val="single" w:color="000000" w:sz="6" w:space="0"/>
              <w:right w:val="single" w:color="000000" w:sz="6" w:space="0"/>
            </w:tcBorders>
            <w:noWrap w:val="0"/>
            <w:vAlign w:val="center"/>
          </w:tcPr>
          <w:p w14:paraId="2340703E">
            <w:pPr>
              <w:jc w:val="center"/>
              <w:rPr>
                <w:rFonts w:hint="eastAsia" w:ascii="宋体" w:hAnsi="宋体" w:cs="宋体"/>
                <w:szCs w:val="21"/>
                <w:lang w:val="zh-CN"/>
              </w:rPr>
            </w:pPr>
          </w:p>
        </w:tc>
        <w:tc>
          <w:tcPr>
            <w:tcW w:w="1656" w:type="dxa"/>
            <w:tcBorders>
              <w:top w:val="single" w:color="000000" w:sz="6" w:space="0"/>
              <w:left w:val="single" w:color="000000" w:sz="6" w:space="0"/>
              <w:bottom w:val="single" w:color="000000" w:sz="6" w:space="0"/>
              <w:right w:val="single" w:color="000000" w:sz="6" w:space="0"/>
            </w:tcBorders>
            <w:noWrap w:val="0"/>
            <w:vAlign w:val="center"/>
          </w:tcPr>
          <w:p w14:paraId="7A9DC487">
            <w:pPr>
              <w:jc w:val="center"/>
              <w:rPr>
                <w:rFonts w:hint="eastAsia" w:ascii="宋体" w:hAnsi="宋体" w:cs="宋体"/>
                <w:szCs w:val="21"/>
                <w:lang w:val="zh-CN"/>
              </w:rPr>
            </w:pPr>
          </w:p>
        </w:tc>
        <w:tc>
          <w:tcPr>
            <w:tcW w:w="2759" w:type="dxa"/>
            <w:tcBorders>
              <w:top w:val="single" w:color="000000" w:sz="6" w:space="0"/>
              <w:left w:val="single" w:color="000000" w:sz="6" w:space="0"/>
              <w:bottom w:val="single" w:color="000000" w:sz="6" w:space="0"/>
              <w:right w:val="single" w:color="000000" w:sz="6" w:space="0"/>
            </w:tcBorders>
            <w:noWrap w:val="0"/>
            <w:vAlign w:val="center"/>
          </w:tcPr>
          <w:p w14:paraId="294B1643">
            <w:pPr>
              <w:jc w:val="center"/>
              <w:rPr>
                <w:rFonts w:hint="eastAsia" w:ascii="宋体" w:hAnsi="宋体" w:cs="宋体"/>
                <w:szCs w:val="21"/>
                <w:lang w:val="zh-CN"/>
              </w:rPr>
            </w:pPr>
          </w:p>
        </w:tc>
        <w:tc>
          <w:tcPr>
            <w:tcW w:w="3294" w:type="dxa"/>
            <w:gridSpan w:val="2"/>
            <w:tcBorders>
              <w:top w:val="single" w:color="000000" w:sz="6" w:space="0"/>
              <w:left w:val="single" w:color="000000" w:sz="6" w:space="0"/>
              <w:bottom w:val="single" w:color="000000" w:sz="6" w:space="0"/>
              <w:right w:val="single" w:color="000000" w:sz="6" w:space="0"/>
            </w:tcBorders>
            <w:noWrap w:val="0"/>
            <w:vAlign w:val="center"/>
          </w:tcPr>
          <w:p w14:paraId="7D76C84A">
            <w:pPr>
              <w:jc w:val="center"/>
              <w:rPr>
                <w:rFonts w:hint="eastAsia" w:ascii="宋体" w:hAnsi="宋体" w:cs="宋体"/>
                <w:szCs w:val="21"/>
                <w:lang w:val="zh-CN"/>
              </w:rPr>
            </w:pPr>
          </w:p>
        </w:tc>
        <w:tc>
          <w:tcPr>
            <w:tcW w:w="1038" w:type="dxa"/>
            <w:tcBorders>
              <w:top w:val="single" w:color="000000" w:sz="6" w:space="0"/>
              <w:left w:val="single" w:color="000000" w:sz="6" w:space="0"/>
              <w:bottom w:val="single" w:color="000000" w:sz="6" w:space="0"/>
              <w:right w:val="single" w:color="000000" w:sz="6" w:space="0"/>
            </w:tcBorders>
            <w:noWrap w:val="0"/>
            <w:vAlign w:val="center"/>
          </w:tcPr>
          <w:p w14:paraId="2718A7DF">
            <w:pPr>
              <w:jc w:val="center"/>
              <w:rPr>
                <w:rFonts w:hint="eastAsia" w:ascii="宋体" w:hAnsi="宋体" w:cs="宋体"/>
                <w:szCs w:val="21"/>
                <w:lang w:val="zh-CN"/>
              </w:rPr>
            </w:pPr>
          </w:p>
        </w:tc>
      </w:tr>
      <w:tr w14:paraId="082C7A2B">
        <w:tblPrEx>
          <w:tblCellMar>
            <w:top w:w="0" w:type="dxa"/>
            <w:left w:w="10" w:type="dxa"/>
            <w:bottom w:w="0" w:type="dxa"/>
            <w:right w:w="10" w:type="dxa"/>
          </w:tblCellMar>
        </w:tblPrEx>
        <w:trPr>
          <w:trHeight w:val="284" w:hRule="atLeast"/>
          <w:jc w:val="center"/>
        </w:trPr>
        <w:tc>
          <w:tcPr>
            <w:tcW w:w="665" w:type="dxa"/>
            <w:tcBorders>
              <w:top w:val="single" w:color="000000" w:sz="6" w:space="0"/>
              <w:left w:val="single" w:color="000000" w:sz="6" w:space="0"/>
              <w:bottom w:val="single" w:color="000000" w:sz="6" w:space="0"/>
              <w:right w:val="single" w:color="000000" w:sz="6" w:space="0"/>
            </w:tcBorders>
            <w:noWrap w:val="0"/>
            <w:vAlign w:val="center"/>
          </w:tcPr>
          <w:p w14:paraId="044D8BCD">
            <w:pPr>
              <w:jc w:val="center"/>
              <w:rPr>
                <w:rFonts w:hint="eastAsia" w:ascii="宋体" w:hAnsi="宋体" w:cs="宋体"/>
                <w:szCs w:val="21"/>
                <w:lang w:val="zh-CN"/>
              </w:rPr>
            </w:pPr>
          </w:p>
        </w:tc>
        <w:tc>
          <w:tcPr>
            <w:tcW w:w="1656" w:type="dxa"/>
            <w:tcBorders>
              <w:top w:val="single" w:color="000000" w:sz="6" w:space="0"/>
              <w:left w:val="single" w:color="000000" w:sz="6" w:space="0"/>
              <w:bottom w:val="single" w:color="000000" w:sz="6" w:space="0"/>
              <w:right w:val="single" w:color="000000" w:sz="6" w:space="0"/>
            </w:tcBorders>
            <w:noWrap w:val="0"/>
            <w:vAlign w:val="center"/>
          </w:tcPr>
          <w:p w14:paraId="012BF6D3">
            <w:pPr>
              <w:jc w:val="center"/>
              <w:rPr>
                <w:rFonts w:hint="eastAsia" w:ascii="宋体" w:hAnsi="宋体" w:cs="宋体"/>
                <w:szCs w:val="21"/>
                <w:lang w:val="zh-CN"/>
              </w:rPr>
            </w:pPr>
          </w:p>
        </w:tc>
        <w:tc>
          <w:tcPr>
            <w:tcW w:w="2759" w:type="dxa"/>
            <w:tcBorders>
              <w:top w:val="single" w:color="000000" w:sz="6" w:space="0"/>
              <w:left w:val="single" w:color="000000" w:sz="6" w:space="0"/>
              <w:bottom w:val="single" w:color="000000" w:sz="6" w:space="0"/>
              <w:right w:val="single" w:color="000000" w:sz="6" w:space="0"/>
            </w:tcBorders>
            <w:noWrap w:val="0"/>
            <w:vAlign w:val="center"/>
          </w:tcPr>
          <w:p w14:paraId="72C902BF">
            <w:pPr>
              <w:jc w:val="center"/>
              <w:rPr>
                <w:rFonts w:hint="eastAsia" w:ascii="宋体" w:hAnsi="宋体" w:cs="宋体"/>
                <w:szCs w:val="21"/>
                <w:lang w:val="zh-CN"/>
              </w:rPr>
            </w:pPr>
          </w:p>
        </w:tc>
        <w:tc>
          <w:tcPr>
            <w:tcW w:w="3294" w:type="dxa"/>
            <w:gridSpan w:val="2"/>
            <w:tcBorders>
              <w:top w:val="single" w:color="000000" w:sz="6" w:space="0"/>
              <w:left w:val="single" w:color="000000" w:sz="6" w:space="0"/>
              <w:bottom w:val="single" w:color="000000" w:sz="6" w:space="0"/>
              <w:right w:val="single" w:color="000000" w:sz="6" w:space="0"/>
            </w:tcBorders>
            <w:noWrap w:val="0"/>
            <w:vAlign w:val="center"/>
          </w:tcPr>
          <w:p w14:paraId="3955D939">
            <w:pPr>
              <w:jc w:val="center"/>
              <w:rPr>
                <w:rFonts w:hint="eastAsia" w:ascii="宋体" w:hAnsi="宋体" w:cs="宋体"/>
                <w:szCs w:val="21"/>
                <w:lang w:val="zh-CN"/>
              </w:rPr>
            </w:pPr>
          </w:p>
        </w:tc>
        <w:tc>
          <w:tcPr>
            <w:tcW w:w="1038" w:type="dxa"/>
            <w:tcBorders>
              <w:top w:val="single" w:color="000000" w:sz="6" w:space="0"/>
              <w:left w:val="single" w:color="000000" w:sz="6" w:space="0"/>
              <w:bottom w:val="single" w:color="000000" w:sz="6" w:space="0"/>
              <w:right w:val="single" w:color="000000" w:sz="6" w:space="0"/>
            </w:tcBorders>
            <w:noWrap w:val="0"/>
            <w:vAlign w:val="center"/>
          </w:tcPr>
          <w:p w14:paraId="289DE1BF">
            <w:pPr>
              <w:jc w:val="center"/>
              <w:rPr>
                <w:rFonts w:hint="eastAsia" w:ascii="宋体" w:hAnsi="宋体" w:cs="宋体"/>
                <w:szCs w:val="21"/>
                <w:lang w:val="zh-CN"/>
              </w:rPr>
            </w:pPr>
          </w:p>
        </w:tc>
      </w:tr>
      <w:tr w14:paraId="679E86C6">
        <w:tblPrEx>
          <w:tblCellMar>
            <w:top w:w="0" w:type="dxa"/>
            <w:left w:w="10" w:type="dxa"/>
            <w:bottom w:w="0" w:type="dxa"/>
            <w:right w:w="10" w:type="dxa"/>
          </w:tblCellMar>
        </w:tblPrEx>
        <w:trPr>
          <w:trHeight w:val="284" w:hRule="atLeast"/>
          <w:jc w:val="center"/>
        </w:trPr>
        <w:tc>
          <w:tcPr>
            <w:tcW w:w="665" w:type="dxa"/>
            <w:tcBorders>
              <w:top w:val="single" w:color="000000" w:sz="6" w:space="0"/>
              <w:left w:val="single" w:color="000000" w:sz="6" w:space="0"/>
              <w:bottom w:val="single" w:color="000000" w:sz="6" w:space="0"/>
              <w:right w:val="single" w:color="000000" w:sz="6" w:space="0"/>
            </w:tcBorders>
            <w:noWrap w:val="0"/>
            <w:vAlign w:val="center"/>
          </w:tcPr>
          <w:p w14:paraId="6BF93E09">
            <w:pPr>
              <w:jc w:val="center"/>
              <w:rPr>
                <w:rFonts w:hint="eastAsia" w:ascii="宋体" w:hAnsi="宋体" w:cs="宋体"/>
                <w:szCs w:val="21"/>
                <w:lang w:val="zh-CN"/>
              </w:rPr>
            </w:pPr>
          </w:p>
        </w:tc>
        <w:tc>
          <w:tcPr>
            <w:tcW w:w="1656" w:type="dxa"/>
            <w:tcBorders>
              <w:top w:val="single" w:color="000000" w:sz="6" w:space="0"/>
              <w:left w:val="single" w:color="000000" w:sz="6" w:space="0"/>
              <w:bottom w:val="single" w:color="000000" w:sz="6" w:space="0"/>
              <w:right w:val="single" w:color="000000" w:sz="6" w:space="0"/>
            </w:tcBorders>
            <w:noWrap w:val="0"/>
            <w:vAlign w:val="center"/>
          </w:tcPr>
          <w:p w14:paraId="6BD11949">
            <w:pPr>
              <w:jc w:val="center"/>
              <w:rPr>
                <w:rFonts w:hint="eastAsia" w:ascii="宋体" w:hAnsi="宋体" w:cs="宋体"/>
                <w:szCs w:val="21"/>
                <w:lang w:val="zh-CN"/>
              </w:rPr>
            </w:pPr>
          </w:p>
        </w:tc>
        <w:tc>
          <w:tcPr>
            <w:tcW w:w="2759" w:type="dxa"/>
            <w:tcBorders>
              <w:top w:val="single" w:color="000000" w:sz="6" w:space="0"/>
              <w:left w:val="single" w:color="000000" w:sz="6" w:space="0"/>
              <w:bottom w:val="single" w:color="000000" w:sz="6" w:space="0"/>
              <w:right w:val="single" w:color="000000" w:sz="6" w:space="0"/>
            </w:tcBorders>
            <w:noWrap w:val="0"/>
            <w:vAlign w:val="center"/>
          </w:tcPr>
          <w:p w14:paraId="453542D3">
            <w:pPr>
              <w:jc w:val="center"/>
              <w:rPr>
                <w:rFonts w:hint="eastAsia" w:ascii="宋体" w:hAnsi="宋体" w:cs="宋体"/>
                <w:szCs w:val="21"/>
                <w:lang w:val="zh-CN"/>
              </w:rPr>
            </w:pPr>
          </w:p>
        </w:tc>
        <w:tc>
          <w:tcPr>
            <w:tcW w:w="3294" w:type="dxa"/>
            <w:gridSpan w:val="2"/>
            <w:tcBorders>
              <w:top w:val="single" w:color="000000" w:sz="6" w:space="0"/>
              <w:left w:val="single" w:color="000000" w:sz="6" w:space="0"/>
              <w:bottom w:val="single" w:color="000000" w:sz="6" w:space="0"/>
              <w:right w:val="single" w:color="000000" w:sz="6" w:space="0"/>
            </w:tcBorders>
            <w:noWrap w:val="0"/>
            <w:vAlign w:val="center"/>
          </w:tcPr>
          <w:p w14:paraId="56E35CA4">
            <w:pPr>
              <w:jc w:val="center"/>
              <w:rPr>
                <w:rFonts w:hint="eastAsia" w:ascii="宋体" w:hAnsi="宋体" w:cs="宋体"/>
                <w:szCs w:val="21"/>
                <w:lang w:val="zh-CN"/>
              </w:rPr>
            </w:pPr>
          </w:p>
        </w:tc>
        <w:tc>
          <w:tcPr>
            <w:tcW w:w="1038" w:type="dxa"/>
            <w:tcBorders>
              <w:top w:val="single" w:color="000000" w:sz="6" w:space="0"/>
              <w:left w:val="single" w:color="000000" w:sz="6" w:space="0"/>
              <w:bottom w:val="single" w:color="000000" w:sz="6" w:space="0"/>
              <w:right w:val="single" w:color="000000" w:sz="6" w:space="0"/>
            </w:tcBorders>
            <w:noWrap w:val="0"/>
            <w:vAlign w:val="center"/>
          </w:tcPr>
          <w:p w14:paraId="1FC0C471">
            <w:pPr>
              <w:jc w:val="center"/>
              <w:rPr>
                <w:rFonts w:hint="eastAsia" w:ascii="宋体" w:hAnsi="宋体" w:cs="宋体"/>
                <w:szCs w:val="21"/>
                <w:lang w:val="zh-CN"/>
              </w:rPr>
            </w:pPr>
          </w:p>
        </w:tc>
      </w:tr>
    </w:tbl>
    <w:p w14:paraId="36FF5414">
      <w:pPr>
        <w:widowControl/>
        <w:shd w:val="clear" w:color="auto" w:fill="FFFFFF"/>
        <w:spacing w:line="360" w:lineRule="auto"/>
        <w:jc w:val="left"/>
        <w:rPr>
          <w:rFonts w:hint="eastAsia" w:ascii="宋体" w:hAnsi="宋体" w:cs="宋体"/>
          <w:szCs w:val="21"/>
        </w:rPr>
      </w:pPr>
    </w:p>
    <w:p w14:paraId="66FE85FA">
      <w:pPr>
        <w:widowControl/>
        <w:shd w:val="clear" w:color="auto" w:fill="FFFFFF"/>
        <w:spacing w:line="360" w:lineRule="auto"/>
        <w:jc w:val="left"/>
        <w:rPr>
          <w:rFonts w:hint="eastAsia" w:ascii="宋体" w:hAnsi="宋体" w:cs="宋体"/>
          <w:szCs w:val="21"/>
        </w:rPr>
      </w:pPr>
      <w:r>
        <w:rPr>
          <w:rFonts w:hint="eastAsia" w:ascii="宋体" w:hAnsi="宋体" w:cs="宋体"/>
          <w:szCs w:val="21"/>
        </w:rPr>
        <w:t>说明：磋商响应文件商务部分内容响应存在正偏离或负偏离的，请在本表中逐条列出。未列出的，视为响应磋商文件要求。如果行数不够，请自行增加。</w:t>
      </w:r>
    </w:p>
    <w:p w14:paraId="20BC34FB">
      <w:pPr>
        <w:widowControl/>
        <w:shd w:val="clear" w:color="auto" w:fill="FFFFFF"/>
        <w:spacing w:line="360" w:lineRule="auto"/>
        <w:jc w:val="left"/>
        <w:rPr>
          <w:rFonts w:hint="eastAsia" w:ascii="宋体" w:hAnsi="宋体" w:cs="宋体"/>
          <w:szCs w:val="21"/>
        </w:rPr>
      </w:pPr>
    </w:p>
    <w:p w14:paraId="7DBD0875">
      <w:pPr>
        <w:widowControl/>
        <w:shd w:val="clear" w:color="auto" w:fill="FFFFFF"/>
        <w:spacing w:line="360" w:lineRule="auto"/>
        <w:jc w:val="left"/>
        <w:rPr>
          <w:rFonts w:hint="eastAsia" w:ascii="宋体" w:hAnsi="宋体" w:cs="宋体"/>
          <w:szCs w:val="21"/>
        </w:rPr>
      </w:pPr>
      <w:r>
        <w:rPr>
          <w:rFonts w:hint="eastAsia" w:ascii="宋体" w:hAnsi="宋体" w:cs="宋体"/>
          <w:szCs w:val="21"/>
        </w:rPr>
        <w:t>供应商（加盖电子公章）：</w:t>
      </w:r>
      <w:r>
        <w:rPr>
          <w:rFonts w:hint="eastAsia" w:ascii="宋体" w:hAnsi="宋体" w:cs="宋体"/>
          <w:szCs w:val="21"/>
          <w:u w:val="single"/>
        </w:rPr>
        <w:t xml:space="preserve">            </w:t>
      </w:r>
    </w:p>
    <w:p w14:paraId="24AF4F00">
      <w:pPr>
        <w:widowControl/>
        <w:shd w:val="clear" w:color="auto" w:fill="FFFFFF"/>
        <w:spacing w:line="360" w:lineRule="auto"/>
        <w:jc w:val="left"/>
        <w:rPr>
          <w:rFonts w:hint="eastAsia" w:ascii="宋体" w:hAnsi="宋体" w:cs="宋体"/>
          <w:szCs w:val="21"/>
        </w:rPr>
      </w:pPr>
      <w:r>
        <w:rPr>
          <w:rFonts w:hint="eastAsia" w:ascii="宋体" w:hAnsi="宋体" w:cs="宋体"/>
          <w:szCs w:val="21"/>
        </w:rPr>
        <w:t>日    期：   年    月    日</w:t>
      </w:r>
    </w:p>
    <w:p w14:paraId="46347B46">
      <w:pPr>
        <w:widowControl/>
        <w:shd w:val="clear" w:color="auto" w:fill="FFFFFF"/>
        <w:spacing w:line="360" w:lineRule="auto"/>
        <w:jc w:val="left"/>
        <w:rPr>
          <w:rFonts w:hint="eastAsia" w:ascii="宋体" w:hAnsi="宋体" w:cs="宋体"/>
          <w:b/>
          <w:bCs/>
          <w:szCs w:val="21"/>
          <w:lang w:val="zh-CN"/>
        </w:rPr>
      </w:pPr>
    </w:p>
    <w:p w14:paraId="1F100CAF">
      <w:pPr>
        <w:widowControl/>
        <w:shd w:val="clear" w:color="auto" w:fill="FFFFFF"/>
        <w:spacing w:line="360" w:lineRule="auto"/>
        <w:jc w:val="left"/>
        <w:rPr>
          <w:rFonts w:hint="eastAsia" w:ascii="宋体" w:hAnsi="宋体" w:cs="宋体"/>
          <w:b/>
          <w:bCs/>
          <w:szCs w:val="21"/>
          <w:lang w:val="zh-CN"/>
        </w:rPr>
      </w:pPr>
    </w:p>
    <w:p w14:paraId="055CE5E0">
      <w:pPr>
        <w:widowControl/>
        <w:shd w:val="clear" w:color="auto" w:fill="FFFFFF"/>
        <w:spacing w:line="360" w:lineRule="auto"/>
        <w:jc w:val="left"/>
        <w:rPr>
          <w:rFonts w:hint="eastAsia" w:ascii="宋体" w:hAnsi="宋体" w:cs="宋体"/>
          <w:b/>
          <w:bCs/>
          <w:szCs w:val="21"/>
          <w:lang w:val="zh-CN"/>
        </w:rPr>
      </w:pPr>
    </w:p>
    <w:p w14:paraId="1518225B">
      <w:pPr>
        <w:widowControl/>
        <w:shd w:val="clear" w:color="auto" w:fill="FFFFFF"/>
        <w:spacing w:line="360" w:lineRule="auto"/>
        <w:jc w:val="left"/>
        <w:rPr>
          <w:rFonts w:hint="eastAsia" w:ascii="宋体" w:hAnsi="宋体" w:cs="宋体"/>
          <w:b/>
          <w:bCs/>
          <w:szCs w:val="21"/>
          <w:lang w:val="zh-CN"/>
        </w:rPr>
      </w:pPr>
    </w:p>
    <w:p w14:paraId="6770A719">
      <w:pPr>
        <w:widowControl/>
        <w:shd w:val="clear" w:color="auto" w:fill="FFFFFF"/>
        <w:spacing w:line="360" w:lineRule="auto"/>
        <w:jc w:val="left"/>
        <w:rPr>
          <w:rFonts w:hint="eastAsia" w:ascii="宋体" w:hAnsi="宋体" w:cs="宋体"/>
          <w:b/>
          <w:bCs/>
          <w:szCs w:val="21"/>
          <w:lang w:val="zh-CN"/>
        </w:rPr>
      </w:pPr>
    </w:p>
    <w:p w14:paraId="130D1521">
      <w:pPr>
        <w:spacing w:before="312" w:after="312"/>
        <w:rPr>
          <w:rFonts w:hint="eastAsia" w:ascii="宋体" w:hAnsi="宋体" w:cs="宋体"/>
          <w:b/>
        </w:rPr>
      </w:pPr>
      <w:r>
        <w:rPr>
          <w:rFonts w:hint="eastAsia" w:ascii="宋体" w:hAnsi="宋体" w:cs="宋体"/>
          <w:b/>
          <w:bCs/>
          <w:szCs w:val="21"/>
        </w:rPr>
        <w:br w:type="page" w:clear="all"/>
      </w:r>
      <w:r>
        <w:rPr>
          <w:rFonts w:hint="eastAsia" w:ascii="宋体" w:hAnsi="宋体" w:cs="宋体"/>
          <w:b/>
        </w:rPr>
        <w:t>附件五、采购需求条款偏离表格式</w:t>
      </w:r>
      <w:bookmarkEnd w:id="78"/>
      <w:bookmarkEnd w:id="79"/>
      <w:bookmarkEnd w:id="80"/>
      <w:bookmarkEnd w:id="81"/>
      <w:bookmarkEnd w:id="82"/>
      <w:bookmarkEnd w:id="83"/>
      <w:bookmarkEnd w:id="84"/>
      <w:bookmarkEnd w:id="85"/>
    </w:p>
    <w:p w14:paraId="4E0F76C9">
      <w:pPr>
        <w:rPr>
          <w:rFonts w:hint="eastAsia" w:ascii="宋体" w:hAnsi="宋体" w:cs="宋体"/>
          <w:b/>
          <w:szCs w:val="21"/>
        </w:rPr>
      </w:pPr>
    </w:p>
    <w:p w14:paraId="1E24B170">
      <w:pPr>
        <w:widowControl/>
        <w:shd w:val="clear" w:color="auto" w:fill="FFFFFF"/>
        <w:spacing w:before="312" w:line="360" w:lineRule="auto"/>
        <w:jc w:val="center"/>
        <w:rPr>
          <w:rFonts w:hint="eastAsia" w:ascii="宋体" w:hAnsi="宋体" w:cs="宋体"/>
          <w:b/>
          <w:sz w:val="36"/>
          <w:szCs w:val="36"/>
        </w:rPr>
      </w:pPr>
      <w:r>
        <w:rPr>
          <w:rFonts w:hint="eastAsia" w:ascii="宋体" w:hAnsi="宋体" w:cs="宋体"/>
          <w:b/>
          <w:sz w:val="36"/>
          <w:szCs w:val="36"/>
        </w:rPr>
        <w:t>采购需求条款偏离表</w:t>
      </w:r>
    </w:p>
    <w:p w14:paraId="2082B32E">
      <w:pPr>
        <w:rPr>
          <w:rFonts w:hint="eastAsia" w:ascii="宋体" w:hAnsi="宋体" w:cs="宋体"/>
          <w:szCs w:val="21"/>
          <w:lang w:val="zh-CN"/>
        </w:rPr>
      </w:pPr>
      <w:r>
        <w:rPr>
          <w:rFonts w:hint="eastAsia" w:ascii="宋体" w:hAnsi="宋体" w:cs="宋体"/>
          <w:szCs w:val="21"/>
          <w:lang w:val="zh-CN"/>
        </w:rPr>
        <w:t xml:space="preserve">                        </w:t>
      </w:r>
    </w:p>
    <w:p w14:paraId="393FA86A">
      <w:pPr>
        <w:rPr>
          <w:rFonts w:hint="eastAsia" w:ascii="宋体" w:hAnsi="宋体" w:cs="宋体"/>
          <w:szCs w:val="21"/>
        </w:rPr>
      </w:pPr>
      <w:r>
        <w:rPr>
          <w:rFonts w:hint="eastAsia" w:ascii="宋体" w:hAnsi="宋体" w:cs="宋体"/>
          <w:szCs w:val="21"/>
        </w:rPr>
        <w:t xml:space="preserve">                                         </w:t>
      </w:r>
    </w:p>
    <w:tbl>
      <w:tblPr>
        <w:tblStyle w:val="28"/>
        <w:tblW w:w="0" w:type="auto"/>
        <w:jc w:val="center"/>
        <w:tblLayout w:type="fixed"/>
        <w:tblCellMar>
          <w:top w:w="0" w:type="dxa"/>
          <w:left w:w="10" w:type="dxa"/>
          <w:bottom w:w="0" w:type="dxa"/>
          <w:right w:w="10" w:type="dxa"/>
        </w:tblCellMar>
      </w:tblPr>
      <w:tblGrid>
        <w:gridCol w:w="665"/>
        <w:gridCol w:w="2549"/>
        <w:gridCol w:w="2820"/>
        <w:gridCol w:w="702"/>
        <w:gridCol w:w="1638"/>
        <w:gridCol w:w="1038"/>
      </w:tblGrid>
      <w:tr w14:paraId="3D996D45">
        <w:tblPrEx>
          <w:tblCellMar>
            <w:top w:w="0" w:type="dxa"/>
            <w:left w:w="10" w:type="dxa"/>
            <w:bottom w:w="0" w:type="dxa"/>
            <w:right w:w="10" w:type="dxa"/>
          </w:tblCellMar>
        </w:tblPrEx>
        <w:trPr>
          <w:trHeight w:val="284" w:hRule="atLeast"/>
          <w:jc w:val="center"/>
        </w:trPr>
        <w:tc>
          <w:tcPr>
            <w:tcW w:w="6736" w:type="dxa"/>
            <w:gridSpan w:val="4"/>
            <w:tcBorders>
              <w:top w:val="nil"/>
              <w:left w:val="nil"/>
              <w:bottom w:val="single" w:color="000000" w:sz="6" w:space="0"/>
              <w:right w:val="nil"/>
            </w:tcBorders>
            <w:noWrap w:val="0"/>
            <w:vAlign w:val="center"/>
          </w:tcPr>
          <w:p w14:paraId="01EDF7C3">
            <w:pPr>
              <w:jc w:val="left"/>
              <w:rPr>
                <w:rFonts w:hint="eastAsia" w:ascii="宋体" w:hAnsi="宋体" w:cs="宋体"/>
                <w:szCs w:val="21"/>
                <w:lang w:val="zh-CN"/>
              </w:rPr>
            </w:pPr>
            <w:r>
              <w:rPr>
                <w:rFonts w:hint="eastAsia" w:ascii="宋体" w:hAnsi="宋体" w:cs="宋体"/>
                <w:szCs w:val="21"/>
                <w:lang w:val="zh-CN"/>
              </w:rPr>
              <w:t>项目名称：</w:t>
            </w:r>
          </w:p>
        </w:tc>
        <w:tc>
          <w:tcPr>
            <w:tcW w:w="2676" w:type="dxa"/>
            <w:gridSpan w:val="2"/>
            <w:tcBorders>
              <w:top w:val="nil"/>
              <w:left w:val="nil"/>
              <w:bottom w:val="single" w:color="000000" w:sz="6" w:space="0"/>
              <w:right w:val="nil"/>
            </w:tcBorders>
            <w:noWrap w:val="0"/>
            <w:vAlign w:val="center"/>
          </w:tcPr>
          <w:p w14:paraId="6AC59606">
            <w:pPr>
              <w:jc w:val="left"/>
              <w:rPr>
                <w:rFonts w:hint="eastAsia" w:ascii="宋体" w:hAnsi="宋体" w:cs="宋体"/>
                <w:szCs w:val="21"/>
                <w:lang w:val="zh-CN"/>
              </w:rPr>
            </w:pPr>
            <w:r>
              <w:rPr>
                <w:rFonts w:hint="eastAsia" w:ascii="宋体" w:hAnsi="宋体" w:cs="宋体"/>
                <w:szCs w:val="21"/>
                <w:lang w:val="zh-CN"/>
              </w:rPr>
              <w:t xml:space="preserve">项目编号： </w:t>
            </w:r>
          </w:p>
        </w:tc>
      </w:tr>
      <w:tr w14:paraId="47DA24D2">
        <w:tblPrEx>
          <w:tblCellMar>
            <w:top w:w="0" w:type="dxa"/>
            <w:left w:w="10" w:type="dxa"/>
            <w:bottom w:w="0" w:type="dxa"/>
            <w:right w:w="10" w:type="dxa"/>
          </w:tblCellMar>
        </w:tblPrEx>
        <w:trPr>
          <w:trHeight w:val="284" w:hRule="atLeast"/>
          <w:jc w:val="center"/>
        </w:trPr>
        <w:tc>
          <w:tcPr>
            <w:tcW w:w="665" w:type="dxa"/>
            <w:tcBorders>
              <w:top w:val="single" w:color="000000" w:sz="6" w:space="0"/>
              <w:left w:val="single" w:color="000000" w:sz="6" w:space="0"/>
              <w:bottom w:val="single" w:color="000000" w:sz="6" w:space="0"/>
              <w:right w:val="single" w:color="000000" w:sz="6" w:space="0"/>
            </w:tcBorders>
            <w:noWrap w:val="0"/>
            <w:vAlign w:val="center"/>
          </w:tcPr>
          <w:p w14:paraId="31410A36">
            <w:pPr>
              <w:jc w:val="center"/>
              <w:rPr>
                <w:rFonts w:hint="eastAsia" w:ascii="宋体" w:hAnsi="宋体" w:cs="宋体"/>
                <w:szCs w:val="21"/>
                <w:lang w:val="zh-CN"/>
              </w:rPr>
            </w:pPr>
            <w:r>
              <w:rPr>
                <w:rFonts w:hint="eastAsia" w:ascii="宋体" w:hAnsi="宋体" w:cs="宋体"/>
                <w:szCs w:val="21"/>
                <w:lang w:val="zh-CN"/>
              </w:rPr>
              <w:t>序号</w:t>
            </w:r>
          </w:p>
        </w:tc>
        <w:tc>
          <w:tcPr>
            <w:tcW w:w="2549" w:type="dxa"/>
            <w:tcBorders>
              <w:top w:val="single" w:color="000000" w:sz="6" w:space="0"/>
              <w:left w:val="single" w:color="000000" w:sz="6" w:space="0"/>
              <w:bottom w:val="single" w:color="000000" w:sz="6" w:space="0"/>
              <w:right w:val="single" w:color="000000" w:sz="6" w:space="0"/>
            </w:tcBorders>
            <w:noWrap w:val="0"/>
            <w:vAlign w:val="center"/>
          </w:tcPr>
          <w:p w14:paraId="32E8E9B1">
            <w:pPr>
              <w:jc w:val="center"/>
              <w:rPr>
                <w:rFonts w:hint="eastAsia" w:ascii="宋体" w:hAnsi="宋体" w:cs="宋体"/>
                <w:szCs w:val="21"/>
                <w:lang w:val="zh-CN"/>
              </w:rPr>
            </w:pPr>
            <w:r>
              <w:rPr>
                <w:rFonts w:hint="eastAsia" w:ascii="宋体" w:hAnsi="宋体" w:cs="宋体"/>
                <w:szCs w:val="21"/>
                <w:lang w:val="zh-CN"/>
              </w:rPr>
              <w:t>采购文件条目号</w:t>
            </w:r>
          </w:p>
        </w:tc>
        <w:tc>
          <w:tcPr>
            <w:tcW w:w="2820" w:type="dxa"/>
            <w:tcBorders>
              <w:top w:val="single" w:color="000000" w:sz="6" w:space="0"/>
              <w:left w:val="single" w:color="000000" w:sz="6" w:space="0"/>
              <w:bottom w:val="single" w:color="000000" w:sz="6" w:space="0"/>
              <w:right w:val="single" w:color="000000" w:sz="6" w:space="0"/>
            </w:tcBorders>
            <w:noWrap w:val="0"/>
            <w:vAlign w:val="center"/>
          </w:tcPr>
          <w:p w14:paraId="0A98DE39">
            <w:pPr>
              <w:jc w:val="center"/>
              <w:rPr>
                <w:rFonts w:hint="eastAsia" w:ascii="宋体" w:hAnsi="宋体" w:cs="宋体"/>
                <w:szCs w:val="21"/>
                <w:lang w:val="zh-CN"/>
              </w:rPr>
            </w:pPr>
            <w:r>
              <w:rPr>
                <w:rFonts w:hint="eastAsia" w:ascii="宋体" w:hAnsi="宋体" w:cs="宋体"/>
                <w:b/>
                <w:szCs w:val="21"/>
              </w:rPr>
              <w:t>条款内容</w:t>
            </w:r>
          </w:p>
        </w:tc>
        <w:tc>
          <w:tcPr>
            <w:tcW w:w="2340" w:type="dxa"/>
            <w:gridSpan w:val="2"/>
            <w:tcBorders>
              <w:top w:val="single" w:color="000000" w:sz="6" w:space="0"/>
              <w:left w:val="single" w:color="000000" w:sz="6" w:space="0"/>
              <w:bottom w:val="single" w:color="000000" w:sz="6" w:space="0"/>
              <w:right w:val="single" w:color="000000" w:sz="6" w:space="0"/>
            </w:tcBorders>
            <w:noWrap w:val="0"/>
            <w:vAlign w:val="center"/>
          </w:tcPr>
          <w:p w14:paraId="55F9341C">
            <w:pPr>
              <w:jc w:val="center"/>
              <w:rPr>
                <w:rFonts w:hint="eastAsia" w:ascii="宋体" w:hAnsi="宋体" w:cs="宋体"/>
                <w:szCs w:val="21"/>
                <w:lang w:val="zh-CN"/>
              </w:rPr>
            </w:pPr>
            <w:r>
              <w:rPr>
                <w:rFonts w:hint="eastAsia" w:ascii="宋体" w:hAnsi="宋体" w:cs="宋体"/>
                <w:szCs w:val="21"/>
                <w:lang w:val="zh-CN"/>
              </w:rPr>
              <w:t>磋商响应</w:t>
            </w:r>
          </w:p>
        </w:tc>
        <w:tc>
          <w:tcPr>
            <w:tcW w:w="1038" w:type="dxa"/>
            <w:tcBorders>
              <w:top w:val="single" w:color="000000" w:sz="6" w:space="0"/>
              <w:left w:val="single" w:color="000000" w:sz="6" w:space="0"/>
              <w:bottom w:val="single" w:color="000000" w:sz="6" w:space="0"/>
              <w:right w:val="single" w:color="000000" w:sz="6" w:space="0"/>
            </w:tcBorders>
            <w:noWrap w:val="0"/>
            <w:vAlign w:val="center"/>
          </w:tcPr>
          <w:p w14:paraId="60A64E35">
            <w:pPr>
              <w:jc w:val="center"/>
              <w:rPr>
                <w:rFonts w:hint="eastAsia" w:ascii="宋体" w:hAnsi="宋体" w:cs="宋体"/>
                <w:szCs w:val="21"/>
                <w:lang w:val="zh-CN"/>
              </w:rPr>
            </w:pPr>
            <w:r>
              <w:rPr>
                <w:rFonts w:hint="eastAsia" w:ascii="宋体" w:hAnsi="宋体" w:cs="宋体"/>
                <w:szCs w:val="21"/>
                <w:lang w:val="zh-CN"/>
              </w:rPr>
              <w:t>偏离说明</w:t>
            </w:r>
          </w:p>
        </w:tc>
      </w:tr>
      <w:tr w14:paraId="74C897E5">
        <w:tblPrEx>
          <w:tblCellMar>
            <w:top w:w="0" w:type="dxa"/>
            <w:left w:w="10" w:type="dxa"/>
            <w:bottom w:w="0" w:type="dxa"/>
            <w:right w:w="10" w:type="dxa"/>
          </w:tblCellMar>
        </w:tblPrEx>
        <w:trPr>
          <w:trHeight w:val="284" w:hRule="atLeast"/>
          <w:jc w:val="center"/>
        </w:trPr>
        <w:tc>
          <w:tcPr>
            <w:tcW w:w="665" w:type="dxa"/>
            <w:tcBorders>
              <w:top w:val="single" w:color="000000" w:sz="6" w:space="0"/>
              <w:left w:val="single" w:color="000000" w:sz="6" w:space="0"/>
              <w:bottom w:val="single" w:color="000000" w:sz="6" w:space="0"/>
              <w:right w:val="single" w:color="000000" w:sz="6" w:space="0"/>
            </w:tcBorders>
            <w:noWrap w:val="0"/>
            <w:vAlign w:val="center"/>
          </w:tcPr>
          <w:p w14:paraId="557BD49F">
            <w:pPr>
              <w:jc w:val="center"/>
              <w:rPr>
                <w:rFonts w:hint="eastAsia" w:ascii="宋体" w:hAnsi="宋体" w:cs="宋体"/>
                <w:szCs w:val="21"/>
                <w:lang w:val="zh-CN"/>
              </w:rPr>
            </w:pPr>
          </w:p>
        </w:tc>
        <w:tc>
          <w:tcPr>
            <w:tcW w:w="2549" w:type="dxa"/>
            <w:tcBorders>
              <w:top w:val="single" w:color="000000" w:sz="6" w:space="0"/>
              <w:left w:val="single" w:color="000000" w:sz="6" w:space="0"/>
              <w:bottom w:val="single" w:color="000000" w:sz="6" w:space="0"/>
              <w:right w:val="single" w:color="000000" w:sz="6" w:space="0"/>
            </w:tcBorders>
            <w:noWrap w:val="0"/>
            <w:vAlign w:val="center"/>
          </w:tcPr>
          <w:p w14:paraId="76268228">
            <w:pPr>
              <w:jc w:val="center"/>
              <w:rPr>
                <w:rFonts w:hint="eastAsia" w:ascii="宋体" w:hAnsi="宋体" w:cs="宋体"/>
                <w:szCs w:val="21"/>
                <w:lang w:val="zh-CN"/>
              </w:rPr>
            </w:pPr>
          </w:p>
        </w:tc>
        <w:tc>
          <w:tcPr>
            <w:tcW w:w="2820" w:type="dxa"/>
            <w:tcBorders>
              <w:top w:val="single" w:color="000000" w:sz="6" w:space="0"/>
              <w:left w:val="single" w:color="000000" w:sz="6" w:space="0"/>
              <w:bottom w:val="single" w:color="000000" w:sz="6" w:space="0"/>
              <w:right w:val="single" w:color="000000" w:sz="6" w:space="0"/>
            </w:tcBorders>
            <w:noWrap w:val="0"/>
            <w:vAlign w:val="center"/>
          </w:tcPr>
          <w:p w14:paraId="6BFA1470">
            <w:pPr>
              <w:jc w:val="center"/>
              <w:rPr>
                <w:rFonts w:hint="eastAsia" w:ascii="宋体" w:hAnsi="宋体" w:cs="宋体"/>
                <w:szCs w:val="21"/>
                <w:lang w:val="zh-CN"/>
              </w:rPr>
            </w:pPr>
          </w:p>
        </w:tc>
        <w:tc>
          <w:tcPr>
            <w:tcW w:w="2340" w:type="dxa"/>
            <w:gridSpan w:val="2"/>
            <w:tcBorders>
              <w:top w:val="single" w:color="000000" w:sz="6" w:space="0"/>
              <w:left w:val="single" w:color="000000" w:sz="6" w:space="0"/>
              <w:bottom w:val="single" w:color="000000" w:sz="6" w:space="0"/>
              <w:right w:val="single" w:color="000000" w:sz="6" w:space="0"/>
            </w:tcBorders>
            <w:noWrap w:val="0"/>
            <w:vAlign w:val="center"/>
          </w:tcPr>
          <w:p w14:paraId="7CA8EDEA">
            <w:pPr>
              <w:jc w:val="center"/>
              <w:rPr>
                <w:rFonts w:hint="eastAsia" w:ascii="宋体" w:hAnsi="宋体" w:cs="宋体"/>
                <w:szCs w:val="21"/>
                <w:lang w:val="zh-CN"/>
              </w:rPr>
            </w:pPr>
          </w:p>
        </w:tc>
        <w:tc>
          <w:tcPr>
            <w:tcW w:w="1038" w:type="dxa"/>
            <w:tcBorders>
              <w:top w:val="single" w:color="000000" w:sz="6" w:space="0"/>
              <w:left w:val="single" w:color="000000" w:sz="6" w:space="0"/>
              <w:bottom w:val="single" w:color="000000" w:sz="6" w:space="0"/>
              <w:right w:val="single" w:color="000000" w:sz="6" w:space="0"/>
            </w:tcBorders>
            <w:noWrap w:val="0"/>
            <w:vAlign w:val="center"/>
          </w:tcPr>
          <w:p w14:paraId="7C8BFA1D">
            <w:pPr>
              <w:jc w:val="center"/>
              <w:rPr>
                <w:rFonts w:hint="eastAsia" w:ascii="宋体" w:hAnsi="宋体" w:cs="宋体"/>
                <w:szCs w:val="21"/>
                <w:lang w:val="zh-CN"/>
              </w:rPr>
            </w:pPr>
          </w:p>
        </w:tc>
      </w:tr>
      <w:tr w14:paraId="7CF0D625">
        <w:tblPrEx>
          <w:tblCellMar>
            <w:top w:w="0" w:type="dxa"/>
            <w:left w:w="10" w:type="dxa"/>
            <w:bottom w:w="0" w:type="dxa"/>
            <w:right w:w="10" w:type="dxa"/>
          </w:tblCellMar>
        </w:tblPrEx>
        <w:trPr>
          <w:trHeight w:val="284" w:hRule="atLeast"/>
          <w:jc w:val="center"/>
        </w:trPr>
        <w:tc>
          <w:tcPr>
            <w:tcW w:w="665" w:type="dxa"/>
            <w:tcBorders>
              <w:top w:val="single" w:color="000000" w:sz="6" w:space="0"/>
              <w:left w:val="single" w:color="000000" w:sz="6" w:space="0"/>
              <w:bottom w:val="single" w:color="000000" w:sz="6" w:space="0"/>
              <w:right w:val="single" w:color="000000" w:sz="6" w:space="0"/>
            </w:tcBorders>
            <w:noWrap w:val="0"/>
            <w:vAlign w:val="center"/>
          </w:tcPr>
          <w:p w14:paraId="09551A23">
            <w:pPr>
              <w:jc w:val="center"/>
              <w:rPr>
                <w:rFonts w:hint="eastAsia" w:ascii="宋体" w:hAnsi="宋体" w:cs="宋体"/>
                <w:szCs w:val="21"/>
                <w:lang w:val="zh-CN"/>
              </w:rPr>
            </w:pPr>
          </w:p>
        </w:tc>
        <w:tc>
          <w:tcPr>
            <w:tcW w:w="2549" w:type="dxa"/>
            <w:tcBorders>
              <w:top w:val="single" w:color="000000" w:sz="6" w:space="0"/>
              <w:left w:val="single" w:color="000000" w:sz="6" w:space="0"/>
              <w:bottom w:val="single" w:color="000000" w:sz="6" w:space="0"/>
              <w:right w:val="single" w:color="000000" w:sz="6" w:space="0"/>
            </w:tcBorders>
            <w:noWrap w:val="0"/>
            <w:vAlign w:val="center"/>
          </w:tcPr>
          <w:p w14:paraId="0B3CE165">
            <w:pPr>
              <w:jc w:val="center"/>
              <w:rPr>
                <w:rFonts w:hint="eastAsia" w:ascii="宋体" w:hAnsi="宋体" w:cs="宋体"/>
                <w:szCs w:val="21"/>
                <w:lang w:val="zh-CN"/>
              </w:rPr>
            </w:pPr>
          </w:p>
        </w:tc>
        <w:tc>
          <w:tcPr>
            <w:tcW w:w="2820" w:type="dxa"/>
            <w:tcBorders>
              <w:top w:val="single" w:color="000000" w:sz="6" w:space="0"/>
              <w:left w:val="single" w:color="000000" w:sz="6" w:space="0"/>
              <w:bottom w:val="single" w:color="000000" w:sz="6" w:space="0"/>
              <w:right w:val="single" w:color="000000" w:sz="6" w:space="0"/>
            </w:tcBorders>
            <w:noWrap w:val="0"/>
            <w:vAlign w:val="center"/>
          </w:tcPr>
          <w:p w14:paraId="67D9A231">
            <w:pPr>
              <w:jc w:val="center"/>
              <w:rPr>
                <w:rFonts w:hint="eastAsia" w:ascii="宋体" w:hAnsi="宋体" w:cs="宋体"/>
                <w:szCs w:val="21"/>
                <w:lang w:val="zh-CN"/>
              </w:rPr>
            </w:pPr>
          </w:p>
        </w:tc>
        <w:tc>
          <w:tcPr>
            <w:tcW w:w="2340" w:type="dxa"/>
            <w:gridSpan w:val="2"/>
            <w:tcBorders>
              <w:top w:val="single" w:color="000000" w:sz="6" w:space="0"/>
              <w:left w:val="single" w:color="000000" w:sz="6" w:space="0"/>
              <w:bottom w:val="single" w:color="000000" w:sz="6" w:space="0"/>
              <w:right w:val="single" w:color="000000" w:sz="6" w:space="0"/>
            </w:tcBorders>
            <w:noWrap w:val="0"/>
            <w:vAlign w:val="center"/>
          </w:tcPr>
          <w:p w14:paraId="6068E2DA">
            <w:pPr>
              <w:jc w:val="center"/>
              <w:rPr>
                <w:rFonts w:hint="eastAsia" w:ascii="宋体" w:hAnsi="宋体" w:cs="宋体"/>
                <w:szCs w:val="21"/>
                <w:lang w:val="zh-CN"/>
              </w:rPr>
            </w:pPr>
          </w:p>
        </w:tc>
        <w:tc>
          <w:tcPr>
            <w:tcW w:w="1038" w:type="dxa"/>
            <w:tcBorders>
              <w:top w:val="single" w:color="000000" w:sz="6" w:space="0"/>
              <w:left w:val="single" w:color="000000" w:sz="6" w:space="0"/>
              <w:bottom w:val="single" w:color="000000" w:sz="6" w:space="0"/>
              <w:right w:val="single" w:color="000000" w:sz="6" w:space="0"/>
            </w:tcBorders>
            <w:noWrap w:val="0"/>
            <w:vAlign w:val="center"/>
          </w:tcPr>
          <w:p w14:paraId="1D0305DA">
            <w:pPr>
              <w:jc w:val="center"/>
              <w:rPr>
                <w:rFonts w:hint="eastAsia" w:ascii="宋体" w:hAnsi="宋体" w:cs="宋体"/>
                <w:szCs w:val="21"/>
                <w:lang w:val="zh-CN"/>
              </w:rPr>
            </w:pPr>
          </w:p>
        </w:tc>
      </w:tr>
      <w:tr w14:paraId="21054B5E">
        <w:tblPrEx>
          <w:tblCellMar>
            <w:top w:w="0" w:type="dxa"/>
            <w:left w:w="10" w:type="dxa"/>
            <w:bottom w:w="0" w:type="dxa"/>
            <w:right w:w="10" w:type="dxa"/>
          </w:tblCellMar>
        </w:tblPrEx>
        <w:trPr>
          <w:trHeight w:val="284" w:hRule="atLeast"/>
          <w:jc w:val="center"/>
        </w:trPr>
        <w:tc>
          <w:tcPr>
            <w:tcW w:w="665" w:type="dxa"/>
            <w:tcBorders>
              <w:top w:val="single" w:color="000000" w:sz="6" w:space="0"/>
              <w:left w:val="single" w:color="000000" w:sz="6" w:space="0"/>
              <w:bottom w:val="single" w:color="000000" w:sz="6" w:space="0"/>
              <w:right w:val="single" w:color="000000" w:sz="6" w:space="0"/>
            </w:tcBorders>
            <w:noWrap w:val="0"/>
            <w:vAlign w:val="center"/>
          </w:tcPr>
          <w:p w14:paraId="05FEB170">
            <w:pPr>
              <w:jc w:val="center"/>
              <w:rPr>
                <w:rFonts w:hint="eastAsia" w:ascii="宋体" w:hAnsi="宋体" w:cs="宋体"/>
                <w:szCs w:val="21"/>
                <w:lang w:val="zh-CN"/>
              </w:rPr>
            </w:pPr>
          </w:p>
        </w:tc>
        <w:tc>
          <w:tcPr>
            <w:tcW w:w="2549" w:type="dxa"/>
            <w:tcBorders>
              <w:top w:val="single" w:color="000000" w:sz="6" w:space="0"/>
              <w:left w:val="single" w:color="000000" w:sz="6" w:space="0"/>
              <w:bottom w:val="single" w:color="000000" w:sz="6" w:space="0"/>
              <w:right w:val="single" w:color="000000" w:sz="6" w:space="0"/>
            </w:tcBorders>
            <w:noWrap w:val="0"/>
            <w:vAlign w:val="center"/>
          </w:tcPr>
          <w:p w14:paraId="075A5FF8">
            <w:pPr>
              <w:jc w:val="center"/>
              <w:rPr>
                <w:rFonts w:hint="eastAsia" w:ascii="宋体" w:hAnsi="宋体" w:cs="宋体"/>
                <w:szCs w:val="21"/>
                <w:lang w:val="zh-CN"/>
              </w:rPr>
            </w:pPr>
          </w:p>
        </w:tc>
        <w:tc>
          <w:tcPr>
            <w:tcW w:w="2820" w:type="dxa"/>
            <w:tcBorders>
              <w:top w:val="single" w:color="000000" w:sz="6" w:space="0"/>
              <w:left w:val="single" w:color="000000" w:sz="6" w:space="0"/>
              <w:bottom w:val="single" w:color="000000" w:sz="6" w:space="0"/>
              <w:right w:val="single" w:color="000000" w:sz="6" w:space="0"/>
            </w:tcBorders>
            <w:noWrap w:val="0"/>
            <w:vAlign w:val="center"/>
          </w:tcPr>
          <w:p w14:paraId="02E22820">
            <w:pPr>
              <w:jc w:val="center"/>
              <w:rPr>
                <w:rFonts w:hint="eastAsia" w:ascii="宋体" w:hAnsi="宋体" w:cs="宋体"/>
                <w:szCs w:val="21"/>
                <w:lang w:val="zh-CN"/>
              </w:rPr>
            </w:pPr>
          </w:p>
        </w:tc>
        <w:tc>
          <w:tcPr>
            <w:tcW w:w="2340" w:type="dxa"/>
            <w:gridSpan w:val="2"/>
            <w:tcBorders>
              <w:top w:val="single" w:color="000000" w:sz="6" w:space="0"/>
              <w:left w:val="single" w:color="000000" w:sz="6" w:space="0"/>
              <w:bottom w:val="single" w:color="000000" w:sz="6" w:space="0"/>
              <w:right w:val="single" w:color="000000" w:sz="6" w:space="0"/>
            </w:tcBorders>
            <w:noWrap w:val="0"/>
            <w:vAlign w:val="center"/>
          </w:tcPr>
          <w:p w14:paraId="3DB1DDBC">
            <w:pPr>
              <w:jc w:val="center"/>
              <w:rPr>
                <w:rFonts w:hint="eastAsia" w:ascii="宋体" w:hAnsi="宋体" w:cs="宋体"/>
                <w:szCs w:val="21"/>
                <w:lang w:val="zh-CN"/>
              </w:rPr>
            </w:pPr>
          </w:p>
        </w:tc>
        <w:tc>
          <w:tcPr>
            <w:tcW w:w="1038" w:type="dxa"/>
            <w:tcBorders>
              <w:top w:val="single" w:color="000000" w:sz="6" w:space="0"/>
              <w:left w:val="single" w:color="000000" w:sz="6" w:space="0"/>
              <w:bottom w:val="single" w:color="000000" w:sz="6" w:space="0"/>
              <w:right w:val="single" w:color="000000" w:sz="6" w:space="0"/>
            </w:tcBorders>
            <w:noWrap w:val="0"/>
            <w:vAlign w:val="center"/>
          </w:tcPr>
          <w:p w14:paraId="4D83BE07">
            <w:pPr>
              <w:jc w:val="center"/>
              <w:rPr>
                <w:rFonts w:hint="eastAsia" w:ascii="宋体" w:hAnsi="宋体" w:cs="宋体"/>
                <w:szCs w:val="21"/>
                <w:lang w:val="zh-CN"/>
              </w:rPr>
            </w:pPr>
          </w:p>
        </w:tc>
      </w:tr>
      <w:tr w14:paraId="7E2655ED">
        <w:tblPrEx>
          <w:tblCellMar>
            <w:top w:w="0" w:type="dxa"/>
            <w:left w:w="10" w:type="dxa"/>
            <w:bottom w:w="0" w:type="dxa"/>
            <w:right w:w="10" w:type="dxa"/>
          </w:tblCellMar>
        </w:tblPrEx>
        <w:trPr>
          <w:trHeight w:val="284" w:hRule="atLeast"/>
          <w:jc w:val="center"/>
        </w:trPr>
        <w:tc>
          <w:tcPr>
            <w:tcW w:w="665" w:type="dxa"/>
            <w:tcBorders>
              <w:top w:val="single" w:color="000000" w:sz="6" w:space="0"/>
              <w:left w:val="single" w:color="000000" w:sz="6" w:space="0"/>
              <w:bottom w:val="single" w:color="000000" w:sz="6" w:space="0"/>
              <w:right w:val="single" w:color="000000" w:sz="6" w:space="0"/>
            </w:tcBorders>
            <w:noWrap w:val="0"/>
            <w:vAlign w:val="center"/>
          </w:tcPr>
          <w:p w14:paraId="5E5C62C2">
            <w:pPr>
              <w:jc w:val="center"/>
              <w:rPr>
                <w:rFonts w:hint="eastAsia" w:ascii="宋体" w:hAnsi="宋体" w:cs="宋体"/>
                <w:szCs w:val="21"/>
                <w:lang w:val="zh-CN"/>
              </w:rPr>
            </w:pPr>
          </w:p>
        </w:tc>
        <w:tc>
          <w:tcPr>
            <w:tcW w:w="2549" w:type="dxa"/>
            <w:tcBorders>
              <w:top w:val="single" w:color="000000" w:sz="6" w:space="0"/>
              <w:left w:val="single" w:color="000000" w:sz="6" w:space="0"/>
              <w:bottom w:val="single" w:color="000000" w:sz="6" w:space="0"/>
              <w:right w:val="single" w:color="000000" w:sz="6" w:space="0"/>
            </w:tcBorders>
            <w:noWrap w:val="0"/>
            <w:vAlign w:val="center"/>
          </w:tcPr>
          <w:p w14:paraId="56CFEE82">
            <w:pPr>
              <w:jc w:val="center"/>
              <w:rPr>
                <w:rFonts w:hint="eastAsia" w:ascii="宋体" w:hAnsi="宋体" w:cs="宋体"/>
                <w:szCs w:val="21"/>
                <w:lang w:val="zh-CN"/>
              </w:rPr>
            </w:pPr>
          </w:p>
        </w:tc>
        <w:tc>
          <w:tcPr>
            <w:tcW w:w="2820" w:type="dxa"/>
            <w:tcBorders>
              <w:top w:val="single" w:color="000000" w:sz="6" w:space="0"/>
              <w:left w:val="single" w:color="000000" w:sz="6" w:space="0"/>
              <w:bottom w:val="single" w:color="000000" w:sz="6" w:space="0"/>
              <w:right w:val="single" w:color="000000" w:sz="6" w:space="0"/>
            </w:tcBorders>
            <w:noWrap w:val="0"/>
            <w:vAlign w:val="center"/>
          </w:tcPr>
          <w:p w14:paraId="7121A9B5">
            <w:pPr>
              <w:jc w:val="center"/>
              <w:rPr>
                <w:rFonts w:hint="eastAsia" w:ascii="宋体" w:hAnsi="宋体" w:cs="宋体"/>
                <w:szCs w:val="21"/>
                <w:lang w:val="zh-CN"/>
              </w:rPr>
            </w:pPr>
          </w:p>
        </w:tc>
        <w:tc>
          <w:tcPr>
            <w:tcW w:w="2340" w:type="dxa"/>
            <w:gridSpan w:val="2"/>
            <w:tcBorders>
              <w:top w:val="single" w:color="000000" w:sz="6" w:space="0"/>
              <w:left w:val="single" w:color="000000" w:sz="6" w:space="0"/>
              <w:bottom w:val="single" w:color="000000" w:sz="6" w:space="0"/>
              <w:right w:val="single" w:color="000000" w:sz="6" w:space="0"/>
            </w:tcBorders>
            <w:noWrap w:val="0"/>
            <w:vAlign w:val="center"/>
          </w:tcPr>
          <w:p w14:paraId="6E7033BB">
            <w:pPr>
              <w:jc w:val="center"/>
              <w:rPr>
                <w:rFonts w:hint="eastAsia" w:ascii="宋体" w:hAnsi="宋体" w:cs="宋体"/>
                <w:szCs w:val="21"/>
                <w:lang w:val="zh-CN"/>
              </w:rPr>
            </w:pPr>
          </w:p>
        </w:tc>
        <w:tc>
          <w:tcPr>
            <w:tcW w:w="1038" w:type="dxa"/>
            <w:tcBorders>
              <w:top w:val="single" w:color="000000" w:sz="6" w:space="0"/>
              <w:left w:val="single" w:color="000000" w:sz="6" w:space="0"/>
              <w:bottom w:val="single" w:color="000000" w:sz="6" w:space="0"/>
              <w:right w:val="single" w:color="000000" w:sz="6" w:space="0"/>
            </w:tcBorders>
            <w:noWrap w:val="0"/>
            <w:vAlign w:val="center"/>
          </w:tcPr>
          <w:p w14:paraId="5F2971FA">
            <w:pPr>
              <w:jc w:val="center"/>
              <w:rPr>
                <w:rFonts w:hint="eastAsia" w:ascii="宋体" w:hAnsi="宋体" w:cs="宋体"/>
                <w:szCs w:val="21"/>
                <w:lang w:val="zh-CN"/>
              </w:rPr>
            </w:pPr>
          </w:p>
        </w:tc>
      </w:tr>
      <w:tr w14:paraId="0A4BB356">
        <w:tblPrEx>
          <w:tblCellMar>
            <w:top w:w="0" w:type="dxa"/>
            <w:left w:w="10" w:type="dxa"/>
            <w:bottom w:w="0" w:type="dxa"/>
            <w:right w:w="10" w:type="dxa"/>
          </w:tblCellMar>
        </w:tblPrEx>
        <w:trPr>
          <w:trHeight w:val="284" w:hRule="atLeast"/>
          <w:jc w:val="center"/>
        </w:trPr>
        <w:tc>
          <w:tcPr>
            <w:tcW w:w="665" w:type="dxa"/>
            <w:tcBorders>
              <w:top w:val="single" w:color="000000" w:sz="6" w:space="0"/>
              <w:left w:val="single" w:color="000000" w:sz="6" w:space="0"/>
              <w:bottom w:val="single" w:color="000000" w:sz="6" w:space="0"/>
              <w:right w:val="single" w:color="000000" w:sz="6" w:space="0"/>
            </w:tcBorders>
            <w:noWrap w:val="0"/>
            <w:vAlign w:val="center"/>
          </w:tcPr>
          <w:p w14:paraId="4A26FEAE">
            <w:pPr>
              <w:jc w:val="center"/>
              <w:rPr>
                <w:rFonts w:hint="eastAsia" w:ascii="宋体" w:hAnsi="宋体" w:cs="宋体"/>
                <w:szCs w:val="21"/>
                <w:lang w:val="zh-CN"/>
              </w:rPr>
            </w:pPr>
          </w:p>
        </w:tc>
        <w:tc>
          <w:tcPr>
            <w:tcW w:w="2549" w:type="dxa"/>
            <w:tcBorders>
              <w:top w:val="single" w:color="000000" w:sz="6" w:space="0"/>
              <w:left w:val="single" w:color="000000" w:sz="6" w:space="0"/>
              <w:bottom w:val="single" w:color="000000" w:sz="6" w:space="0"/>
              <w:right w:val="single" w:color="000000" w:sz="6" w:space="0"/>
            </w:tcBorders>
            <w:noWrap w:val="0"/>
            <w:vAlign w:val="center"/>
          </w:tcPr>
          <w:p w14:paraId="6538261C">
            <w:pPr>
              <w:jc w:val="center"/>
              <w:rPr>
                <w:rFonts w:hint="eastAsia" w:ascii="宋体" w:hAnsi="宋体" w:cs="宋体"/>
                <w:szCs w:val="21"/>
                <w:lang w:val="zh-CN"/>
              </w:rPr>
            </w:pPr>
          </w:p>
        </w:tc>
        <w:tc>
          <w:tcPr>
            <w:tcW w:w="2820" w:type="dxa"/>
            <w:tcBorders>
              <w:top w:val="single" w:color="000000" w:sz="6" w:space="0"/>
              <w:left w:val="single" w:color="000000" w:sz="6" w:space="0"/>
              <w:bottom w:val="single" w:color="000000" w:sz="6" w:space="0"/>
              <w:right w:val="single" w:color="000000" w:sz="6" w:space="0"/>
            </w:tcBorders>
            <w:noWrap w:val="0"/>
            <w:vAlign w:val="center"/>
          </w:tcPr>
          <w:p w14:paraId="643BB647">
            <w:pPr>
              <w:jc w:val="center"/>
              <w:rPr>
                <w:rFonts w:hint="eastAsia" w:ascii="宋体" w:hAnsi="宋体" w:cs="宋体"/>
                <w:szCs w:val="21"/>
                <w:lang w:val="zh-CN"/>
              </w:rPr>
            </w:pPr>
          </w:p>
        </w:tc>
        <w:tc>
          <w:tcPr>
            <w:tcW w:w="2340" w:type="dxa"/>
            <w:gridSpan w:val="2"/>
            <w:tcBorders>
              <w:top w:val="single" w:color="000000" w:sz="6" w:space="0"/>
              <w:left w:val="single" w:color="000000" w:sz="6" w:space="0"/>
              <w:bottom w:val="single" w:color="000000" w:sz="6" w:space="0"/>
              <w:right w:val="single" w:color="000000" w:sz="6" w:space="0"/>
            </w:tcBorders>
            <w:noWrap w:val="0"/>
            <w:vAlign w:val="center"/>
          </w:tcPr>
          <w:p w14:paraId="3525F4AD">
            <w:pPr>
              <w:jc w:val="center"/>
              <w:rPr>
                <w:rFonts w:hint="eastAsia" w:ascii="宋体" w:hAnsi="宋体" w:cs="宋体"/>
                <w:szCs w:val="21"/>
                <w:lang w:val="zh-CN"/>
              </w:rPr>
            </w:pPr>
          </w:p>
        </w:tc>
        <w:tc>
          <w:tcPr>
            <w:tcW w:w="1038" w:type="dxa"/>
            <w:tcBorders>
              <w:top w:val="single" w:color="000000" w:sz="6" w:space="0"/>
              <w:left w:val="single" w:color="000000" w:sz="6" w:space="0"/>
              <w:bottom w:val="single" w:color="000000" w:sz="6" w:space="0"/>
              <w:right w:val="single" w:color="000000" w:sz="6" w:space="0"/>
            </w:tcBorders>
            <w:noWrap w:val="0"/>
            <w:vAlign w:val="center"/>
          </w:tcPr>
          <w:p w14:paraId="1348D9BE">
            <w:pPr>
              <w:jc w:val="center"/>
              <w:rPr>
                <w:rFonts w:hint="eastAsia" w:ascii="宋体" w:hAnsi="宋体" w:cs="宋体"/>
                <w:szCs w:val="21"/>
                <w:lang w:val="zh-CN"/>
              </w:rPr>
            </w:pPr>
          </w:p>
        </w:tc>
      </w:tr>
    </w:tbl>
    <w:p w14:paraId="65BDD644">
      <w:pPr>
        <w:rPr>
          <w:rFonts w:hint="eastAsia" w:ascii="宋体" w:hAnsi="宋体" w:cs="宋体"/>
          <w:szCs w:val="21"/>
          <w:lang w:val="zh-CN"/>
        </w:rPr>
      </w:pPr>
    </w:p>
    <w:p w14:paraId="033A8E96">
      <w:pPr>
        <w:rPr>
          <w:rFonts w:hint="eastAsia" w:ascii="宋体" w:hAnsi="宋体" w:cs="宋体"/>
          <w:szCs w:val="21"/>
          <w:lang w:val="zh-CN"/>
        </w:rPr>
      </w:pPr>
    </w:p>
    <w:p w14:paraId="1983FC19">
      <w:pPr>
        <w:widowControl/>
        <w:shd w:val="clear" w:color="auto" w:fill="FFFFFF"/>
        <w:spacing w:line="360" w:lineRule="auto"/>
        <w:jc w:val="left"/>
        <w:rPr>
          <w:rFonts w:hint="eastAsia" w:ascii="宋体" w:hAnsi="宋体" w:cs="宋体"/>
          <w:szCs w:val="21"/>
        </w:rPr>
      </w:pPr>
      <w:r>
        <w:rPr>
          <w:rFonts w:hint="eastAsia" w:ascii="宋体" w:hAnsi="宋体" w:cs="宋体"/>
          <w:szCs w:val="21"/>
        </w:rPr>
        <w:t>说明：磋商响应文件技术要求部分内容响应存在正偏离或负偏离的，请在本表中逐条列出。未列出的，视为响应磋商文件要求。如果行数不够，请自行增加。</w:t>
      </w:r>
    </w:p>
    <w:p w14:paraId="205A2736">
      <w:pPr>
        <w:pStyle w:val="339"/>
        <w:rPr>
          <w:rFonts w:hint="eastAsia" w:ascii="宋体" w:hAnsi="宋体" w:cs="宋体"/>
          <w:lang w:val="zh-CN"/>
        </w:rPr>
      </w:pPr>
    </w:p>
    <w:p w14:paraId="2213533B">
      <w:pPr>
        <w:widowControl/>
        <w:shd w:val="clear" w:color="auto" w:fill="FFFFFF"/>
        <w:spacing w:line="360" w:lineRule="auto"/>
        <w:jc w:val="left"/>
        <w:rPr>
          <w:rFonts w:hint="eastAsia" w:ascii="宋体" w:hAnsi="宋体" w:cs="宋体"/>
          <w:szCs w:val="21"/>
        </w:rPr>
      </w:pPr>
      <w:r>
        <w:rPr>
          <w:rFonts w:hint="eastAsia" w:ascii="宋体" w:hAnsi="宋体" w:cs="宋体"/>
          <w:szCs w:val="21"/>
        </w:rPr>
        <w:t>供应商（加盖电子公章）：</w:t>
      </w:r>
      <w:r>
        <w:rPr>
          <w:rFonts w:hint="eastAsia" w:ascii="宋体" w:hAnsi="宋体" w:cs="宋体"/>
          <w:szCs w:val="21"/>
          <w:u w:val="single"/>
        </w:rPr>
        <w:t xml:space="preserve">            </w:t>
      </w:r>
    </w:p>
    <w:p w14:paraId="7125C68C">
      <w:pPr>
        <w:widowControl/>
        <w:shd w:val="clear" w:color="auto" w:fill="FFFFFF"/>
        <w:spacing w:line="360" w:lineRule="auto"/>
        <w:jc w:val="left"/>
        <w:rPr>
          <w:rFonts w:hint="eastAsia" w:ascii="宋体" w:hAnsi="宋体" w:cs="宋体"/>
          <w:szCs w:val="21"/>
        </w:rPr>
      </w:pPr>
      <w:r>
        <w:rPr>
          <w:rFonts w:hint="eastAsia" w:ascii="宋体" w:hAnsi="宋体" w:cs="宋体"/>
          <w:szCs w:val="21"/>
        </w:rPr>
        <w:t>日    期：   年    月    日</w:t>
      </w:r>
    </w:p>
    <w:p w14:paraId="58D6C1E5">
      <w:pPr>
        <w:rPr>
          <w:rFonts w:hint="eastAsia" w:ascii="宋体" w:hAnsi="宋体" w:cs="宋体"/>
          <w:szCs w:val="21"/>
          <w:lang w:val="zh-CN"/>
        </w:rPr>
      </w:pPr>
    </w:p>
    <w:p w14:paraId="7675CCEC">
      <w:pPr>
        <w:spacing w:before="312" w:after="312"/>
        <w:rPr>
          <w:rFonts w:hint="eastAsia" w:ascii="宋体" w:hAnsi="宋体" w:cs="宋体"/>
          <w:b/>
        </w:rPr>
      </w:pPr>
      <w:bookmarkStart w:id="86" w:name="_Toc504044385"/>
      <w:bookmarkStart w:id="87" w:name="_Toc504056873"/>
      <w:bookmarkStart w:id="88" w:name="_Toc490133033"/>
      <w:bookmarkStart w:id="89" w:name="_Toc504573088"/>
      <w:r>
        <w:rPr>
          <w:rFonts w:hint="eastAsia" w:ascii="宋体" w:hAnsi="宋体" w:cs="宋体"/>
          <w:szCs w:val="21"/>
        </w:rPr>
        <w:br w:type="page" w:clear="all"/>
      </w:r>
      <w:bookmarkEnd w:id="86"/>
      <w:bookmarkEnd w:id="87"/>
      <w:bookmarkEnd w:id="88"/>
      <w:bookmarkEnd w:id="89"/>
      <w:bookmarkStart w:id="90" w:name="_Toc534273683"/>
      <w:bookmarkStart w:id="91" w:name="_Toc504044386"/>
      <w:bookmarkStart w:id="92" w:name="_Toc534273806"/>
      <w:bookmarkStart w:id="93" w:name="_Toc504056874"/>
      <w:bookmarkStart w:id="94" w:name="_Toc490133034"/>
      <w:bookmarkStart w:id="95" w:name="_Toc504573089"/>
      <w:r>
        <w:rPr>
          <w:rFonts w:hint="eastAsia" w:ascii="宋体" w:hAnsi="宋体" w:cs="宋体"/>
          <w:b/>
        </w:rPr>
        <w:t>附件六、拟参与本项目人员一览表</w:t>
      </w:r>
      <w:bookmarkEnd w:id="90"/>
      <w:bookmarkEnd w:id="91"/>
      <w:bookmarkEnd w:id="92"/>
      <w:bookmarkEnd w:id="93"/>
      <w:bookmarkEnd w:id="94"/>
      <w:bookmarkEnd w:id="95"/>
    </w:p>
    <w:p w14:paraId="51A3BB1A">
      <w:pPr>
        <w:rPr>
          <w:rFonts w:hint="eastAsia" w:ascii="宋体" w:hAnsi="宋体" w:cs="宋体"/>
          <w:lang w:val="zh-CN"/>
        </w:rPr>
      </w:pPr>
    </w:p>
    <w:p w14:paraId="7398953C">
      <w:pPr>
        <w:widowControl/>
        <w:shd w:val="clear" w:color="auto" w:fill="FFFFFF"/>
        <w:spacing w:before="312" w:line="360" w:lineRule="auto"/>
        <w:jc w:val="center"/>
        <w:rPr>
          <w:rFonts w:hint="eastAsia" w:ascii="宋体" w:hAnsi="宋体" w:cs="宋体"/>
          <w:b/>
          <w:sz w:val="36"/>
          <w:szCs w:val="36"/>
        </w:rPr>
      </w:pPr>
      <w:r>
        <w:rPr>
          <w:rFonts w:hint="eastAsia" w:ascii="宋体" w:hAnsi="宋体" w:cs="宋体"/>
          <w:b/>
          <w:sz w:val="36"/>
          <w:szCs w:val="36"/>
        </w:rPr>
        <w:t>拟参与本项目人员一览表</w:t>
      </w:r>
    </w:p>
    <w:p w14:paraId="63CC2BAD">
      <w:pPr>
        <w:jc w:val="center"/>
        <w:rPr>
          <w:rFonts w:hint="eastAsia" w:ascii="宋体" w:hAnsi="宋体" w:cs="宋体"/>
          <w:b/>
          <w:bCs/>
          <w:szCs w:val="21"/>
          <w:lang w:val="zh-CN"/>
        </w:rPr>
      </w:pPr>
    </w:p>
    <w:p w14:paraId="10E08F1D">
      <w:pPr>
        <w:rPr>
          <w:rFonts w:hint="eastAsia" w:ascii="宋体" w:hAnsi="宋体" w:cs="宋体"/>
          <w:szCs w:val="21"/>
          <w:lang w:val="zh-CN"/>
        </w:rPr>
      </w:pPr>
      <w:r>
        <w:rPr>
          <w:rFonts w:hint="eastAsia" w:ascii="宋体" w:hAnsi="宋体" w:cs="宋体"/>
          <w:szCs w:val="21"/>
          <w:lang w:val="zh-CN"/>
        </w:rPr>
        <w:t>项目名称：                                     项目编号：</w:t>
      </w:r>
    </w:p>
    <w:tbl>
      <w:tblPr>
        <w:tblStyle w:val="2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34"/>
        <w:gridCol w:w="896"/>
        <w:gridCol w:w="663"/>
        <w:gridCol w:w="709"/>
        <w:gridCol w:w="1134"/>
        <w:gridCol w:w="1056"/>
        <w:gridCol w:w="1020"/>
        <w:gridCol w:w="1174"/>
        <w:gridCol w:w="1588"/>
        <w:gridCol w:w="851"/>
      </w:tblGrid>
      <w:tr w14:paraId="6CE546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07" w:hRule="atLeast"/>
          <w:jc w:val="center"/>
        </w:trPr>
        <w:tc>
          <w:tcPr>
            <w:tcW w:w="534" w:type="dxa"/>
            <w:noWrap w:val="0"/>
            <w:vAlign w:val="center"/>
          </w:tcPr>
          <w:p w14:paraId="06D6FED3">
            <w:pPr>
              <w:jc w:val="center"/>
              <w:rPr>
                <w:rFonts w:hint="eastAsia" w:ascii="宋体" w:hAnsi="宋体" w:cs="宋体"/>
                <w:b/>
                <w:szCs w:val="21"/>
                <w:lang w:val="zh-CN"/>
              </w:rPr>
            </w:pPr>
            <w:r>
              <w:rPr>
                <w:rFonts w:hint="eastAsia" w:ascii="宋体" w:hAnsi="宋体" w:cs="宋体"/>
                <w:b/>
                <w:szCs w:val="21"/>
                <w:lang w:val="zh-CN"/>
              </w:rPr>
              <w:t>序号</w:t>
            </w:r>
          </w:p>
        </w:tc>
        <w:tc>
          <w:tcPr>
            <w:tcW w:w="896" w:type="dxa"/>
            <w:noWrap w:val="0"/>
            <w:vAlign w:val="center"/>
          </w:tcPr>
          <w:p w14:paraId="0D00508A">
            <w:pPr>
              <w:jc w:val="center"/>
              <w:rPr>
                <w:rFonts w:hint="eastAsia" w:ascii="宋体" w:hAnsi="宋体" w:cs="宋体"/>
                <w:b/>
                <w:szCs w:val="21"/>
                <w:lang w:val="zh-CN"/>
              </w:rPr>
            </w:pPr>
            <w:r>
              <w:rPr>
                <w:rFonts w:hint="eastAsia" w:ascii="宋体" w:hAnsi="宋体" w:cs="宋体"/>
                <w:b/>
                <w:szCs w:val="21"/>
                <w:lang w:val="zh-CN"/>
              </w:rPr>
              <w:t>姓名</w:t>
            </w:r>
          </w:p>
        </w:tc>
        <w:tc>
          <w:tcPr>
            <w:tcW w:w="663" w:type="dxa"/>
            <w:noWrap w:val="0"/>
            <w:vAlign w:val="center"/>
          </w:tcPr>
          <w:p w14:paraId="7438A49F">
            <w:pPr>
              <w:jc w:val="center"/>
              <w:rPr>
                <w:rFonts w:hint="eastAsia" w:ascii="宋体" w:hAnsi="宋体" w:cs="宋体"/>
                <w:b/>
                <w:szCs w:val="21"/>
                <w:lang w:val="zh-CN"/>
              </w:rPr>
            </w:pPr>
            <w:r>
              <w:rPr>
                <w:rFonts w:hint="eastAsia" w:ascii="宋体" w:hAnsi="宋体" w:cs="宋体"/>
                <w:b/>
                <w:szCs w:val="21"/>
                <w:lang w:val="zh-CN"/>
              </w:rPr>
              <w:t>性别</w:t>
            </w:r>
          </w:p>
        </w:tc>
        <w:tc>
          <w:tcPr>
            <w:tcW w:w="709" w:type="dxa"/>
            <w:noWrap w:val="0"/>
            <w:vAlign w:val="center"/>
          </w:tcPr>
          <w:p w14:paraId="38827B54">
            <w:pPr>
              <w:jc w:val="center"/>
              <w:rPr>
                <w:rFonts w:hint="eastAsia" w:ascii="宋体" w:hAnsi="宋体" w:cs="宋体"/>
                <w:b/>
                <w:szCs w:val="21"/>
                <w:lang w:val="zh-CN"/>
              </w:rPr>
            </w:pPr>
            <w:r>
              <w:rPr>
                <w:rFonts w:hint="eastAsia" w:ascii="宋体" w:hAnsi="宋体" w:cs="宋体"/>
                <w:b/>
                <w:szCs w:val="21"/>
                <w:lang w:val="zh-CN"/>
              </w:rPr>
              <w:t>年龄</w:t>
            </w:r>
          </w:p>
        </w:tc>
        <w:tc>
          <w:tcPr>
            <w:tcW w:w="1134" w:type="dxa"/>
            <w:noWrap w:val="0"/>
            <w:vAlign w:val="center"/>
          </w:tcPr>
          <w:p w14:paraId="5CEBF90E">
            <w:pPr>
              <w:jc w:val="center"/>
              <w:rPr>
                <w:rFonts w:hint="eastAsia" w:ascii="宋体" w:hAnsi="宋体" w:cs="宋体"/>
                <w:b/>
                <w:szCs w:val="21"/>
                <w:lang w:val="zh-CN"/>
              </w:rPr>
            </w:pPr>
            <w:r>
              <w:rPr>
                <w:rFonts w:hint="eastAsia" w:ascii="宋体" w:hAnsi="宋体" w:cs="宋体"/>
                <w:b/>
                <w:szCs w:val="21"/>
                <w:lang w:val="zh-CN"/>
              </w:rPr>
              <w:t>学历及</w:t>
            </w:r>
          </w:p>
          <w:p w14:paraId="6B0B4C20">
            <w:pPr>
              <w:jc w:val="center"/>
              <w:rPr>
                <w:rFonts w:hint="eastAsia" w:ascii="宋体" w:hAnsi="宋体" w:cs="宋体"/>
                <w:b/>
                <w:szCs w:val="21"/>
                <w:lang w:val="zh-CN"/>
              </w:rPr>
            </w:pPr>
            <w:r>
              <w:rPr>
                <w:rFonts w:hint="eastAsia" w:ascii="宋体" w:hAnsi="宋体" w:cs="宋体"/>
                <w:b/>
                <w:szCs w:val="21"/>
                <w:lang w:val="zh-CN"/>
              </w:rPr>
              <w:t>专业</w:t>
            </w:r>
          </w:p>
        </w:tc>
        <w:tc>
          <w:tcPr>
            <w:tcW w:w="1056" w:type="dxa"/>
            <w:noWrap w:val="0"/>
            <w:vAlign w:val="center"/>
          </w:tcPr>
          <w:p w14:paraId="1F4D0217">
            <w:pPr>
              <w:jc w:val="center"/>
              <w:rPr>
                <w:rFonts w:hint="eastAsia" w:ascii="宋体" w:hAnsi="宋体" w:cs="宋体"/>
                <w:b/>
                <w:szCs w:val="21"/>
                <w:lang w:val="zh-CN"/>
              </w:rPr>
            </w:pPr>
            <w:r>
              <w:rPr>
                <w:rFonts w:hint="eastAsia" w:ascii="宋体" w:hAnsi="宋体" w:cs="宋体"/>
                <w:b/>
                <w:szCs w:val="21"/>
                <w:lang w:val="zh-CN"/>
              </w:rPr>
              <w:t>执业</w:t>
            </w:r>
          </w:p>
          <w:p w14:paraId="186B9C7C">
            <w:pPr>
              <w:jc w:val="center"/>
              <w:rPr>
                <w:rFonts w:hint="eastAsia" w:ascii="宋体" w:hAnsi="宋体" w:cs="宋体"/>
                <w:b/>
                <w:szCs w:val="21"/>
                <w:lang w:val="zh-CN"/>
              </w:rPr>
            </w:pPr>
            <w:r>
              <w:rPr>
                <w:rFonts w:hint="eastAsia" w:ascii="宋体" w:hAnsi="宋体" w:cs="宋体"/>
                <w:b/>
                <w:szCs w:val="21"/>
                <w:lang w:val="zh-CN"/>
              </w:rPr>
              <w:t>资格及证书号</w:t>
            </w:r>
          </w:p>
        </w:tc>
        <w:tc>
          <w:tcPr>
            <w:tcW w:w="1020" w:type="dxa"/>
            <w:noWrap w:val="0"/>
            <w:vAlign w:val="center"/>
          </w:tcPr>
          <w:p w14:paraId="3F9FE85B">
            <w:pPr>
              <w:jc w:val="center"/>
              <w:rPr>
                <w:rFonts w:hint="eastAsia" w:ascii="宋体" w:hAnsi="宋体" w:cs="宋体"/>
                <w:b/>
                <w:szCs w:val="21"/>
                <w:lang w:val="zh-CN"/>
              </w:rPr>
            </w:pPr>
            <w:r>
              <w:rPr>
                <w:rFonts w:hint="eastAsia" w:ascii="宋体" w:hAnsi="宋体" w:cs="宋体"/>
                <w:b/>
                <w:szCs w:val="21"/>
                <w:lang w:val="zh-CN"/>
              </w:rPr>
              <w:t>技术</w:t>
            </w:r>
          </w:p>
          <w:p w14:paraId="62B8E5D4">
            <w:pPr>
              <w:jc w:val="center"/>
              <w:rPr>
                <w:rFonts w:hint="eastAsia" w:ascii="宋体" w:hAnsi="宋体" w:cs="宋体"/>
                <w:b/>
                <w:szCs w:val="21"/>
                <w:lang w:val="zh-CN"/>
              </w:rPr>
            </w:pPr>
            <w:r>
              <w:rPr>
                <w:rFonts w:hint="eastAsia" w:ascii="宋体" w:hAnsi="宋体" w:cs="宋体"/>
                <w:b/>
                <w:szCs w:val="21"/>
                <w:lang w:val="zh-CN"/>
              </w:rPr>
              <w:t>职称</w:t>
            </w:r>
          </w:p>
        </w:tc>
        <w:tc>
          <w:tcPr>
            <w:tcW w:w="1174" w:type="dxa"/>
            <w:noWrap w:val="0"/>
            <w:vAlign w:val="center"/>
          </w:tcPr>
          <w:p w14:paraId="3C2481CE">
            <w:pPr>
              <w:jc w:val="center"/>
              <w:rPr>
                <w:rFonts w:hint="eastAsia" w:ascii="宋体" w:hAnsi="宋体" w:cs="宋体"/>
                <w:b/>
                <w:szCs w:val="21"/>
                <w:lang w:val="zh-CN"/>
              </w:rPr>
            </w:pPr>
            <w:r>
              <w:rPr>
                <w:rFonts w:hint="eastAsia" w:ascii="宋体" w:hAnsi="宋体" w:cs="宋体"/>
                <w:b/>
                <w:szCs w:val="21"/>
                <w:lang w:val="zh-CN"/>
              </w:rPr>
              <w:t>相关工作年限及工作经历</w:t>
            </w:r>
          </w:p>
        </w:tc>
        <w:tc>
          <w:tcPr>
            <w:tcW w:w="1588" w:type="dxa"/>
            <w:noWrap w:val="0"/>
            <w:vAlign w:val="center"/>
          </w:tcPr>
          <w:p w14:paraId="61219262">
            <w:pPr>
              <w:jc w:val="center"/>
              <w:rPr>
                <w:rFonts w:hint="eastAsia" w:ascii="宋体" w:hAnsi="宋体" w:cs="宋体"/>
                <w:b/>
                <w:szCs w:val="21"/>
                <w:lang w:val="zh-CN"/>
              </w:rPr>
            </w:pPr>
            <w:r>
              <w:rPr>
                <w:rFonts w:hint="eastAsia" w:ascii="宋体" w:hAnsi="宋体" w:cs="宋体"/>
                <w:b/>
                <w:szCs w:val="21"/>
                <w:lang w:val="zh-CN"/>
              </w:rPr>
              <w:t>拟担任本项目何种工作</w:t>
            </w:r>
          </w:p>
        </w:tc>
        <w:tc>
          <w:tcPr>
            <w:tcW w:w="851" w:type="dxa"/>
            <w:noWrap w:val="0"/>
            <w:vAlign w:val="center"/>
          </w:tcPr>
          <w:p w14:paraId="5DD64369">
            <w:pPr>
              <w:jc w:val="center"/>
              <w:rPr>
                <w:rFonts w:hint="eastAsia" w:ascii="宋体" w:hAnsi="宋体" w:cs="宋体"/>
                <w:b/>
                <w:szCs w:val="21"/>
                <w:lang w:val="zh-CN"/>
              </w:rPr>
            </w:pPr>
            <w:r>
              <w:rPr>
                <w:rFonts w:hint="eastAsia" w:ascii="宋体" w:hAnsi="宋体" w:cs="宋体"/>
                <w:b/>
                <w:szCs w:val="21"/>
                <w:lang w:val="zh-CN"/>
              </w:rPr>
              <w:t>备注</w:t>
            </w:r>
          </w:p>
        </w:tc>
      </w:tr>
      <w:tr w14:paraId="492B88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34" w:type="dxa"/>
            <w:noWrap w:val="0"/>
            <w:vAlign w:val="top"/>
          </w:tcPr>
          <w:p w14:paraId="74668FBF">
            <w:pPr>
              <w:rPr>
                <w:rFonts w:hint="eastAsia" w:ascii="宋体" w:hAnsi="宋体" w:cs="宋体"/>
                <w:szCs w:val="21"/>
                <w:lang w:val="zh-CN"/>
              </w:rPr>
            </w:pPr>
          </w:p>
        </w:tc>
        <w:tc>
          <w:tcPr>
            <w:tcW w:w="896" w:type="dxa"/>
            <w:noWrap w:val="0"/>
            <w:vAlign w:val="top"/>
          </w:tcPr>
          <w:p w14:paraId="5D5E7315">
            <w:pPr>
              <w:rPr>
                <w:rFonts w:hint="eastAsia" w:ascii="宋体" w:hAnsi="宋体" w:cs="宋体"/>
                <w:szCs w:val="21"/>
                <w:lang w:val="zh-CN"/>
              </w:rPr>
            </w:pPr>
          </w:p>
        </w:tc>
        <w:tc>
          <w:tcPr>
            <w:tcW w:w="663" w:type="dxa"/>
            <w:noWrap w:val="0"/>
            <w:vAlign w:val="top"/>
          </w:tcPr>
          <w:p w14:paraId="3E2F1A3C">
            <w:pPr>
              <w:rPr>
                <w:rFonts w:hint="eastAsia" w:ascii="宋体" w:hAnsi="宋体" w:cs="宋体"/>
                <w:szCs w:val="21"/>
                <w:lang w:val="zh-CN"/>
              </w:rPr>
            </w:pPr>
          </w:p>
        </w:tc>
        <w:tc>
          <w:tcPr>
            <w:tcW w:w="709" w:type="dxa"/>
            <w:noWrap w:val="0"/>
            <w:vAlign w:val="top"/>
          </w:tcPr>
          <w:p w14:paraId="3B41ADDE">
            <w:pPr>
              <w:rPr>
                <w:rFonts w:hint="eastAsia" w:ascii="宋体" w:hAnsi="宋体" w:cs="宋体"/>
                <w:szCs w:val="21"/>
                <w:lang w:val="zh-CN"/>
              </w:rPr>
            </w:pPr>
          </w:p>
        </w:tc>
        <w:tc>
          <w:tcPr>
            <w:tcW w:w="1134" w:type="dxa"/>
            <w:noWrap w:val="0"/>
            <w:vAlign w:val="top"/>
          </w:tcPr>
          <w:p w14:paraId="4EE8F48E">
            <w:pPr>
              <w:rPr>
                <w:rFonts w:hint="eastAsia" w:ascii="宋体" w:hAnsi="宋体" w:cs="宋体"/>
                <w:szCs w:val="21"/>
                <w:lang w:val="zh-CN"/>
              </w:rPr>
            </w:pPr>
          </w:p>
        </w:tc>
        <w:tc>
          <w:tcPr>
            <w:tcW w:w="1056" w:type="dxa"/>
            <w:noWrap w:val="0"/>
            <w:vAlign w:val="top"/>
          </w:tcPr>
          <w:p w14:paraId="7D6B8FAE">
            <w:pPr>
              <w:rPr>
                <w:rFonts w:hint="eastAsia" w:ascii="宋体" w:hAnsi="宋体" w:cs="宋体"/>
                <w:szCs w:val="21"/>
                <w:lang w:val="zh-CN"/>
              </w:rPr>
            </w:pPr>
          </w:p>
        </w:tc>
        <w:tc>
          <w:tcPr>
            <w:tcW w:w="1020" w:type="dxa"/>
            <w:noWrap w:val="0"/>
            <w:vAlign w:val="top"/>
          </w:tcPr>
          <w:p w14:paraId="449392B2">
            <w:pPr>
              <w:rPr>
                <w:rFonts w:hint="eastAsia" w:ascii="宋体" w:hAnsi="宋体" w:cs="宋体"/>
                <w:szCs w:val="21"/>
                <w:lang w:val="zh-CN"/>
              </w:rPr>
            </w:pPr>
          </w:p>
        </w:tc>
        <w:tc>
          <w:tcPr>
            <w:tcW w:w="1174" w:type="dxa"/>
            <w:noWrap w:val="0"/>
            <w:vAlign w:val="top"/>
          </w:tcPr>
          <w:p w14:paraId="08B19175">
            <w:pPr>
              <w:rPr>
                <w:rFonts w:hint="eastAsia" w:ascii="宋体" w:hAnsi="宋体" w:cs="宋体"/>
                <w:szCs w:val="21"/>
                <w:lang w:val="zh-CN"/>
              </w:rPr>
            </w:pPr>
          </w:p>
        </w:tc>
        <w:tc>
          <w:tcPr>
            <w:tcW w:w="1588" w:type="dxa"/>
            <w:noWrap w:val="0"/>
            <w:vAlign w:val="top"/>
          </w:tcPr>
          <w:p w14:paraId="6146124C">
            <w:pPr>
              <w:rPr>
                <w:rFonts w:hint="eastAsia" w:ascii="宋体" w:hAnsi="宋体" w:cs="宋体"/>
                <w:szCs w:val="21"/>
                <w:lang w:val="zh-CN"/>
              </w:rPr>
            </w:pPr>
          </w:p>
        </w:tc>
        <w:tc>
          <w:tcPr>
            <w:tcW w:w="851" w:type="dxa"/>
            <w:noWrap w:val="0"/>
            <w:vAlign w:val="top"/>
          </w:tcPr>
          <w:p w14:paraId="3AFBFE42">
            <w:pPr>
              <w:rPr>
                <w:rFonts w:hint="eastAsia" w:ascii="宋体" w:hAnsi="宋体" w:cs="宋体"/>
                <w:szCs w:val="21"/>
                <w:lang w:val="zh-CN"/>
              </w:rPr>
            </w:pPr>
          </w:p>
        </w:tc>
      </w:tr>
      <w:tr w14:paraId="56C627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34" w:type="dxa"/>
            <w:noWrap w:val="0"/>
            <w:vAlign w:val="top"/>
          </w:tcPr>
          <w:p w14:paraId="1BD04DCC">
            <w:pPr>
              <w:rPr>
                <w:rFonts w:hint="eastAsia" w:ascii="宋体" w:hAnsi="宋体" w:cs="宋体"/>
                <w:szCs w:val="21"/>
                <w:lang w:val="zh-CN"/>
              </w:rPr>
            </w:pPr>
          </w:p>
        </w:tc>
        <w:tc>
          <w:tcPr>
            <w:tcW w:w="896" w:type="dxa"/>
            <w:noWrap w:val="0"/>
            <w:vAlign w:val="top"/>
          </w:tcPr>
          <w:p w14:paraId="67A013AF">
            <w:pPr>
              <w:rPr>
                <w:rFonts w:hint="eastAsia" w:ascii="宋体" w:hAnsi="宋体" w:cs="宋体"/>
                <w:szCs w:val="21"/>
                <w:lang w:val="zh-CN"/>
              </w:rPr>
            </w:pPr>
          </w:p>
        </w:tc>
        <w:tc>
          <w:tcPr>
            <w:tcW w:w="663" w:type="dxa"/>
            <w:noWrap w:val="0"/>
            <w:vAlign w:val="top"/>
          </w:tcPr>
          <w:p w14:paraId="54783CBD">
            <w:pPr>
              <w:rPr>
                <w:rFonts w:hint="eastAsia" w:ascii="宋体" w:hAnsi="宋体" w:cs="宋体"/>
                <w:szCs w:val="21"/>
                <w:lang w:val="zh-CN"/>
              </w:rPr>
            </w:pPr>
          </w:p>
        </w:tc>
        <w:tc>
          <w:tcPr>
            <w:tcW w:w="709" w:type="dxa"/>
            <w:noWrap w:val="0"/>
            <w:vAlign w:val="top"/>
          </w:tcPr>
          <w:p w14:paraId="71EA5404">
            <w:pPr>
              <w:rPr>
                <w:rFonts w:hint="eastAsia" w:ascii="宋体" w:hAnsi="宋体" w:cs="宋体"/>
                <w:szCs w:val="21"/>
                <w:lang w:val="zh-CN"/>
              </w:rPr>
            </w:pPr>
          </w:p>
        </w:tc>
        <w:tc>
          <w:tcPr>
            <w:tcW w:w="1134" w:type="dxa"/>
            <w:noWrap w:val="0"/>
            <w:vAlign w:val="top"/>
          </w:tcPr>
          <w:p w14:paraId="47D22E98">
            <w:pPr>
              <w:rPr>
                <w:rFonts w:hint="eastAsia" w:ascii="宋体" w:hAnsi="宋体" w:cs="宋体"/>
                <w:szCs w:val="21"/>
                <w:lang w:val="zh-CN"/>
              </w:rPr>
            </w:pPr>
          </w:p>
        </w:tc>
        <w:tc>
          <w:tcPr>
            <w:tcW w:w="1056" w:type="dxa"/>
            <w:noWrap w:val="0"/>
            <w:vAlign w:val="top"/>
          </w:tcPr>
          <w:p w14:paraId="60678710">
            <w:pPr>
              <w:rPr>
                <w:rFonts w:hint="eastAsia" w:ascii="宋体" w:hAnsi="宋体" w:cs="宋体"/>
                <w:szCs w:val="21"/>
                <w:lang w:val="zh-CN"/>
              </w:rPr>
            </w:pPr>
          </w:p>
        </w:tc>
        <w:tc>
          <w:tcPr>
            <w:tcW w:w="1020" w:type="dxa"/>
            <w:noWrap w:val="0"/>
            <w:vAlign w:val="top"/>
          </w:tcPr>
          <w:p w14:paraId="03669E0F">
            <w:pPr>
              <w:rPr>
                <w:rFonts w:hint="eastAsia" w:ascii="宋体" w:hAnsi="宋体" w:cs="宋体"/>
                <w:szCs w:val="21"/>
                <w:lang w:val="zh-CN"/>
              </w:rPr>
            </w:pPr>
          </w:p>
        </w:tc>
        <w:tc>
          <w:tcPr>
            <w:tcW w:w="1174" w:type="dxa"/>
            <w:noWrap w:val="0"/>
            <w:vAlign w:val="top"/>
          </w:tcPr>
          <w:p w14:paraId="063AAADA">
            <w:pPr>
              <w:rPr>
                <w:rFonts w:hint="eastAsia" w:ascii="宋体" w:hAnsi="宋体" w:cs="宋体"/>
                <w:szCs w:val="21"/>
                <w:lang w:val="zh-CN"/>
              </w:rPr>
            </w:pPr>
          </w:p>
        </w:tc>
        <w:tc>
          <w:tcPr>
            <w:tcW w:w="1588" w:type="dxa"/>
            <w:noWrap w:val="0"/>
            <w:vAlign w:val="top"/>
          </w:tcPr>
          <w:p w14:paraId="612BAA0E">
            <w:pPr>
              <w:rPr>
                <w:rFonts w:hint="eastAsia" w:ascii="宋体" w:hAnsi="宋体" w:cs="宋体"/>
                <w:szCs w:val="21"/>
                <w:lang w:val="zh-CN"/>
              </w:rPr>
            </w:pPr>
          </w:p>
        </w:tc>
        <w:tc>
          <w:tcPr>
            <w:tcW w:w="851" w:type="dxa"/>
            <w:noWrap w:val="0"/>
            <w:vAlign w:val="top"/>
          </w:tcPr>
          <w:p w14:paraId="3F2B5AB6">
            <w:pPr>
              <w:rPr>
                <w:rFonts w:hint="eastAsia" w:ascii="宋体" w:hAnsi="宋体" w:cs="宋体"/>
                <w:szCs w:val="21"/>
                <w:lang w:val="zh-CN"/>
              </w:rPr>
            </w:pPr>
          </w:p>
        </w:tc>
      </w:tr>
      <w:tr w14:paraId="40D0BD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34" w:type="dxa"/>
            <w:noWrap w:val="0"/>
            <w:vAlign w:val="top"/>
          </w:tcPr>
          <w:p w14:paraId="40084A87">
            <w:pPr>
              <w:rPr>
                <w:rFonts w:hint="eastAsia" w:ascii="宋体" w:hAnsi="宋体" w:cs="宋体"/>
                <w:szCs w:val="21"/>
                <w:lang w:val="zh-CN"/>
              </w:rPr>
            </w:pPr>
          </w:p>
        </w:tc>
        <w:tc>
          <w:tcPr>
            <w:tcW w:w="896" w:type="dxa"/>
            <w:noWrap w:val="0"/>
            <w:vAlign w:val="top"/>
          </w:tcPr>
          <w:p w14:paraId="6D453573">
            <w:pPr>
              <w:rPr>
                <w:rFonts w:hint="eastAsia" w:ascii="宋体" w:hAnsi="宋体" w:cs="宋体"/>
                <w:szCs w:val="21"/>
                <w:lang w:val="zh-CN"/>
              </w:rPr>
            </w:pPr>
          </w:p>
        </w:tc>
        <w:tc>
          <w:tcPr>
            <w:tcW w:w="663" w:type="dxa"/>
            <w:noWrap w:val="0"/>
            <w:vAlign w:val="top"/>
          </w:tcPr>
          <w:p w14:paraId="1B513C63">
            <w:pPr>
              <w:rPr>
                <w:rFonts w:hint="eastAsia" w:ascii="宋体" w:hAnsi="宋体" w:cs="宋体"/>
                <w:szCs w:val="21"/>
                <w:lang w:val="zh-CN"/>
              </w:rPr>
            </w:pPr>
          </w:p>
        </w:tc>
        <w:tc>
          <w:tcPr>
            <w:tcW w:w="709" w:type="dxa"/>
            <w:noWrap w:val="0"/>
            <w:vAlign w:val="top"/>
          </w:tcPr>
          <w:p w14:paraId="263E81F4">
            <w:pPr>
              <w:rPr>
                <w:rFonts w:hint="eastAsia" w:ascii="宋体" w:hAnsi="宋体" w:cs="宋体"/>
                <w:szCs w:val="21"/>
                <w:lang w:val="zh-CN"/>
              </w:rPr>
            </w:pPr>
          </w:p>
        </w:tc>
        <w:tc>
          <w:tcPr>
            <w:tcW w:w="1134" w:type="dxa"/>
            <w:noWrap w:val="0"/>
            <w:vAlign w:val="top"/>
          </w:tcPr>
          <w:p w14:paraId="331F84D8">
            <w:pPr>
              <w:rPr>
                <w:rFonts w:hint="eastAsia" w:ascii="宋体" w:hAnsi="宋体" w:cs="宋体"/>
                <w:szCs w:val="21"/>
                <w:lang w:val="zh-CN"/>
              </w:rPr>
            </w:pPr>
          </w:p>
        </w:tc>
        <w:tc>
          <w:tcPr>
            <w:tcW w:w="1056" w:type="dxa"/>
            <w:noWrap w:val="0"/>
            <w:vAlign w:val="top"/>
          </w:tcPr>
          <w:p w14:paraId="0AE6BAA0">
            <w:pPr>
              <w:rPr>
                <w:rFonts w:hint="eastAsia" w:ascii="宋体" w:hAnsi="宋体" w:cs="宋体"/>
                <w:szCs w:val="21"/>
                <w:lang w:val="zh-CN"/>
              </w:rPr>
            </w:pPr>
          </w:p>
        </w:tc>
        <w:tc>
          <w:tcPr>
            <w:tcW w:w="1020" w:type="dxa"/>
            <w:noWrap w:val="0"/>
            <w:vAlign w:val="top"/>
          </w:tcPr>
          <w:p w14:paraId="27C80501">
            <w:pPr>
              <w:rPr>
                <w:rFonts w:hint="eastAsia" w:ascii="宋体" w:hAnsi="宋体" w:cs="宋体"/>
                <w:szCs w:val="21"/>
                <w:lang w:val="zh-CN"/>
              </w:rPr>
            </w:pPr>
          </w:p>
        </w:tc>
        <w:tc>
          <w:tcPr>
            <w:tcW w:w="1174" w:type="dxa"/>
            <w:noWrap w:val="0"/>
            <w:vAlign w:val="top"/>
          </w:tcPr>
          <w:p w14:paraId="54CB47F3">
            <w:pPr>
              <w:rPr>
                <w:rFonts w:hint="eastAsia" w:ascii="宋体" w:hAnsi="宋体" w:cs="宋体"/>
                <w:szCs w:val="21"/>
                <w:lang w:val="zh-CN"/>
              </w:rPr>
            </w:pPr>
          </w:p>
        </w:tc>
        <w:tc>
          <w:tcPr>
            <w:tcW w:w="1588" w:type="dxa"/>
            <w:noWrap w:val="0"/>
            <w:vAlign w:val="top"/>
          </w:tcPr>
          <w:p w14:paraId="0DD75034">
            <w:pPr>
              <w:rPr>
                <w:rFonts w:hint="eastAsia" w:ascii="宋体" w:hAnsi="宋体" w:cs="宋体"/>
                <w:szCs w:val="21"/>
                <w:lang w:val="zh-CN"/>
              </w:rPr>
            </w:pPr>
          </w:p>
        </w:tc>
        <w:tc>
          <w:tcPr>
            <w:tcW w:w="851" w:type="dxa"/>
            <w:noWrap w:val="0"/>
            <w:vAlign w:val="top"/>
          </w:tcPr>
          <w:p w14:paraId="5A2426A2">
            <w:pPr>
              <w:rPr>
                <w:rFonts w:hint="eastAsia" w:ascii="宋体" w:hAnsi="宋体" w:cs="宋体"/>
                <w:szCs w:val="21"/>
                <w:lang w:val="zh-CN"/>
              </w:rPr>
            </w:pPr>
          </w:p>
        </w:tc>
      </w:tr>
      <w:tr w14:paraId="1C968A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34" w:type="dxa"/>
            <w:noWrap w:val="0"/>
            <w:vAlign w:val="top"/>
          </w:tcPr>
          <w:p w14:paraId="35743509">
            <w:pPr>
              <w:rPr>
                <w:rFonts w:hint="eastAsia" w:ascii="宋体" w:hAnsi="宋体" w:cs="宋体"/>
                <w:szCs w:val="21"/>
                <w:lang w:val="zh-CN"/>
              </w:rPr>
            </w:pPr>
          </w:p>
        </w:tc>
        <w:tc>
          <w:tcPr>
            <w:tcW w:w="896" w:type="dxa"/>
            <w:noWrap w:val="0"/>
            <w:vAlign w:val="top"/>
          </w:tcPr>
          <w:p w14:paraId="4281CA4A">
            <w:pPr>
              <w:rPr>
                <w:rFonts w:hint="eastAsia" w:ascii="宋体" w:hAnsi="宋体" w:cs="宋体"/>
                <w:szCs w:val="21"/>
                <w:lang w:val="zh-CN"/>
              </w:rPr>
            </w:pPr>
          </w:p>
        </w:tc>
        <w:tc>
          <w:tcPr>
            <w:tcW w:w="663" w:type="dxa"/>
            <w:noWrap w:val="0"/>
            <w:vAlign w:val="top"/>
          </w:tcPr>
          <w:p w14:paraId="1CC65922">
            <w:pPr>
              <w:rPr>
                <w:rFonts w:hint="eastAsia" w:ascii="宋体" w:hAnsi="宋体" w:cs="宋体"/>
                <w:szCs w:val="21"/>
                <w:lang w:val="zh-CN"/>
              </w:rPr>
            </w:pPr>
          </w:p>
        </w:tc>
        <w:tc>
          <w:tcPr>
            <w:tcW w:w="709" w:type="dxa"/>
            <w:noWrap w:val="0"/>
            <w:vAlign w:val="top"/>
          </w:tcPr>
          <w:p w14:paraId="3FD274AC">
            <w:pPr>
              <w:rPr>
                <w:rFonts w:hint="eastAsia" w:ascii="宋体" w:hAnsi="宋体" w:cs="宋体"/>
                <w:szCs w:val="21"/>
                <w:lang w:val="zh-CN"/>
              </w:rPr>
            </w:pPr>
          </w:p>
        </w:tc>
        <w:tc>
          <w:tcPr>
            <w:tcW w:w="1134" w:type="dxa"/>
            <w:noWrap w:val="0"/>
            <w:vAlign w:val="top"/>
          </w:tcPr>
          <w:p w14:paraId="2714F124">
            <w:pPr>
              <w:rPr>
                <w:rFonts w:hint="eastAsia" w:ascii="宋体" w:hAnsi="宋体" w:cs="宋体"/>
                <w:szCs w:val="21"/>
                <w:lang w:val="zh-CN"/>
              </w:rPr>
            </w:pPr>
          </w:p>
        </w:tc>
        <w:tc>
          <w:tcPr>
            <w:tcW w:w="1056" w:type="dxa"/>
            <w:noWrap w:val="0"/>
            <w:vAlign w:val="top"/>
          </w:tcPr>
          <w:p w14:paraId="7B5A3A16">
            <w:pPr>
              <w:rPr>
                <w:rFonts w:hint="eastAsia" w:ascii="宋体" w:hAnsi="宋体" w:cs="宋体"/>
                <w:szCs w:val="21"/>
                <w:lang w:val="zh-CN"/>
              </w:rPr>
            </w:pPr>
          </w:p>
        </w:tc>
        <w:tc>
          <w:tcPr>
            <w:tcW w:w="1020" w:type="dxa"/>
            <w:noWrap w:val="0"/>
            <w:vAlign w:val="top"/>
          </w:tcPr>
          <w:p w14:paraId="4A3CD6AE">
            <w:pPr>
              <w:rPr>
                <w:rFonts w:hint="eastAsia" w:ascii="宋体" w:hAnsi="宋体" w:cs="宋体"/>
                <w:szCs w:val="21"/>
                <w:lang w:val="zh-CN"/>
              </w:rPr>
            </w:pPr>
          </w:p>
        </w:tc>
        <w:tc>
          <w:tcPr>
            <w:tcW w:w="1174" w:type="dxa"/>
            <w:noWrap w:val="0"/>
            <w:vAlign w:val="top"/>
          </w:tcPr>
          <w:p w14:paraId="4EBDC21D">
            <w:pPr>
              <w:rPr>
                <w:rFonts w:hint="eastAsia" w:ascii="宋体" w:hAnsi="宋体" w:cs="宋体"/>
                <w:szCs w:val="21"/>
                <w:lang w:val="zh-CN"/>
              </w:rPr>
            </w:pPr>
          </w:p>
        </w:tc>
        <w:tc>
          <w:tcPr>
            <w:tcW w:w="1588" w:type="dxa"/>
            <w:noWrap w:val="0"/>
            <w:vAlign w:val="top"/>
          </w:tcPr>
          <w:p w14:paraId="4BD87DBA">
            <w:pPr>
              <w:rPr>
                <w:rFonts w:hint="eastAsia" w:ascii="宋体" w:hAnsi="宋体" w:cs="宋体"/>
                <w:szCs w:val="21"/>
                <w:lang w:val="zh-CN"/>
              </w:rPr>
            </w:pPr>
          </w:p>
        </w:tc>
        <w:tc>
          <w:tcPr>
            <w:tcW w:w="851" w:type="dxa"/>
            <w:noWrap w:val="0"/>
            <w:vAlign w:val="top"/>
          </w:tcPr>
          <w:p w14:paraId="16011A49">
            <w:pPr>
              <w:rPr>
                <w:rFonts w:hint="eastAsia" w:ascii="宋体" w:hAnsi="宋体" w:cs="宋体"/>
                <w:szCs w:val="21"/>
                <w:lang w:val="zh-CN"/>
              </w:rPr>
            </w:pPr>
          </w:p>
        </w:tc>
      </w:tr>
      <w:tr w14:paraId="761B3A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34" w:type="dxa"/>
            <w:noWrap w:val="0"/>
            <w:vAlign w:val="top"/>
          </w:tcPr>
          <w:p w14:paraId="0E36AE62">
            <w:pPr>
              <w:rPr>
                <w:rFonts w:hint="eastAsia" w:ascii="宋体" w:hAnsi="宋体" w:cs="宋体"/>
                <w:szCs w:val="21"/>
                <w:lang w:val="zh-CN"/>
              </w:rPr>
            </w:pPr>
          </w:p>
        </w:tc>
        <w:tc>
          <w:tcPr>
            <w:tcW w:w="896" w:type="dxa"/>
            <w:noWrap w:val="0"/>
            <w:vAlign w:val="top"/>
          </w:tcPr>
          <w:p w14:paraId="1253AB9C">
            <w:pPr>
              <w:rPr>
                <w:rFonts w:hint="eastAsia" w:ascii="宋体" w:hAnsi="宋体" w:cs="宋体"/>
                <w:szCs w:val="21"/>
                <w:lang w:val="zh-CN"/>
              </w:rPr>
            </w:pPr>
          </w:p>
        </w:tc>
        <w:tc>
          <w:tcPr>
            <w:tcW w:w="663" w:type="dxa"/>
            <w:noWrap w:val="0"/>
            <w:vAlign w:val="top"/>
          </w:tcPr>
          <w:p w14:paraId="713A8FE9">
            <w:pPr>
              <w:rPr>
                <w:rFonts w:hint="eastAsia" w:ascii="宋体" w:hAnsi="宋体" w:cs="宋体"/>
                <w:szCs w:val="21"/>
                <w:lang w:val="zh-CN"/>
              </w:rPr>
            </w:pPr>
          </w:p>
        </w:tc>
        <w:tc>
          <w:tcPr>
            <w:tcW w:w="709" w:type="dxa"/>
            <w:noWrap w:val="0"/>
            <w:vAlign w:val="top"/>
          </w:tcPr>
          <w:p w14:paraId="542E2877">
            <w:pPr>
              <w:rPr>
                <w:rFonts w:hint="eastAsia" w:ascii="宋体" w:hAnsi="宋体" w:cs="宋体"/>
                <w:szCs w:val="21"/>
                <w:lang w:val="zh-CN"/>
              </w:rPr>
            </w:pPr>
          </w:p>
        </w:tc>
        <w:tc>
          <w:tcPr>
            <w:tcW w:w="1134" w:type="dxa"/>
            <w:noWrap w:val="0"/>
            <w:vAlign w:val="top"/>
          </w:tcPr>
          <w:p w14:paraId="2A2BB5F5">
            <w:pPr>
              <w:rPr>
                <w:rFonts w:hint="eastAsia" w:ascii="宋体" w:hAnsi="宋体" w:cs="宋体"/>
                <w:szCs w:val="21"/>
                <w:lang w:val="zh-CN"/>
              </w:rPr>
            </w:pPr>
          </w:p>
        </w:tc>
        <w:tc>
          <w:tcPr>
            <w:tcW w:w="1056" w:type="dxa"/>
            <w:noWrap w:val="0"/>
            <w:vAlign w:val="top"/>
          </w:tcPr>
          <w:p w14:paraId="6F1A6B7D">
            <w:pPr>
              <w:rPr>
                <w:rFonts w:hint="eastAsia" w:ascii="宋体" w:hAnsi="宋体" w:cs="宋体"/>
                <w:szCs w:val="21"/>
                <w:lang w:val="zh-CN"/>
              </w:rPr>
            </w:pPr>
          </w:p>
        </w:tc>
        <w:tc>
          <w:tcPr>
            <w:tcW w:w="1020" w:type="dxa"/>
            <w:noWrap w:val="0"/>
            <w:vAlign w:val="top"/>
          </w:tcPr>
          <w:p w14:paraId="2EF963D9">
            <w:pPr>
              <w:rPr>
                <w:rFonts w:hint="eastAsia" w:ascii="宋体" w:hAnsi="宋体" w:cs="宋体"/>
                <w:szCs w:val="21"/>
                <w:lang w:val="zh-CN"/>
              </w:rPr>
            </w:pPr>
          </w:p>
        </w:tc>
        <w:tc>
          <w:tcPr>
            <w:tcW w:w="1174" w:type="dxa"/>
            <w:noWrap w:val="0"/>
            <w:vAlign w:val="top"/>
          </w:tcPr>
          <w:p w14:paraId="079697D1">
            <w:pPr>
              <w:rPr>
                <w:rFonts w:hint="eastAsia" w:ascii="宋体" w:hAnsi="宋体" w:cs="宋体"/>
                <w:szCs w:val="21"/>
                <w:lang w:val="zh-CN"/>
              </w:rPr>
            </w:pPr>
          </w:p>
        </w:tc>
        <w:tc>
          <w:tcPr>
            <w:tcW w:w="1588" w:type="dxa"/>
            <w:noWrap w:val="0"/>
            <w:vAlign w:val="top"/>
          </w:tcPr>
          <w:p w14:paraId="4428DBAD">
            <w:pPr>
              <w:rPr>
                <w:rFonts w:hint="eastAsia" w:ascii="宋体" w:hAnsi="宋体" w:cs="宋体"/>
                <w:szCs w:val="21"/>
                <w:lang w:val="zh-CN"/>
              </w:rPr>
            </w:pPr>
          </w:p>
        </w:tc>
        <w:tc>
          <w:tcPr>
            <w:tcW w:w="851" w:type="dxa"/>
            <w:noWrap w:val="0"/>
            <w:vAlign w:val="top"/>
          </w:tcPr>
          <w:p w14:paraId="04F873C8">
            <w:pPr>
              <w:rPr>
                <w:rFonts w:hint="eastAsia" w:ascii="宋体" w:hAnsi="宋体" w:cs="宋体"/>
                <w:szCs w:val="21"/>
                <w:lang w:val="zh-CN"/>
              </w:rPr>
            </w:pPr>
          </w:p>
        </w:tc>
      </w:tr>
      <w:tr w14:paraId="348024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34" w:type="dxa"/>
            <w:noWrap w:val="0"/>
            <w:vAlign w:val="top"/>
          </w:tcPr>
          <w:p w14:paraId="36F7D495">
            <w:pPr>
              <w:rPr>
                <w:rFonts w:hint="eastAsia" w:ascii="宋体" w:hAnsi="宋体" w:cs="宋体"/>
                <w:szCs w:val="21"/>
                <w:lang w:val="zh-CN"/>
              </w:rPr>
            </w:pPr>
          </w:p>
        </w:tc>
        <w:tc>
          <w:tcPr>
            <w:tcW w:w="896" w:type="dxa"/>
            <w:noWrap w:val="0"/>
            <w:vAlign w:val="top"/>
          </w:tcPr>
          <w:p w14:paraId="50A85C54">
            <w:pPr>
              <w:rPr>
                <w:rFonts w:hint="eastAsia" w:ascii="宋体" w:hAnsi="宋体" w:cs="宋体"/>
                <w:szCs w:val="21"/>
                <w:lang w:val="zh-CN"/>
              </w:rPr>
            </w:pPr>
          </w:p>
        </w:tc>
        <w:tc>
          <w:tcPr>
            <w:tcW w:w="663" w:type="dxa"/>
            <w:noWrap w:val="0"/>
            <w:vAlign w:val="top"/>
          </w:tcPr>
          <w:p w14:paraId="0B897387">
            <w:pPr>
              <w:rPr>
                <w:rFonts w:hint="eastAsia" w:ascii="宋体" w:hAnsi="宋体" w:cs="宋体"/>
                <w:szCs w:val="21"/>
                <w:lang w:val="zh-CN"/>
              </w:rPr>
            </w:pPr>
          </w:p>
        </w:tc>
        <w:tc>
          <w:tcPr>
            <w:tcW w:w="709" w:type="dxa"/>
            <w:noWrap w:val="0"/>
            <w:vAlign w:val="top"/>
          </w:tcPr>
          <w:p w14:paraId="2DF7D2DA">
            <w:pPr>
              <w:rPr>
                <w:rFonts w:hint="eastAsia" w:ascii="宋体" w:hAnsi="宋体" w:cs="宋体"/>
                <w:szCs w:val="21"/>
                <w:lang w:val="zh-CN"/>
              </w:rPr>
            </w:pPr>
          </w:p>
        </w:tc>
        <w:tc>
          <w:tcPr>
            <w:tcW w:w="1134" w:type="dxa"/>
            <w:noWrap w:val="0"/>
            <w:vAlign w:val="top"/>
          </w:tcPr>
          <w:p w14:paraId="1AD66B2B">
            <w:pPr>
              <w:rPr>
                <w:rFonts w:hint="eastAsia" w:ascii="宋体" w:hAnsi="宋体" w:cs="宋体"/>
                <w:szCs w:val="21"/>
                <w:lang w:val="zh-CN"/>
              </w:rPr>
            </w:pPr>
          </w:p>
        </w:tc>
        <w:tc>
          <w:tcPr>
            <w:tcW w:w="1056" w:type="dxa"/>
            <w:noWrap w:val="0"/>
            <w:vAlign w:val="top"/>
          </w:tcPr>
          <w:p w14:paraId="70BBF77F">
            <w:pPr>
              <w:rPr>
                <w:rFonts w:hint="eastAsia" w:ascii="宋体" w:hAnsi="宋体" w:cs="宋体"/>
                <w:szCs w:val="21"/>
                <w:lang w:val="zh-CN"/>
              </w:rPr>
            </w:pPr>
          </w:p>
        </w:tc>
        <w:tc>
          <w:tcPr>
            <w:tcW w:w="1020" w:type="dxa"/>
            <w:noWrap w:val="0"/>
            <w:vAlign w:val="top"/>
          </w:tcPr>
          <w:p w14:paraId="4954A53F">
            <w:pPr>
              <w:rPr>
                <w:rFonts w:hint="eastAsia" w:ascii="宋体" w:hAnsi="宋体" w:cs="宋体"/>
                <w:szCs w:val="21"/>
                <w:lang w:val="zh-CN"/>
              </w:rPr>
            </w:pPr>
          </w:p>
        </w:tc>
        <w:tc>
          <w:tcPr>
            <w:tcW w:w="1174" w:type="dxa"/>
            <w:noWrap w:val="0"/>
            <w:vAlign w:val="top"/>
          </w:tcPr>
          <w:p w14:paraId="1D267078">
            <w:pPr>
              <w:rPr>
                <w:rFonts w:hint="eastAsia" w:ascii="宋体" w:hAnsi="宋体" w:cs="宋体"/>
                <w:szCs w:val="21"/>
                <w:lang w:val="zh-CN"/>
              </w:rPr>
            </w:pPr>
          </w:p>
        </w:tc>
        <w:tc>
          <w:tcPr>
            <w:tcW w:w="1588" w:type="dxa"/>
            <w:noWrap w:val="0"/>
            <w:vAlign w:val="top"/>
          </w:tcPr>
          <w:p w14:paraId="485FB6C3">
            <w:pPr>
              <w:rPr>
                <w:rFonts w:hint="eastAsia" w:ascii="宋体" w:hAnsi="宋体" w:cs="宋体"/>
                <w:szCs w:val="21"/>
                <w:lang w:val="zh-CN"/>
              </w:rPr>
            </w:pPr>
          </w:p>
        </w:tc>
        <w:tc>
          <w:tcPr>
            <w:tcW w:w="851" w:type="dxa"/>
            <w:noWrap w:val="0"/>
            <w:vAlign w:val="top"/>
          </w:tcPr>
          <w:p w14:paraId="4042B688">
            <w:pPr>
              <w:rPr>
                <w:rFonts w:hint="eastAsia" w:ascii="宋体" w:hAnsi="宋体" w:cs="宋体"/>
                <w:szCs w:val="21"/>
                <w:lang w:val="zh-CN"/>
              </w:rPr>
            </w:pPr>
          </w:p>
        </w:tc>
      </w:tr>
    </w:tbl>
    <w:p w14:paraId="4608DF9C">
      <w:pPr>
        <w:rPr>
          <w:rFonts w:hint="eastAsia" w:ascii="宋体" w:hAnsi="宋体" w:cs="宋体"/>
          <w:szCs w:val="21"/>
          <w:lang w:val="zh-CN"/>
        </w:rPr>
      </w:pPr>
    </w:p>
    <w:p w14:paraId="1D0EF099">
      <w:pPr>
        <w:widowControl/>
        <w:shd w:val="clear" w:color="auto" w:fill="FFFFFF"/>
        <w:spacing w:line="360" w:lineRule="auto"/>
        <w:jc w:val="left"/>
        <w:rPr>
          <w:rFonts w:hint="eastAsia" w:ascii="宋体" w:hAnsi="宋体" w:cs="宋体"/>
          <w:szCs w:val="21"/>
        </w:rPr>
      </w:pPr>
      <w:r>
        <w:rPr>
          <w:rFonts w:hint="eastAsia" w:ascii="宋体" w:hAnsi="宋体" w:cs="宋体"/>
          <w:szCs w:val="21"/>
        </w:rPr>
        <w:t>供应商（加盖电子公章）：</w:t>
      </w:r>
      <w:r>
        <w:rPr>
          <w:rFonts w:hint="eastAsia" w:ascii="宋体" w:hAnsi="宋体" w:cs="宋体"/>
          <w:szCs w:val="21"/>
          <w:u w:val="single"/>
        </w:rPr>
        <w:t xml:space="preserve">            </w:t>
      </w:r>
    </w:p>
    <w:p w14:paraId="2C22487A">
      <w:pPr>
        <w:widowControl/>
        <w:shd w:val="clear" w:color="auto" w:fill="FFFFFF"/>
        <w:spacing w:line="360" w:lineRule="auto"/>
        <w:jc w:val="left"/>
        <w:rPr>
          <w:rFonts w:hint="eastAsia" w:ascii="宋体" w:hAnsi="宋体" w:cs="宋体"/>
          <w:szCs w:val="21"/>
        </w:rPr>
      </w:pPr>
      <w:r>
        <w:rPr>
          <w:rFonts w:hint="eastAsia" w:ascii="宋体" w:hAnsi="宋体" w:cs="宋体"/>
          <w:szCs w:val="21"/>
        </w:rPr>
        <w:t>日    期：   年    月    日</w:t>
      </w:r>
    </w:p>
    <w:p w14:paraId="2A52E28D">
      <w:pPr>
        <w:rPr>
          <w:rFonts w:hint="eastAsia" w:ascii="宋体" w:hAnsi="宋体" w:cs="宋体"/>
          <w:szCs w:val="21"/>
          <w:lang w:val="zh-CN"/>
        </w:rPr>
      </w:pPr>
    </w:p>
    <w:p w14:paraId="33988F0A">
      <w:pPr>
        <w:spacing w:before="312" w:after="312"/>
        <w:rPr>
          <w:rFonts w:hint="eastAsia" w:ascii="宋体" w:hAnsi="宋体" w:cs="宋体"/>
          <w:b/>
        </w:rPr>
      </w:pPr>
      <w:r>
        <w:rPr>
          <w:rFonts w:hint="eastAsia" w:ascii="宋体" w:hAnsi="宋体" w:cs="宋体"/>
          <w:szCs w:val="21"/>
          <w:lang w:val="zh-CN"/>
        </w:rPr>
        <w:br w:type="page" w:clear="all"/>
      </w:r>
      <w:bookmarkStart w:id="96" w:name="_Toc504044387"/>
      <w:bookmarkStart w:id="97" w:name="_Toc534273807"/>
      <w:bookmarkStart w:id="98" w:name="_Toc534273684"/>
      <w:bookmarkStart w:id="99" w:name="_Toc504056875"/>
      <w:bookmarkStart w:id="100" w:name="_Toc504573090"/>
      <w:bookmarkStart w:id="101" w:name="_Toc490133035"/>
      <w:r>
        <w:rPr>
          <w:rFonts w:hint="eastAsia" w:ascii="宋体" w:hAnsi="宋体" w:cs="宋体"/>
          <w:b/>
        </w:rPr>
        <w:t>附件七、供应商类似业绩情况表</w:t>
      </w:r>
      <w:bookmarkEnd w:id="96"/>
      <w:bookmarkEnd w:id="97"/>
      <w:bookmarkEnd w:id="98"/>
      <w:bookmarkEnd w:id="99"/>
      <w:bookmarkEnd w:id="100"/>
      <w:bookmarkEnd w:id="101"/>
    </w:p>
    <w:p w14:paraId="27163879">
      <w:pPr>
        <w:rPr>
          <w:rFonts w:hint="eastAsia" w:ascii="宋体" w:hAnsi="宋体" w:cs="宋体"/>
        </w:rPr>
      </w:pPr>
    </w:p>
    <w:p w14:paraId="1FB2F5F3">
      <w:pPr>
        <w:widowControl/>
        <w:shd w:val="clear" w:color="auto" w:fill="FFFFFF"/>
        <w:spacing w:before="312" w:line="360" w:lineRule="auto"/>
        <w:jc w:val="center"/>
        <w:rPr>
          <w:rFonts w:hint="eastAsia" w:ascii="宋体" w:hAnsi="宋体" w:cs="宋体"/>
          <w:b/>
          <w:sz w:val="36"/>
          <w:szCs w:val="36"/>
        </w:rPr>
      </w:pPr>
      <w:r>
        <w:rPr>
          <w:rFonts w:hint="eastAsia" w:ascii="宋体" w:hAnsi="宋体" w:cs="宋体"/>
          <w:b/>
          <w:sz w:val="36"/>
          <w:szCs w:val="36"/>
        </w:rPr>
        <w:t>供应商类似业绩情况表</w:t>
      </w:r>
    </w:p>
    <w:tbl>
      <w:tblPr>
        <w:tblStyle w:val="2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3"/>
        <w:gridCol w:w="1710"/>
        <w:gridCol w:w="1365"/>
        <w:gridCol w:w="1455"/>
        <w:gridCol w:w="1300"/>
        <w:gridCol w:w="1026"/>
        <w:gridCol w:w="1026"/>
      </w:tblGrid>
      <w:tr w14:paraId="2E4A19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90" w:hRule="atLeast"/>
          <w:jc w:val="center"/>
        </w:trPr>
        <w:tc>
          <w:tcPr>
            <w:tcW w:w="773" w:type="dxa"/>
            <w:noWrap w:val="0"/>
            <w:vAlign w:val="center"/>
          </w:tcPr>
          <w:p w14:paraId="21C36216">
            <w:pPr>
              <w:jc w:val="center"/>
              <w:rPr>
                <w:rFonts w:hint="eastAsia" w:ascii="宋体" w:hAnsi="宋体" w:cs="宋体"/>
                <w:b/>
                <w:szCs w:val="21"/>
                <w:lang w:val="zh-CN"/>
              </w:rPr>
            </w:pPr>
            <w:r>
              <w:rPr>
                <w:rFonts w:hint="eastAsia" w:ascii="宋体" w:hAnsi="宋体" w:cs="宋体"/>
                <w:b/>
                <w:szCs w:val="21"/>
                <w:lang w:val="zh-CN"/>
              </w:rPr>
              <w:t>序号</w:t>
            </w:r>
          </w:p>
        </w:tc>
        <w:tc>
          <w:tcPr>
            <w:tcW w:w="1710" w:type="dxa"/>
            <w:noWrap w:val="0"/>
            <w:vAlign w:val="center"/>
          </w:tcPr>
          <w:p w14:paraId="5907DD3C">
            <w:pPr>
              <w:jc w:val="center"/>
              <w:rPr>
                <w:rFonts w:hint="eastAsia" w:ascii="宋体" w:hAnsi="宋体" w:cs="宋体"/>
                <w:b/>
                <w:szCs w:val="21"/>
                <w:lang w:val="zh-CN"/>
              </w:rPr>
            </w:pPr>
            <w:r>
              <w:rPr>
                <w:rFonts w:hint="eastAsia" w:ascii="宋体" w:hAnsi="宋体" w:cs="宋体"/>
                <w:b/>
                <w:szCs w:val="21"/>
                <w:lang w:val="zh-CN"/>
              </w:rPr>
              <w:t>项目名称</w:t>
            </w:r>
          </w:p>
        </w:tc>
        <w:tc>
          <w:tcPr>
            <w:tcW w:w="1365" w:type="dxa"/>
            <w:noWrap w:val="0"/>
            <w:vAlign w:val="center"/>
          </w:tcPr>
          <w:p w14:paraId="7C8F4CA2">
            <w:pPr>
              <w:jc w:val="center"/>
              <w:rPr>
                <w:rFonts w:hint="eastAsia" w:ascii="宋体" w:hAnsi="宋体" w:cs="宋体"/>
                <w:b/>
                <w:szCs w:val="21"/>
                <w:lang w:val="zh-CN"/>
              </w:rPr>
            </w:pPr>
            <w:r>
              <w:rPr>
                <w:rFonts w:hint="eastAsia" w:ascii="宋体" w:hAnsi="宋体" w:cs="宋体"/>
                <w:b/>
                <w:szCs w:val="21"/>
                <w:lang w:val="zh-CN"/>
              </w:rPr>
              <w:t>业主单位</w:t>
            </w:r>
          </w:p>
        </w:tc>
        <w:tc>
          <w:tcPr>
            <w:tcW w:w="1455" w:type="dxa"/>
            <w:noWrap w:val="0"/>
            <w:vAlign w:val="center"/>
          </w:tcPr>
          <w:p w14:paraId="1448C64C">
            <w:pPr>
              <w:jc w:val="center"/>
              <w:rPr>
                <w:rFonts w:hint="eastAsia" w:ascii="宋体" w:hAnsi="宋体" w:cs="宋体"/>
                <w:b/>
                <w:szCs w:val="21"/>
                <w:lang w:val="zh-CN"/>
              </w:rPr>
            </w:pPr>
            <w:r>
              <w:rPr>
                <w:rFonts w:hint="eastAsia" w:ascii="宋体" w:hAnsi="宋体" w:cs="宋体"/>
                <w:b/>
                <w:szCs w:val="21"/>
                <w:lang w:val="zh-CN"/>
              </w:rPr>
              <w:t>业主联系</w:t>
            </w:r>
          </w:p>
          <w:p w14:paraId="1654B4CD">
            <w:pPr>
              <w:jc w:val="center"/>
              <w:rPr>
                <w:rFonts w:hint="eastAsia" w:ascii="宋体" w:hAnsi="宋体" w:cs="宋体"/>
                <w:b/>
                <w:szCs w:val="21"/>
                <w:lang w:val="zh-CN"/>
              </w:rPr>
            </w:pPr>
            <w:r>
              <w:rPr>
                <w:rFonts w:hint="eastAsia" w:ascii="宋体" w:hAnsi="宋体" w:cs="宋体"/>
                <w:b/>
                <w:szCs w:val="21"/>
                <w:lang w:val="zh-CN"/>
              </w:rPr>
              <w:t>方式</w:t>
            </w:r>
          </w:p>
        </w:tc>
        <w:tc>
          <w:tcPr>
            <w:tcW w:w="1300" w:type="dxa"/>
            <w:noWrap w:val="0"/>
            <w:vAlign w:val="center"/>
          </w:tcPr>
          <w:p w14:paraId="6C1A3985">
            <w:pPr>
              <w:jc w:val="center"/>
              <w:rPr>
                <w:rFonts w:hint="eastAsia" w:ascii="宋体" w:hAnsi="宋体" w:cs="宋体"/>
                <w:b/>
                <w:szCs w:val="21"/>
                <w:lang w:val="zh-CN"/>
              </w:rPr>
            </w:pPr>
            <w:r>
              <w:rPr>
                <w:rFonts w:hint="eastAsia" w:ascii="宋体" w:hAnsi="宋体" w:cs="宋体"/>
                <w:b/>
                <w:szCs w:val="21"/>
                <w:lang w:val="zh-CN"/>
              </w:rPr>
              <w:t>工作主要</w:t>
            </w:r>
          </w:p>
          <w:p w14:paraId="02C99CAD">
            <w:pPr>
              <w:jc w:val="center"/>
              <w:rPr>
                <w:rFonts w:hint="eastAsia" w:ascii="宋体" w:hAnsi="宋体" w:cs="宋体"/>
                <w:b/>
                <w:szCs w:val="21"/>
                <w:lang w:val="zh-CN"/>
              </w:rPr>
            </w:pPr>
            <w:r>
              <w:rPr>
                <w:rFonts w:hint="eastAsia" w:ascii="宋体" w:hAnsi="宋体" w:cs="宋体"/>
                <w:b/>
                <w:szCs w:val="21"/>
                <w:lang w:val="zh-CN"/>
              </w:rPr>
              <w:t>内容</w:t>
            </w:r>
          </w:p>
        </w:tc>
        <w:tc>
          <w:tcPr>
            <w:tcW w:w="1026" w:type="dxa"/>
            <w:noWrap w:val="0"/>
            <w:vAlign w:val="center"/>
          </w:tcPr>
          <w:p w14:paraId="0D313611">
            <w:pPr>
              <w:jc w:val="center"/>
              <w:rPr>
                <w:rFonts w:hint="eastAsia" w:ascii="宋体" w:hAnsi="宋体" w:cs="宋体"/>
                <w:b/>
                <w:szCs w:val="21"/>
              </w:rPr>
            </w:pPr>
            <w:r>
              <w:rPr>
                <w:rFonts w:hint="eastAsia" w:ascii="宋体" w:hAnsi="宋体" w:cs="宋体"/>
                <w:b/>
                <w:szCs w:val="21"/>
              </w:rPr>
              <w:t>合同</w:t>
            </w:r>
          </w:p>
          <w:p w14:paraId="40B4D4AB">
            <w:pPr>
              <w:jc w:val="center"/>
              <w:rPr>
                <w:rFonts w:hint="eastAsia" w:ascii="宋体" w:hAnsi="宋体" w:cs="宋体"/>
                <w:b/>
                <w:szCs w:val="21"/>
              </w:rPr>
            </w:pPr>
            <w:r>
              <w:rPr>
                <w:rFonts w:hint="eastAsia" w:ascii="宋体" w:hAnsi="宋体" w:cs="宋体"/>
                <w:b/>
                <w:szCs w:val="21"/>
              </w:rPr>
              <w:t>金额</w:t>
            </w:r>
          </w:p>
        </w:tc>
        <w:tc>
          <w:tcPr>
            <w:tcW w:w="1026" w:type="dxa"/>
            <w:noWrap w:val="0"/>
            <w:vAlign w:val="center"/>
          </w:tcPr>
          <w:p w14:paraId="7AE3981F">
            <w:pPr>
              <w:jc w:val="center"/>
              <w:rPr>
                <w:rFonts w:hint="eastAsia" w:ascii="宋体" w:hAnsi="宋体" w:cs="宋体"/>
                <w:b/>
                <w:szCs w:val="21"/>
                <w:lang w:val="zh-CN"/>
              </w:rPr>
            </w:pPr>
            <w:r>
              <w:rPr>
                <w:rFonts w:hint="eastAsia" w:ascii="宋体" w:hAnsi="宋体" w:cs="宋体"/>
                <w:b/>
                <w:szCs w:val="21"/>
                <w:lang w:val="zh-CN"/>
              </w:rPr>
              <w:t>备注</w:t>
            </w:r>
          </w:p>
        </w:tc>
      </w:tr>
      <w:tr w14:paraId="0E0917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2" w:hRule="atLeast"/>
          <w:jc w:val="center"/>
        </w:trPr>
        <w:tc>
          <w:tcPr>
            <w:tcW w:w="773" w:type="dxa"/>
            <w:noWrap w:val="0"/>
            <w:vAlign w:val="top"/>
          </w:tcPr>
          <w:p w14:paraId="0F7D1784">
            <w:pPr>
              <w:rPr>
                <w:rFonts w:hint="eastAsia" w:ascii="宋体" w:hAnsi="宋体" w:cs="宋体"/>
                <w:szCs w:val="21"/>
                <w:lang w:val="zh-CN"/>
              </w:rPr>
            </w:pPr>
          </w:p>
        </w:tc>
        <w:tc>
          <w:tcPr>
            <w:tcW w:w="1710" w:type="dxa"/>
            <w:noWrap w:val="0"/>
            <w:vAlign w:val="top"/>
          </w:tcPr>
          <w:p w14:paraId="139D734B">
            <w:pPr>
              <w:rPr>
                <w:rFonts w:hint="eastAsia" w:ascii="宋体" w:hAnsi="宋体" w:cs="宋体"/>
                <w:szCs w:val="21"/>
                <w:lang w:val="zh-CN"/>
              </w:rPr>
            </w:pPr>
          </w:p>
        </w:tc>
        <w:tc>
          <w:tcPr>
            <w:tcW w:w="1365" w:type="dxa"/>
            <w:noWrap w:val="0"/>
            <w:vAlign w:val="top"/>
          </w:tcPr>
          <w:p w14:paraId="07A74375">
            <w:pPr>
              <w:rPr>
                <w:rFonts w:hint="eastAsia" w:ascii="宋体" w:hAnsi="宋体" w:cs="宋体"/>
                <w:szCs w:val="21"/>
                <w:lang w:val="zh-CN"/>
              </w:rPr>
            </w:pPr>
          </w:p>
        </w:tc>
        <w:tc>
          <w:tcPr>
            <w:tcW w:w="1455" w:type="dxa"/>
            <w:noWrap w:val="0"/>
            <w:vAlign w:val="top"/>
          </w:tcPr>
          <w:p w14:paraId="3876DBE6">
            <w:pPr>
              <w:rPr>
                <w:rFonts w:hint="eastAsia" w:ascii="宋体" w:hAnsi="宋体" w:cs="宋体"/>
                <w:szCs w:val="21"/>
                <w:lang w:val="zh-CN"/>
              </w:rPr>
            </w:pPr>
          </w:p>
        </w:tc>
        <w:tc>
          <w:tcPr>
            <w:tcW w:w="1300" w:type="dxa"/>
            <w:noWrap w:val="0"/>
            <w:vAlign w:val="top"/>
          </w:tcPr>
          <w:p w14:paraId="52156E49">
            <w:pPr>
              <w:rPr>
                <w:rFonts w:hint="eastAsia" w:ascii="宋体" w:hAnsi="宋体" w:cs="宋体"/>
                <w:szCs w:val="21"/>
                <w:lang w:val="zh-CN"/>
              </w:rPr>
            </w:pPr>
          </w:p>
        </w:tc>
        <w:tc>
          <w:tcPr>
            <w:tcW w:w="1026" w:type="dxa"/>
            <w:noWrap w:val="0"/>
            <w:vAlign w:val="top"/>
          </w:tcPr>
          <w:p w14:paraId="41B55BF5">
            <w:pPr>
              <w:rPr>
                <w:rFonts w:hint="eastAsia" w:ascii="宋体" w:hAnsi="宋体" w:cs="宋体"/>
                <w:szCs w:val="21"/>
                <w:lang w:val="zh-CN"/>
              </w:rPr>
            </w:pPr>
          </w:p>
        </w:tc>
        <w:tc>
          <w:tcPr>
            <w:tcW w:w="1026" w:type="dxa"/>
            <w:noWrap w:val="0"/>
            <w:vAlign w:val="top"/>
          </w:tcPr>
          <w:p w14:paraId="334C2EAD">
            <w:pPr>
              <w:rPr>
                <w:rFonts w:hint="eastAsia" w:ascii="宋体" w:hAnsi="宋体" w:cs="宋体"/>
                <w:szCs w:val="21"/>
                <w:lang w:val="zh-CN"/>
              </w:rPr>
            </w:pPr>
          </w:p>
        </w:tc>
      </w:tr>
      <w:tr w14:paraId="2D1104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2" w:hRule="atLeast"/>
          <w:jc w:val="center"/>
        </w:trPr>
        <w:tc>
          <w:tcPr>
            <w:tcW w:w="773" w:type="dxa"/>
            <w:noWrap w:val="0"/>
            <w:vAlign w:val="top"/>
          </w:tcPr>
          <w:p w14:paraId="5F1F1F32">
            <w:pPr>
              <w:rPr>
                <w:rFonts w:hint="eastAsia" w:ascii="宋体" w:hAnsi="宋体" w:cs="宋体"/>
                <w:szCs w:val="21"/>
                <w:lang w:val="zh-CN"/>
              </w:rPr>
            </w:pPr>
          </w:p>
        </w:tc>
        <w:tc>
          <w:tcPr>
            <w:tcW w:w="1710" w:type="dxa"/>
            <w:noWrap w:val="0"/>
            <w:vAlign w:val="top"/>
          </w:tcPr>
          <w:p w14:paraId="4278A750">
            <w:pPr>
              <w:rPr>
                <w:rFonts w:hint="eastAsia" w:ascii="宋体" w:hAnsi="宋体" w:cs="宋体"/>
                <w:szCs w:val="21"/>
                <w:lang w:val="zh-CN"/>
              </w:rPr>
            </w:pPr>
          </w:p>
        </w:tc>
        <w:tc>
          <w:tcPr>
            <w:tcW w:w="1365" w:type="dxa"/>
            <w:noWrap w:val="0"/>
            <w:vAlign w:val="top"/>
          </w:tcPr>
          <w:p w14:paraId="3D31A689">
            <w:pPr>
              <w:rPr>
                <w:rFonts w:hint="eastAsia" w:ascii="宋体" w:hAnsi="宋体" w:cs="宋体"/>
                <w:szCs w:val="21"/>
                <w:lang w:val="zh-CN"/>
              </w:rPr>
            </w:pPr>
          </w:p>
        </w:tc>
        <w:tc>
          <w:tcPr>
            <w:tcW w:w="1455" w:type="dxa"/>
            <w:noWrap w:val="0"/>
            <w:vAlign w:val="top"/>
          </w:tcPr>
          <w:p w14:paraId="7BDB26D8">
            <w:pPr>
              <w:rPr>
                <w:rFonts w:hint="eastAsia" w:ascii="宋体" w:hAnsi="宋体" w:cs="宋体"/>
                <w:szCs w:val="21"/>
                <w:lang w:val="zh-CN"/>
              </w:rPr>
            </w:pPr>
          </w:p>
        </w:tc>
        <w:tc>
          <w:tcPr>
            <w:tcW w:w="1300" w:type="dxa"/>
            <w:noWrap w:val="0"/>
            <w:vAlign w:val="top"/>
          </w:tcPr>
          <w:p w14:paraId="70BB9046">
            <w:pPr>
              <w:rPr>
                <w:rFonts w:hint="eastAsia" w:ascii="宋体" w:hAnsi="宋体" w:cs="宋体"/>
                <w:szCs w:val="21"/>
                <w:lang w:val="zh-CN"/>
              </w:rPr>
            </w:pPr>
          </w:p>
        </w:tc>
        <w:tc>
          <w:tcPr>
            <w:tcW w:w="1026" w:type="dxa"/>
            <w:noWrap w:val="0"/>
            <w:vAlign w:val="top"/>
          </w:tcPr>
          <w:p w14:paraId="26D03900">
            <w:pPr>
              <w:rPr>
                <w:rFonts w:hint="eastAsia" w:ascii="宋体" w:hAnsi="宋体" w:cs="宋体"/>
                <w:szCs w:val="21"/>
                <w:lang w:val="zh-CN"/>
              </w:rPr>
            </w:pPr>
          </w:p>
        </w:tc>
        <w:tc>
          <w:tcPr>
            <w:tcW w:w="1026" w:type="dxa"/>
            <w:noWrap w:val="0"/>
            <w:vAlign w:val="top"/>
          </w:tcPr>
          <w:p w14:paraId="4785D69D">
            <w:pPr>
              <w:rPr>
                <w:rFonts w:hint="eastAsia" w:ascii="宋体" w:hAnsi="宋体" w:cs="宋体"/>
                <w:szCs w:val="21"/>
                <w:lang w:val="zh-CN"/>
              </w:rPr>
            </w:pPr>
          </w:p>
        </w:tc>
      </w:tr>
      <w:tr w14:paraId="0FC8FB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2" w:hRule="atLeast"/>
          <w:jc w:val="center"/>
        </w:trPr>
        <w:tc>
          <w:tcPr>
            <w:tcW w:w="773" w:type="dxa"/>
            <w:noWrap w:val="0"/>
            <w:vAlign w:val="top"/>
          </w:tcPr>
          <w:p w14:paraId="7F556441">
            <w:pPr>
              <w:rPr>
                <w:rFonts w:hint="eastAsia" w:ascii="宋体" w:hAnsi="宋体" w:cs="宋体"/>
                <w:szCs w:val="21"/>
                <w:lang w:val="zh-CN"/>
              </w:rPr>
            </w:pPr>
          </w:p>
        </w:tc>
        <w:tc>
          <w:tcPr>
            <w:tcW w:w="1710" w:type="dxa"/>
            <w:noWrap w:val="0"/>
            <w:vAlign w:val="top"/>
          </w:tcPr>
          <w:p w14:paraId="7F12DB75">
            <w:pPr>
              <w:rPr>
                <w:rFonts w:hint="eastAsia" w:ascii="宋体" w:hAnsi="宋体" w:cs="宋体"/>
                <w:szCs w:val="21"/>
                <w:lang w:val="zh-CN"/>
              </w:rPr>
            </w:pPr>
          </w:p>
        </w:tc>
        <w:tc>
          <w:tcPr>
            <w:tcW w:w="1365" w:type="dxa"/>
            <w:noWrap w:val="0"/>
            <w:vAlign w:val="top"/>
          </w:tcPr>
          <w:p w14:paraId="56D7AFBF">
            <w:pPr>
              <w:rPr>
                <w:rFonts w:hint="eastAsia" w:ascii="宋体" w:hAnsi="宋体" w:cs="宋体"/>
                <w:szCs w:val="21"/>
                <w:lang w:val="zh-CN"/>
              </w:rPr>
            </w:pPr>
          </w:p>
        </w:tc>
        <w:tc>
          <w:tcPr>
            <w:tcW w:w="1455" w:type="dxa"/>
            <w:noWrap w:val="0"/>
            <w:vAlign w:val="top"/>
          </w:tcPr>
          <w:p w14:paraId="402A1C41">
            <w:pPr>
              <w:rPr>
                <w:rFonts w:hint="eastAsia" w:ascii="宋体" w:hAnsi="宋体" w:cs="宋体"/>
                <w:szCs w:val="21"/>
                <w:lang w:val="zh-CN"/>
              </w:rPr>
            </w:pPr>
          </w:p>
        </w:tc>
        <w:tc>
          <w:tcPr>
            <w:tcW w:w="1300" w:type="dxa"/>
            <w:noWrap w:val="0"/>
            <w:vAlign w:val="top"/>
          </w:tcPr>
          <w:p w14:paraId="386F1FD2">
            <w:pPr>
              <w:rPr>
                <w:rFonts w:hint="eastAsia" w:ascii="宋体" w:hAnsi="宋体" w:cs="宋体"/>
                <w:szCs w:val="21"/>
                <w:lang w:val="zh-CN"/>
              </w:rPr>
            </w:pPr>
          </w:p>
        </w:tc>
        <w:tc>
          <w:tcPr>
            <w:tcW w:w="1026" w:type="dxa"/>
            <w:noWrap w:val="0"/>
            <w:vAlign w:val="top"/>
          </w:tcPr>
          <w:p w14:paraId="535DF096">
            <w:pPr>
              <w:rPr>
                <w:rFonts w:hint="eastAsia" w:ascii="宋体" w:hAnsi="宋体" w:cs="宋体"/>
                <w:szCs w:val="21"/>
                <w:lang w:val="zh-CN"/>
              </w:rPr>
            </w:pPr>
          </w:p>
        </w:tc>
        <w:tc>
          <w:tcPr>
            <w:tcW w:w="1026" w:type="dxa"/>
            <w:noWrap w:val="0"/>
            <w:vAlign w:val="top"/>
          </w:tcPr>
          <w:p w14:paraId="2D37B1D0">
            <w:pPr>
              <w:rPr>
                <w:rFonts w:hint="eastAsia" w:ascii="宋体" w:hAnsi="宋体" w:cs="宋体"/>
                <w:szCs w:val="21"/>
                <w:lang w:val="zh-CN"/>
              </w:rPr>
            </w:pPr>
          </w:p>
        </w:tc>
      </w:tr>
      <w:tr w14:paraId="54D9D9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2" w:hRule="atLeast"/>
          <w:jc w:val="center"/>
        </w:trPr>
        <w:tc>
          <w:tcPr>
            <w:tcW w:w="773" w:type="dxa"/>
            <w:noWrap w:val="0"/>
            <w:vAlign w:val="top"/>
          </w:tcPr>
          <w:p w14:paraId="7E9CA38C">
            <w:pPr>
              <w:rPr>
                <w:rFonts w:hint="eastAsia" w:ascii="宋体" w:hAnsi="宋体" w:cs="宋体"/>
                <w:szCs w:val="21"/>
                <w:lang w:val="zh-CN"/>
              </w:rPr>
            </w:pPr>
          </w:p>
        </w:tc>
        <w:tc>
          <w:tcPr>
            <w:tcW w:w="1710" w:type="dxa"/>
            <w:noWrap w:val="0"/>
            <w:vAlign w:val="top"/>
          </w:tcPr>
          <w:p w14:paraId="457FA40C">
            <w:pPr>
              <w:rPr>
                <w:rFonts w:hint="eastAsia" w:ascii="宋体" w:hAnsi="宋体" w:cs="宋体"/>
                <w:szCs w:val="21"/>
                <w:lang w:val="zh-CN"/>
              </w:rPr>
            </w:pPr>
          </w:p>
        </w:tc>
        <w:tc>
          <w:tcPr>
            <w:tcW w:w="1365" w:type="dxa"/>
            <w:noWrap w:val="0"/>
            <w:vAlign w:val="top"/>
          </w:tcPr>
          <w:p w14:paraId="1A59F32A">
            <w:pPr>
              <w:rPr>
                <w:rFonts w:hint="eastAsia" w:ascii="宋体" w:hAnsi="宋体" w:cs="宋体"/>
                <w:szCs w:val="21"/>
                <w:lang w:val="zh-CN"/>
              </w:rPr>
            </w:pPr>
          </w:p>
        </w:tc>
        <w:tc>
          <w:tcPr>
            <w:tcW w:w="1455" w:type="dxa"/>
            <w:noWrap w:val="0"/>
            <w:vAlign w:val="top"/>
          </w:tcPr>
          <w:p w14:paraId="5364ED7E">
            <w:pPr>
              <w:rPr>
                <w:rFonts w:hint="eastAsia" w:ascii="宋体" w:hAnsi="宋体" w:cs="宋体"/>
                <w:szCs w:val="21"/>
                <w:lang w:val="zh-CN"/>
              </w:rPr>
            </w:pPr>
          </w:p>
        </w:tc>
        <w:tc>
          <w:tcPr>
            <w:tcW w:w="1300" w:type="dxa"/>
            <w:noWrap w:val="0"/>
            <w:vAlign w:val="top"/>
          </w:tcPr>
          <w:p w14:paraId="1412C605">
            <w:pPr>
              <w:rPr>
                <w:rFonts w:hint="eastAsia" w:ascii="宋体" w:hAnsi="宋体" w:cs="宋体"/>
                <w:szCs w:val="21"/>
                <w:lang w:val="zh-CN"/>
              </w:rPr>
            </w:pPr>
          </w:p>
        </w:tc>
        <w:tc>
          <w:tcPr>
            <w:tcW w:w="1026" w:type="dxa"/>
            <w:noWrap w:val="0"/>
            <w:vAlign w:val="top"/>
          </w:tcPr>
          <w:p w14:paraId="116BDAB3">
            <w:pPr>
              <w:rPr>
                <w:rFonts w:hint="eastAsia" w:ascii="宋体" w:hAnsi="宋体" w:cs="宋体"/>
                <w:szCs w:val="21"/>
                <w:lang w:val="zh-CN"/>
              </w:rPr>
            </w:pPr>
          </w:p>
        </w:tc>
        <w:tc>
          <w:tcPr>
            <w:tcW w:w="1026" w:type="dxa"/>
            <w:noWrap w:val="0"/>
            <w:vAlign w:val="top"/>
          </w:tcPr>
          <w:p w14:paraId="56623B83">
            <w:pPr>
              <w:rPr>
                <w:rFonts w:hint="eastAsia" w:ascii="宋体" w:hAnsi="宋体" w:cs="宋体"/>
                <w:szCs w:val="21"/>
                <w:lang w:val="zh-CN"/>
              </w:rPr>
            </w:pPr>
          </w:p>
        </w:tc>
      </w:tr>
      <w:tr w14:paraId="422929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2" w:hRule="atLeast"/>
          <w:jc w:val="center"/>
        </w:trPr>
        <w:tc>
          <w:tcPr>
            <w:tcW w:w="773" w:type="dxa"/>
            <w:noWrap w:val="0"/>
            <w:vAlign w:val="top"/>
          </w:tcPr>
          <w:p w14:paraId="1D8485E3">
            <w:pPr>
              <w:rPr>
                <w:rFonts w:hint="eastAsia" w:ascii="宋体" w:hAnsi="宋体" w:cs="宋体"/>
                <w:szCs w:val="21"/>
                <w:lang w:val="zh-CN"/>
              </w:rPr>
            </w:pPr>
          </w:p>
        </w:tc>
        <w:tc>
          <w:tcPr>
            <w:tcW w:w="1710" w:type="dxa"/>
            <w:noWrap w:val="0"/>
            <w:vAlign w:val="top"/>
          </w:tcPr>
          <w:p w14:paraId="3A17FACF">
            <w:pPr>
              <w:rPr>
                <w:rFonts w:hint="eastAsia" w:ascii="宋体" w:hAnsi="宋体" w:cs="宋体"/>
                <w:szCs w:val="21"/>
                <w:lang w:val="zh-CN"/>
              </w:rPr>
            </w:pPr>
          </w:p>
        </w:tc>
        <w:tc>
          <w:tcPr>
            <w:tcW w:w="1365" w:type="dxa"/>
            <w:noWrap w:val="0"/>
            <w:vAlign w:val="top"/>
          </w:tcPr>
          <w:p w14:paraId="3BF17742">
            <w:pPr>
              <w:rPr>
                <w:rFonts w:hint="eastAsia" w:ascii="宋体" w:hAnsi="宋体" w:cs="宋体"/>
                <w:szCs w:val="21"/>
                <w:lang w:val="zh-CN"/>
              </w:rPr>
            </w:pPr>
          </w:p>
        </w:tc>
        <w:tc>
          <w:tcPr>
            <w:tcW w:w="1455" w:type="dxa"/>
            <w:noWrap w:val="0"/>
            <w:vAlign w:val="top"/>
          </w:tcPr>
          <w:p w14:paraId="24439D6A">
            <w:pPr>
              <w:rPr>
                <w:rFonts w:hint="eastAsia" w:ascii="宋体" w:hAnsi="宋体" w:cs="宋体"/>
                <w:szCs w:val="21"/>
                <w:lang w:val="zh-CN"/>
              </w:rPr>
            </w:pPr>
          </w:p>
        </w:tc>
        <w:tc>
          <w:tcPr>
            <w:tcW w:w="1300" w:type="dxa"/>
            <w:noWrap w:val="0"/>
            <w:vAlign w:val="top"/>
          </w:tcPr>
          <w:p w14:paraId="3769EE8E">
            <w:pPr>
              <w:rPr>
                <w:rFonts w:hint="eastAsia" w:ascii="宋体" w:hAnsi="宋体" w:cs="宋体"/>
                <w:szCs w:val="21"/>
                <w:lang w:val="zh-CN"/>
              </w:rPr>
            </w:pPr>
          </w:p>
        </w:tc>
        <w:tc>
          <w:tcPr>
            <w:tcW w:w="1026" w:type="dxa"/>
            <w:noWrap w:val="0"/>
            <w:vAlign w:val="top"/>
          </w:tcPr>
          <w:p w14:paraId="20E00F0E">
            <w:pPr>
              <w:rPr>
                <w:rFonts w:hint="eastAsia" w:ascii="宋体" w:hAnsi="宋体" w:cs="宋体"/>
                <w:szCs w:val="21"/>
                <w:lang w:val="zh-CN"/>
              </w:rPr>
            </w:pPr>
          </w:p>
        </w:tc>
        <w:tc>
          <w:tcPr>
            <w:tcW w:w="1026" w:type="dxa"/>
            <w:noWrap w:val="0"/>
            <w:vAlign w:val="top"/>
          </w:tcPr>
          <w:p w14:paraId="1061E124">
            <w:pPr>
              <w:rPr>
                <w:rFonts w:hint="eastAsia" w:ascii="宋体" w:hAnsi="宋体" w:cs="宋体"/>
                <w:szCs w:val="21"/>
                <w:lang w:val="zh-CN"/>
              </w:rPr>
            </w:pPr>
          </w:p>
        </w:tc>
      </w:tr>
    </w:tbl>
    <w:p w14:paraId="4B558C18">
      <w:pPr>
        <w:rPr>
          <w:rFonts w:hint="eastAsia" w:ascii="宋体" w:hAnsi="宋体" w:cs="宋体"/>
          <w:szCs w:val="21"/>
          <w:lang w:val="zh-CN"/>
        </w:rPr>
      </w:pPr>
    </w:p>
    <w:p w14:paraId="7B2F0B6B">
      <w:pPr>
        <w:widowControl/>
        <w:shd w:val="clear" w:color="auto" w:fill="FFFFFF"/>
        <w:spacing w:line="360" w:lineRule="auto"/>
        <w:jc w:val="left"/>
        <w:rPr>
          <w:rFonts w:hint="eastAsia" w:ascii="宋体" w:hAnsi="宋体" w:cs="宋体"/>
          <w:szCs w:val="21"/>
        </w:rPr>
      </w:pPr>
      <w:r>
        <w:rPr>
          <w:rFonts w:hint="eastAsia" w:ascii="宋体" w:hAnsi="宋体" w:cs="宋体"/>
          <w:szCs w:val="21"/>
        </w:rPr>
        <w:t>供应商（加盖电子公章）：</w:t>
      </w:r>
      <w:r>
        <w:rPr>
          <w:rFonts w:hint="eastAsia" w:ascii="宋体" w:hAnsi="宋体" w:cs="宋体"/>
          <w:szCs w:val="21"/>
          <w:u w:val="single"/>
        </w:rPr>
        <w:t xml:space="preserve">            </w:t>
      </w:r>
    </w:p>
    <w:p w14:paraId="2359F1FA">
      <w:pPr>
        <w:widowControl/>
        <w:shd w:val="clear" w:color="auto" w:fill="FFFFFF"/>
        <w:spacing w:line="360" w:lineRule="auto"/>
        <w:jc w:val="left"/>
        <w:rPr>
          <w:rFonts w:hint="eastAsia" w:ascii="宋体" w:hAnsi="宋体" w:cs="宋体"/>
          <w:szCs w:val="21"/>
        </w:rPr>
      </w:pPr>
      <w:r>
        <w:rPr>
          <w:rFonts w:hint="eastAsia" w:ascii="宋体" w:hAnsi="宋体" w:cs="宋体"/>
          <w:szCs w:val="21"/>
        </w:rPr>
        <w:t>日    期：   年    月    日</w:t>
      </w:r>
    </w:p>
    <w:p w14:paraId="0212FA8D">
      <w:pPr>
        <w:widowControl/>
        <w:shd w:val="clear" w:color="auto" w:fill="FFFFFF"/>
        <w:spacing w:line="360" w:lineRule="auto"/>
        <w:jc w:val="left"/>
        <w:rPr>
          <w:rFonts w:hint="eastAsia" w:ascii="宋体" w:hAnsi="宋体" w:cs="宋体"/>
          <w:color w:val="000000"/>
          <w:szCs w:val="21"/>
        </w:rPr>
      </w:pPr>
    </w:p>
    <w:p w14:paraId="0A22368E">
      <w:pPr>
        <w:spacing w:before="312" w:after="312"/>
        <w:rPr>
          <w:rFonts w:hint="eastAsia" w:ascii="宋体" w:hAnsi="宋体" w:cs="宋体"/>
          <w:b/>
        </w:rPr>
      </w:pPr>
      <w:r>
        <w:rPr>
          <w:rStyle w:val="71"/>
          <w:rFonts w:hint="eastAsia" w:ascii="宋体" w:hAnsi="宋体" w:cs="宋体"/>
          <w:sz w:val="21"/>
          <w:szCs w:val="21"/>
        </w:rPr>
        <w:br w:type="page" w:clear="all"/>
      </w:r>
      <w:bookmarkStart w:id="102" w:name="_Toc490133036"/>
      <w:bookmarkStart w:id="103" w:name="_Toc534273808"/>
      <w:bookmarkStart w:id="104" w:name="_Toc534273685"/>
      <w:bookmarkStart w:id="105" w:name="_Toc504044388"/>
      <w:bookmarkStart w:id="106" w:name="_Toc504573091"/>
      <w:bookmarkStart w:id="107" w:name="_Toc504056876"/>
      <w:r>
        <w:rPr>
          <w:rFonts w:hint="eastAsia" w:ascii="宋体" w:hAnsi="宋体" w:cs="宋体"/>
          <w:b/>
        </w:rPr>
        <w:t>附件八、企业声明函格式</w:t>
      </w:r>
      <w:bookmarkEnd w:id="102"/>
      <w:bookmarkEnd w:id="103"/>
      <w:bookmarkEnd w:id="104"/>
      <w:bookmarkEnd w:id="105"/>
      <w:bookmarkEnd w:id="106"/>
      <w:bookmarkEnd w:id="107"/>
    </w:p>
    <w:p w14:paraId="017A63EE">
      <w:pPr>
        <w:rPr>
          <w:rFonts w:hint="eastAsia" w:ascii="宋体" w:hAnsi="宋体" w:cs="宋体"/>
        </w:rPr>
      </w:pPr>
    </w:p>
    <w:p w14:paraId="005BDE66">
      <w:pPr>
        <w:spacing w:before="312" w:after="312" w:line="480" w:lineRule="auto"/>
        <w:jc w:val="center"/>
        <w:rPr>
          <w:rFonts w:hint="eastAsia" w:ascii="宋体" w:hAnsi="宋体" w:cs="宋体"/>
          <w:b/>
          <w:bCs/>
          <w:sz w:val="28"/>
          <w:szCs w:val="28"/>
        </w:rPr>
      </w:pPr>
      <w:bookmarkStart w:id="108" w:name="OLE_LINK13"/>
      <w:bookmarkStart w:id="109" w:name="OLE_LINK14"/>
      <w:r>
        <w:rPr>
          <w:rFonts w:hint="eastAsia" w:ascii="宋体" w:hAnsi="宋体" w:cs="宋体"/>
          <w:b/>
          <w:bCs/>
          <w:sz w:val="28"/>
          <w:szCs w:val="28"/>
        </w:rPr>
        <w:t>中小企业声明函（工程、服务）</w:t>
      </w:r>
    </w:p>
    <w:p w14:paraId="0DE47453">
      <w:pPr>
        <w:widowControl/>
        <w:spacing w:line="440" w:lineRule="exact"/>
        <w:ind w:firstLine="420"/>
        <w:jc w:val="left"/>
        <w:rPr>
          <w:rFonts w:hint="eastAsia" w:ascii="宋体" w:hAnsi="宋体" w:cs="宋体"/>
          <w:szCs w:val="21"/>
        </w:rPr>
      </w:pPr>
      <w:r>
        <w:rPr>
          <w:rFonts w:hint="eastAsia" w:ascii="宋体" w:hAnsi="宋体" w:cs="宋体"/>
        </w:rPr>
        <w:t>本公司（联合体）郑重声明，根据《政府采购促进中小企业发展管理办法》（财库〔2020〕） 46号）的规定，本公司 （联合体）参加</w:t>
      </w:r>
      <w:r>
        <w:rPr>
          <w:rFonts w:hint="eastAsia" w:ascii="宋体" w:hAnsi="宋体" w:cs="宋体"/>
          <w:u w:val="single"/>
        </w:rPr>
        <w:t xml:space="preserve">  （单位名称）</w:t>
      </w:r>
      <w:r>
        <w:rPr>
          <w:rFonts w:hint="eastAsia" w:ascii="宋体" w:hAnsi="宋体" w:cs="宋体"/>
        </w:rPr>
        <w:t>的</w:t>
      </w:r>
      <w:r>
        <w:rPr>
          <w:rFonts w:hint="eastAsia" w:ascii="宋体" w:hAnsi="宋体" w:cs="宋体"/>
          <w:u w:val="single"/>
        </w:rPr>
        <w:t xml:space="preserve">  （项目名称）</w:t>
      </w:r>
      <w:r>
        <w:rPr>
          <w:rFonts w:hint="eastAsia" w:ascii="宋体" w:hAnsi="宋体" w:cs="宋体"/>
        </w:rPr>
        <w:t>采购活动，</w:t>
      </w:r>
      <w:r>
        <w:rPr>
          <w:rFonts w:hint="eastAsia" w:ascii="宋体" w:hAnsi="宋体" w:cs="宋体"/>
          <w:u w:val="single"/>
        </w:rPr>
        <w:t>工程的施工单位全部为符合政策要求的中小企业（或者：服务全部由符合政策要求的中小企业承接）。</w:t>
      </w:r>
      <w:r>
        <w:rPr>
          <w:rFonts w:hint="eastAsia" w:ascii="宋体" w:hAnsi="宋体" w:cs="宋体"/>
        </w:rPr>
        <w:t>相关企业（含联合 体中的中小企业、签订分包意向协议的中小企业）的具体情况如下：</w:t>
      </w:r>
    </w:p>
    <w:p w14:paraId="3F24C085">
      <w:pPr>
        <w:widowControl/>
        <w:spacing w:line="440" w:lineRule="exact"/>
        <w:ind w:firstLine="420"/>
        <w:jc w:val="left"/>
        <w:rPr>
          <w:rFonts w:hint="eastAsia" w:ascii="宋体" w:hAnsi="宋体" w:cs="宋体"/>
        </w:rPr>
      </w:pPr>
      <w:r>
        <w:rPr>
          <w:rFonts w:hint="eastAsia" w:ascii="宋体" w:hAnsi="宋体" w:cs="宋体"/>
          <w:u w:val="single"/>
        </w:rPr>
        <w:t>（标的名称）</w:t>
      </w:r>
      <w:r>
        <w:rPr>
          <w:rFonts w:hint="eastAsia" w:ascii="宋体" w:hAnsi="宋体" w:cs="宋体"/>
        </w:rPr>
        <w:t>,属于</w:t>
      </w:r>
      <w:r>
        <w:rPr>
          <w:rFonts w:hint="eastAsia" w:ascii="宋体" w:hAnsi="宋体" w:cs="宋体"/>
          <w:u w:val="single"/>
        </w:rPr>
        <w:t>（采购文件中明确的所属行业）</w:t>
      </w:r>
      <w:r>
        <w:rPr>
          <w:rFonts w:hint="eastAsia" w:ascii="宋体" w:hAnsi="宋体" w:cs="宋体"/>
        </w:rPr>
        <w:t>, 承建（承接）企业为</w:t>
      </w:r>
      <w:r>
        <w:rPr>
          <w:rFonts w:hint="eastAsia" w:ascii="宋体" w:hAnsi="宋体" w:cs="宋体"/>
          <w:u w:val="single"/>
        </w:rPr>
        <w:t>（企业名称）</w:t>
      </w:r>
      <w:r>
        <w:rPr>
          <w:rFonts w:hint="eastAsia" w:ascii="宋体" w:hAnsi="宋体" w:cs="宋体"/>
        </w:rPr>
        <w:t>,从业人员</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人</w:t>
      </w:r>
      <w:r>
        <w:rPr>
          <w:rFonts w:hint="eastAsia" w:ascii="宋体" w:hAnsi="宋体" w:cs="宋体"/>
        </w:rPr>
        <w:t>，营业收入为</w:t>
      </w:r>
      <w:r>
        <w:rPr>
          <w:rFonts w:hint="eastAsia" w:ascii="宋体" w:hAnsi="宋体" w:cs="宋体"/>
          <w:u w:val="single"/>
        </w:rPr>
        <w:tab/>
      </w:r>
      <w:r>
        <w:rPr>
          <w:rFonts w:hint="eastAsia" w:ascii="宋体" w:hAnsi="宋体" w:cs="宋体"/>
          <w:u w:val="single"/>
        </w:rPr>
        <w:t xml:space="preserve"> </w:t>
      </w:r>
      <w:r>
        <w:rPr>
          <w:rFonts w:hint="eastAsia" w:ascii="宋体" w:hAnsi="宋体" w:cs="宋体"/>
        </w:rPr>
        <w:t>万元，资产总额为</w:t>
      </w:r>
      <w:r>
        <w:rPr>
          <w:rFonts w:hint="eastAsia" w:ascii="宋体" w:hAnsi="宋体" w:cs="宋体"/>
          <w:u w:val="single"/>
        </w:rPr>
        <w:tab/>
      </w:r>
      <w:r>
        <w:rPr>
          <w:rFonts w:hint="eastAsia" w:ascii="宋体" w:hAnsi="宋体" w:cs="宋体"/>
          <w:u w:val="single"/>
        </w:rPr>
        <w:t xml:space="preserve"> </w:t>
      </w:r>
      <w:r>
        <w:rPr>
          <w:rFonts w:hint="eastAsia" w:ascii="宋体" w:hAnsi="宋体" w:cs="宋体"/>
        </w:rPr>
        <w:t>万元，属于</w:t>
      </w:r>
      <w:r>
        <w:rPr>
          <w:rFonts w:hint="eastAsia" w:ascii="宋体" w:hAnsi="宋体" w:cs="宋体"/>
          <w:i/>
          <w:iCs/>
          <w:u w:val="single"/>
        </w:rPr>
        <w:t>（填写：中型企业、小型企业、微型企业）</w:t>
      </w:r>
      <w:r>
        <w:rPr>
          <w:rFonts w:hint="eastAsia" w:ascii="宋体" w:hAnsi="宋体" w:cs="宋体"/>
        </w:rPr>
        <w:t>；</w:t>
      </w:r>
    </w:p>
    <w:p w14:paraId="0C10DB41">
      <w:pPr>
        <w:widowControl/>
        <w:spacing w:line="440" w:lineRule="exact"/>
        <w:ind w:firstLine="420"/>
        <w:jc w:val="left"/>
        <w:rPr>
          <w:rFonts w:hint="eastAsia" w:ascii="宋体" w:hAnsi="宋体" w:cs="宋体"/>
        </w:rPr>
      </w:pPr>
      <w:r>
        <w:rPr>
          <w:rFonts w:hint="eastAsia" w:ascii="宋体" w:hAnsi="宋体" w:cs="宋体"/>
          <w:u w:val="single"/>
        </w:rPr>
        <w:t>（标的名称）,</w:t>
      </w:r>
      <w:r>
        <w:rPr>
          <w:rFonts w:hint="eastAsia" w:ascii="宋体" w:hAnsi="宋体" w:cs="宋体"/>
        </w:rPr>
        <w:t>属于（采购文件中明确的所属行业）,承建（承接）企业为</w:t>
      </w:r>
      <w:r>
        <w:rPr>
          <w:rFonts w:hint="eastAsia" w:ascii="宋体" w:hAnsi="宋体" w:cs="宋体"/>
          <w:u w:val="single"/>
        </w:rPr>
        <w:t xml:space="preserve">  （企业名称）</w:t>
      </w:r>
      <w:r>
        <w:rPr>
          <w:rFonts w:hint="eastAsia" w:ascii="宋体" w:hAnsi="宋体" w:cs="宋体"/>
        </w:rPr>
        <w:t>,从业人员</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人</w:t>
      </w:r>
      <w:r>
        <w:rPr>
          <w:rFonts w:hint="eastAsia" w:ascii="宋体" w:hAnsi="宋体" w:cs="宋体"/>
        </w:rPr>
        <w:t>，营业收入为</w:t>
      </w:r>
      <w:r>
        <w:rPr>
          <w:rFonts w:hint="eastAsia" w:ascii="宋体" w:hAnsi="宋体" w:cs="宋体"/>
          <w:u w:val="single"/>
        </w:rPr>
        <w:tab/>
      </w:r>
      <w:r>
        <w:rPr>
          <w:rFonts w:hint="eastAsia" w:ascii="宋体" w:hAnsi="宋体" w:cs="宋体"/>
          <w:u w:val="single"/>
        </w:rPr>
        <w:t xml:space="preserve"> </w:t>
      </w:r>
      <w:r>
        <w:rPr>
          <w:rFonts w:hint="eastAsia" w:ascii="宋体" w:hAnsi="宋体" w:cs="宋体"/>
        </w:rPr>
        <w:t>万元，资产总额为</w:t>
      </w:r>
      <w:r>
        <w:rPr>
          <w:rFonts w:hint="eastAsia" w:ascii="宋体" w:hAnsi="宋体" w:cs="宋体"/>
          <w:u w:val="single"/>
        </w:rPr>
        <w:tab/>
      </w:r>
      <w:r>
        <w:rPr>
          <w:rFonts w:hint="eastAsia" w:ascii="宋体" w:hAnsi="宋体" w:cs="宋体"/>
        </w:rPr>
        <w:t>万元，属于（</w:t>
      </w:r>
      <w:r>
        <w:rPr>
          <w:rFonts w:hint="eastAsia" w:ascii="宋体" w:hAnsi="宋体" w:cs="宋体"/>
          <w:i/>
          <w:iCs/>
          <w:u w:val="single"/>
        </w:rPr>
        <w:t>填写：中型企业、小型企业、微型企业）</w:t>
      </w:r>
      <w:r>
        <w:rPr>
          <w:rFonts w:hint="eastAsia" w:ascii="宋体" w:hAnsi="宋体" w:cs="宋体"/>
        </w:rPr>
        <w:t>；</w:t>
      </w:r>
      <w:r>
        <w:rPr>
          <w:rFonts w:hint="eastAsia" w:ascii="宋体" w:hAnsi="宋体" w:cs="宋体"/>
        </w:rPr>
        <w:tab/>
      </w:r>
    </w:p>
    <w:p w14:paraId="5C32478F">
      <w:pPr>
        <w:widowControl/>
        <w:spacing w:line="440" w:lineRule="exact"/>
        <w:ind w:firstLine="420"/>
        <w:jc w:val="left"/>
        <w:rPr>
          <w:rFonts w:hint="eastAsia" w:ascii="宋体" w:hAnsi="宋体" w:cs="宋体"/>
        </w:rPr>
      </w:pPr>
      <w:r>
        <w:rPr>
          <w:rFonts w:hint="eastAsia" w:ascii="宋体" w:hAnsi="宋体" w:cs="宋体"/>
        </w:rPr>
        <w:t>以上企业，不属于大企业的分支机构，不存在控股股东为大企业的情形，也不存在与大企业的负责人为同一人的情形。</w:t>
      </w:r>
    </w:p>
    <w:p w14:paraId="08D4D367">
      <w:pPr>
        <w:widowControl/>
        <w:spacing w:line="440" w:lineRule="exact"/>
        <w:ind w:firstLine="420"/>
        <w:jc w:val="left"/>
        <w:rPr>
          <w:rFonts w:hint="eastAsia" w:ascii="宋体" w:hAnsi="宋体" w:cs="宋体"/>
        </w:rPr>
      </w:pPr>
      <w:r>
        <w:rPr>
          <w:rFonts w:hint="eastAsia" w:ascii="宋体" w:hAnsi="宋体" w:cs="宋体"/>
        </w:rPr>
        <w:t>本企业对上述声明内容的真实性负责。如有虚假，将依法承担相应责任。</w:t>
      </w:r>
    </w:p>
    <w:p w14:paraId="57F355C5">
      <w:pPr>
        <w:widowControl/>
        <w:spacing w:line="440" w:lineRule="exact"/>
        <w:jc w:val="left"/>
        <w:rPr>
          <w:rFonts w:hint="eastAsia" w:ascii="宋体" w:hAnsi="宋体" w:cs="宋体"/>
        </w:rPr>
      </w:pPr>
    </w:p>
    <w:p w14:paraId="401C4C22">
      <w:pPr>
        <w:widowControl/>
        <w:spacing w:line="440" w:lineRule="exact"/>
        <w:ind w:firstLine="420"/>
        <w:jc w:val="left"/>
        <w:rPr>
          <w:rFonts w:hint="eastAsia" w:ascii="宋体" w:hAnsi="宋体" w:cs="宋体"/>
        </w:rPr>
      </w:pPr>
    </w:p>
    <w:p w14:paraId="4F7CA2FE">
      <w:pPr>
        <w:widowControl/>
        <w:spacing w:line="440" w:lineRule="exact"/>
        <w:ind w:firstLine="420"/>
        <w:jc w:val="right"/>
        <w:rPr>
          <w:rFonts w:hint="eastAsia" w:ascii="宋体" w:hAnsi="宋体" w:cs="宋体"/>
        </w:rPr>
      </w:pPr>
      <w:r>
        <w:rPr>
          <w:rFonts w:hint="eastAsia" w:ascii="宋体" w:hAnsi="宋体" w:cs="宋体"/>
        </w:rPr>
        <w:t>企业名称（加盖电子公章）：</w:t>
      </w:r>
    </w:p>
    <w:p w14:paraId="5C4DD3CB">
      <w:pPr>
        <w:spacing w:line="360" w:lineRule="auto"/>
        <w:jc w:val="left"/>
        <w:rPr>
          <w:rFonts w:hint="eastAsia" w:ascii="宋体" w:hAnsi="宋体" w:cs="宋体"/>
        </w:rPr>
      </w:pPr>
      <w:r>
        <w:rPr>
          <w:rFonts w:hint="eastAsia" w:ascii="宋体" w:hAnsi="宋体" w:cs="宋体"/>
        </w:rPr>
        <w:t xml:space="preserve">                                                   </w:t>
      </w:r>
      <w:r>
        <w:rPr>
          <w:rFonts w:hint="eastAsia" w:ascii="宋体" w:hAnsi="宋体" w:cs="宋体"/>
          <w:lang w:val="en-US" w:eastAsia="zh-CN"/>
        </w:rPr>
        <w:t xml:space="preserve">    </w:t>
      </w:r>
      <w:r>
        <w:rPr>
          <w:rFonts w:hint="eastAsia" w:ascii="宋体" w:hAnsi="宋体" w:cs="宋体"/>
        </w:rPr>
        <w:t>日期：</w:t>
      </w:r>
    </w:p>
    <w:p w14:paraId="6E09E7A4">
      <w:pPr>
        <w:spacing w:line="360" w:lineRule="auto"/>
        <w:jc w:val="left"/>
        <w:rPr>
          <w:rFonts w:hint="eastAsia" w:ascii="宋体" w:hAnsi="宋体" w:cs="宋体"/>
        </w:rPr>
      </w:pPr>
    </w:p>
    <w:p w14:paraId="0AAE947B">
      <w:pPr>
        <w:spacing w:line="360" w:lineRule="auto"/>
        <w:jc w:val="left"/>
        <w:rPr>
          <w:rFonts w:hint="eastAsia" w:ascii="宋体" w:hAnsi="宋体" w:cs="宋体"/>
        </w:rPr>
      </w:pPr>
    </w:p>
    <w:p w14:paraId="638EE396">
      <w:pPr>
        <w:pBdr>
          <w:top w:val="none" w:color="000000" w:sz="0" w:space="0"/>
          <w:left w:val="none" w:color="000000" w:sz="0" w:space="0"/>
          <w:bottom w:val="none" w:color="000000" w:sz="0" w:space="0"/>
          <w:right w:val="none" w:color="000000" w:sz="0" w:space="0"/>
        </w:pBdr>
        <w:spacing w:line="85" w:lineRule="atLeast"/>
        <w:ind w:right="832"/>
        <w:jc w:val="both"/>
        <w:rPr>
          <w:color w:val="000000"/>
        </w:rPr>
      </w:pPr>
      <w:r>
        <w:rPr>
          <w:rFonts w:ascii="宋体" w:hAnsi="宋体" w:eastAsia="宋体" w:cs="宋体"/>
          <w:color w:val="000000"/>
        </w:rPr>
        <w:t>备注</w:t>
      </w:r>
      <w:r>
        <w:rPr>
          <w:rFonts w:hint="eastAsia" w:ascii="宋体" w:hAnsi="宋体" w:eastAsia="宋体" w:cs="宋体"/>
          <w:color w:val="000000"/>
        </w:rPr>
        <w:t>：</w:t>
      </w:r>
      <w:r>
        <w:rPr>
          <w:rFonts w:ascii="宋体" w:hAnsi="宋体" w:eastAsia="宋体" w:cs="宋体"/>
          <w:color w:val="000000"/>
        </w:rPr>
        <w:t>1</w:t>
      </w:r>
      <w:r>
        <w:rPr>
          <w:rFonts w:hint="eastAsia" w:ascii="宋体" w:hAnsi="宋体" w:eastAsia="宋体" w:cs="宋体"/>
          <w:color w:val="000000"/>
        </w:rPr>
        <w:t>.</w:t>
      </w:r>
      <w:r>
        <w:rPr>
          <w:rFonts w:ascii="宋体" w:hAnsi="宋体" w:eastAsia="宋体" w:cs="宋体"/>
          <w:color w:val="000000"/>
        </w:rPr>
        <w:t xml:space="preserve">从业人员、营业收入、资产总额填报上一年度数据，无上一年度数据的新成立企业可不填报。 </w:t>
      </w:r>
    </w:p>
    <w:p w14:paraId="332E2BF4">
      <w:pPr>
        <w:pBdr>
          <w:top w:val="none" w:color="000000" w:sz="0" w:space="0"/>
          <w:left w:val="none" w:color="000000" w:sz="0" w:space="0"/>
          <w:bottom w:val="none" w:color="000000" w:sz="0" w:space="0"/>
          <w:right w:val="none" w:color="000000" w:sz="0" w:space="0"/>
        </w:pBdr>
        <w:spacing w:line="85" w:lineRule="atLeast"/>
        <w:ind w:right="831"/>
        <w:jc w:val="both"/>
        <w:rPr>
          <w:color w:val="000000"/>
        </w:rPr>
      </w:pPr>
      <w:r>
        <w:rPr>
          <w:rFonts w:ascii="宋体" w:hAnsi="宋体" w:eastAsia="宋体" w:cs="宋体"/>
          <w:color w:val="000000"/>
        </w:rPr>
        <w:t xml:space="preserve"> 2</w:t>
      </w:r>
      <w:r>
        <w:rPr>
          <w:rFonts w:hint="eastAsia" w:ascii="宋体" w:hAnsi="宋体" w:eastAsia="宋体" w:cs="宋体"/>
          <w:color w:val="000000"/>
        </w:rPr>
        <w:t>.供应商</w:t>
      </w:r>
      <w:r>
        <w:rPr>
          <w:rFonts w:ascii="宋体" w:hAnsi="宋体" w:eastAsia="宋体" w:cs="宋体"/>
          <w:color w:val="000000"/>
        </w:rPr>
        <w:t>如不提供此声明函，价格将不做相应扣除。</w:t>
      </w:r>
      <w:r>
        <w:rPr>
          <w:rFonts w:hint="eastAsia" w:ascii="宋体" w:hAnsi="宋体" w:eastAsia="宋体" w:cs="宋体"/>
          <w:color w:val="000000"/>
          <w:lang w:val="en-US" w:eastAsia="zh-CN"/>
        </w:rPr>
        <w:t>成交供应商</w:t>
      </w:r>
      <w:r>
        <w:rPr>
          <w:rFonts w:ascii="宋体" w:hAnsi="宋体" w:eastAsia="宋体" w:cs="宋体"/>
          <w:color w:val="000000"/>
        </w:rPr>
        <w:t>如享受本项目中小企业扶持政策的，其声明函将随</w:t>
      </w:r>
      <w:r>
        <w:rPr>
          <w:rFonts w:hint="eastAsia" w:ascii="宋体" w:hAnsi="宋体" w:eastAsia="宋体" w:cs="宋体"/>
          <w:color w:val="000000"/>
          <w:lang w:val="en-US" w:eastAsia="zh-CN"/>
        </w:rPr>
        <w:t>成交</w:t>
      </w:r>
      <w:r>
        <w:rPr>
          <w:rFonts w:ascii="宋体" w:hAnsi="宋体" w:eastAsia="宋体" w:cs="宋体"/>
          <w:color w:val="000000"/>
        </w:rPr>
        <w:t xml:space="preserve">结果同时公告，接受社会监督。 </w:t>
      </w:r>
    </w:p>
    <w:p w14:paraId="562476C4">
      <w:pPr>
        <w:pBdr>
          <w:top w:val="none" w:color="000000" w:sz="0" w:space="0"/>
          <w:left w:val="none" w:color="000000" w:sz="0" w:space="0"/>
          <w:bottom w:val="none" w:color="000000" w:sz="0" w:space="0"/>
          <w:right w:val="none" w:color="000000" w:sz="0" w:space="0"/>
        </w:pBdr>
        <w:shd w:val="clear" w:color="FFFFFF" w:fill="FFFFFF"/>
        <w:spacing w:line="85" w:lineRule="atLeast"/>
        <w:ind w:right="633"/>
        <w:rPr>
          <w:rFonts w:ascii="宋体" w:hAnsi="宋体" w:eastAsia="宋体" w:cs="宋体"/>
          <w:color w:val="000000"/>
        </w:rPr>
      </w:pPr>
    </w:p>
    <w:p w14:paraId="1C7860E7">
      <w:pPr>
        <w:pBdr>
          <w:top w:val="none" w:color="000000" w:sz="0" w:space="0"/>
          <w:left w:val="none" w:color="000000" w:sz="0" w:space="0"/>
          <w:bottom w:val="none" w:color="000000" w:sz="0" w:space="0"/>
          <w:right w:val="none" w:color="000000" w:sz="0" w:space="0"/>
        </w:pBdr>
        <w:shd w:val="clear" w:color="FFFFFF" w:fill="FFFFFF"/>
        <w:spacing w:line="85" w:lineRule="atLeast"/>
        <w:ind w:right="633"/>
        <w:rPr>
          <w:rFonts w:ascii="宋体" w:hAnsi="宋体" w:eastAsia="宋体" w:cs="宋体"/>
          <w:b/>
          <w:bCs/>
          <w:color w:val="000000"/>
        </w:rPr>
      </w:pPr>
      <w:r>
        <w:rPr>
          <w:rFonts w:hint="eastAsia" w:ascii="宋体" w:hAnsi="宋体" w:eastAsia="宋体" w:cs="宋体"/>
          <w:b/>
          <w:bCs/>
          <w:color w:val="000000"/>
        </w:rPr>
        <w:t>本项目所属行业：</w:t>
      </w:r>
      <w:r>
        <w:rPr>
          <w:rFonts w:hint="eastAsia" w:ascii="宋体" w:hAnsi="宋体" w:eastAsia="宋体" w:cs="宋体"/>
          <w:b/>
          <w:bCs/>
          <w:color w:val="000000"/>
          <w:lang w:val="en-US" w:eastAsia="zh-CN"/>
        </w:rPr>
        <w:t>建筑业</w:t>
      </w:r>
      <w:r>
        <w:rPr>
          <w:rFonts w:ascii="宋体" w:hAnsi="宋体" w:eastAsia="宋体" w:cs="宋体"/>
          <w:b/>
          <w:bCs/>
          <w:color w:val="000000"/>
        </w:rPr>
        <w:t>。</w:t>
      </w:r>
      <w:r>
        <w:rPr>
          <w:rFonts w:hint="eastAsia" w:ascii="宋体" w:hAnsi="宋体" w:eastAsia="宋体" w:cs="宋体"/>
          <w:b w:val="0"/>
          <w:bCs w:val="0"/>
          <w:color w:val="000000"/>
        </w:rPr>
        <w:t>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1AB32D59">
      <w:pPr>
        <w:pBdr>
          <w:top w:val="none" w:color="000000" w:sz="0" w:space="0"/>
          <w:left w:val="none" w:color="000000" w:sz="0" w:space="0"/>
          <w:bottom w:val="none" w:color="000000" w:sz="0" w:space="0"/>
          <w:right w:val="none" w:color="000000" w:sz="0" w:space="0"/>
        </w:pBdr>
        <w:shd w:val="clear" w:color="FFFFFF" w:fill="FFFFFF"/>
        <w:spacing w:line="85" w:lineRule="atLeast"/>
        <w:ind w:right="633"/>
        <w:rPr>
          <w:color w:val="000000"/>
        </w:rPr>
      </w:pPr>
    </w:p>
    <w:p w14:paraId="3E4ADE95">
      <w:pPr>
        <w:spacing w:line="360" w:lineRule="auto"/>
        <w:jc w:val="left"/>
        <w:rPr>
          <w:rFonts w:hint="eastAsia" w:ascii="宋体" w:hAnsi="宋体" w:cs="宋体"/>
        </w:rPr>
        <w:sectPr>
          <w:headerReference r:id="rId10" w:type="first"/>
          <w:footerReference r:id="rId12" w:type="first"/>
          <w:headerReference r:id="rId9" w:type="default"/>
          <w:footerReference r:id="rId11" w:type="default"/>
          <w:type w:val="continuous"/>
          <w:pgSz w:w="11906" w:h="16838"/>
          <w:pgMar w:top="1440" w:right="1800" w:bottom="1440" w:left="1600" w:header="851" w:footer="992" w:gutter="0"/>
          <w:cols w:space="1701" w:num="1"/>
          <w:titlePg/>
          <w:docGrid w:linePitch="360" w:charSpace="0"/>
        </w:sectPr>
      </w:pPr>
      <w:r>
        <w:rPr>
          <w:rFonts w:hint="eastAsia" w:ascii="宋体" w:hAnsi="宋体" w:cs="宋体"/>
        </w:rPr>
        <w:br w:type="page" w:clear="all"/>
      </w:r>
    </w:p>
    <w:p w14:paraId="55C30EAF">
      <w:pPr>
        <w:spacing w:line="360" w:lineRule="auto"/>
        <w:jc w:val="center"/>
        <w:rPr>
          <w:rFonts w:hint="eastAsia" w:ascii="宋体" w:hAnsi="宋体" w:cs="宋体"/>
          <w:b/>
          <w:sz w:val="36"/>
          <w:szCs w:val="36"/>
        </w:rPr>
      </w:pPr>
      <w:r>
        <w:rPr>
          <w:rFonts w:hint="eastAsia" w:ascii="宋体" w:hAnsi="宋体" w:cs="宋体"/>
          <w:b/>
          <w:sz w:val="36"/>
          <w:szCs w:val="36"/>
        </w:rPr>
        <w:t>残疾人福利性单位声明函</w:t>
      </w:r>
      <w:bookmarkEnd w:id="108"/>
      <w:bookmarkEnd w:id="109"/>
    </w:p>
    <w:p w14:paraId="69407AD9">
      <w:pPr>
        <w:widowControl/>
        <w:spacing w:line="400" w:lineRule="exact"/>
        <w:ind w:firstLine="420"/>
        <w:jc w:val="left"/>
        <w:rPr>
          <w:rFonts w:hint="eastAsia" w:ascii="宋体" w:hAnsi="宋体" w:cs="宋体"/>
          <w:szCs w:val="21"/>
        </w:rPr>
      </w:pPr>
      <w:r>
        <w:rPr>
          <w:rFonts w:hint="eastAsia" w:ascii="宋体" w:hAnsi="宋体" w:cs="宋体"/>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72709BB7">
      <w:pPr>
        <w:widowControl/>
        <w:spacing w:line="400" w:lineRule="exact"/>
        <w:ind w:firstLine="420"/>
        <w:jc w:val="left"/>
        <w:rPr>
          <w:rFonts w:hint="eastAsia" w:ascii="宋体" w:hAnsi="宋体" w:cs="宋体"/>
          <w:szCs w:val="21"/>
        </w:rPr>
      </w:pPr>
      <w:r>
        <w:rPr>
          <w:rFonts w:hint="eastAsia" w:ascii="宋体" w:hAnsi="宋体" w:cs="宋体"/>
          <w:szCs w:val="21"/>
        </w:rPr>
        <w:t>本单位对上述声明的真实性负责。如有虚假，将依法承担相应责任。</w:t>
      </w:r>
    </w:p>
    <w:p w14:paraId="7D9969B4">
      <w:pPr>
        <w:widowControl/>
        <w:spacing w:line="440" w:lineRule="exact"/>
        <w:ind w:firstLine="5040"/>
        <w:jc w:val="left"/>
        <w:rPr>
          <w:rFonts w:hint="eastAsia" w:ascii="宋体" w:hAnsi="宋体" w:cs="宋体"/>
          <w:szCs w:val="21"/>
        </w:rPr>
      </w:pPr>
    </w:p>
    <w:p w14:paraId="4B40B53E">
      <w:pPr>
        <w:widowControl/>
        <w:spacing w:line="440" w:lineRule="exact"/>
        <w:ind w:firstLine="5040"/>
        <w:jc w:val="left"/>
        <w:rPr>
          <w:rFonts w:hint="eastAsia" w:ascii="宋体" w:hAnsi="宋体" w:cs="宋体"/>
          <w:szCs w:val="21"/>
        </w:rPr>
      </w:pPr>
    </w:p>
    <w:p w14:paraId="7DB39956">
      <w:pPr>
        <w:widowControl/>
        <w:spacing w:line="440" w:lineRule="exact"/>
        <w:ind w:firstLine="5040"/>
        <w:jc w:val="left"/>
        <w:rPr>
          <w:rFonts w:hint="eastAsia" w:ascii="宋体" w:hAnsi="宋体" w:cs="宋体"/>
          <w:szCs w:val="21"/>
        </w:rPr>
      </w:pPr>
    </w:p>
    <w:p w14:paraId="35199666">
      <w:pPr>
        <w:widowControl/>
        <w:shd w:val="clear" w:color="auto" w:fill="FFFFFF"/>
        <w:spacing w:line="360" w:lineRule="auto"/>
        <w:ind w:firstLine="3990"/>
        <w:jc w:val="left"/>
        <w:rPr>
          <w:rFonts w:hint="eastAsia" w:ascii="宋体" w:hAnsi="宋体" w:cs="宋体"/>
          <w:szCs w:val="21"/>
        </w:rPr>
      </w:pPr>
      <w:r>
        <w:rPr>
          <w:rFonts w:hint="eastAsia" w:ascii="宋体" w:hAnsi="宋体" w:cs="宋体"/>
          <w:szCs w:val="21"/>
        </w:rPr>
        <w:t>供应商（加盖电子公章）：</w:t>
      </w:r>
      <w:r>
        <w:rPr>
          <w:rFonts w:hint="eastAsia" w:ascii="宋体" w:hAnsi="宋体" w:cs="宋体"/>
          <w:szCs w:val="21"/>
          <w:u w:val="single"/>
        </w:rPr>
        <w:t xml:space="preserve">            </w:t>
      </w:r>
    </w:p>
    <w:p w14:paraId="7B3CED73">
      <w:pPr>
        <w:widowControl/>
        <w:shd w:val="clear" w:color="auto" w:fill="FFFFFF"/>
        <w:spacing w:line="360" w:lineRule="auto"/>
        <w:ind w:firstLine="3990"/>
        <w:jc w:val="left"/>
        <w:rPr>
          <w:rFonts w:hint="eastAsia" w:ascii="宋体" w:hAnsi="宋体" w:cs="宋体"/>
          <w:b/>
          <w:bCs/>
          <w:szCs w:val="21"/>
        </w:rPr>
      </w:pPr>
      <w:r>
        <w:rPr>
          <w:rFonts w:hint="eastAsia" w:ascii="宋体" w:hAnsi="宋体" w:cs="宋体"/>
          <w:szCs w:val="21"/>
        </w:rPr>
        <w:t>日    期：   年    月    日</w:t>
      </w:r>
    </w:p>
    <w:p w14:paraId="71BE0A8E">
      <w:pPr>
        <w:widowControl/>
        <w:shd w:val="clear" w:color="auto" w:fill="FFFFFF"/>
        <w:spacing w:before="240" w:line="360" w:lineRule="auto"/>
        <w:jc w:val="center"/>
        <w:rPr>
          <w:rFonts w:hint="eastAsia" w:ascii="宋体" w:hAnsi="宋体" w:cs="宋体"/>
          <w:b/>
          <w:sz w:val="36"/>
          <w:szCs w:val="36"/>
        </w:rPr>
      </w:pPr>
    </w:p>
    <w:p w14:paraId="1B508902">
      <w:pPr>
        <w:widowControl/>
        <w:shd w:val="clear" w:color="auto" w:fill="FFFFFF"/>
        <w:spacing w:before="240" w:line="360" w:lineRule="auto"/>
        <w:jc w:val="center"/>
        <w:rPr>
          <w:rFonts w:hint="eastAsia" w:ascii="宋体" w:hAnsi="宋体" w:cs="宋体"/>
          <w:b/>
          <w:sz w:val="36"/>
          <w:szCs w:val="36"/>
        </w:rPr>
      </w:pPr>
      <w:r>
        <w:rPr>
          <w:rFonts w:hint="eastAsia" w:ascii="宋体" w:hAnsi="宋体" w:cs="宋体"/>
          <w:b/>
          <w:sz w:val="36"/>
          <w:szCs w:val="36"/>
        </w:rPr>
        <w:t>属于监狱企业的证明文件</w:t>
      </w:r>
    </w:p>
    <w:p w14:paraId="3B53D575">
      <w:pPr>
        <w:spacing w:line="360" w:lineRule="auto"/>
        <w:rPr>
          <w:rFonts w:hint="eastAsia" w:ascii="宋体" w:hAnsi="宋体" w:cs="宋体"/>
          <w:szCs w:val="21"/>
        </w:rPr>
      </w:pPr>
      <w:r>
        <w:rPr>
          <w:rFonts w:hint="eastAsia" w:ascii="宋体" w:hAnsi="宋体" w:cs="宋体"/>
          <w:szCs w:val="21"/>
        </w:rPr>
        <w:t>（提供由省级以上监狱管理局、戒毒管理局(含新疆生产建设兵团)出具的属于监狱企业的证明文件）</w:t>
      </w:r>
    </w:p>
    <w:p w14:paraId="5D04C84E">
      <w:pPr>
        <w:spacing w:line="360" w:lineRule="auto"/>
        <w:rPr>
          <w:rFonts w:hint="eastAsia" w:ascii="宋体" w:hAnsi="宋体" w:cs="宋体"/>
          <w:b/>
          <w:bCs/>
          <w:szCs w:val="21"/>
        </w:rPr>
      </w:pPr>
    </w:p>
    <w:p w14:paraId="3B82E3F5">
      <w:pPr>
        <w:spacing w:line="360" w:lineRule="auto"/>
        <w:rPr>
          <w:rFonts w:hint="eastAsia" w:ascii="宋体" w:hAnsi="宋体" w:cs="宋体"/>
          <w:b/>
          <w:bCs/>
          <w:szCs w:val="21"/>
        </w:rPr>
      </w:pPr>
    </w:p>
    <w:p w14:paraId="1FA1BC31">
      <w:pPr>
        <w:spacing w:before="240" w:after="240"/>
        <w:rPr>
          <w:rFonts w:hint="eastAsia" w:ascii="宋体" w:hAnsi="宋体" w:cs="宋体"/>
          <w:b/>
        </w:rPr>
      </w:pPr>
      <w:r>
        <w:rPr>
          <w:rFonts w:hint="eastAsia" w:ascii="宋体" w:hAnsi="宋体" w:cs="宋体"/>
          <w:szCs w:val="21"/>
          <w:lang w:val="zh-CN"/>
        </w:rPr>
        <w:br w:type="page" w:clear="all"/>
      </w:r>
      <w:bookmarkStart w:id="110" w:name="_Toc534273809"/>
      <w:bookmarkStart w:id="111" w:name="_Toc8704"/>
      <w:bookmarkStart w:id="112" w:name="_Toc504573092"/>
      <w:bookmarkStart w:id="113" w:name="_Toc504056877"/>
      <w:bookmarkStart w:id="114" w:name="_Toc490133037"/>
      <w:bookmarkStart w:id="115" w:name="_Toc504044389"/>
      <w:bookmarkStart w:id="116" w:name="_Toc534273686"/>
      <w:r>
        <w:rPr>
          <w:rFonts w:hint="eastAsia" w:ascii="宋体" w:hAnsi="宋体" w:cs="宋体"/>
          <w:b/>
        </w:rPr>
        <w:t>附件九、无重大违法记录声明格式</w:t>
      </w:r>
    </w:p>
    <w:p w14:paraId="6CBD0023">
      <w:pPr>
        <w:spacing w:line="240" w:lineRule="atLeast"/>
        <w:jc w:val="center"/>
        <w:rPr>
          <w:rFonts w:hint="eastAsia" w:ascii="宋体" w:hAnsi="宋体" w:cs="宋体"/>
          <w:sz w:val="28"/>
          <w:szCs w:val="36"/>
        </w:rPr>
      </w:pPr>
    </w:p>
    <w:p w14:paraId="408ED5DB">
      <w:pPr>
        <w:spacing w:line="240" w:lineRule="atLeast"/>
        <w:jc w:val="center"/>
        <w:rPr>
          <w:rFonts w:hint="eastAsia" w:ascii="宋体" w:hAnsi="宋体" w:cs="宋体"/>
          <w:sz w:val="28"/>
          <w:szCs w:val="36"/>
        </w:rPr>
      </w:pPr>
      <w:r>
        <w:rPr>
          <w:rFonts w:hint="eastAsia" w:ascii="宋体" w:hAnsi="宋体" w:cs="宋体"/>
          <w:sz w:val="28"/>
          <w:szCs w:val="36"/>
        </w:rPr>
        <w:t>无重大违法记录声明</w:t>
      </w:r>
    </w:p>
    <w:p w14:paraId="4A0A56D4">
      <w:pPr>
        <w:spacing w:line="360" w:lineRule="auto"/>
        <w:rPr>
          <w:rFonts w:hint="eastAsia" w:ascii="宋体" w:hAnsi="宋体" w:cs="宋体"/>
          <w:szCs w:val="21"/>
        </w:rPr>
      </w:pPr>
    </w:p>
    <w:p w14:paraId="0D4F1E18">
      <w:pPr>
        <w:spacing w:line="360" w:lineRule="auto"/>
        <w:rPr>
          <w:rFonts w:hint="eastAsia" w:ascii="宋体" w:hAnsi="宋体" w:cs="宋体"/>
          <w:szCs w:val="21"/>
        </w:rPr>
      </w:pPr>
      <w:r>
        <w:rPr>
          <w:rFonts w:hint="eastAsia" w:ascii="宋体" w:hAnsi="宋体" w:cs="宋体"/>
          <w:szCs w:val="21"/>
        </w:rPr>
        <w:t>南京江城工程项目管理有限公司：</w:t>
      </w:r>
    </w:p>
    <w:p w14:paraId="07051CC7">
      <w:pPr>
        <w:spacing w:line="360" w:lineRule="auto"/>
        <w:rPr>
          <w:rFonts w:hint="eastAsia" w:ascii="宋体" w:hAnsi="宋体" w:cs="宋体"/>
        </w:rPr>
      </w:pPr>
    </w:p>
    <w:p w14:paraId="00F1E4E3">
      <w:pPr>
        <w:widowControl/>
        <w:shd w:val="clear" w:color="auto" w:fill="FFFFFF"/>
        <w:spacing w:line="360" w:lineRule="auto"/>
        <w:ind w:firstLine="420"/>
        <w:rPr>
          <w:rFonts w:hint="eastAsia" w:ascii="宋体" w:hAnsi="宋体" w:cs="宋体"/>
          <w:szCs w:val="21"/>
        </w:rPr>
      </w:pPr>
      <w:r>
        <w:rPr>
          <w:rFonts w:hint="eastAsia" w:ascii="宋体" w:hAnsi="宋体" w:cs="宋体"/>
          <w:szCs w:val="21"/>
        </w:rPr>
        <w:t>我单位（供应商名称）宣布声明和承诺如下：</w:t>
      </w:r>
    </w:p>
    <w:p w14:paraId="65E63153">
      <w:pPr>
        <w:widowControl/>
        <w:shd w:val="clear" w:color="auto" w:fill="FFFFFF"/>
        <w:spacing w:line="360" w:lineRule="auto"/>
        <w:ind w:firstLine="310"/>
        <w:rPr>
          <w:rFonts w:hint="eastAsia" w:ascii="宋体" w:hAnsi="宋体" w:cs="宋体"/>
          <w:b/>
          <w:szCs w:val="21"/>
        </w:rPr>
      </w:pPr>
      <w:r>
        <w:rPr>
          <w:rFonts w:hint="eastAsia" w:ascii="宋体" w:hAnsi="宋体" w:cs="宋体"/>
          <w:b/>
          <w:szCs w:val="21"/>
        </w:rPr>
        <w:t xml:space="preserve"> </w:t>
      </w:r>
      <w:r>
        <w:rPr>
          <w:rFonts w:hint="eastAsia" w:ascii="宋体" w:hAnsi="宋体" w:cs="宋体"/>
          <w:szCs w:val="21"/>
        </w:rPr>
        <w:t>我单位参加本次采购活动前3年内在经营活动中</w:t>
      </w:r>
      <w:r>
        <w:rPr>
          <w:rFonts w:hint="eastAsia" w:ascii="宋体" w:hAnsi="宋体" w:cs="宋体"/>
        </w:rPr>
        <w:t>（</w:t>
      </w:r>
      <w:r>
        <w:rPr>
          <w:rFonts w:hint="eastAsia" w:ascii="宋体" w:hAnsi="宋体" w:cs="宋体"/>
          <w:b/>
          <w:i/>
          <w:u w:val="single"/>
        </w:rPr>
        <w:t>在下划线上如实填写：有或没有</w:t>
      </w:r>
      <w:r>
        <w:rPr>
          <w:rFonts w:hint="eastAsia" w:ascii="宋体" w:hAnsi="宋体" w:cs="宋体"/>
        </w:rPr>
        <w:t>）</w:t>
      </w:r>
      <w:r>
        <w:rPr>
          <w:rFonts w:hint="eastAsia" w:ascii="宋体" w:hAnsi="宋体" w:cs="宋体"/>
          <w:b/>
        </w:rPr>
        <w:t>重大违法记录</w:t>
      </w:r>
      <w:r>
        <w:rPr>
          <w:rFonts w:hint="eastAsia" w:ascii="宋体" w:hAnsi="宋体" w:cs="宋体"/>
          <w:b/>
          <w:szCs w:val="21"/>
        </w:rPr>
        <w:t>，且不是失信被执行人、重大税收违法案件当事人名单、政府采购严重违法失信行为记录名单的供应商。</w:t>
      </w:r>
    </w:p>
    <w:p w14:paraId="2F7D83B3">
      <w:pPr>
        <w:spacing w:line="360" w:lineRule="auto"/>
        <w:ind w:firstLine="315"/>
        <w:rPr>
          <w:rFonts w:hint="eastAsia" w:ascii="宋体" w:hAnsi="宋体" w:cs="宋体"/>
        </w:rPr>
      </w:pPr>
      <w:r>
        <w:rPr>
          <w:rFonts w:hint="eastAsia" w:ascii="宋体" w:hAnsi="宋体" w:cs="宋体"/>
        </w:rPr>
        <w:t>（说明：政府采购法第二十二条第一款第五项所称重大违法记录，是指供应商因违法经营受到刑事处罚或者责令停产停业、吊销许可证或者执照、较大数额罚款等行政处罚。）</w:t>
      </w:r>
    </w:p>
    <w:p w14:paraId="1F065309">
      <w:pPr>
        <w:spacing w:line="360" w:lineRule="auto"/>
        <w:ind w:firstLine="315"/>
        <w:rPr>
          <w:rFonts w:hint="eastAsia" w:ascii="宋体" w:hAnsi="宋体" w:cs="宋体"/>
        </w:rPr>
      </w:pPr>
    </w:p>
    <w:p w14:paraId="03EDB888">
      <w:pPr>
        <w:spacing w:line="360" w:lineRule="auto"/>
        <w:rPr>
          <w:rFonts w:hint="eastAsia" w:ascii="宋体" w:hAnsi="宋体" w:cs="宋体"/>
        </w:rPr>
      </w:pPr>
    </w:p>
    <w:p w14:paraId="443CF053">
      <w:pPr>
        <w:spacing w:line="360" w:lineRule="auto"/>
        <w:rPr>
          <w:rFonts w:hint="eastAsia" w:ascii="宋体" w:hAnsi="宋体" w:cs="宋体"/>
        </w:rPr>
      </w:pPr>
    </w:p>
    <w:p w14:paraId="5BB1321C">
      <w:pPr>
        <w:spacing w:line="360" w:lineRule="auto"/>
        <w:ind w:firstLine="5103"/>
        <w:rPr>
          <w:rFonts w:hint="eastAsia" w:ascii="宋体" w:hAnsi="宋体" w:cs="宋体"/>
        </w:rPr>
      </w:pPr>
      <w:r>
        <w:rPr>
          <w:rFonts w:hint="eastAsia" w:ascii="宋体" w:hAnsi="宋体" w:cs="宋体"/>
        </w:rPr>
        <w:t>声明人：（加盖电子公章）</w:t>
      </w:r>
    </w:p>
    <w:p w14:paraId="5C355363">
      <w:pPr>
        <w:spacing w:line="360" w:lineRule="auto"/>
        <w:ind w:firstLine="5040"/>
        <w:rPr>
          <w:rFonts w:hint="eastAsia" w:ascii="宋体" w:hAnsi="宋体" w:cs="宋体"/>
          <w:b/>
        </w:rPr>
      </w:pPr>
      <w:r>
        <w:rPr>
          <w:rFonts w:hint="eastAsia" w:ascii="宋体" w:hAnsi="宋体" w:cs="宋体"/>
        </w:rPr>
        <w:t>日期：    年   月</w:t>
      </w:r>
      <w:r>
        <w:rPr>
          <w:rFonts w:hint="eastAsia" w:ascii="宋体" w:hAnsi="宋体" w:cs="宋体"/>
        </w:rPr>
        <w:br w:type="page" w:clear="all"/>
      </w:r>
      <w:bookmarkEnd w:id="110"/>
      <w:bookmarkEnd w:id="111"/>
      <w:bookmarkEnd w:id="112"/>
      <w:bookmarkEnd w:id="113"/>
      <w:bookmarkEnd w:id="114"/>
      <w:bookmarkEnd w:id="115"/>
      <w:bookmarkEnd w:id="116"/>
    </w:p>
    <w:p w14:paraId="2C76BF97">
      <w:pPr>
        <w:spacing w:line="360" w:lineRule="auto"/>
        <w:rPr>
          <w:rFonts w:hint="eastAsia" w:ascii="宋体" w:hAnsi="宋体" w:cs="宋体"/>
          <w:b/>
        </w:rPr>
      </w:pPr>
      <w:r>
        <w:rPr>
          <w:rFonts w:hint="eastAsia" w:ascii="宋体" w:hAnsi="宋体" w:cs="宋体"/>
          <w:b/>
        </w:rPr>
        <w:t>附件十、 资格证明文件</w:t>
      </w:r>
    </w:p>
    <w:p w14:paraId="75BF9969">
      <w:pPr>
        <w:spacing w:line="360" w:lineRule="auto"/>
        <w:rPr>
          <w:rFonts w:hint="eastAsia" w:ascii="宋体" w:hAnsi="宋体" w:cs="宋体"/>
          <w:b/>
        </w:rPr>
      </w:pPr>
    </w:p>
    <w:p w14:paraId="4B040688">
      <w:pPr>
        <w:spacing w:line="360" w:lineRule="auto"/>
        <w:rPr>
          <w:rFonts w:hint="eastAsia" w:ascii="宋体" w:hAnsi="宋体" w:cs="宋体"/>
          <w:b/>
        </w:rPr>
      </w:pPr>
    </w:p>
    <w:p w14:paraId="438995FE">
      <w:pPr>
        <w:spacing w:line="360" w:lineRule="auto"/>
        <w:rPr>
          <w:rFonts w:hint="eastAsia" w:ascii="宋体" w:hAnsi="宋体" w:cs="宋体"/>
          <w:b/>
        </w:rPr>
      </w:pPr>
    </w:p>
    <w:p w14:paraId="2F6AB7C5">
      <w:pPr>
        <w:spacing w:line="360" w:lineRule="auto"/>
        <w:rPr>
          <w:rFonts w:hint="eastAsia" w:ascii="宋体" w:hAnsi="宋体" w:cs="宋体"/>
          <w:b/>
        </w:rPr>
      </w:pPr>
    </w:p>
    <w:p w14:paraId="7224EAFB">
      <w:pPr>
        <w:widowControl/>
        <w:shd w:val="clear" w:color="auto" w:fill="FFFFFF"/>
        <w:spacing w:line="360" w:lineRule="auto"/>
        <w:jc w:val="left"/>
        <w:rPr>
          <w:rFonts w:hint="eastAsia" w:ascii="宋体" w:hAnsi="宋体" w:cs="宋体"/>
          <w:b/>
          <w:bCs/>
          <w:szCs w:val="21"/>
        </w:rPr>
      </w:pPr>
      <w:r>
        <w:rPr>
          <w:rFonts w:hint="eastAsia" w:ascii="宋体" w:hAnsi="宋体" w:cs="宋体"/>
          <w:b/>
          <w:bCs/>
          <w:szCs w:val="21"/>
        </w:rPr>
        <w:t>附件十一、方案</w:t>
      </w:r>
    </w:p>
    <w:p w14:paraId="1EBA7E91">
      <w:pPr>
        <w:widowControl/>
        <w:shd w:val="clear" w:color="auto" w:fill="FFFFFF"/>
        <w:spacing w:line="360" w:lineRule="auto"/>
        <w:jc w:val="left"/>
        <w:rPr>
          <w:rFonts w:hint="eastAsia" w:ascii="宋体" w:hAnsi="宋体" w:cs="宋体"/>
          <w:color w:val="0000FF"/>
          <w:szCs w:val="21"/>
        </w:rPr>
      </w:pPr>
    </w:p>
    <w:p w14:paraId="4869B980">
      <w:pPr>
        <w:widowControl/>
        <w:shd w:val="clear" w:color="auto" w:fill="FFFFFF"/>
        <w:spacing w:line="360" w:lineRule="auto"/>
        <w:jc w:val="left"/>
        <w:rPr>
          <w:rFonts w:hint="eastAsia" w:ascii="宋体" w:hAnsi="宋体" w:cs="宋体"/>
          <w:color w:val="0000FF"/>
          <w:szCs w:val="21"/>
        </w:rPr>
      </w:pPr>
    </w:p>
    <w:p w14:paraId="1B840004">
      <w:pPr>
        <w:widowControl/>
        <w:shd w:val="clear" w:color="auto" w:fill="FFFFFF"/>
        <w:spacing w:line="360" w:lineRule="auto"/>
        <w:jc w:val="left"/>
        <w:rPr>
          <w:rFonts w:hint="eastAsia" w:ascii="宋体" w:hAnsi="宋体" w:cs="宋体"/>
          <w:color w:val="0000FF"/>
          <w:szCs w:val="21"/>
        </w:rPr>
      </w:pPr>
    </w:p>
    <w:p w14:paraId="00738CBD">
      <w:pPr>
        <w:widowControl/>
        <w:shd w:val="clear" w:color="auto" w:fill="FFFFFF"/>
        <w:spacing w:line="360" w:lineRule="auto"/>
        <w:jc w:val="left"/>
        <w:rPr>
          <w:rFonts w:hint="eastAsia" w:ascii="宋体" w:hAnsi="宋体" w:cs="宋体"/>
          <w:b/>
          <w:bCs/>
          <w:color w:val="0000FF"/>
          <w:szCs w:val="21"/>
        </w:rPr>
      </w:pPr>
    </w:p>
    <w:p w14:paraId="31462ABE">
      <w:pPr>
        <w:spacing w:line="360" w:lineRule="auto"/>
        <w:rPr>
          <w:rFonts w:hint="eastAsia" w:ascii="宋体" w:hAnsi="宋体" w:cs="宋体"/>
          <w:b/>
        </w:rPr>
      </w:pPr>
    </w:p>
    <w:p w14:paraId="3962D581">
      <w:pPr>
        <w:spacing w:line="360" w:lineRule="auto"/>
        <w:rPr>
          <w:rFonts w:hint="eastAsia" w:ascii="宋体" w:hAnsi="宋体" w:cs="宋体"/>
          <w:b/>
        </w:rPr>
      </w:pPr>
      <w:r>
        <w:rPr>
          <w:rFonts w:hint="eastAsia" w:ascii="宋体" w:hAnsi="宋体" w:cs="宋体"/>
          <w:b/>
        </w:rPr>
        <w:t>附件十二、其他</w:t>
      </w:r>
    </w:p>
    <w:p w14:paraId="5CDB63F2">
      <w:pPr>
        <w:pStyle w:val="339"/>
        <w:ind w:firstLine="422"/>
        <w:rPr>
          <w:rFonts w:hint="eastAsia" w:ascii="宋体" w:hAnsi="宋体" w:cs="宋体"/>
          <w:b/>
        </w:rPr>
      </w:pPr>
    </w:p>
    <w:sectPr>
      <w:footerReference r:id="rId13" w:type="default"/>
      <w:pgSz w:w="11906" w:h="16838"/>
      <w:pgMar w:top="1440" w:right="1797" w:bottom="1440" w:left="1797" w:header="851" w:footer="794"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7BDF34A5-6F0A-4E8A-8B98-CCC5CF1F141B}"/>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auto"/>
    <w:pitch w:val="default"/>
    <w:sig w:usb0="E00006FF" w:usb1="420024FF" w:usb2="02000000" w:usb3="00000000" w:csb0="2000019F" w:csb1="00000000"/>
    <w:embedRegular r:id="rId2" w:fontKey="{228F7359-5CF1-4960-8C53-3164406D8E2B}"/>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monospace">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Calibri Light">
    <w:panose1 w:val="020F0302020204030204"/>
    <w:charset w:val="00"/>
    <w:family w:val="auto"/>
    <w:pitch w:val="default"/>
    <w:sig w:usb0="E4002EFF" w:usb1="C2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00006FF" w:usb1="4000205B" w:usb2="00000010" w:usb3="00000000" w:csb0="2000019F" w:csb1="00000000"/>
  </w:font>
  <w:font w:name="方正小标宋_GBK">
    <w:altName w:val="微软雅黑"/>
    <w:panose1 w:val="020B0503020202020204"/>
    <w:charset w:val="00"/>
    <w:family w:val="auto"/>
    <w:pitch w:val="default"/>
    <w:sig w:usb0="00000000" w:usb1="00000000" w:usb2="00000000" w:usb3="00000000" w:csb0="00000000" w:csb1="00000000"/>
    <w:embedRegular r:id="rId3" w:fontKey="{D06DCD3F-AB82-4AF9-91FB-6CBC9DC3B2DA}"/>
  </w:font>
  <w:font w:name="微软雅黑">
    <w:panose1 w:val="020B0503020204020204"/>
    <w:charset w:val="86"/>
    <w:family w:val="auto"/>
    <w:pitch w:val="default"/>
    <w:sig w:usb0="80000287" w:usb1="2ACF3C50" w:usb2="00000016" w:usb3="00000000" w:csb0="0004001F" w:csb1="00000000"/>
  </w:font>
  <w:font w:name="方正黑体_GBK">
    <w:altName w:val="微软雅黑"/>
    <w:panose1 w:val="020B0503020202020204"/>
    <w:charset w:val="00"/>
    <w:family w:val="auto"/>
    <w:pitch w:val="default"/>
    <w:sig w:usb0="00000000" w:usb1="00000000" w:usb2="00000000" w:usb3="00000000" w:csb0="00000000" w:csb1="00000000"/>
    <w:embedRegular r:id="rId4" w:fontKey="{EF95E5FC-967B-44C2-958F-4589ED001F71}"/>
  </w:font>
  <w:font w:name="方正仿宋_GBK">
    <w:panose1 w:val="02000000000000000000"/>
    <w:charset w:val="86"/>
    <w:family w:val="auto"/>
    <w:pitch w:val="default"/>
    <w:sig w:usb0="A00002BF" w:usb1="38CF7CFA" w:usb2="00082016" w:usb3="00000000" w:csb0="00040001" w:csb1="00000000"/>
    <w:embedRegular r:id="rId5" w:fontKey="{B074975B-83EA-4778-B21F-F62E63D004B8}"/>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84E161">
    <w:pPr>
      <w:pStyle w:val="112"/>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9616B9">
    <w:pPr>
      <w:pStyle w:val="112"/>
      <w:jc w:val="center"/>
    </w:pPr>
    <w:r>
      <w:fldChar w:fldCharType="begin"/>
    </w:r>
    <w:r>
      <w:instrText xml:space="preserve">PAGE   \* MERGEFORMAT</w:instrText>
    </w:r>
    <w:r>
      <w:fldChar w:fldCharType="separate"/>
    </w:r>
    <w:r>
      <w:rPr>
        <w:lang w:val="zh-CN"/>
      </w:rPr>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58976E">
    <w:pPr>
      <w:pStyle w:val="112"/>
      <w:jc w:val="center"/>
    </w:pPr>
    <w:r>
      <mc:AlternateContent>
        <mc:Choice Requires="wps">
          <w:drawing>
            <wp:anchor distT="0" distB="0" distL="114300" distR="114300" simplePos="0" relativeHeight="251659264" behindDoc="0" locked="0" layoutInCell="1" allowOverlap="1">
              <wp:simplePos x="0" y="0"/>
              <wp:positionH relativeFrom="margin">
                <wp:posOffset>2770505</wp:posOffset>
              </wp:positionH>
              <wp:positionV relativeFrom="paragraph">
                <wp:posOffset>0</wp:posOffset>
              </wp:positionV>
              <wp:extent cx="266700" cy="12065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266700" cy="120650"/>
                      </a:xfrm>
                      <a:prstGeom prst="rect">
                        <a:avLst/>
                      </a:prstGeom>
                      <a:noFill/>
                      <a:ln w="15875">
                        <a:noFill/>
                      </a:ln>
                    </wps:spPr>
                    <wps:txbx>
                      <w:txbxContent>
                        <w:p w14:paraId="1463EE31">
                          <w:pPr>
                            <w:pStyle w:val="112"/>
                            <w:tabs>
                              <w:tab w:val="clear" w:pos="4153"/>
                              <w:tab w:val="clear" w:pos="8306"/>
                            </w:tabs>
                          </w:pPr>
                          <w:r>
                            <w:rPr>
                              <w:rFonts w:hint="eastAsia"/>
                            </w:rPr>
                            <w:fldChar w:fldCharType="begin"/>
                          </w:r>
                          <w:r>
                            <w:rPr>
                              <w:rFonts w:hint="eastAsia"/>
                            </w:rPr>
                            <w:instrText xml:space="preserve"> PAGE  \* MERGEFORMAT </w:instrText>
                          </w:r>
                          <w:r>
                            <w:rPr>
                              <w:rFonts w:hint="eastAsia"/>
                            </w:rPr>
                            <w:fldChar w:fldCharType="separate"/>
                          </w:r>
                          <w:r>
                            <w:t>6</w:t>
                          </w:r>
                          <w:r>
                            <w:rPr>
                              <w:rFonts w:hint="eastAsia"/>
                            </w:rPr>
                            <w:fldChar w:fldCharType="end"/>
                          </w:r>
                        </w:p>
                        <w:p w14:paraId="5C4A5285"/>
                      </w:txbxContent>
                    </wps:txbx>
                    <wps:bodyPr wrap="square" lIns="0" tIns="0" rIns="0" bIns="0" upright="1"/>
                  </wps:wsp>
                </a:graphicData>
              </a:graphic>
            </wp:anchor>
          </w:drawing>
        </mc:Choice>
        <mc:Fallback>
          <w:pict>
            <v:shape id="_x0000_s1026" o:spid="_x0000_s1026" o:spt="202" type="#_x0000_t202" style="position:absolute;left:0pt;margin-left:218.15pt;margin-top:0pt;height:9.5pt;width:21pt;mso-position-horizontal-relative:margin;z-index:251659264;mso-width-relative:page;mso-height-relative:page;" filled="f" stroked="f" coordsize="21600,21600" o:gfxdata="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AXbPxQ1QAAAAcBAAAPAAAAAAAAAAEAIAAA&#10;ACIAAABkcnMvZG93bnJldi54bWxQSwECFAAUAAAACACHTuJAxkocSNYBAACXAwAADgAAAAAAAAAB&#10;ACAAAAAkAQAAZHJzL2Uyb0RvYy54bWxQSwUGAAAAAAYABgBZAQAAbAUAAAAA&#10;">
              <v:fill on="f" focussize="0,0"/>
              <v:stroke on="f" weight="1.25pt"/>
              <v:imagedata o:title=""/>
              <o:lock v:ext="edit" aspectratio="f"/>
              <v:textbox inset="0mm,0mm,0mm,0mm">
                <w:txbxContent>
                  <w:p w14:paraId="1463EE31">
                    <w:pPr>
                      <w:pStyle w:val="112"/>
                      <w:tabs>
                        <w:tab w:val="clear" w:pos="4153"/>
                        <w:tab w:val="clear" w:pos="8306"/>
                      </w:tabs>
                    </w:pPr>
                    <w:r>
                      <w:rPr>
                        <w:rFonts w:hint="eastAsia"/>
                      </w:rPr>
                      <w:fldChar w:fldCharType="begin"/>
                    </w:r>
                    <w:r>
                      <w:rPr>
                        <w:rFonts w:hint="eastAsia"/>
                      </w:rPr>
                      <w:instrText xml:space="preserve"> PAGE  \* MERGEFORMAT </w:instrText>
                    </w:r>
                    <w:r>
                      <w:rPr>
                        <w:rFonts w:hint="eastAsia"/>
                      </w:rPr>
                      <w:fldChar w:fldCharType="separate"/>
                    </w:r>
                    <w:r>
                      <w:t>6</w:t>
                    </w:r>
                    <w:r>
                      <w:rPr>
                        <w:rFonts w:hint="eastAsia"/>
                      </w:rPr>
                      <w:fldChar w:fldCharType="end"/>
                    </w:r>
                  </w:p>
                  <w:p w14:paraId="5C4A5285"/>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0CEF5A">
    <w:pPr>
      <w:pStyle w:val="112"/>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15875">
                        <a:noFill/>
                      </a:ln>
                    </wps:spPr>
                    <wps:txbx>
                      <w:txbxContent>
                        <w:p w14:paraId="50962449">
                          <w:pPr>
                            <w:pStyle w:val="112"/>
                            <w:tabs>
                              <w:tab w:val="clear" w:pos="4153"/>
                              <w:tab w:val="clear" w:pos="8306"/>
                            </w:tabs>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p w14:paraId="464B3914"/>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aGmCS9MAAAAFAQAADwAAAAAAAAAB&#10;ACAAAAAiAAAAZHJzL2Rvd25yZXYueG1sUEsBAhQAFAAAAAgAh07iQCC2qgzcAQAAsQMAAA4AAAAA&#10;AAAAAQAgAAAAIgEAAGRycy9lMm9Eb2MueG1sUEsFBgAAAAAGAAYAWQEAAHAFAAAAAA==&#10;">
              <v:fill on="f" focussize="0,0"/>
              <v:stroke on="f" weight="1.25pt"/>
              <v:imagedata o:title=""/>
              <o:lock v:ext="edit" aspectratio="f"/>
              <v:textbox inset="0mm,0mm,0mm,0mm" style="mso-fit-shape-to-text:t;">
                <w:txbxContent>
                  <w:p w14:paraId="50962449">
                    <w:pPr>
                      <w:pStyle w:val="112"/>
                      <w:tabs>
                        <w:tab w:val="clear" w:pos="4153"/>
                        <w:tab w:val="clear" w:pos="8306"/>
                      </w:tabs>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p w14:paraId="464B3914"/>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796E49">
    <w:pPr>
      <w:pStyle w:val="112"/>
      <w:jc w:val="right"/>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3BC089CB">
                          <w:pPr>
                            <w:pStyle w:val="112"/>
                            <w:tabs>
                              <w:tab w:val="clear" w:pos="4153"/>
                              <w:tab w:val="clear" w:pos="8306"/>
                            </w:tabs>
                          </w:pPr>
                          <w:r>
                            <w:fldChar w:fldCharType="begin"/>
                          </w:r>
                          <w:r>
                            <w:instrText xml:space="preserve"> PAGE  \* MERGEFORMAT </w:instrText>
                          </w:r>
                          <w:r>
                            <w:fldChar w:fldCharType="separate"/>
                          </w:r>
                          <w:r>
                            <w:t>2</w:t>
                          </w:r>
                          <w:r>
                            <w:fldChar w:fldCharType="end"/>
                          </w:r>
                        </w:p>
                        <w:p w14:paraId="54E07B83"/>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PcbYqTUAQAApwMAAA4AAAAAAAAAAQAgAAAAHgEA&#10;AGRycy9lMm9Eb2MueG1sUEsFBgAAAAAGAAYAWQEAAGQFAAAAAA==&#10;">
              <v:fill on="f" focussize="0,0"/>
              <v:stroke on="f"/>
              <v:imagedata o:title=""/>
              <o:lock v:ext="edit" aspectratio="f"/>
              <v:textbox inset="0mm,0mm,0mm,0mm" style="mso-fit-shape-to-text:t;">
                <w:txbxContent>
                  <w:p w14:paraId="3BC089CB">
                    <w:pPr>
                      <w:pStyle w:val="112"/>
                      <w:tabs>
                        <w:tab w:val="clear" w:pos="4153"/>
                        <w:tab w:val="clear" w:pos="8306"/>
                      </w:tabs>
                    </w:pPr>
                    <w:r>
                      <w:fldChar w:fldCharType="begin"/>
                    </w:r>
                    <w:r>
                      <w:instrText xml:space="preserve"> PAGE  \* MERGEFORMAT </w:instrText>
                    </w:r>
                    <w:r>
                      <w:fldChar w:fldCharType="separate"/>
                    </w:r>
                    <w:r>
                      <w:t>2</w:t>
                    </w:r>
                    <w:r>
                      <w:fldChar w:fldCharType="end"/>
                    </w:r>
                  </w:p>
                  <w:p w14:paraId="54E07B83"/>
                </w:txbxContent>
              </v:textbox>
            </v:shape>
          </w:pict>
        </mc:Fallback>
      </mc:AlternateContent>
    </w:r>
  </w:p>
  <w:p w14:paraId="68B71F16">
    <w:pPr>
      <w:spacing w:line="14" w:lineRule="auto"/>
      <w:rPr>
        <w:sz w:val="20"/>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871082">
    <w:pPr>
      <w:pStyle w:val="112"/>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2783D5E1">
                          <w:pPr>
                            <w:pStyle w:val="112"/>
                            <w:tabs>
                              <w:tab w:val="clear" w:pos="4153"/>
                              <w:tab w:val="clear" w:pos="8306"/>
                            </w:tabs>
                          </w:pPr>
                          <w:r>
                            <w:fldChar w:fldCharType="begin"/>
                          </w:r>
                          <w:r>
                            <w:instrText xml:space="preserve"> PAGE  \* MERGEFORMAT </w:instrText>
                          </w:r>
                          <w:r>
                            <w:fldChar w:fldCharType="separate"/>
                          </w:r>
                          <w:r>
                            <w:t>1</w:t>
                          </w:r>
                          <w:r>
                            <w:fldChar w:fldCharType="end"/>
                          </w:r>
                        </w:p>
                        <w:p w14:paraId="2FE37B30"/>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AQWMZvUAQAApwMAAA4AAAAAAAAAAQAgAAAAHgEA&#10;AGRycy9lMm9Eb2MueG1sUEsFBgAAAAAGAAYAWQEAAGQFAAAAAA==&#10;">
              <v:fill on="f" focussize="0,0"/>
              <v:stroke on="f"/>
              <v:imagedata o:title=""/>
              <o:lock v:ext="edit" aspectratio="f"/>
              <v:textbox inset="0mm,0mm,0mm,0mm" style="mso-fit-shape-to-text:t;">
                <w:txbxContent>
                  <w:p w14:paraId="2783D5E1">
                    <w:pPr>
                      <w:pStyle w:val="112"/>
                      <w:tabs>
                        <w:tab w:val="clear" w:pos="4153"/>
                        <w:tab w:val="clear" w:pos="8306"/>
                      </w:tabs>
                    </w:pPr>
                    <w:r>
                      <w:fldChar w:fldCharType="begin"/>
                    </w:r>
                    <w:r>
                      <w:instrText xml:space="preserve"> PAGE  \* MERGEFORMAT </w:instrText>
                    </w:r>
                    <w:r>
                      <w:fldChar w:fldCharType="separate"/>
                    </w:r>
                    <w:r>
                      <w:t>1</w:t>
                    </w:r>
                    <w:r>
                      <w:fldChar w:fldCharType="end"/>
                    </w:r>
                  </w:p>
                  <w:p w14:paraId="2FE37B30"/>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731D54">
    <w:pPr>
      <w:pStyle w:val="112"/>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27725591">
                          <w:pPr>
                            <w:pStyle w:val="112"/>
                            <w:tabs>
                              <w:tab w:val="clear" w:pos="4153"/>
                              <w:tab w:val="clear" w:pos="8306"/>
                            </w:tabs>
                          </w:pPr>
                          <w:r>
                            <w:rPr>
                              <w:rFonts w:hint="eastAsia"/>
                            </w:rPr>
                            <w:fldChar w:fldCharType="begin"/>
                          </w:r>
                          <w:r>
                            <w:rPr>
                              <w:rFonts w:hint="eastAsia"/>
                            </w:rPr>
                            <w:instrText xml:space="preserve"> PAGE  \* MERGEFORMAT </w:instrText>
                          </w:r>
                          <w:r>
                            <w:rPr>
                              <w:rFonts w:hint="eastAsia"/>
                            </w:rPr>
                            <w:fldChar w:fldCharType="separate"/>
                          </w:r>
                          <w:r>
                            <w:t>52</w:t>
                          </w:r>
                          <w:r>
                            <w:rPr>
                              <w:rFonts w:hint="eastAsia"/>
                            </w:rPr>
                            <w:fldChar w:fldCharType="end"/>
                          </w:r>
                        </w:p>
                        <w:p w14:paraId="3D096903"/>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NShHF3UAQAApwMAAA4AAAAAAAAAAQAgAAAAHgEA&#10;AGRycy9lMm9Eb2MueG1sUEsFBgAAAAAGAAYAWQEAAGQFAAAAAA==&#10;">
              <v:fill on="f" focussize="0,0"/>
              <v:stroke on="f"/>
              <v:imagedata o:title=""/>
              <o:lock v:ext="edit" aspectratio="f"/>
              <v:textbox inset="0mm,0mm,0mm,0mm" style="mso-fit-shape-to-text:t;">
                <w:txbxContent>
                  <w:p w14:paraId="27725591">
                    <w:pPr>
                      <w:pStyle w:val="112"/>
                      <w:tabs>
                        <w:tab w:val="clear" w:pos="4153"/>
                        <w:tab w:val="clear" w:pos="8306"/>
                      </w:tabs>
                    </w:pPr>
                    <w:r>
                      <w:rPr>
                        <w:rFonts w:hint="eastAsia"/>
                      </w:rPr>
                      <w:fldChar w:fldCharType="begin"/>
                    </w:r>
                    <w:r>
                      <w:rPr>
                        <w:rFonts w:hint="eastAsia"/>
                      </w:rPr>
                      <w:instrText xml:space="preserve"> PAGE  \* MERGEFORMAT </w:instrText>
                    </w:r>
                    <w:r>
                      <w:rPr>
                        <w:rFonts w:hint="eastAsia"/>
                      </w:rPr>
                      <w:fldChar w:fldCharType="separate"/>
                    </w:r>
                    <w:r>
                      <w:t>52</w:t>
                    </w:r>
                    <w:r>
                      <w:rPr>
                        <w:rFonts w:hint="eastAsia"/>
                      </w:rPr>
                      <w:fldChar w:fldCharType="end"/>
                    </w:r>
                  </w:p>
                  <w:p w14:paraId="3D096903"/>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7891D0">
    <w:pPr>
      <w:pStyle w:val="112"/>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15875">
                        <a:noFill/>
                      </a:ln>
                    </wps:spPr>
                    <wps:txbx>
                      <w:txbxContent>
                        <w:p w14:paraId="3AB87AE5">
                          <w:pPr>
                            <w:pStyle w:val="112"/>
                            <w:tabs>
                              <w:tab w:val="clear" w:pos="4153"/>
                              <w:tab w:val="clear" w:pos="8306"/>
                            </w:tabs>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p w14:paraId="2D5B86DF"/>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aGmCS9MAAAAFAQAADwAAAAAAAAAB&#10;ACAAAAAiAAAAZHJzL2Rvd25yZXYueG1sUEsBAhQAFAAAAAgAh07iQE9AkpvcAQAAsQMAAA4AAAAA&#10;AAAAAQAgAAAAIgEAAGRycy9lMm9Eb2MueG1sUEsFBgAAAAAGAAYAWQEAAHAFAAAAAA==&#10;">
              <v:fill on="f" focussize="0,0"/>
              <v:stroke on="f" weight="1.25pt"/>
              <v:imagedata o:title=""/>
              <o:lock v:ext="edit" aspectratio="f"/>
              <v:textbox inset="0mm,0mm,0mm,0mm" style="mso-fit-shape-to-text:t;">
                <w:txbxContent>
                  <w:p w14:paraId="3AB87AE5">
                    <w:pPr>
                      <w:pStyle w:val="112"/>
                      <w:tabs>
                        <w:tab w:val="clear" w:pos="4153"/>
                        <w:tab w:val="clear" w:pos="8306"/>
                      </w:tabs>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p w14:paraId="2D5B86DF"/>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9213E0">
    <w:pPr>
      <w:pStyle w:val="112"/>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15875">
                        <a:noFill/>
                      </a:ln>
                    </wps:spPr>
                    <wps:txbx>
                      <w:txbxContent>
                        <w:p w14:paraId="2DA7AAED">
                          <w:pPr>
                            <w:pStyle w:val="112"/>
                            <w:tabs>
                              <w:tab w:val="clear" w:pos="4153"/>
                              <w:tab w:val="clear" w:pos="8306"/>
                            </w:tabs>
                          </w:pPr>
                          <w:r>
                            <w:rPr>
                              <w:rFonts w:hint="eastAsia"/>
                            </w:rPr>
                            <w:fldChar w:fldCharType="begin"/>
                          </w:r>
                          <w:r>
                            <w:rPr>
                              <w:rFonts w:hint="eastAsia"/>
                            </w:rPr>
                            <w:instrText xml:space="preserve"> PAGE  \* MERGEFORMAT </w:instrText>
                          </w:r>
                          <w:r>
                            <w:rPr>
                              <w:rFonts w:hint="eastAsia"/>
                            </w:rPr>
                            <w:fldChar w:fldCharType="separate"/>
                          </w:r>
                          <w:r>
                            <w:t>58</w:t>
                          </w:r>
                          <w:r>
                            <w:rPr>
                              <w:rFonts w:hint="eastAsia"/>
                            </w:rPr>
                            <w:fldChar w:fldCharType="end"/>
                          </w:r>
                        </w:p>
                        <w:p w14:paraId="43776A72"/>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aGmCS9MAAAAFAQAADwAAAAAAAAAB&#10;ACAAAAAiAAAAZHJzL2Rvd25yZXYueG1sUEsBAhQAFAAAAAgAh07iQGS/OCXcAQAAsQMAAA4AAAAA&#10;AAAAAQAgAAAAIgEAAGRycy9lMm9Eb2MueG1sUEsFBgAAAAAGAAYAWQEAAHAFAAAAAA==&#10;">
              <v:fill on="f" focussize="0,0"/>
              <v:stroke on="f" weight="1.25pt"/>
              <v:imagedata o:title=""/>
              <o:lock v:ext="edit" aspectratio="f"/>
              <v:textbox inset="0mm,0mm,0mm,0mm" style="mso-fit-shape-to-text:t;">
                <w:txbxContent>
                  <w:p w14:paraId="2DA7AAED">
                    <w:pPr>
                      <w:pStyle w:val="112"/>
                      <w:tabs>
                        <w:tab w:val="clear" w:pos="4153"/>
                        <w:tab w:val="clear" w:pos="8306"/>
                      </w:tabs>
                    </w:pPr>
                    <w:r>
                      <w:rPr>
                        <w:rFonts w:hint="eastAsia"/>
                      </w:rPr>
                      <w:fldChar w:fldCharType="begin"/>
                    </w:r>
                    <w:r>
                      <w:rPr>
                        <w:rFonts w:hint="eastAsia"/>
                      </w:rPr>
                      <w:instrText xml:space="preserve"> PAGE  \* MERGEFORMAT </w:instrText>
                    </w:r>
                    <w:r>
                      <w:rPr>
                        <w:rFonts w:hint="eastAsia"/>
                      </w:rPr>
                      <w:fldChar w:fldCharType="separate"/>
                    </w:r>
                    <w:r>
                      <w:t>58</w:t>
                    </w:r>
                    <w:r>
                      <w:rPr>
                        <w:rFonts w:hint="eastAsia"/>
                      </w:rPr>
                      <w:fldChar w:fldCharType="end"/>
                    </w:r>
                  </w:p>
                  <w:p w14:paraId="43776A72"/>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45B8CC">
    <w:pPr>
      <w:pStyle w:val="114"/>
      <w:pBdr>
        <w:bottom w:val="none" w:color="000000" w:sz="0" w:space="1"/>
      </w:pBdr>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083F72">
    <w:pPr>
      <w:pStyle w:val="114"/>
      <w:pBdr>
        <w:bottom w:val="none" w:color="000000" w:sz="0" w:space="1"/>
      </w:pBdr>
      <w:jc w:val="both"/>
    </w:pPr>
    <w:r>
      <w:t xml:space="preserve">                            </w:t>
    </w:r>
    <w:r>
      <w:rPr>
        <w:rFonts w:hint="eastAsia"/>
      </w:rPr>
      <w:t xml:space="preserve">                          </w:t>
    </w: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bullet"/>
      <w:pStyle w:val="366"/>
      <w:lvlText w:val=""/>
      <w:lvlJc w:val="left"/>
      <w:pPr>
        <w:tabs>
          <w:tab w:val="left" w:pos="420"/>
        </w:tabs>
        <w:ind w:left="420" w:hanging="420"/>
      </w:pPr>
      <w:rPr>
        <w:rFonts w:ascii="Wingdings" w:hAnsi="Wingdings"/>
      </w:rPr>
    </w:lvl>
    <w:lvl w:ilvl="1" w:tentative="0">
      <w:start w:val="1"/>
      <w:numFmt w:val="decimal"/>
      <w:lvlText w:val="（%2）"/>
      <w:lvlJc w:val="left"/>
      <w:pPr>
        <w:tabs>
          <w:tab w:val="left" w:pos="1500"/>
        </w:tabs>
        <w:ind w:left="1500" w:hanging="1080"/>
      </w:pPr>
      <w:rPr>
        <w:rFonts w:hint="eastAsia" w:cs="Times New Roman"/>
      </w:rPr>
    </w:lvl>
    <w:lvl w:ilvl="2" w:tentative="0">
      <w:start w:val="1"/>
      <w:numFmt w:val="decimal"/>
      <w:lvlText w:val="（%3）"/>
      <w:lvlJc w:val="left"/>
      <w:pPr>
        <w:tabs>
          <w:tab w:val="left" w:pos="1560"/>
        </w:tabs>
        <w:ind w:left="1560" w:hanging="720"/>
      </w:pPr>
      <w:rPr>
        <w:rFonts w:hint="eastAsia"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1">
    <w:nsid w:val="BF205925"/>
    <w:multiLevelType w:val="multilevel"/>
    <w:tmpl w:val="BF205925"/>
    <w:lvl w:ilvl="0" w:tentative="0">
      <w:start w:val="1"/>
      <w:numFmt w:val="decimal"/>
      <w:pStyle w:val="349"/>
      <w:lvlText w:val="(%1)"/>
      <w:lvlJc w:val="left"/>
      <w:pPr>
        <w:tabs>
          <w:tab w:val="left" w:pos="397"/>
        </w:tabs>
        <w:ind w:left="397" w:hanging="397"/>
      </w:pPr>
      <w:rPr>
        <w:rFonts w:ascii="Arial" w:hAnsi="Arial" w:eastAsia="宋体" w:cs="Times New Roman"/>
        <w:b w:val="0"/>
        <w:i w:val="0"/>
        <w:color w:val="000000"/>
        <w:sz w:val="18"/>
        <w:szCs w:val="18"/>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2">
    <w:nsid w:val="CF092B84"/>
    <w:multiLevelType w:val="multilevel"/>
    <w:tmpl w:val="CF092B84"/>
    <w:lvl w:ilvl="0" w:tentative="0">
      <w:start w:val="1"/>
      <w:numFmt w:val="decimal"/>
      <w:pStyle w:val="318"/>
      <w:lvlText w:val="%1"/>
      <w:lvlJc w:val="left"/>
      <w:pPr>
        <w:tabs>
          <w:tab w:val="left" w:pos="567"/>
        </w:tabs>
        <w:ind w:left="567" w:hanging="567"/>
      </w:pPr>
      <w:rPr>
        <w:rFonts w:hint="eastAsia" w:cs="Times New Roman"/>
      </w:rPr>
    </w:lvl>
    <w:lvl w:ilvl="1" w:tentative="0">
      <w:start w:val="1"/>
      <w:numFmt w:val="decimal"/>
      <w:pStyle w:val="327"/>
      <w:lvlText w:val="%1.%2"/>
      <w:lvlJc w:val="left"/>
      <w:pPr>
        <w:tabs>
          <w:tab w:val="left" w:pos="1004"/>
        </w:tabs>
        <w:ind w:left="567" w:hanging="283"/>
      </w:pPr>
      <w:rPr>
        <w:rFonts w:hint="eastAsia" w:cs="Times New Roman"/>
      </w:rPr>
    </w:lvl>
    <w:lvl w:ilvl="2" w:tentative="0">
      <w:start w:val="1"/>
      <w:numFmt w:val="decimal"/>
      <w:lvlText w:val="%1.%2.%3"/>
      <w:lvlJc w:val="left"/>
      <w:pPr>
        <w:tabs>
          <w:tab w:val="left" w:pos="1647"/>
        </w:tabs>
        <w:ind w:left="1134" w:hanging="567"/>
      </w:pPr>
      <w:rPr>
        <w:rFonts w:hint="eastAsia" w:cs="Times New Roman"/>
      </w:rPr>
    </w:lvl>
    <w:lvl w:ilvl="3" w:tentative="0">
      <w:start w:val="1"/>
      <w:numFmt w:val="decimal"/>
      <w:lvlText w:val="%1.%2.%3.%4"/>
      <w:lvlJc w:val="left"/>
      <w:pPr>
        <w:tabs>
          <w:tab w:val="left" w:pos="3223"/>
        </w:tabs>
        <w:ind w:left="2851" w:hanging="708"/>
      </w:pPr>
      <w:rPr>
        <w:rFonts w:hint="eastAsia" w:cs="Times New Roman"/>
      </w:rPr>
    </w:lvl>
    <w:lvl w:ilvl="4" w:tentative="0">
      <w:start w:val="1"/>
      <w:numFmt w:val="decimal"/>
      <w:lvlText w:val="%1.%2.%3.%4.%5"/>
      <w:lvlJc w:val="left"/>
      <w:pPr>
        <w:tabs>
          <w:tab w:val="left" w:pos="3648"/>
        </w:tabs>
        <w:ind w:left="3418" w:hanging="850"/>
      </w:pPr>
      <w:rPr>
        <w:rFonts w:hint="eastAsia" w:cs="Times New Roman"/>
      </w:rPr>
    </w:lvl>
    <w:lvl w:ilvl="5" w:tentative="0">
      <w:start w:val="1"/>
      <w:numFmt w:val="decimal"/>
      <w:lvlText w:val="%1.%2.%3.%4.%5.%6"/>
      <w:lvlJc w:val="left"/>
      <w:pPr>
        <w:tabs>
          <w:tab w:val="left" w:pos="4433"/>
        </w:tabs>
        <w:ind w:left="4127" w:hanging="1134"/>
      </w:pPr>
      <w:rPr>
        <w:rFonts w:hint="eastAsia" w:cs="Times New Roman"/>
      </w:rPr>
    </w:lvl>
    <w:lvl w:ilvl="6" w:tentative="0">
      <w:start w:val="1"/>
      <w:numFmt w:val="decimal"/>
      <w:lvlText w:val="%1.%2.%3.%4.%5.%6.%7"/>
      <w:lvlJc w:val="left"/>
      <w:pPr>
        <w:tabs>
          <w:tab w:val="left" w:pos="4858"/>
        </w:tabs>
        <w:ind w:left="4694" w:hanging="1276"/>
      </w:pPr>
      <w:rPr>
        <w:rFonts w:hint="eastAsia" w:cs="Times New Roman"/>
      </w:rPr>
    </w:lvl>
    <w:lvl w:ilvl="7" w:tentative="0">
      <w:start w:val="1"/>
      <w:numFmt w:val="decimal"/>
      <w:lvlText w:val="%1.%2.%3.%4.%5.%6.%7.%8"/>
      <w:lvlJc w:val="left"/>
      <w:pPr>
        <w:tabs>
          <w:tab w:val="left" w:pos="5643"/>
        </w:tabs>
        <w:ind w:left="5261" w:hanging="1418"/>
      </w:pPr>
      <w:rPr>
        <w:rFonts w:hint="eastAsia" w:cs="Times New Roman"/>
      </w:rPr>
    </w:lvl>
    <w:lvl w:ilvl="8" w:tentative="0">
      <w:start w:val="1"/>
      <w:numFmt w:val="decimal"/>
      <w:lvlText w:val="%1.%2.%3.%4.%5.%6.%7.%8.%9"/>
      <w:lvlJc w:val="left"/>
      <w:pPr>
        <w:tabs>
          <w:tab w:val="left" w:pos="6429"/>
        </w:tabs>
        <w:ind w:left="5969" w:hanging="1700"/>
      </w:pPr>
      <w:rPr>
        <w:rFonts w:hint="eastAsia" w:cs="Times New Roman"/>
      </w:rPr>
    </w:lvl>
  </w:abstractNum>
  <w:abstractNum w:abstractNumId="3">
    <w:nsid w:val="0053208E"/>
    <w:multiLevelType w:val="multilevel"/>
    <w:tmpl w:val="0053208E"/>
    <w:lvl w:ilvl="0" w:tentative="0">
      <w:start w:val="1"/>
      <w:numFmt w:val="chineseCountingThousand"/>
      <w:pStyle w:val="58"/>
      <w:suff w:val="nothing"/>
      <w:lvlText w:val="第%1章"/>
      <w:lvlJc w:val="left"/>
      <w:pPr>
        <w:ind w:left="0" w:firstLine="0"/>
      </w:pPr>
    </w:lvl>
    <w:lvl w:ilvl="1" w:tentative="0">
      <w:start w:val="1"/>
      <w:numFmt w:val="decimal"/>
      <w:pStyle w:val="59"/>
      <w:suff w:val="nothing"/>
      <w:lvlText w:val=""/>
      <w:lvlJc w:val="left"/>
      <w:pPr>
        <w:ind w:left="0" w:firstLine="0"/>
      </w:pPr>
    </w:lvl>
    <w:lvl w:ilvl="2" w:tentative="0">
      <w:start w:val="1"/>
      <w:numFmt w:val="decimal"/>
      <w:pStyle w:val="60"/>
      <w:suff w:val="nothing"/>
      <w:lvlText w:val=""/>
      <w:lvlJc w:val="left"/>
      <w:pPr>
        <w:ind w:left="0" w:firstLine="0"/>
      </w:pPr>
    </w:lvl>
    <w:lvl w:ilvl="3" w:tentative="0">
      <w:start w:val="1"/>
      <w:numFmt w:val="decimal"/>
      <w:pStyle w:val="62"/>
      <w:suff w:val="nothing"/>
      <w:lvlText w:val=""/>
      <w:lvlJc w:val="left"/>
      <w:pPr>
        <w:ind w:left="0" w:firstLine="0"/>
      </w:pPr>
    </w:lvl>
    <w:lvl w:ilvl="4" w:tentative="0">
      <w:start w:val="1"/>
      <w:numFmt w:val="decimal"/>
      <w:pStyle w:val="63"/>
      <w:suff w:val="nothing"/>
      <w:lvlText w:val=""/>
      <w:lvlJc w:val="left"/>
      <w:pPr>
        <w:ind w:left="0" w:firstLine="0"/>
      </w:pPr>
    </w:lvl>
    <w:lvl w:ilvl="5" w:tentative="0">
      <w:start w:val="1"/>
      <w:numFmt w:val="decimal"/>
      <w:pStyle w:val="64"/>
      <w:suff w:val="nothing"/>
      <w:lvlText w:val=""/>
      <w:lvlJc w:val="left"/>
      <w:pPr>
        <w:ind w:left="0" w:firstLine="0"/>
      </w:pPr>
    </w:lvl>
    <w:lvl w:ilvl="6" w:tentative="0">
      <w:start w:val="1"/>
      <w:numFmt w:val="decimal"/>
      <w:pStyle w:val="65"/>
      <w:suff w:val="nothing"/>
      <w:lvlText w:val=""/>
      <w:lvlJc w:val="left"/>
      <w:pPr>
        <w:ind w:left="0" w:firstLine="0"/>
      </w:pPr>
    </w:lvl>
    <w:lvl w:ilvl="7" w:tentative="0">
      <w:start w:val="1"/>
      <w:numFmt w:val="decimal"/>
      <w:pStyle w:val="66"/>
      <w:suff w:val="nothing"/>
      <w:lvlText w:val=""/>
      <w:lvlJc w:val="left"/>
      <w:pPr>
        <w:ind w:left="0" w:firstLine="0"/>
      </w:pPr>
    </w:lvl>
    <w:lvl w:ilvl="8" w:tentative="0">
      <w:start w:val="1"/>
      <w:numFmt w:val="decimal"/>
      <w:pStyle w:val="67"/>
      <w:suff w:val="nothing"/>
      <w:lvlText w:val=""/>
      <w:lvlJc w:val="left"/>
      <w:pPr>
        <w:ind w:left="0" w:firstLine="0"/>
      </w:pPr>
    </w:lvl>
  </w:abstractNum>
  <w:abstractNum w:abstractNumId="4">
    <w:nsid w:val="03D62ECE"/>
    <w:multiLevelType w:val="multilevel"/>
    <w:tmpl w:val="03D62ECE"/>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5">
    <w:nsid w:val="25B654F3"/>
    <w:multiLevelType w:val="multilevel"/>
    <w:tmpl w:val="25B654F3"/>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59ADCABA"/>
    <w:multiLevelType w:val="multilevel"/>
    <w:tmpl w:val="59ADCABA"/>
    <w:lvl w:ilvl="0" w:tentative="0">
      <w:start w:val="1"/>
      <w:numFmt w:val="bullet"/>
      <w:pStyle w:val="320"/>
      <w:lvlText w:val=""/>
      <w:lvlJc w:val="left"/>
      <w:pPr>
        <w:tabs>
          <w:tab w:val="left" w:pos="360"/>
        </w:tabs>
        <w:ind w:left="360" w:hanging="360"/>
      </w:pPr>
      <w:rPr>
        <w:rFonts w:ascii="Symbol" w:hAnsi="Symbol"/>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7">
    <w:nsid w:val="72183CF9"/>
    <w:multiLevelType w:val="multilevel"/>
    <w:tmpl w:val="72183CF9"/>
    <w:lvl w:ilvl="0" w:tentative="0">
      <w:start w:val="4"/>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2"/>
  <w:embedTrueTypeFonts/>
  <w:saveSubsetFonts/>
  <w:mirrorMargins w:val="1"/>
  <w:documentProtection w:enforcement="0"/>
  <w:defaultTabStop w:val="425"/>
  <w:characterSpacingControl w:val="doNotCompress"/>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60F639F"/>
    <w:rsid w:val="064D4DAF"/>
    <w:rsid w:val="0E89799C"/>
    <w:rsid w:val="266D4CF0"/>
    <w:rsid w:val="2ACE2C11"/>
    <w:rsid w:val="30EB0C64"/>
    <w:rsid w:val="3106021B"/>
    <w:rsid w:val="361C5DEB"/>
    <w:rsid w:val="3B610FA2"/>
    <w:rsid w:val="3DBD4FB2"/>
    <w:rsid w:val="45F719FC"/>
    <w:rsid w:val="4BB40B47"/>
    <w:rsid w:val="4D2A3E1F"/>
    <w:rsid w:val="540C163B"/>
    <w:rsid w:val="5E437B09"/>
    <w:rsid w:val="65AF3FBA"/>
    <w:rsid w:val="696077C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377"/>
    <w:qFormat/>
    <w:uiPriority w:val="0"/>
    <w:pPr>
      <w:widowControl w:val="0"/>
      <w:jc w:val="both"/>
    </w:pPr>
    <w:rPr>
      <w:rFonts w:hint="default" w:ascii="Times New Roman" w:hAnsi="Times New Roman" w:eastAsia="宋体" w:cs="Times New Roman"/>
      <w:sz w:val="21"/>
      <w:lang w:val="en-US" w:eastAsia="zh-CN" w:bidi="ar-SA"/>
    </w:rPr>
  </w:style>
  <w:style w:type="paragraph" w:styleId="2">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unhideWhenUsed/>
    <w:qFormat/>
    <w:uiPriority w:val="9"/>
    <w:pPr>
      <w:keepNext/>
      <w:keepLines/>
      <w:spacing w:before="320" w:after="200"/>
      <w:outlineLvl w:val="8"/>
    </w:pPr>
    <w:rPr>
      <w:rFonts w:ascii="Arial" w:hAnsi="Arial" w:eastAsia="Arial" w:cs="Arial"/>
      <w:i/>
      <w:iCs/>
      <w:sz w:val="21"/>
      <w:szCs w:val="21"/>
    </w:rPr>
  </w:style>
  <w:style w:type="character" w:default="1" w:styleId="30">
    <w:name w:val="Default Paragraph Font"/>
    <w:semiHidden/>
    <w:unhideWhenUsed/>
    <w:qFormat/>
    <w:uiPriority w:val="1"/>
  </w:style>
  <w:style w:type="table" w:default="1" w:styleId="28">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toc 5"/>
    <w:basedOn w:val="1"/>
    <w:next w:val="1"/>
    <w:unhideWhenUsed/>
    <w:qFormat/>
    <w:uiPriority w:val="39"/>
    <w:pPr>
      <w:spacing w:after="57"/>
      <w:ind w:left="1134" w:right="0" w:firstLine="0"/>
    </w:pPr>
  </w:style>
  <w:style w:type="paragraph" w:styleId="14">
    <w:name w:val="toc 3"/>
    <w:basedOn w:val="1"/>
    <w:next w:val="1"/>
    <w:unhideWhenUsed/>
    <w:qFormat/>
    <w:uiPriority w:val="39"/>
    <w:pPr>
      <w:spacing w:after="57"/>
      <w:ind w:left="567" w:right="0" w:firstLine="0"/>
    </w:pPr>
  </w:style>
  <w:style w:type="paragraph" w:styleId="15">
    <w:name w:val="toc 8"/>
    <w:basedOn w:val="1"/>
    <w:next w:val="1"/>
    <w:unhideWhenUsed/>
    <w:qFormat/>
    <w:uiPriority w:val="39"/>
    <w:pPr>
      <w:spacing w:after="57"/>
      <w:ind w:left="1984" w:right="0" w:firstLine="0"/>
    </w:pPr>
  </w:style>
  <w:style w:type="paragraph" w:styleId="16">
    <w:name w:val="endnote text"/>
    <w:basedOn w:val="1"/>
    <w:link w:val="56"/>
    <w:semiHidden/>
    <w:unhideWhenUsed/>
    <w:qFormat/>
    <w:uiPriority w:val="99"/>
    <w:pPr>
      <w:spacing w:after="0" w:line="240" w:lineRule="auto"/>
    </w:pPr>
    <w:rPr>
      <w:sz w:val="20"/>
    </w:rPr>
  </w:style>
  <w:style w:type="paragraph" w:styleId="17">
    <w:name w:val="footer"/>
    <w:basedOn w:val="1"/>
    <w:unhideWhenUsed/>
    <w:qFormat/>
    <w:uiPriority w:val="99"/>
    <w:pPr>
      <w:tabs>
        <w:tab w:val="center" w:pos="7143"/>
        <w:tab w:val="right" w:pos="14287"/>
      </w:tabs>
      <w:spacing w:after="0" w:line="240" w:lineRule="auto"/>
    </w:pPr>
  </w:style>
  <w:style w:type="paragraph" w:styleId="18">
    <w:name w:val="header"/>
    <w:basedOn w:val="1"/>
    <w:unhideWhenUsed/>
    <w:qFormat/>
    <w:uiPriority w:val="99"/>
    <w:pPr>
      <w:tabs>
        <w:tab w:val="center" w:pos="7143"/>
        <w:tab w:val="right" w:pos="14287"/>
      </w:tabs>
      <w:spacing w:after="0" w:line="240" w:lineRule="auto"/>
    </w:pPr>
  </w:style>
  <w:style w:type="paragraph" w:styleId="19">
    <w:name w:val="toc 1"/>
    <w:basedOn w:val="1"/>
    <w:next w:val="1"/>
    <w:unhideWhenUsed/>
    <w:qFormat/>
    <w:uiPriority w:val="39"/>
    <w:pPr>
      <w:spacing w:after="57"/>
      <w:ind w:left="0" w:right="0" w:firstLine="0"/>
    </w:pPr>
  </w:style>
  <w:style w:type="paragraph" w:styleId="20">
    <w:name w:val="toc 4"/>
    <w:basedOn w:val="1"/>
    <w:next w:val="1"/>
    <w:unhideWhenUsed/>
    <w:qFormat/>
    <w:uiPriority w:val="39"/>
    <w:pPr>
      <w:spacing w:after="57"/>
      <w:ind w:left="850" w:right="0" w:firstLine="0"/>
    </w:pPr>
  </w:style>
  <w:style w:type="paragraph" w:styleId="21">
    <w:name w:val="Subtitle"/>
    <w:basedOn w:val="1"/>
    <w:next w:val="1"/>
    <w:qFormat/>
    <w:uiPriority w:val="11"/>
    <w:pPr>
      <w:spacing w:before="200" w:after="200"/>
    </w:pPr>
    <w:rPr>
      <w:sz w:val="24"/>
      <w:szCs w:val="24"/>
    </w:rPr>
  </w:style>
  <w:style w:type="paragraph" w:styleId="22">
    <w:name w:val="footnote text"/>
    <w:basedOn w:val="1"/>
    <w:link w:val="55"/>
    <w:semiHidden/>
    <w:unhideWhenUsed/>
    <w:qFormat/>
    <w:uiPriority w:val="99"/>
    <w:pPr>
      <w:spacing w:after="40" w:line="240" w:lineRule="auto"/>
    </w:pPr>
    <w:rPr>
      <w:sz w:val="18"/>
    </w:rPr>
  </w:style>
  <w:style w:type="paragraph" w:styleId="23">
    <w:name w:val="toc 6"/>
    <w:basedOn w:val="1"/>
    <w:next w:val="1"/>
    <w:unhideWhenUsed/>
    <w:qFormat/>
    <w:uiPriority w:val="39"/>
    <w:pPr>
      <w:spacing w:after="57"/>
      <w:ind w:left="1417" w:right="0" w:firstLine="0"/>
    </w:pPr>
  </w:style>
  <w:style w:type="paragraph" w:styleId="24">
    <w:name w:val="table of figures"/>
    <w:basedOn w:val="1"/>
    <w:next w:val="1"/>
    <w:unhideWhenUsed/>
    <w:qFormat/>
    <w:uiPriority w:val="99"/>
    <w:pPr>
      <w:spacing w:after="0" w:afterAutospacing="0"/>
    </w:pPr>
  </w:style>
  <w:style w:type="paragraph" w:styleId="25">
    <w:name w:val="toc 2"/>
    <w:basedOn w:val="1"/>
    <w:next w:val="1"/>
    <w:unhideWhenUsed/>
    <w:qFormat/>
    <w:uiPriority w:val="39"/>
    <w:pPr>
      <w:spacing w:after="57"/>
      <w:ind w:left="283" w:right="0" w:firstLine="0"/>
    </w:pPr>
  </w:style>
  <w:style w:type="paragraph" w:styleId="26">
    <w:name w:val="toc 9"/>
    <w:basedOn w:val="1"/>
    <w:next w:val="1"/>
    <w:unhideWhenUsed/>
    <w:qFormat/>
    <w:uiPriority w:val="39"/>
    <w:pPr>
      <w:spacing w:after="57"/>
      <w:ind w:left="2268" w:right="0" w:firstLine="0"/>
    </w:pPr>
  </w:style>
  <w:style w:type="paragraph" w:styleId="27">
    <w:name w:val="Title"/>
    <w:basedOn w:val="1"/>
    <w:next w:val="1"/>
    <w:qFormat/>
    <w:uiPriority w:val="10"/>
    <w:pPr>
      <w:spacing w:before="300" w:after="200"/>
      <w:contextualSpacing/>
    </w:pPr>
    <w:rPr>
      <w:sz w:val="48"/>
      <w:szCs w:val="48"/>
    </w:rPr>
  </w:style>
  <w:style w:type="table" w:styleId="29">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1">
    <w:name w:val="endnote reference"/>
    <w:semiHidden/>
    <w:unhideWhenUsed/>
    <w:qFormat/>
    <w:uiPriority w:val="99"/>
    <w:rPr>
      <w:vertAlign w:val="superscript"/>
    </w:rPr>
  </w:style>
  <w:style w:type="character" w:styleId="32">
    <w:name w:val="Hyperlink"/>
    <w:unhideWhenUsed/>
    <w:qFormat/>
    <w:uiPriority w:val="99"/>
    <w:rPr>
      <w:color w:val="0000FF" w:themeColor="hyperlink"/>
      <w:u w:val="single"/>
      <w14:textFill>
        <w14:solidFill>
          <w14:schemeClr w14:val="hlink"/>
        </w14:solidFill>
      </w14:textFill>
    </w:rPr>
  </w:style>
  <w:style w:type="character" w:styleId="33">
    <w:name w:val="footnote reference"/>
    <w:unhideWhenUsed/>
    <w:qFormat/>
    <w:uiPriority w:val="99"/>
    <w:rPr>
      <w:vertAlign w:val="superscript"/>
    </w:rPr>
  </w:style>
  <w:style w:type="character" w:customStyle="1" w:styleId="34">
    <w:name w:val="Quote Char"/>
    <w:qFormat/>
    <w:uiPriority w:val="29"/>
    <w:rPr>
      <w:i/>
    </w:rPr>
  </w:style>
  <w:style w:type="character" w:customStyle="1" w:styleId="35">
    <w:name w:val="Intense Quote Char"/>
    <w:qFormat/>
    <w:uiPriority w:val="30"/>
    <w:rPr>
      <w:i/>
    </w:rPr>
  </w:style>
  <w:style w:type="table" w:customStyle="1" w:styleId="36">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37">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38">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39">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40">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41">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42">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43">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44">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45">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46">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47">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48">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49">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50">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51">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52">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53">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54">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55">
    <w:name w:val="Footnote Text Char"/>
    <w:link w:val="22"/>
    <w:qFormat/>
    <w:uiPriority w:val="99"/>
    <w:rPr>
      <w:sz w:val="18"/>
    </w:rPr>
  </w:style>
  <w:style w:type="character" w:customStyle="1" w:styleId="56">
    <w:name w:val="Endnote Text Char"/>
    <w:link w:val="16"/>
    <w:qFormat/>
    <w:uiPriority w:val="99"/>
    <w:rPr>
      <w:sz w:val="20"/>
    </w:rPr>
  </w:style>
  <w:style w:type="paragraph" w:customStyle="1" w:styleId="57">
    <w:name w:val="TOC Heading"/>
    <w:unhideWhenUsed/>
    <w:qFormat/>
    <w:uiPriority w:val="39"/>
    <w:rPr>
      <w:rFonts w:hint="default" w:ascii="Times New Roman" w:hAnsi="Times New Roman" w:eastAsia="宋体" w:cs="Times New Roman"/>
    </w:rPr>
  </w:style>
  <w:style w:type="paragraph" w:customStyle="1" w:styleId="58">
    <w:name w:val="标题 11"/>
    <w:basedOn w:val="1"/>
    <w:next w:val="1"/>
    <w:link w:val="70"/>
    <w:qFormat/>
    <w:uiPriority w:val="0"/>
    <w:pPr>
      <w:keepNext/>
      <w:numPr>
        <w:ilvl w:val="0"/>
        <w:numId w:val="1"/>
      </w:numPr>
      <w:tabs>
        <w:tab w:val="left" w:pos="1440"/>
        <w:tab w:val="left" w:pos="5670"/>
      </w:tabs>
      <w:spacing w:before="312" w:after="312"/>
      <w:ind w:firstLine="1203"/>
      <w:outlineLvl w:val="0"/>
    </w:pPr>
    <w:rPr>
      <w:rFonts w:ascii="黑体" w:eastAsia="黑体"/>
      <w:b/>
      <w:sz w:val="28"/>
    </w:rPr>
  </w:style>
  <w:style w:type="paragraph" w:customStyle="1" w:styleId="59">
    <w:name w:val="标题 21"/>
    <w:basedOn w:val="1"/>
    <w:next w:val="1"/>
    <w:link w:val="71"/>
    <w:qFormat/>
    <w:uiPriority w:val="99"/>
    <w:pPr>
      <w:keepNext/>
      <w:keepLines/>
      <w:numPr>
        <w:ilvl w:val="1"/>
        <w:numId w:val="1"/>
      </w:numPr>
      <w:spacing w:before="120" w:after="120"/>
      <w:jc w:val="left"/>
      <w:outlineLvl w:val="1"/>
    </w:pPr>
    <w:rPr>
      <w:rFonts w:ascii="Cambria" w:hAnsi="Cambria"/>
      <w:b/>
      <w:bCs/>
      <w:sz w:val="32"/>
      <w:szCs w:val="32"/>
    </w:rPr>
  </w:style>
  <w:style w:type="paragraph" w:customStyle="1" w:styleId="60">
    <w:name w:val="标题 31"/>
    <w:basedOn w:val="1"/>
    <w:next w:val="61"/>
    <w:link w:val="72"/>
    <w:qFormat/>
    <w:uiPriority w:val="99"/>
    <w:pPr>
      <w:keepNext/>
      <w:keepLines/>
      <w:numPr>
        <w:ilvl w:val="2"/>
        <w:numId w:val="1"/>
      </w:numPr>
      <w:spacing w:before="120" w:after="120"/>
      <w:outlineLvl w:val="2"/>
    </w:pPr>
    <w:rPr>
      <w:b/>
      <w:bCs/>
      <w:sz w:val="32"/>
      <w:szCs w:val="32"/>
    </w:rPr>
  </w:style>
  <w:style w:type="paragraph" w:customStyle="1" w:styleId="61">
    <w:name w:val="正文缩进1"/>
    <w:basedOn w:val="1"/>
    <w:link w:val="73"/>
    <w:qFormat/>
    <w:uiPriority w:val="0"/>
    <w:pPr>
      <w:ind w:firstLine="420"/>
    </w:pPr>
  </w:style>
  <w:style w:type="paragraph" w:customStyle="1" w:styleId="62">
    <w:name w:val="标题 41"/>
    <w:basedOn w:val="1"/>
    <w:next w:val="61"/>
    <w:link w:val="74"/>
    <w:qFormat/>
    <w:uiPriority w:val="99"/>
    <w:pPr>
      <w:keepNext/>
      <w:keepLines/>
      <w:numPr>
        <w:ilvl w:val="3"/>
        <w:numId w:val="1"/>
      </w:numPr>
      <w:spacing w:before="120" w:after="120"/>
      <w:outlineLvl w:val="3"/>
    </w:pPr>
    <w:rPr>
      <w:rFonts w:ascii="Cambria" w:hAnsi="Cambria"/>
      <w:b/>
      <w:bCs/>
      <w:sz w:val="28"/>
      <w:szCs w:val="28"/>
    </w:rPr>
  </w:style>
  <w:style w:type="paragraph" w:customStyle="1" w:styleId="63">
    <w:name w:val="标题 51"/>
    <w:basedOn w:val="1"/>
    <w:next w:val="61"/>
    <w:link w:val="75"/>
    <w:qFormat/>
    <w:uiPriority w:val="99"/>
    <w:pPr>
      <w:keepNext/>
      <w:numPr>
        <w:ilvl w:val="4"/>
        <w:numId w:val="1"/>
      </w:numPr>
      <w:spacing w:before="156" w:after="156"/>
      <w:outlineLvl w:val="4"/>
    </w:pPr>
    <w:rPr>
      <w:b/>
      <w:bCs/>
      <w:sz w:val="28"/>
      <w:szCs w:val="28"/>
    </w:rPr>
  </w:style>
  <w:style w:type="paragraph" w:customStyle="1" w:styleId="64">
    <w:name w:val="标题 61"/>
    <w:basedOn w:val="1"/>
    <w:next w:val="1"/>
    <w:link w:val="76"/>
    <w:qFormat/>
    <w:uiPriority w:val="99"/>
    <w:pPr>
      <w:keepNext/>
      <w:keepLines/>
      <w:numPr>
        <w:ilvl w:val="5"/>
        <w:numId w:val="1"/>
      </w:numPr>
      <w:spacing w:before="240" w:after="64" w:line="320" w:lineRule="auto"/>
      <w:outlineLvl w:val="5"/>
    </w:pPr>
    <w:rPr>
      <w:rFonts w:ascii="Cambria" w:hAnsi="Cambria"/>
      <w:b/>
      <w:bCs/>
      <w:sz w:val="24"/>
      <w:szCs w:val="24"/>
    </w:rPr>
  </w:style>
  <w:style w:type="paragraph" w:customStyle="1" w:styleId="65">
    <w:name w:val="标题 71"/>
    <w:basedOn w:val="1"/>
    <w:next w:val="1"/>
    <w:link w:val="77"/>
    <w:qFormat/>
    <w:uiPriority w:val="99"/>
    <w:pPr>
      <w:keepNext/>
      <w:keepLines/>
      <w:numPr>
        <w:ilvl w:val="6"/>
        <w:numId w:val="1"/>
      </w:numPr>
      <w:spacing w:before="240" w:after="64" w:line="320" w:lineRule="auto"/>
      <w:outlineLvl w:val="6"/>
    </w:pPr>
    <w:rPr>
      <w:b/>
      <w:bCs/>
      <w:sz w:val="24"/>
      <w:szCs w:val="24"/>
    </w:rPr>
  </w:style>
  <w:style w:type="paragraph" w:customStyle="1" w:styleId="66">
    <w:name w:val="标题 81"/>
    <w:basedOn w:val="1"/>
    <w:next w:val="1"/>
    <w:link w:val="78"/>
    <w:qFormat/>
    <w:uiPriority w:val="99"/>
    <w:pPr>
      <w:keepNext/>
      <w:keepLines/>
      <w:numPr>
        <w:ilvl w:val="7"/>
        <w:numId w:val="1"/>
      </w:numPr>
      <w:spacing w:before="240" w:after="64" w:line="320" w:lineRule="auto"/>
      <w:outlineLvl w:val="7"/>
    </w:pPr>
    <w:rPr>
      <w:rFonts w:ascii="Cambria" w:hAnsi="Cambria"/>
      <w:sz w:val="24"/>
      <w:szCs w:val="24"/>
    </w:rPr>
  </w:style>
  <w:style w:type="paragraph" w:customStyle="1" w:styleId="67">
    <w:name w:val="标题 91"/>
    <w:basedOn w:val="1"/>
    <w:next w:val="1"/>
    <w:link w:val="79"/>
    <w:qFormat/>
    <w:uiPriority w:val="99"/>
    <w:pPr>
      <w:keepNext/>
      <w:keepLines/>
      <w:numPr>
        <w:ilvl w:val="8"/>
        <w:numId w:val="1"/>
      </w:numPr>
      <w:spacing w:before="240" w:after="64" w:line="320" w:lineRule="auto"/>
      <w:outlineLvl w:val="8"/>
    </w:pPr>
    <w:rPr>
      <w:rFonts w:ascii="Cambria" w:hAnsi="Cambria"/>
      <w:szCs w:val="21"/>
    </w:rPr>
  </w:style>
  <w:style w:type="character" w:customStyle="1" w:styleId="68">
    <w:name w:val="默认段落字体1"/>
    <w:link w:val="1"/>
    <w:unhideWhenUsed/>
    <w:qFormat/>
    <w:uiPriority w:val="1"/>
  </w:style>
  <w:style w:type="table" w:customStyle="1" w:styleId="69">
    <w:name w:val="普通表格1"/>
    <w:unhideWhenUsed/>
    <w:qFormat/>
    <w:uiPriority w:val="99"/>
  </w:style>
  <w:style w:type="character" w:customStyle="1" w:styleId="70">
    <w:name w:val="标题 1 字符"/>
    <w:link w:val="58"/>
    <w:qFormat/>
    <w:uiPriority w:val="0"/>
    <w:rPr>
      <w:rFonts w:ascii="黑体" w:eastAsia="黑体"/>
      <w:b/>
      <w:sz w:val="28"/>
    </w:rPr>
  </w:style>
  <w:style w:type="character" w:customStyle="1" w:styleId="71">
    <w:name w:val="标题 2 字符"/>
    <w:link w:val="59"/>
    <w:qFormat/>
    <w:uiPriority w:val="99"/>
    <w:rPr>
      <w:rFonts w:ascii="Cambria" w:hAnsi="Cambria"/>
      <w:b/>
      <w:bCs/>
      <w:sz w:val="32"/>
      <w:szCs w:val="32"/>
    </w:rPr>
  </w:style>
  <w:style w:type="character" w:customStyle="1" w:styleId="72">
    <w:name w:val="标题 3 字符"/>
    <w:link w:val="60"/>
    <w:qFormat/>
    <w:uiPriority w:val="99"/>
    <w:rPr>
      <w:b/>
      <w:bCs/>
      <w:sz w:val="32"/>
      <w:szCs w:val="32"/>
    </w:rPr>
  </w:style>
  <w:style w:type="character" w:customStyle="1" w:styleId="73">
    <w:name w:val="正文缩进 字符"/>
    <w:link w:val="61"/>
    <w:qFormat/>
    <w:uiPriority w:val="0"/>
    <w:rPr>
      <w:rFonts w:eastAsia="宋体" w:cs="Times New Roman"/>
      <w:sz w:val="21"/>
      <w:lang w:val="en-US" w:eastAsia="zh-CN" w:bidi="ar-SA"/>
    </w:rPr>
  </w:style>
  <w:style w:type="character" w:customStyle="1" w:styleId="74">
    <w:name w:val="标题 4 字符"/>
    <w:link w:val="62"/>
    <w:qFormat/>
    <w:uiPriority w:val="9"/>
    <w:rPr>
      <w:rFonts w:ascii="Cambria" w:hAnsi="Cambria"/>
      <w:b/>
      <w:bCs/>
      <w:sz w:val="28"/>
      <w:szCs w:val="28"/>
    </w:rPr>
  </w:style>
  <w:style w:type="character" w:customStyle="1" w:styleId="75">
    <w:name w:val="标题 5 字符"/>
    <w:link w:val="63"/>
    <w:qFormat/>
    <w:uiPriority w:val="99"/>
    <w:rPr>
      <w:b/>
      <w:bCs/>
      <w:sz w:val="28"/>
      <w:szCs w:val="28"/>
    </w:rPr>
  </w:style>
  <w:style w:type="character" w:customStyle="1" w:styleId="76">
    <w:name w:val="标题 6 字符"/>
    <w:link w:val="64"/>
    <w:qFormat/>
    <w:uiPriority w:val="99"/>
    <w:rPr>
      <w:rFonts w:ascii="Cambria" w:hAnsi="Cambria"/>
      <w:b/>
      <w:bCs/>
      <w:sz w:val="24"/>
      <w:szCs w:val="24"/>
    </w:rPr>
  </w:style>
  <w:style w:type="character" w:customStyle="1" w:styleId="77">
    <w:name w:val="标题 7 字符"/>
    <w:link w:val="65"/>
    <w:qFormat/>
    <w:uiPriority w:val="99"/>
    <w:rPr>
      <w:b/>
      <w:bCs/>
      <w:sz w:val="24"/>
      <w:szCs w:val="24"/>
    </w:rPr>
  </w:style>
  <w:style w:type="character" w:customStyle="1" w:styleId="78">
    <w:name w:val="标题 8 字符"/>
    <w:link w:val="66"/>
    <w:qFormat/>
    <w:uiPriority w:val="99"/>
    <w:rPr>
      <w:rFonts w:ascii="Cambria" w:hAnsi="Cambria"/>
      <w:sz w:val="24"/>
      <w:szCs w:val="24"/>
    </w:rPr>
  </w:style>
  <w:style w:type="character" w:customStyle="1" w:styleId="79">
    <w:name w:val="标题 9 字符"/>
    <w:link w:val="67"/>
    <w:qFormat/>
    <w:uiPriority w:val="99"/>
    <w:rPr>
      <w:rFonts w:ascii="Cambria" w:hAnsi="Cambria"/>
      <w:sz w:val="21"/>
      <w:szCs w:val="21"/>
    </w:rPr>
  </w:style>
  <w:style w:type="paragraph" w:customStyle="1" w:styleId="80">
    <w:name w:val="列表 31"/>
    <w:basedOn w:val="1"/>
    <w:qFormat/>
    <w:uiPriority w:val="99"/>
    <w:pPr>
      <w:ind w:left="1260" w:hanging="420"/>
    </w:pPr>
  </w:style>
  <w:style w:type="paragraph" w:customStyle="1" w:styleId="81">
    <w:name w:val="目录 71"/>
    <w:basedOn w:val="1"/>
    <w:next w:val="1"/>
    <w:semiHidden/>
    <w:qFormat/>
    <w:uiPriority w:val="99"/>
    <w:pPr>
      <w:ind w:left="1260"/>
      <w:jc w:val="left"/>
    </w:pPr>
    <w:rPr>
      <w:sz w:val="18"/>
    </w:rPr>
  </w:style>
  <w:style w:type="paragraph" w:customStyle="1" w:styleId="82">
    <w:name w:val="索引 81"/>
    <w:basedOn w:val="1"/>
    <w:next w:val="1"/>
    <w:semiHidden/>
    <w:qFormat/>
    <w:uiPriority w:val="99"/>
    <w:pPr>
      <w:ind w:left="2940"/>
    </w:pPr>
  </w:style>
  <w:style w:type="paragraph" w:customStyle="1" w:styleId="83">
    <w:name w:val="题注1"/>
    <w:basedOn w:val="1"/>
    <w:next w:val="1"/>
    <w:unhideWhenUsed/>
    <w:qFormat/>
    <w:uiPriority w:val="35"/>
    <w:pPr>
      <w:spacing w:line="276" w:lineRule="auto"/>
    </w:pPr>
    <w:rPr>
      <w:b/>
      <w:bCs/>
      <w:color w:val="4F81BD"/>
      <w:sz w:val="18"/>
      <w:szCs w:val="18"/>
    </w:rPr>
  </w:style>
  <w:style w:type="paragraph" w:customStyle="1" w:styleId="84">
    <w:name w:val="索引 51"/>
    <w:basedOn w:val="1"/>
    <w:next w:val="1"/>
    <w:semiHidden/>
    <w:qFormat/>
    <w:uiPriority w:val="99"/>
    <w:pPr>
      <w:ind w:left="1680"/>
    </w:pPr>
  </w:style>
  <w:style w:type="paragraph" w:customStyle="1" w:styleId="85">
    <w:name w:val="文档结构图1"/>
    <w:basedOn w:val="1"/>
    <w:link w:val="86"/>
    <w:semiHidden/>
    <w:qFormat/>
    <w:uiPriority w:val="99"/>
    <w:pPr>
      <w:shd w:val="clear" w:color="auto" w:fill="000080"/>
    </w:pPr>
    <w:rPr>
      <w:sz w:val="2"/>
    </w:rPr>
  </w:style>
  <w:style w:type="character" w:customStyle="1" w:styleId="86">
    <w:name w:val="文档结构图 字符"/>
    <w:link w:val="85"/>
    <w:semiHidden/>
    <w:qFormat/>
    <w:uiPriority w:val="99"/>
    <w:rPr>
      <w:rFonts w:cs="Times New Roman"/>
      <w:sz w:val="2"/>
    </w:rPr>
  </w:style>
  <w:style w:type="paragraph" w:customStyle="1" w:styleId="87">
    <w:name w:val="批注文字1"/>
    <w:basedOn w:val="1"/>
    <w:link w:val="88"/>
    <w:qFormat/>
    <w:uiPriority w:val="0"/>
    <w:pPr>
      <w:jc w:val="left"/>
    </w:pPr>
    <w:rPr>
      <w:sz w:val="20"/>
    </w:rPr>
  </w:style>
  <w:style w:type="character" w:customStyle="1" w:styleId="88">
    <w:name w:val="批注文字 字符"/>
    <w:link w:val="87"/>
    <w:qFormat/>
    <w:uiPriority w:val="0"/>
    <w:rPr>
      <w:rFonts w:cs="Times New Roman"/>
      <w:sz w:val="20"/>
      <w:szCs w:val="20"/>
    </w:rPr>
  </w:style>
  <w:style w:type="paragraph" w:customStyle="1" w:styleId="89">
    <w:name w:val="索引 61"/>
    <w:basedOn w:val="1"/>
    <w:next w:val="1"/>
    <w:semiHidden/>
    <w:qFormat/>
    <w:uiPriority w:val="99"/>
    <w:pPr>
      <w:ind w:left="2100"/>
    </w:pPr>
  </w:style>
  <w:style w:type="paragraph" w:customStyle="1" w:styleId="90">
    <w:name w:val="正文文本 31"/>
    <w:basedOn w:val="1"/>
    <w:link w:val="91"/>
    <w:qFormat/>
    <w:uiPriority w:val="99"/>
    <w:rPr>
      <w:sz w:val="16"/>
      <w:szCs w:val="16"/>
    </w:rPr>
  </w:style>
  <w:style w:type="character" w:customStyle="1" w:styleId="91">
    <w:name w:val="正文文本 3 字符"/>
    <w:link w:val="90"/>
    <w:semiHidden/>
    <w:qFormat/>
    <w:uiPriority w:val="99"/>
    <w:rPr>
      <w:rFonts w:cs="Times New Roman"/>
      <w:sz w:val="16"/>
      <w:szCs w:val="16"/>
    </w:rPr>
  </w:style>
  <w:style w:type="paragraph" w:customStyle="1" w:styleId="92">
    <w:name w:val="正文文本1"/>
    <w:basedOn w:val="1"/>
    <w:link w:val="93"/>
    <w:qFormat/>
    <w:uiPriority w:val="99"/>
    <w:rPr>
      <w:sz w:val="20"/>
    </w:rPr>
  </w:style>
  <w:style w:type="character" w:customStyle="1" w:styleId="93">
    <w:name w:val="正文文本 字符"/>
    <w:link w:val="92"/>
    <w:semiHidden/>
    <w:qFormat/>
    <w:uiPriority w:val="99"/>
    <w:rPr>
      <w:rFonts w:cs="Times New Roman"/>
      <w:sz w:val="20"/>
      <w:szCs w:val="20"/>
    </w:rPr>
  </w:style>
  <w:style w:type="paragraph" w:customStyle="1" w:styleId="94">
    <w:name w:val="正文文本缩进1"/>
    <w:basedOn w:val="1"/>
    <w:next w:val="95"/>
    <w:link w:val="96"/>
    <w:qFormat/>
    <w:uiPriority w:val="99"/>
    <w:pPr>
      <w:ind w:firstLine="645"/>
    </w:pPr>
    <w:rPr>
      <w:sz w:val="20"/>
    </w:rPr>
  </w:style>
  <w:style w:type="paragraph" w:customStyle="1" w:styleId="95">
    <w:name w:val="寄信人地址1"/>
    <w:basedOn w:val="1"/>
    <w:qFormat/>
    <w:uiPriority w:val="99"/>
    <w:rPr>
      <w:rFonts w:ascii="Arial" w:hAnsi="Arial"/>
    </w:rPr>
  </w:style>
  <w:style w:type="character" w:customStyle="1" w:styleId="96">
    <w:name w:val="正文文本缩进 字符"/>
    <w:link w:val="94"/>
    <w:semiHidden/>
    <w:qFormat/>
    <w:uiPriority w:val="99"/>
    <w:rPr>
      <w:rFonts w:cs="Times New Roman"/>
      <w:sz w:val="20"/>
      <w:szCs w:val="20"/>
    </w:rPr>
  </w:style>
  <w:style w:type="paragraph" w:customStyle="1" w:styleId="97">
    <w:name w:val="索引 41"/>
    <w:basedOn w:val="1"/>
    <w:next w:val="1"/>
    <w:semiHidden/>
    <w:qFormat/>
    <w:uiPriority w:val="99"/>
    <w:pPr>
      <w:ind w:left="1260"/>
    </w:pPr>
  </w:style>
  <w:style w:type="paragraph" w:customStyle="1" w:styleId="98">
    <w:name w:val="目录 51"/>
    <w:basedOn w:val="1"/>
    <w:next w:val="1"/>
    <w:semiHidden/>
    <w:qFormat/>
    <w:uiPriority w:val="99"/>
    <w:pPr>
      <w:ind w:left="840"/>
      <w:jc w:val="left"/>
    </w:pPr>
    <w:rPr>
      <w:sz w:val="18"/>
    </w:rPr>
  </w:style>
  <w:style w:type="paragraph" w:customStyle="1" w:styleId="99">
    <w:name w:val="目录 31"/>
    <w:basedOn w:val="1"/>
    <w:next w:val="1"/>
    <w:semiHidden/>
    <w:qFormat/>
    <w:uiPriority w:val="99"/>
    <w:pPr>
      <w:ind w:left="420"/>
      <w:jc w:val="left"/>
    </w:pPr>
    <w:rPr>
      <w:i/>
      <w:sz w:val="20"/>
    </w:rPr>
  </w:style>
  <w:style w:type="paragraph" w:customStyle="1" w:styleId="100">
    <w:name w:val="纯文本1"/>
    <w:basedOn w:val="1"/>
    <w:link w:val="101"/>
    <w:qFormat/>
    <w:uiPriority w:val="0"/>
    <w:rPr>
      <w:rFonts w:ascii="宋体" w:hAnsi="Courier New"/>
      <w:szCs w:val="21"/>
    </w:rPr>
  </w:style>
  <w:style w:type="character" w:customStyle="1" w:styleId="101">
    <w:name w:val="纯文本 字符"/>
    <w:link w:val="100"/>
    <w:qFormat/>
    <w:uiPriority w:val="0"/>
    <w:rPr>
      <w:rFonts w:ascii="宋体" w:hAnsi="Courier New" w:cs="Courier New"/>
      <w:sz w:val="21"/>
      <w:szCs w:val="21"/>
    </w:rPr>
  </w:style>
  <w:style w:type="paragraph" w:customStyle="1" w:styleId="102">
    <w:name w:val="目录 81"/>
    <w:basedOn w:val="1"/>
    <w:next w:val="1"/>
    <w:semiHidden/>
    <w:qFormat/>
    <w:uiPriority w:val="99"/>
    <w:pPr>
      <w:ind w:left="1470"/>
      <w:jc w:val="left"/>
    </w:pPr>
    <w:rPr>
      <w:sz w:val="18"/>
    </w:rPr>
  </w:style>
  <w:style w:type="paragraph" w:customStyle="1" w:styleId="103">
    <w:name w:val="索引 31"/>
    <w:basedOn w:val="1"/>
    <w:next w:val="1"/>
    <w:semiHidden/>
    <w:qFormat/>
    <w:uiPriority w:val="99"/>
    <w:pPr>
      <w:ind w:left="840"/>
    </w:pPr>
  </w:style>
  <w:style w:type="paragraph" w:customStyle="1" w:styleId="104">
    <w:name w:val="日期1"/>
    <w:basedOn w:val="1"/>
    <w:next w:val="1"/>
    <w:link w:val="105"/>
    <w:qFormat/>
    <w:uiPriority w:val="99"/>
    <w:pPr>
      <w:ind w:left="100"/>
    </w:pPr>
    <w:rPr>
      <w:sz w:val="20"/>
    </w:rPr>
  </w:style>
  <w:style w:type="character" w:customStyle="1" w:styleId="105">
    <w:name w:val="日期 字符"/>
    <w:link w:val="104"/>
    <w:semiHidden/>
    <w:qFormat/>
    <w:uiPriority w:val="99"/>
    <w:rPr>
      <w:rFonts w:cs="Times New Roman"/>
      <w:sz w:val="20"/>
      <w:szCs w:val="20"/>
    </w:rPr>
  </w:style>
  <w:style w:type="paragraph" w:customStyle="1" w:styleId="106">
    <w:name w:val="正文文本缩进 21"/>
    <w:basedOn w:val="1"/>
    <w:link w:val="107"/>
    <w:qFormat/>
    <w:uiPriority w:val="99"/>
    <w:pPr>
      <w:ind w:left="630" w:firstLine="645"/>
    </w:pPr>
    <w:rPr>
      <w:sz w:val="20"/>
    </w:rPr>
  </w:style>
  <w:style w:type="character" w:customStyle="1" w:styleId="107">
    <w:name w:val="正文文本缩进 2 字符"/>
    <w:link w:val="106"/>
    <w:semiHidden/>
    <w:qFormat/>
    <w:uiPriority w:val="99"/>
    <w:rPr>
      <w:rFonts w:cs="Times New Roman"/>
      <w:sz w:val="20"/>
      <w:szCs w:val="20"/>
    </w:rPr>
  </w:style>
  <w:style w:type="paragraph" w:customStyle="1" w:styleId="108">
    <w:name w:val="尾注文本1"/>
    <w:basedOn w:val="1"/>
    <w:link w:val="109"/>
    <w:unhideWhenUsed/>
    <w:qFormat/>
    <w:uiPriority w:val="99"/>
    <w:rPr>
      <w:sz w:val="20"/>
    </w:rPr>
  </w:style>
  <w:style w:type="character" w:customStyle="1" w:styleId="109">
    <w:name w:val="尾注文本 字符"/>
    <w:link w:val="108"/>
    <w:qFormat/>
    <w:uiPriority w:val="99"/>
    <w:rPr>
      <w:sz w:val="20"/>
    </w:rPr>
  </w:style>
  <w:style w:type="paragraph" w:customStyle="1" w:styleId="110">
    <w:name w:val="批注框文本1"/>
    <w:basedOn w:val="1"/>
    <w:link w:val="111"/>
    <w:semiHidden/>
    <w:qFormat/>
    <w:uiPriority w:val="99"/>
    <w:rPr>
      <w:sz w:val="18"/>
      <w:szCs w:val="18"/>
    </w:rPr>
  </w:style>
  <w:style w:type="character" w:customStyle="1" w:styleId="111">
    <w:name w:val="批注框文本 字符"/>
    <w:link w:val="110"/>
    <w:semiHidden/>
    <w:qFormat/>
    <w:uiPriority w:val="99"/>
    <w:rPr>
      <w:sz w:val="18"/>
      <w:szCs w:val="18"/>
    </w:rPr>
  </w:style>
  <w:style w:type="paragraph" w:customStyle="1" w:styleId="112">
    <w:name w:val="页脚1"/>
    <w:basedOn w:val="1"/>
    <w:link w:val="113"/>
    <w:qFormat/>
    <w:uiPriority w:val="99"/>
    <w:pPr>
      <w:tabs>
        <w:tab w:val="center" w:pos="4153"/>
        <w:tab w:val="right" w:pos="8306"/>
      </w:tabs>
      <w:jc w:val="left"/>
    </w:pPr>
    <w:rPr>
      <w:sz w:val="18"/>
    </w:rPr>
  </w:style>
  <w:style w:type="character" w:customStyle="1" w:styleId="113">
    <w:name w:val="页脚 字符"/>
    <w:link w:val="112"/>
    <w:qFormat/>
    <w:uiPriority w:val="99"/>
    <w:rPr>
      <w:rFonts w:eastAsia="宋体" w:cs="Times New Roman"/>
      <w:sz w:val="18"/>
      <w:lang w:val="en-US" w:eastAsia="zh-CN" w:bidi="ar-SA"/>
    </w:rPr>
  </w:style>
  <w:style w:type="paragraph" w:customStyle="1" w:styleId="114">
    <w:name w:val="页眉1"/>
    <w:basedOn w:val="1"/>
    <w:link w:val="115"/>
    <w:qFormat/>
    <w:uiPriority w:val="99"/>
    <w:pPr>
      <w:pBdr>
        <w:bottom w:val="single" w:color="000000" w:sz="6" w:space="1"/>
      </w:pBdr>
      <w:tabs>
        <w:tab w:val="center" w:pos="4153"/>
        <w:tab w:val="right" w:pos="8306"/>
      </w:tabs>
      <w:jc w:val="center"/>
    </w:pPr>
    <w:rPr>
      <w:sz w:val="18"/>
    </w:rPr>
  </w:style>
  <w:style w:type="character" w:customStyle="1" w:styleId="115">
    <w:name w:val="页眉 字符"/>
    <w:link w:val="114"/>
    <w:semiHidden/>
    <w:qFormat/>
    <w:uiPriority w:val="99"/>
    <w:rPr>
      <w:rFonts w:eastAsia="宋体" w:cs="Times New Roman"/>
      <w:sz w:val="18"/>
      <w:lang w:val="en-US" w:eastAsia="zh-CN" w:bidi="ar-SA"/>
    </w:rPr>
  </w:style>
  <w:style w:type="paragraph" w:customStyle="1" w:styleId="116">
    <w:name w:val="目录 11"/>
    <w:basedOn w:val="1"/>
    <w:next w:val="1"/>
    <w:qFormat/>
    <w:uiPriority w:val="39"/>
    <w:pPr>
      <w:spacing w:before="120" w:after="120"/>
      <w:jc w:val="left"/>
    </w:pPr>
    <w:rPr>
      <w:b/>
      <w:caps/>
      <w:sz w:val="20"/>
    </w:rPr>
  </w:style>
  <w:style w:type="paragraph" w:customStyle="1" w:styleId="117">
    <w:name w:val="目录 41"/>
    <w:basedOn w:val="1"/>
    <w:next w:val="1"/>
    <w:semiHidden/>
    <w:qFormat/>
    <w:uiPriority w:val="99"/>
    <w:pPr>
      <w:ind w:left="630"/>
      <w:jc w:val="left"/>
    </w:pPr>
    <w:rPr>
      <w:sz w:val="18"/>
    </w:rPr>
  </w:style>
  <w:style w:type="paragraph" w:customStyle="1" w:styleId="118">
    <w:name w:val="索引标题1"/>
    <w:basedOn w:val="1"/>
    <w:next w:val="119"/>
    <w:semiHidden/>
    <w:qFormat/>
    <w:uiPriority w:val="99"/>
  </w:style>
  <w:style w:type="paragraph" w:customStyle="1" w:styleId="119">
    <w:name w:val="索引 11"/>
    <w:basedOn w:val="1"/>
    <w:next w:val="1"/>
    <w:semiHidden/>
    <w:qFormat/>
    <w:uiPriority w:val="99"/>
    <w:pPr>
      <w:jc w:val="center"/>
    </w:pPr>
    <w:rPr>
      <w:rFonts w:ascii="仿宋_GB2312" w:hAnsi="宋体" w:eastAsia="仿宋_GB2312"/>
      <w:sz w:val="30"/>
      <w:szCs w:val="24"/>
    </w:rPr>
  </w:style>
  <w:style w:type="paragraph" w:customStyle="1" w:styleId="120">
    <w:name w:val="副标题1"/>
    <w:basedOn w:val="1"/>
    <w:next w:val="1"/>
    <w:qFormat/>
    <w:uiPriority w:val="0"/>
    <w:pPr>
      <w:spacing w:before="240" w:after="60" w:line="312" w:lineRule="auto"/>
      <w:outlineLvl w:val="3"/>
    </w:pPr>
    <w:rPr>
      <w:rFonts w:ascii="Cambria" w:hAnsi="Cambria"/>
      <w:b/>
      <w:bCs/>
      <w:sz w:val="28"/>
      <w:szCs w:val="32"/>
    </w:rPr>
  </w:style>
  <w:style w:type="paragraph" w:customStyle="1" w:styleId="121">
    <w:name w:val="脚注文本1"/>
    <w:basedOn w:val="1"/>
    <w:link w:val="122"/>
    <w:unhideWhenUsed/>
    <w:qFormat/>
    <w:uiPriority w:val="99"/>
    <w:pPr>
      <w:spacing w:after="40"/>
    </w:pPr>
    <w:rPr>
      <w:sz w:val="18"/>
    </w:rPr>
  </w:style>
  <w:style w:type="character" w:customStyle="1" w:styleId="122">
    <w:name w:val="脚注文本 字符"/>
    <w:link w:val="121"/>
    <w:qFormat/>
    <w:uiPriority w:val="99"/>
    <w:rPr>
      <w:sz w:val="18"/>
    </w:rPr>
  </w:style>
  <w:style w:type="paragraph" w:customStyle="1" w:styleId="123">
    <w:name w:val="目录 61"/>
    <w:basedOn w:val="1"/>
    <w:next w:val="1"/>
    <w:semiHidden/>
    <w:qFormat/>
    <w:uiPriority w:val="99"/>
    <w:pPr>
      <w:ind w:left="1050"/>
      <w:jc w:val="left"/>
    </w:pPr>
    <w:rPr>
      <w:sz w:val="18"/>
    </w:rPr>
  </w:style>
  <w:style w:type="paragraph" w:customStyle="1" w:styleId="124">
    <w:name w:val="正文文本缩进 31"/>
    <w:basedOn w:val="1"/>
    <w:link w:val="125"/>
    <w:qFormat/>
    <w:uiPriority w:val="99"/>
    <w:pPr>
      <w:ind w:left="645" w:firstLine="645"/>
    </w:pPr>
    <w:rPr>
      <w:sz w:val="16"/>
      <w:szCs w:val="16"/>
    </w:rPr>
  </w:style>
  <w:style w:type="character" w:customStyle="1" w:styleId="125">
    <w:name w:val="正文文本缩进 3 字符"/>
    <w:link w:val="124"/>
    <w:semiHidden/>
    <w:qFormat/>
    <w:uiPriority w:val="99"/>
    <w:rPr>
      <w:rFonts w:cs="Times New Roman"/>
      <w:sz w:val="16"/>
      <w:szCs w:val="16"/>
    </w:rPr>
  </w:style>
  <w:style w:type="paragraph" w:customStyle="1" w:styleId="126">
    <w:name w:val="索引 71"/>
    <w:basedOn w:val="1"/>
    <w:next w:val="1"/>
    <w:semiHidden/>
    <w:qFormat/>
    <w:uiPriority w:val="99"/>
    <w:pPr>
      <w:ind w:left="2520"/>
    </w:pPr>
  </w:style>
  <w:style w:type="paragraph" w:customStyle="1" w:styleId="127">
    <w:name w:val="索引 91"/>
    <w:basedOn w:val="1"/>
    <w:next w:val="1"/>
    <w:semiHidden/>
    <w:qFormat/>
    <w:uiPriority w:val="99"/>
    <w:pPr>
      <w:ind w:left="3360"/>
    </w:pPr>
  </w:style>
  <w:style w:type="paragraph" w:customStyle="1" w:styleId="128">
    <w:name w:val="图表目录1"/>
    <w:basedOn w:val="1"/>
    <w:next w:val="1"/>
    <w:semiHidden/>
    <w:qFormat/>
    <w:uiPriority w:val="99"/>
    <w:pPr>
      <w:ind w:left="840" w:hanging="420"/>
    </w:pPr>
  </w:style>
  <w:style w:type="paragraph" w:customStyle="1" w:styleId="129">
    <w:name w:val="目录 21"/>
    <w:basedOn w:val="1"/>
    <w:next w:val="1"/>
    <w:qFormat/>
    <w:uiPriority w:val="39"/>
    <w:pPr>
      <w:ind w:left="210"/>
      <w:jc w:val="left"/>
    </w:pPr>
    <w:rPr>
      <w:smallCaps/>
      <w:sz w:val="20"/>
    </w:rPr>
  </w:style>
  <w:style w:type="paragraph" w:customStyle="1" w:styleId="130">
    <w:name w:val="目录 91"/>
    <w:basedOn w:val="1"/>
    <w:next w:val="1"/>
    <w:semiHidden/>
    <w:qFormat/>
    <w:uiPriority w:val="99"/>
    <w:pPr>
      <w:ind w:left="1680"/>
      <w:jc w:val="left"/>
    </w:pPr>
    <w:rPr>
      <w:sz w:val="18"/>
    </w:rPr>
  </w:style>
  <w:style w:type="paragraph" w:customStyle="1" w:styleId="131">
    <w:name w:val="正文文本 21"/>
    <w:basedOn w:val="1"/>
    <w:link w:val="132"/>
    <w:qFormat/>
    <w:uiPriority w:val="99"/>
    <w:pPr>
      <w:widowControl/>
      <w:jc w:val="center"/>
    </w:pPr>
    <w:rPr>
      <w:sz w:val="20"/>
    </w:rPr>
  </w:style>
  <w:style w:type="character" w:customStyle="1" w:styleId="132">
    <w:name w:val="正文文本 2 字符"/>
    <w:link w:val="131"/>
    <w:semiHidden/>
    <w:qFormat/>
    <w:uiPriority w:val="99"/>
    <w:rPr>
      <w:rFonts w:cs="Times New Roman"/>
      <w:sz w:val="20"/>
      <w:szCs w:val="20"/>
    </w:rPr>
  </w:style>
  <w:style w:type="paragraph" w:customStyle="1" w:styleId="133">
    <w:name w:val="HTML 预设格式1"/>
    <w:basedOn w:val="1"/>
    <w:link w:val="134"/>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rPr>
  </w:style>
  <w:style w:type="character" w:customStyle="1" w:styleId="134">
    <w:name w:val="HTML 预设格式 字符"/>
    <w:link w:val="133"/>
    <w:semiHidden/>
    <w:qFormat/>
    <w:uiPriority w:val="99"/>
    <w:rPr>
      <w:rFonts w:ascii="Courier New" w:hAnsi="Courier New" w:cs="Courier New"/>
      <w:sz w:val="20"/>
      <w:szCs w:val="20"/>
    </w:rPr>
  </w:style>
  <w:style w:type="paragraph" w:customStyle="1" w:styleId="135">
    <w:name w:val="普通(网站)1"/>
    <w:basedOn w:val="1"/>
    <w:qFormat/>
    <w:uiPriority w:val="99"/>
    <w:pPr>
      <w:widowControl/>
      <w:spacing w:before="100" w:beforeAutospacing="1" w:after="100" w:afterAutospacing="1"/>
      <w:jc w:val="left"/>
    </w:pPr>
    <w:rPr>
      <w:rFonts w:ascii="Arial" w:hAnsi="Arial" w:cs="Arial"/>
      <w:sz w:val="24"/>
      <w:szCs w:val="24"/>
    </w:rPr>
  </w:style>
  <w:style w:type="paragraph" w:customStyle="1" w:styleId="136">
    <w:name w:val="索引 21"/>
    <w:basedOn w:val="1"/>
    <w:next w:val="1"/>
    <w:semiHidden/>
    <w:qFormat/>
    <w:uiPriority w:val="99"/>
    <w:pPr>
      <w:ind w:left="420"/>
    </w:pPr>
  </w:style>
  <w:style w:type="paragraph" w:customStyle="1" w:styleId="137">
    <w:name w:val="标题1"/>
    <w:basedOn w:val="1"/>
    <w:next w:val="1"/>
    <w:link w:val="138"/>
    <w:qFormat/>
    <w:uiPriority w:val="10"/>
    <w:pPr>
      <w:spacing w:before="240" w:after="60"/>
      <w:jc w:val="center"/>
      <w:outlineLvl w:val="0"/>
    </w:pPr>
    <w:rPr>
      <w:rFonts w:ascii="Cambria" w:hAnsi="Cambria"/>
      <w:b/>
      <w:bCs/>
      <w:sz w:val="32"/>
      <w:szCs w:val="32"/>
    </w:rPr>
  </w:style>
  <w:style w:type="character" w:customStyle="1" w:styleId="138">
    <w:name w:val="标题 字符"/>
    <w:link w:val="137"/>
    <w:qFormat/>
    <w:uiPriority w:val="10"/>
    <w:rPr>
      <w:rFonts w:ascii="Cambria" w:hAnsi="Cambria" w:cs="Times New Roman"/>
      <w:b/>
      <w:bCs/>
      <w:sz w:val="32"/>
      <w:szCs w:val="32"/>
    </w:rPr>
  </w:style>
  <w:style w:type="paragraph" w:customStyle="1" w:styleId="139">
    <w:name w:val="批注主题1"/>
    <w:basedOn w:val="87"/>
    <w:next w:val="87"/>
    <w:link w:val="140"/>
    <w:semiHidden/>
    <w:qFormat/>
    <w:uiPriority w:val="99"/>
    <w:rPr>
      <w:b/>
      <w:bCs/>
    </w:rPr>
  </w:style>
  <w:style w:type="character" w:customStyle="1" w:styleId="140">
    <w:name w:val="批注主题 字符"/>
    <w:link w:val="139"/>
    <w:semiHidden/>
    <w:qFormat/>
    <w:uiPriority w:val="99"/>
    <w:rPr>
      <w:rFonts w:cs="Times New Roman"/>
      <w:b/>
      <w:bCs/>
      <w:sz w:val="20"/>
      <w:szCs w:val="20"/>
    </w:rPr>
  </w:style>
  <w:style w:type="paragraph" w:customStyle="1" w:styleId="141">
    <w:name w:val="正文首行缩进1"/>
    <w:basedOn w:val="92"/>
    <w:link w:val="142"/>
    <w:qFormat/>
    <w:uiPriority w:val="99"/>
    <w:pPr>
      <w:spacing w:after="120"/>
      <w:ind w:firstLine="420"/>
    </w:pPr>
    <w:rPr>
      <w:sz w:val="21"/>
      <w:szCs w:val="24"/>
    </w:rPr>
  </w:style>
  <w:style w:type="character" w:customStyle="1" w:styleId="142">
    <w:name w:val="正文文本首行缩进 字符"/>
    <w:link w:val="141"/>
    <w:semiHidden/>
    <w:qFormat/>
    <w:uiPriority w:val="99"/>
  </w:style>
  <w:style w:type="paragraph" w:customStyle="1" w:styleId="143">
    <w:name w:val="正文首行缩进 21"/>
    <w:basedOn w:val="94"/>
    <w:qFormat/>
    <w:uiPriority w:val="0"/>
    <w:pPr>
      <w:spacing w:after="120"/>
      <w:ind w:left="420"/>
    </w:pPr>
    <w:rPr>
      <w:sz w:val="21"/>
    </w:rPr>
  </w:style>
  <w:style w:type="table" w:customStyle="1" w:styleId="144">
    <w:name w:val="网格型1"/>
    <w:basedOn w:val="69"/>
    <w:qFormat/>
    <w:uiPriority w:val="39"/>
    <w:pPr>
      <w:widowControl w:val="0"/>
      <w:jc w:val="both"/>
    </w:pPr>
  </w:style>
  <w:style w:type="character" w:customStyle="1" w:styleId="145">
    <w:name w:val="尾注引用1"/>
    <w:basedOn w:val="68"/>
    <w:link w:val="1"/>
    <w:unhideWhenUsed/>
    <w:qFormat/>
    <w:uiPriority w:val="99"/>
    <w:rPr>
      <w:vertAlign w:val="superscript"/>
    </w:rPr>
  </w:style>
  <w:style w:type="character" w:customStyle="1" w:styleId="146">
    <w:name w:val="页码1"/>
    <w:link w:val="1"/>
    <w:qFormat/>
    <w:uiPriority w:val="0"/>
    <w:rPr>
      <w:rFonts w:cs="Times New Roman"/>
    </w:rPr>
  </w:style>
  <w:style w:type="character" w:customStyle="1" w:styleId="147">
    <w:name w:val="已访问的超链接1"/>
    <w:link w:val="1"/>
    <w:qFormat/>
    <w:uiPriority w:val="99"/>
    <w:rPr>
      <w:rFonts w:cs="Times New Roman"/>
      <w:color w:val="800080"/>
      <w:u w:val="single"/>
    </w:rPr>
  </w:style>
  <w:style w:type="character" w:customStyle="1" w:styleId="148">
    <w:name w:val="强调1"/>
    <w:link w:val="1"/>
    <w:qFormat/>
    <w:uiPriority w:val="20"/>
    <w:rPr>
      <w:i/>
      <w:iCs/>
    </w:rPr>
  </w:style>
  <w:style w:type="character" w:customStyle="1" w:styleId="149">
    <w:name w:val="HTML 打字机1"/>
    <w:link w:val="1"/>
    <w:unhideWhenUsed/>
    <w:qFormat/>
    <w:uiPriority w:val="0"/>
    <w:rPr>
      <w:rFonts w:ascii="monospace" w:hAnsi="monospace" w:eastAsia="monospace" w:cs="monospace"/>
      <w:sz w:val="20"/>
    </w:rPr>
  </w:style>
  <w:style w:type="character" w:customStyle="1" w:styleId="150">
    <w:name w:val="HTML 缩写1"/>
    <w:basedOn w:val="68"/>
    <w:link w:val="1"/>
    <w:unhideWhenUsed/>
    <w:qFormat/>
    <w:uiPriority w:val="0"/>
  </w:style>
  <w:style w:type="character" w:customStyle="1" w:styleId="151">
    <w:name w:val="超链接1"/>
    <w:link w:val="1"/>
    <w:qFormat/>
    <w:uiPriority w:val="99"/>
    <w:rPr>
      <w:rFonts w:cs="Times New Roman"/>
      <w:color w:val="0000FF"/>
      <w:u w:val="single"/>
    </w:rPr>
  </w:style>
  <w:style w:type="character" w:customStyle="1" w:styleId="152">
    <w:name w:val="HTML 代码1"/>
    <w:link w:val="1"/>
    <w:unhideWhenUsed/>
    <w:qFormat/>
    <w:uiPriority w:val="0"/>
    <w:rPr>
      <w:rFonts w:ascii="monospace" w:hAnsi="monospace" w:eastAsia="monospace" w:cs="monospace"/>
      <w:sz w:val="20"/>
      <w:shd w:val="clear" w:color="auto" w:fill="FCF8F5"/>
    </w:rPr>
  </w:style>
  <w:style w:type="character" w:customStyle="1" w:styleId="153">
    <w:name w:val="批注引用1"/>
    <w:link w:val="1"/>
    <w:qFormat/>
    <w:uiPriority w:val="99"/>
    <w:rPr>
      <w:rFonts w:cs="Times New Roman"/>
      <w:sz w:val="21"/>
    </w:rPr>
  </w:style>
  <w:style w:type="character" w:customStyle="1" w:styleId="154">
    <w:name w:val="脚注引用1"/>
    <w:basedOn w:val="68"/>
    <w:link w:val="1"/>
    <w:unhideWhenUsed/>
    <w:qFormat/>
    <w:uiPriority w:val="99"/>
    <w:rPr>
      <w:vertAlign w:val="superscript"/>
    </w:rPr>
  </w:style>
  <w:style w:type="character" w:customStyle="1" w:styleId="155">
    <w:name w:val="HTML 键盘1"/>
    <w:link w:val="1"/>
    <w:unhideWhenUsed/>
    <w:qFormat/>
    <w:uiPriority w:val="0"/>
    <w:rPr>
      <w:rFonts w:ascii="monospace" w:hAnsi="monospace" w:eastAsia="monospace" w:cs="monospace"/>
      <w:sz w:val="20"/>
    </w:rPr>
  </w:style>
  <w:style w:type="character" w:customStyle="1" w:styleId="156">
    <w:name w:val="HTML 样本1"/>
    <w:link w:val="1"/>
    <w:unhideWhenUsed/>
    <w:qFormat/>
    <w:uiPriority w:val="0"/>
    <w:rPr>
      <w:rFonts w:ascii="monospace" w:hAnsi="monospace" w:eastAsia="monospace" w:cs="monospace"/>
    </w:rPr>
  </w:style>
  <w:style w:type="character" w:customStyle="1" w:styleId="157">
    <w:name w:val="Heading 1 Char"/>
    <w:basedOn w:val="68"/>
    <w:link w:val="1"/>
    <w:qFormat/>
    <w:uiPriority w:val="9"/>
    <w:rPr>
      <w:rFonts w:ascii="Arial" w:hAnsi="Arial" w:eastAsia="Arial" w:cs="Arial"/>
      <w:sz w:val="40"/>
      <w:szCs w:val="40"/>
    </w:rPr>
  </w:style>
  <w:style w:type="character" w:customStyle="1" w:styleId="158">
    <w:name w:val="Heading 2 Char"/>
    <w:basedOn w:val="68"/>
    <w:link w:val="1"/>
    <w:qFormat/>
    <w:uiPriority w:val="9"/>
    <w:rPr>
      <w:rFonts w:ascii="Arial" w:hAnsi="Arial" w:eastAsia="Arial" w:cs="Arial"/>
      <w:sz w:val="34"/>
    </w:rPr>
  </w:style>
  <w:style w:type="character" w:customStyle="1" w:styleId="159">
    <w:name w:val="Heading 3 Char"/>
    <w:basedOn w:val="68"/>
    <w:link w:val="1"/>
    <w:qFormat/>
    <w:uiPriority w:val="9"/>
    <w:rPr>
      <w:rFonts w:ascii="Arial" w:hAnsi="Arial" w:eastAsia="Arial" w:cs="Arial"/>
      <w:sz w:val="30"/>
      <w:szCs w:val="30"/>
    </w:rPr>
  </w:style>
  <w:style w:type="character" w:customStyle="1" w:styleId="160">
    <w:name w:val="Heading 4 Char"/>
    <w:basedOn w:val="68"/>
    <w:link w:val="1"/>
    <w:qFormat/>
    <w:uiPriority w:val="9"/>
    <w:rPr>
      <w:rFonts w:ascii="Arial" w:hAnsi="Arial" w:eastAsia="Arial" w:cs="Arial"/>
      <w:b/>
      <w:bCs/>
      <w:sz w:val="26"/>
      <w:szCs w:val="26"/>
    </w:rPr>
  </w:style>
  <w:style w:type="character" w:customStyle="1" w:styleId="161">
    <w:name w:val="Heading 5 Char"/>
    <w:basedOn w:val="68"/>
    <w:link w:val="1"/>
    <w:qFormat/>
    <w:uiPriority w:val="9"/>
    <w:rPr>
      <w:rFonts w:ascii="Arial" w:hAnsi="Arial" w:eastAsia="Arial" w:cs="Arial"/>
      <w:b/>
      <w:bCs/>
      <w:sz w:val="24"/>
      <w:szCs w:val="24"/>
    </w:rPr>
  </w:style>
  <w:style w:type="character" w:customStyle="1" w:styleId="162">
    <w:name w:val="Heading 6 Char"/>
    <w:basedOn w:val="68"/>
    <w:link w:val="1"/>
    <w:qFormat/>
    <w:uiPriority w:val="9"/>
    <w:rPr>
      <w:rFonts w:ascii="Arial" w:hAnsi="Arial" w:eastAsia="Arial" w:cs="Arial"/>
      <w:b/>
      <w:bCs/>
      <w:sz w:val="22"/>
      <w:szCs w:val="22"/>
    </w:rPr>
  </w:style>
  <w:style w:type="character" w:customStyle="1" w:styleId="163">
    <w:name w:val="Heading 7 Char"/>
    <w:basedOn w:val="68"/>
    <w:link w:val="1"/>
    <w:qFormat/>
    <w:uiPriority w:val="9"/>
    <w:rPr>
      <w:rFonts w:ascii="Arial" w:hAnsi="Arial" w:eastAsia="Arial" w:cs="Arial"/>
      <w:b/>
      <w:bCs/>
      <w:i/>
      <w:iCs/>
      <w:sz w:val="22"/>
      <w:szCs w:val="22"/>
    </w:rPr>
  </w:style>
  <w:style w:type="character" w:customStyle="1" w:styleId="164">
    <w:name w:val="Heading 8 Char"/>
    <w:basedOn w:val="68"/>
    <w:link w:val="1"/>
    <w:qFormat/>
    <w:uiPriority w:val="9"/>
    <w:rPr>
      <w:rFonts w:ascii="Arial" w:hAnsi="Arial" w:eastAsia="Arial" w:cs="Arial"/>
      <w:i/>
      <w:iCs/>
      <w:sz w:val="22"/>
      <w:szCs w:val="22"/>
    </w:rPr>
  </w:style>
  <w:style w:type="character" w:customStyle="1" w:styleId="165">
    <w:name w:val="Heading 9 Char"/>
    <w:basedOn w:val="68"/>
    <w:link w:val="1"/>
    <w:qFormat/>
    <w:uiPriority w:val="9"/>
    <w:rPr>
      <w:rFonts w:ascii="Arial" w:hAnsi="Arial" w:eastAsia="Arial" w:cs="Arial"/>
      <w:i/>
      <w:iCs/>
      <w:sz w:val="21"/>
      <w:szCs w:val="21"/>
    </w:rPr>
  </w:style>
  <w:style w:type="character" w:customStyle="1" w:styleId="166">
    <w:name w:val="Title Char"/>
    <w:basedOn w:val="68"/>
    <w:link w:val="1"/>
    <w:qFormat/>
    <w:uiPriority w:val="10"/>
    <w:rPr>
      <w:sz w:val="48"/>
      <w:szCs w:val="48"/>
    </w:rPr>
  </w:style>
  <w:style w:type="character" w:customStyle="1" w:styleId="167">
    <w:name w:val="Subtitle Char"/>
    <w:basedOn w:val="68"/>
    <w:link w:val="1"/>
    <w:qFormat/>
    <w:uiPriority w:val="11"/>
    <w:rPr>
      <w:sz w:val="24"/>
      <w:szCs w:val="24"/>
    </w:rPr>
  </w:style>
  <w:style w:type="paragraph" w:styleId="168">
    <w:name w:val="Quote"/>
    <w:basedOn w:val="1"/>
    <w:next w:val="1"/>
    <w:link w:val="169"/>
    <w:qFormat/>
    <w:uiPriority w:val="29"/>
    <w:pPr>
      <w:ind w:left="720" w:right="720"/>
    </w:pPr>
    <w:rPr>
      <w:i/>
    </w:rPr>
  </w:style>
  <w:style w:type="character" w:customStyle="1" w:styleId="169">
    <w:name w:val="引用 字符"/>
    <w:link w:val="168"/>
    <w:qFormat/>
    <w:uiPriority w:val="29"/>
    <w:rPr>
      <w:i/>
    </w:rPr>
  </w:style>
  <w:style w:type="paragraph" w:styleId="170">
    <w:name w:val="Intense Quote"/>
    <w:basedOn w:val="1"/>
    <w:next w:val="1"/>
    <w:link w:val="17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71">
    <w:name w:val="明显引用 字符"/>
    <w:link w:val="170"/>
    <w:qFormat/>
    <w:uiPriority w:val="30"/>
    <w:rPr>
      <w:i/>
    </w:rPr>
  </w:style>
  <w:style w:type="character" w:customStyle="1" w:styleId="172">
    <w:name w:val="Header Char"/>
    <w:basedOn w:val="68"/>
    <w:link w:val="1"/>
    <w:qFormat/>
    <w:uiPriority w:val="99"/>
  </w:style>
  <w:style w:type="character" w:customStyle="1" w:styleId="173">
    <w:name w:val="Footer Char"/>
    <w:basedOn w:val="68"/>
    <w:link w:val="1"/>
    <w:qFormat/>
    <w:uiPriority w:val="99"/>
  </w:style>
  <w:style w:type="character" w:customStyle="1" w:styleId="174">
    <w:name w:val="Caption Char"/>
    <w:link w:val="1"/>
    <w:qFormat/>
    <w:uiPriority w:val="99"/>
  </w:style>
  <w:style w:type="table" w:customStyle="1" w:styleId="175">
    <w:name w:val="Table Grid Light"/>
    <w:basedOn w:val="69"/>
    <w:qFormat/>
    <w:uiPriority w:val="59"/>
  </w:style>
  <w:style w:type="table" w:customStyle="1" w:styleId="176">
    <w:name w:val="无格式表格 11"/>
    <w:basedOn w:val="69"/>
    <w:qFormat/>
    <w:uiPriority w:val="59"/>
  </w:style>
  <w:style w:type="table" w:customStyle="1" w:styleId="177">
    <w:name w:val="无格式表格 21"/>
    <w:basedOn w:val="69"/>
    <w:qFormat/>
    <w:uiPriority w:val="59"/>
  </w:style>
  <w:style w:type="table" w:customStyle="1" w:styleId="178">
    <w:name w:val="无格式表格 31"/>
    <w:basedOn w:val="69"/>
    <w:qFormat/>
    <w:uiPriority w:val="99"/>
  </w:style>
  <w:style w:type="table" w:customStyle="1" w:styleId="179">
    <w:name w:val="无格式表格 41"/>
    <w:basedOn w:val="69"/>
    <w:qFormat/>
    <w:uiPriority w:val="99"/>
  </w:style>
  <w:style w:type="table" w:customStyle="1" w:styleId="180">
    <w:name w:val="无格式表格 51"/>
    <w:basedOn w:val="69"/>
    <w:qFormat/>
    <w:uiPriority w:val="99"/>
  </w:style>
  <w:style w:type="table" w:customStyle="1" w:styleId="181">
    <w:name w:val="网格表 1 浅色1"/>
    <w:basedOn w:val="69"/>
    <w:qFormat/>
    <w:uiPriority w:val="99"/>
  </w:style>
  <w:style w:type="table" w:customStyle="1" w:styleId="182">
    <w:name w:val="Grid Table 1 Light - Accent 1"/>
    <w:basedOn w:val="69"/>
    <w:qFormat/>
    <w:uiPriority w:val="99"/>
  </w:style>
  <w:style w:type="table" w:customStyle="1" w:styleId="183">
    <w:name w:val="Grid Table 1 Light - Accent 2"/>
    <w:basedOn w:val="69"/>
    <w:qFormat/>
    <w:uiPriority w:val="99"/>
  </w:style>
  <w:style w:type="table" w:customStyle="1" w:styleId="184">
    <w:name w:val="Grid Table 1 Light - Accent 3"/>
    <w:basedOn w:val="69"/>
    <w:qFormat/>
    <w:uiPriority w:val="99"/>
  </w:style>
  <w:style w:type="table" w:customStyle="1" w:styleId="185">
    <w:name w:val="Grid Table 1 Light - Accent 4"/>
    <w:basedOn w:val="69"/>
    <w:qFormat/>
    <w:uiPriority w:val="99"/>
  </w:style>
  <w:style w:type="table" w:customStyle="1" w:styleId="186">
    <w:name w:val="Grid Table 1 Light - Accent 5"/>
    <w:basedOn w:val="69"/>
    <w:qFormat/>
    <w:uiPriority w:val="99"/>
  </w:style>
  <w:style w:type="table" w:customStyle="1" w:styleId="187">
    <w:name w:val="Grid Table 1 Light - Accent 6"/>
    <w:basedOn w:val="69"/>
    <w:qFormat/>
    <w:uiPriority w:val="99"/>
  </w:style>
  <w:style w:type="table" w:customStyle="1" w:styleId="188">
    <w:name w:val="网格表 21"/>
    <w:basedOn w:val="69"/>
    <w:qFormat/>
    <w:uiPriority w:val="99"/>
  </w:style>
  <w:style w:type="table" w:customStyle="1" w:styleId="189">
    <w:name w:val="Grid Table 2 - Accent 1"/>
    <w:basedOn w:val="69"/>
    <w:qFormat/>
    <w:uiPriority w:val="99"/>
  </w:style>
  <w:style w:type="table" w:customStyle="1" w:styleId="190">
    <w:name w:val="Grid Table 2 - Accent 2"/>
    <w:basedOn w:val="69"/>
    <w:qFormat/>
    <w:uiPriority w:val="99"/>
  </w:style>
  <w:style w:type="table" w:customStyle="1" w:styleId="191">
    <w:name w:val="Grid Table 2 - Accent 3"/>
    <w:basedOn w:val="69"/>
    <w:qFormat/>
    <w:uiPriority w:val="99"/>
  </w:style>
  <w:style w:type="table" w:customStyle="1" w:styleId="192">
    <w:name w:val="Grid Table 2 - Accent 4"/>
    <w:basedOn w:val="69"/>
    <w:qFormat/>
    <w:uiPriority w:val="99"/>
  </w:style>
  <w:style w:type="table" w:customStyle="1" w:styleId="193">
    <w:name w:val="Grid Table 2 - Accent 5"/>
    <w:basedOn w:val="69"/>
    <w:qFormat/>
    <w:uiPriority w:val="99"/>
  </w:style>
  <w:style w:type="table" w:customStyle="1" w:styleId="194">
    <w:name w:val="Grid Table 2 - Accent 6"/>
    <w:basedOn w:val="69"/>
    <w:qFormat/>
    <w:uiPriority w:val="99"/>
  </w:style>
  <w:style w:type="table" w:customStyle="1" w:styleId="195">
    <w:name w:val="网格表 31"/>
    <w:basedOn w:val="69"/>
    <w:qFormat/>
    <w:uiPriority w:val="99"/>
  </w:style>
  <w:style w:type="table" w:customStyle="1" w:styleId="196">
    <w:name w:val="Grid Table 3 - Accent 1"/>
    <w:basedOn w:val="69"/>
    <w:qFormat/>
    <w:uiPriority w:val="99"/>
  </w:style>
  <w:style w:type="table" w:customStyle="1" w:styleId="197">
    <w:name w:val="Grid Table 3 - Accent 2"/>
    <w:basedOn w:val="69"/>
    <w:qFormat/>
    <w:uiPriority w:val="99"/>
  </w:style>
  <w:style w:type="table" w:customStyle="1" w:styleId="198">
    <w:name w:val="Grid Table 3 - Accent 3"/>
    <w:basedOn w:val="69"/>
    <w:qFormat/>
    <w:uiPriority w:val="99"/>
  </w:style>
  <w:style w:type="table" w:customStyle="1" w:styleId="199">
    <w:name w:val="Grid Table 3 - Accent 4"/>
    <w:basedOn w:val="69"/>
    <w:qFormat/>
    <w:uiPriority w:val="99"/>
  </w:style>
  <w:style w:type="table" w:customStyle="1" w:styleId="200">
    <w:name w:val="Grid Table 3 - Accent 5"/>
    <w:basedOn w:val="69"/>
    <w:qFormat/>
    <w:uiPriority w:val="99"/>
  </w:style>
  <w:style w:type="table" w:customStyle="1" w:styleId="201">
    <w:name w:val="Grid Table 3 - Accent 6"/>
    <w:basedOn w:val="69"/>
    <w:qFormat/>
    <w:uiPriority w:val="99"/>
  </w:style>
  <w:style w:type="table" w:customStyle="1" w:styleId="202">
    <w:name w:val="网格表 41"/>
    <w:basedOn w:val="69"/>
    <w:qFormat/>
    <w:uiPriority w:val="59"/>
  </w:style>
  <w:style w:type="table" w:customStyle="1" w:styleId="203">
    <w:name w:val="Grid Table 4 - Accent 1"/>
    <w:basedOn w:val="69"/>
    <w:qFormat/>
    <w:uiPriority w:val="59"/>
  </w:style>
  <w:style w:type="table" w:customStyle="1" w:styleId="204">
    <w:name w:val="Grid Table 4 - Accent 2"/>
    <w:basedOn w:val="69"/>
    <w:qFormat/>
    <w:uiPriority w:val="59"/>
  </w:style>
  <w:style w:type="table" w:customStyle="1" w:styleId="205">
    <w:name w:val="Grid Table 4 - Accent 3"/>
    <w:basedOn w:val="69"/>
    <w:qFormat/>
    <w:uiPriority w:val="59"/>
  </w:style>
  <w:style w:type="table" w:customStyle="1" w:styleId="206">
    <w:name w:val="Grid Table 4 - Accent 4"/>
    <w:basedOn w:val="69"/>
    <w:qFormat/>
    <w:uiPriority w:val="59"/>
  </w:style>
  <w:style w:type="table" w:customStyle="1" w:styleId="207">
    <w:name w:val="Grid Table 4 - Accent 5"/>
    <w:basedOn w:val="69"/>
    <w:qFormat/>
    <w:uiPriority w:val="59"/>
  </w:style>
  <w:style w:type="table" w:customStyle="1" w:styleId="208">
    <w:name w:val="Grid Table 4 - Accent 6"/>
    <w:basedOn w:val="69"/>
    <w:qFormat/>
    <w:uiPriority w:val="59"/>
  </w:style>
  <w:style w:type="table" w:customStyle="1" w:styleId="209">
    <w:name w:val="网格表 5 深色1"/>
    <w:basedOn w:val="69"/>
    <w:qFormat/>
    <w:uiPriority w:val="99"/>
  </w:style>
  <w:style w:type="table" w:customStyle="1" w:styleId="210">
    <w:name w:val="Grid Table 5 Dark- Accent 1"/>
    <w:basedOn w:val="69"/>
    <w:qFormat/>
    <w:uiPriority w:val="99"/>
  </w:style>
  <w:style w:type="table" w:customStyle="1" w:styleId="211">
    <w:name w:val="Grid Table 5 Dark - Accent 2"/>
    <w:basedOn w:val="69"/>
    <w:qFormat/>
    <w:uiPriority w:val="99"/>
  </w:style>
  <w:style w:type="table" w:customStyle="1" w:styleId="212">
    <w:name w:val="Grid Table 5 Dark - Accent 3"/>
    <w:basedOn w:val="69"/>
    <w:qFormat/>
    <w:uiPriority w:val="99"/>
  </w:style>
  <w:style w:type="table" w:customStyle="1" w:styleId="213">
    <w:name w:val="Grid Table 5 Dark- Accent 4"/>
    <w:basedOn w:val="69"/>
    <w:qFormat/>
    <w:uiPriority w:val="99"/>
  </w:style>
  <w:style w:type="table" w:customStyle="1" w:styleId="214">
    <w:name w:val="Grid Table 5 Dark - Accent 5"/>
    <w:basedOn w:val="69"/>
    <w:qFormat/>
    <w:uiPriority w:val="99"/>
  </w:style>
  <w:style w:type="table" w:customStyle="1" w:styleId="215">
    <w:name w:val="Grid Table 5 Dark - Accent 6"/>
    <w:basedOn w:val="69"/>
    <w:qFormat/>
    <w:uiPriority w:val="99"/>
  </w:style>
  <w:style w:type="table" w:customStyle="1" w:styleId="216">
    <w:name w:val="网格表 6 彩色1"/>
    <w:basedOn w:val="69"/>
    <w:qFormat/>
    <w:uiPriority w:val="99"/>
  </w:style>
  <w:style w:type="table" w:customStyle="1" w:styleId="217">
    <w:name w:val="Grid Table 6 Colorful - Accent 1"/>
    <w:basedOn w:val="69"/>
    <w:qFormat/>
    <w:uiPriority w:val="99"/>
  </w:style>
  <w:style w:type="table" w:customStyle="1" w:styleId="218">
    <w:name w:val="Grid Table 6 Colorful - Accent 2"/>
    <w:basedOn w:val="69"/>
    <w:qFormat/>
    <w:uiPriority w:val="99"/>
  </w:style>
  <w:style w:type="table" w:customStyle="1" w:styleId="219">
    <w:name w:val="Grid Table 6 Colorful - Accent 3"/>
    <w:basedOn w:val="69"/>
    <w:qFormat/>
    <w:uiPriority w:val="99"/>
  </w:style>
  <w:style w:type="table" w:customStyle="1" w:styleId="220">
    <w:name w:val="Grid Table 6 Colorful - Accent 4"/>
    <w:basedOn w:val="69"/>
    <w:qFormat/>
    <w:uiPriority w:val="99"/>
  </w:style>
  <w:style w:type="table" w:customStyle="1" w:styleId="221">
    <w:name w:val="Grid Table 6 Colorful - Accent 5"/>
    <w:basedOn w:val="69"/>
    <w:qFormat/>
    <w:uiPriority w:val="99"/>
  </w:style>
  <w:style w:type="table" w:customStyle="1" w:styleId="222">
    <w:name w:val="Grid Table 6 Colorful - Accent 6"/>
    <w:basedOn w:val="69"/>
    <w:qFormat/>
    <w:uiPriority w:val="99"/>
  </w:style>
  <w:style w:type="table" w:customStyle="1" w:styleId="223">
    <w:name w:val="网格表 7 彩色1"/>
    <w:basedOn w:val="69"/>
    <w:qFormat/>
    <w:uiPriority w:val="99"/>
  </w:style>
  <w:style w:type="table" w:customStyle="1" w:styleId="224">
    <w:name w:val="Grid Table 7 Colorful - Accent 1"/>
    <w:basedOn w:val="69"/>
    <w:qFormat/>
    <w:uiPriority w:val="99"/>
  </w:style>
  <w:style w:type="table" w:customStyle="1" w:styleId="225">
    <w:name w:val="Grid Table 7 Colorful - Accent 2"/>
    <w:basedOn w:val="69"/>
    <w:qFormat/>
    <w:uiPriority w:val="99"/>
  </w:style>
  <w:style w:type="table" w:customStyle="1" w:styleId="226">
    <w:name w:val="Grid Table 7 Colorful - Accent 3"/>
    <w:basedOn w:val="69"/>
    <w:qFormat/>
    <w:uiPriority w:val="99"/>
  </w:style>
  <w:style w:type="table" w:customStyle="1" w:styleId="227">
    <w:name w:val="Grid Table 7 Colorful - Accent 4"/>
    <w:basedOn w:val="69"/>
    <w:qFormat/>
    <w:uiPriority w:val="99"/>
  </w:style>
  <w:style w:type="table" w:customStyle="1" w:styleId="228">
    <w:name w:val="Grid Table 7 Colorful - Accent 5"/>
    <w:basedOn w:val="69"/>
    <w:qFormat/>
    <w:uiPriority w:val="99"/>
  </w:style>
  <w:style w:type="table" w:customStyle="1" w:styleId="229">
    <w:name w:val="Grid Table 7 Colorful - Accent 6"/>
    <w:basedOn w:val="69"/>
    <w:qFormat/>
    <w:uiPriority w:val="99"/>
  </w:style>
  <w:style w:type="table" w:customStyle="1" w:styleId="230">
    <w:name w:val="清单表 1 浅色1"/>
    <w:basedOn w:val="69"/>
    <w:qFormat/>
    <w:uiPriority w:val="99"/>
  </w:style>
  <w:style w:type="table" w:customStyle="1" w:styleId="231">
    <w:name w:val="List Table 1 Light - Accent 1"/>
    <w:basedOn w:val="69"/>
    <w:qFormat/>
    <w:uiPriority w:val="99"/>
  </w:style>
  <w:style w:type="table" w:customStyle="1" w:styleId="232">
    <w:name w:val="List Table 1 Light - Accent 2"/>
    <w:basedOn w:val="69"/>
    <w:qFormat/>
    <w:uiPriority w:val="99"/>
  </w:style>
  <w:style w:type="table" w:customStyle="1" w:styleId="233">
    <w:name w:val="List Table 1 Light - Accent 3"/>
    <w:basedOn w:val="69"/>
    <w:qFormat/>
    <w:uiPriority w:val="99"/>
  </w:style>
  <w:style w:type="table" w:customStyle="1" w:styleId="234">
    <w:name w:val="List Table 1 Light - Accent 4"/>
    <w:basedOn w:val="69"/>
    <w:qFormat/>
    <w:uiPriority w:val="99"/>
  </w:style>
  <w:style w:type="table" w:customStyle="1" w:styleId="235">
    <w:name w:val="List Table 1 Light - Accent 5"/>
    <w:basedOn w:val="69"/>
    <w:qFormat/>
    <w:uiPriority w:val="99"/>
  </w:style>
  <w:style w:type="table" w:customStyle="1" w:styleId="236">
    <w:name w:val="List Table 1 Light - Accent 6"/>
    <w:basedOn w:val="69"/>
    <w:qFormat/>
    <w:uiPriority w:val="99"/>
  </w:style>
  <w:style w:type="table" w:customStyle="1" w:styleId="237">
    <w:name w:val="清单表 21"/>
    <w:basedOn w:val="69"/>
    <w:qFormat/>
    <w:uiPriority w:val="99"/>
  </w:style>
  <w:style w:type="table" w:customStyle="1" w:styleId="238">
    <w:name w:val="List Table 2 - Accent 1"/>
    <w:basedOn w:val="69"/>
    <w:qFormat/>
    <w:uiPriority w:val="99"/>
  </w:style>
  <w:style w:type="table" w:customStyle="1" w:styleId="239">
    <w:name w:val="List Table 2 - Accent 2"/>
    <w:basedOn w:val="69"/>
    <w:qFormat/>
    <w:uiPriority w:val="99"/>
  </w:style>
  <w:style w:type="table" w:customStyle="1" w:styleId="240">
    <w:name w:val="List Table 2 - Accent 3"/>
    <w:basedOn w:val="69"/>
    <w:qFormat/>
    <w:uiPriority w:val="99"/>
  </w:style>
  <w:style w:type="table" w:customStyle="1" w:styleId="241">
    <w:name w:val="List Table 2 - Accent 4"/>
    <w:basedOn w:val="69"/>
    <w:qFormat/>
    <w:uiPriority w:val="99"/>
  </w:style>
  <w:style w:type="table" w:customStyle="1" w:styleId="242">
    <w:name w:val="List Table 2 - Accent 5"/>
    <w:basedOn w:val="69"/>
    <w:qFormat/>
    <w:uiPriority w:val="99"/>
  </w:style>
  <w:style w:type="table" w:customStyle="1" w:styleId="243">
    <w:name w:val="List Table 2 - Accent 6"/>
    <w:basedOn w:val="69"/>
    <w:qFormat/>
    <w:uiPriority w:val="99"/>
  </w:style>
  <w:style w:type="table" w:customStyle="1" w:styleId="244">
    <w:name w:val="清单表 31"/>
    <w:basedOn w:val="69"/>
    <w:qFormat/>
    <w:uiPriority w:val="99"/>
  </w:style>
  <w:style w:type="table" w:customStyle="1" w:styleId="245">
    <w:name w:val="List Table 3 - Accent 1"/>
    <w:basedOn w:val="69"/>
    <w:qFormat/>
    <w:uiPriority w:val="99"/>
  </w:style>
  <w:style w:type="table" w:customStyle="1" w:styleId="246">
    <w:name w:val="List Table 3 - Accent 2"/>
    <w:basedOn w:val="69"/>
    <w:qFormat/>
    <w:uiPriority w:val="99"/>
  </w:style>
  <w:style w:type="table" w:customStyle="1" w:styleId="247">
    <w:name w:val="List Table 3 - Accent 3"/>
    <w:basedOn w:val="69"/>
    <w:qFormat/>
    <w:uiPriority w:val="99"/>
  </w:style>
  <w:style w:type="table" w:customStyle="1" w:styleId="248">
    <w:name w:val="List Table 3 - Accent 4"/>
    <w:basedOn w:val="69"/>
    <w:qFormat/>
    <w:uiPriority w:val="99"/>
  </w:style>
  <w:style w:type="table" w:customStyle="1" w:styleId="249">
    <w:name w:val="List Table 3 - Accent 5"/>
    <w:basedOn w:val="69"/>
    <w:qFormat/>
    <w:uiPriority w:val="99"/>
  </w:style>
  <w:style w:type="table" w:customStyle="1" w:styleId="250">
    <w:name w:val="List Table 3 - Accent 6"/>
    <w:basedOn w:val="69"/>
    <w:qFormat/>
    <w:uiPriority w:val="99"/>
  </w:style>
  <w:style w:type="table" w:customStyle="1" w:styleId="251">
    <w:name w:val="清单表 41"/>
    <w:basedOn w:val="69"/>
    <w:qFormat/>
    <w:uiPriority w:val="99"/>
  </w:style>
  <w:style w:type="table" w:customStyle="1" w:styleId="252">
    <w:name w:val="List Table 4 - Accent 1"/>
    <w:basedOn w:val="69"/>
    <w:qFormat/>
    <w:uiPriority w:val="99"/>
  </w:style>
  <w:style w:type="table" w:customStyle="1" w:styleId="253">
    <w:name w:val="List Table 4 - Accent 2"/>
    <w:basedOn w:val="69"/>
    <w:qFormat/>
    <w:uiPriority w:val="99"/>
  </w:style>
  <w:style w:type="table" w:customStyle="1" w:styleId="254">
    <w:name w:val="List Table 4 - Accent 3"/>
    <w:basedOn w:val="69"/>
    <w:qFormat/>
    <w:uiPriority w:val="99"/>
  </w:style>
  <w:style w:type="table" w:customStyle="1" w:styleId="255">
    <w:name w:val="List Table 4 - Accent 4"/>
    <w:basedOn w:val="69"/>
    <w:qFormat/>
    <w:uiPriority w:val="99"/>
  </w:style>
  <w:style w:type="table" w:customStyle="1" w:styleId="256">
    <w:name w:val="List Table 4 - Accent 5"/>
    <w:basedOn w:val="69"/>
    <w:qFormat/>
    <w:uiPriority w:val="99"/>
  </w:style>
  <w:style w:type="table" w:customStyle="1" w:styleId="257">
    <w:name w:val="List Table 4 - Accent 6"/>
    <w:basedOn w:val="69"/>
    <w:qFormat/>
    <w:uiPriority w:val="99"/>
  </w:style>
  <w:style w:type="table" w:customStyle="1" w:styleId="258">
    <w:name w:val="清单表 5 深色1"/>
    <w:basedOn w:val="69"/>
    <w:qFormat/>
    <w:uiPriority w:val="99"/>
  </w:style>
  <w:style w:type="table" w:customStyle="1" w:styleId="259">
    <w:name w:val="List Table 5 Dark - Accent 1"/>
    <w:basedOn w:val="69"/>
    <w:qFormat/>
    <w:uiPriority w:val="99"/>
  </w:style>
  <w:style w:type="table" w:customStyle="1" w:styleId="260">
    <w:name w:val="List Table 5 Dark - Accent 2"/>
    <w:basedOn w:val="69"/>
    <w:qFormat/>
    <w:uiPriority w:val="99"/>
  </w:style>
  <w:style w:type="table" w:customStyle="1" w:styleId="261">
    <w:name w:val="List Table 5 Dark - Accent 3"/>
    <w:basedOn w:val="69"/>
    <w:qFormat/>
    <w:uiPriority w:val="99"/>
  </w:style>
  <w:style w:type="table" w:customStyle="1" w:styleId="262">
    <w:name w:val="List Table 5 Dark - Accent 4"/>
    <w:basedOn w:val="69"/>
    <w:qFormat/>
    <w:uiPriority w:val="99"/>
  </w:style>
  <w:style w:type="table" w:customStyle="1" w:styleId="263">
    <w:name w:val="List Table 5 Dark - Accent 5"/>
    <w:basedOn w:val="69"/>
    <w:qFormat/>
    <w:uiPriority w:val="99"/>
  </w:style>
  <w:style w:type="table" w:customStyle="1" w:styleId="264">
    <w:name w:val="List Table 5 Dark - Accent 6"/>
    <w:basedOn w:val="69"/>
    <w:qFormat/>
    <w:uiPriority w:val="99"/>
  </w:style>
  <w:style w:type="table" w:customStyle="1" w:styleId="265">
    <w:name w:val="清单表 6 彩色1"/>
    <w:basedOn w:val="69"/>
    <w:qFormat/>
    <w:uiPriority w:val="99"/>
  </w:style>
  <w:style w:type="table" w:customStyle="1" w:styleId="266">
    <w:name w:val="List Table 6 Colorful - Accent 1"/>
    <w:basedOn w:val="69"/>
    <w:qFormat/>
    <w:uiPriority w:val="99"/>
  </w:style>
  <w:style w:type="table" w:customStyle="1" w:styleId="267">
    <w:name w:val="List Table 6 Colorful - Accent 2"/>
    <w:basedOn w:val="69"/>
    <w:qFormat/>
    <w:uiPriority w:val="99"/>
  </w:style>
  <w:style w:type="table" w:customStyle="1" w:styleId="268">
    <w:name w:val="List Table 6 Colorful - Accent 3"/>
    <w:basedOn w:val="69"/>
    <w:qFormat/>
    <w:uiPriority w:val="99"/>
  </w:style>
  <w:style w:type="table" w:customStyle="1" w:styleId="269">
    <w:name w:val="List Table 6 Colorful - Accent 4"/>
    <w:basedOn w:val="69"/>
    <w:qFormat/>
    <w:uiPriority w:val="99"/>
  </w:style>
  <w:style w:type="table" w:customStyle="1" w:styleId="270">
    <w:name w:val="List Table 6 Colorful - Accent 5"/>
    <w:basedOn w:val="69"/>
    <w:qFormat/>
    <w:uiPriority w:val="99"/>
  </w:style>
  <w:style w:type="table" w:customStyle="1" w:styleId="271">
    <w:name w:val="List Table 6 Colorful - Accent 6"/>
    <w:basedOn w:val="69"/>
    <w:qFormat/>
    <w:uiPriority w:val="99"/>
  </w:style>
  <w:style w:type="table" w:customStyle="1" w:styleId="272">
    <w:name w:val="清单表 7 彩色1"/>
    <w:basedOn w:val="69"/>
    <w:qFormat/>
    <w:uiPriority w:val="99"/>
  </w:style>
  <w:style w:type="table" w:customStyle="1" w:styleId="273">
    <w:name w:val="List Table 7 Colorful - Accent 1"/>
    <w:basedOn w:val="69"/>
    <w:qFormat/>
    <w:uiPriority w:val="99"/>
  </w:style>
  <w:style w:type="table" w:customStyle="1" w:styleId="274">
    <w:name w:val="List Table 7 Colorful - Accent 2"/>
    <w:basedOn w:val="69"/>
    <w:qFormat/>
    <w:uiPriority w:val="99"/>
  </w:style>
  <w:style w:type="table" w:customStyle="1" w:styleId="275">
    <w:name w:val="List Table 7 Colorful - Accent 3"/>
    <w:basedOn w:val="69"/>
    <w:qFormat/>
    <w:uiPriority w:val="99"/>
  </w:style>
  <w:style w:type="table" w:customStyle="1" w:styleId="276">
    <w:name w:val="List Table 7 Colorful - Accent 4"/>
    <w:basedOn w:val="69"/>
    <w:qFormat/>
    <w:uiPriority w:val="99"/>
  </w:style>
  <w:style w:type="table" w:customStyle="1" w:styleId="277">
    <w:name w:val="List Table 7 Colorful - Accent 5"/>
    <w:basedOn w:val="69"/>
    <w:qFormat/>
    <w:uiPriority w:val="99"/>
  </w:style>
  <w:style w:type="table" w:customStyle="1" w:styleId="278">
    <w:name w:val="List Table 7 Colorful - Accent 6"/>
    <w:basedOn w:val="69"/>
    <w:qFormat/>
    <w:uiPriority w:val="99"/>
  </w:style>
  <w:style w:type="table" w:customStyle="1" w:styleId="279">
    <w:name w:val="Lined - Accent"/>
    <w:basedOn w:val="69"/>
    <w:qFormat/>
    <w:uiPriority w:val="99"/>
    <w:rPr>
      <w:color w:val="404040"/>
    </w:rPr>
  </w:style>
  <w:style w:type="table" w:customStyle="1" w:styleId="280">
    <w:name w:val="Lined - Accent 1"/>
    <w:basedOn w:val="69"/>
    <w:qFormat/>
    <w:uiPriority w:val="99"/>
    <w:rPr>
      <w:color w:val="404040"/>
    </w:rPr>
  </w:style>
  <w:style w:type="table" w:customStyle="1" w:styleId="281">
    <w:name w:val="Lined - Accent 2"/>
    <w:basedOn w:val="69"/>
    <w:qFormat/>
    <w:uiPriority w:val="99"/>
    <w:rPr>
      <w:color w:val="404040"/>
    </w:rPr>
  </w:style>
  <w:style w:type="table" w:customStyle="1" w:styleId="282">
    <w:name w:val="Lined - Accent 3"/>
    <w:basedOn w:val="69"/>
    <w:qFormat/>
    <w:uiPriority w:val="99"/>
    <w:rPr>
      <w:color w:val="404040"/>
    </w:rPr>
  </w:style>
  <w:style w:type="table" w:customStyle="1" w:styleId="283">
    <w:name w:val="Lined - Accent 4"/>
    <w:basedOn w:val="69"/>
    <w:qFormat/>
    <w:uiPriority w:val="99"/>
    <w:rPr>
      <w:color w:val="404040"/>
    </w:rPr>
  </w:style>
  <w:style w:type="table" w:customStyle="1" w:styleId="284">
    <w:name w:val="Lined - Accent 5"/>
    <w:basedOn w:val="69"/>
    <w:qFormat/>
    <w:uiPriority w:val="99"/>
    <w:rPr>
      <w:color w:val="404040"/>
    </w:rPr>
  </w:style>
  <w:style w:type="table" w:customStyle="1" w:styleId="285">
    <w:name w:val="Lined - Accent 6"/>
    <w:basedOn w:val="69"/>
    <w:qFormat/>
    <w:uiPriority w:val="99"/>
    <w:rPr>
      <w:color w:val="404040"/>
    </w:rPr>
  </w:style>
  <w:style w:type="table" w:customStyle="1" w:styleId="286">
    <w:name w:val="Bordered &amp; Lined - Accent"/>
    <w:basedOn w:val="69"/>
    <w:qFormat/>
    <w:uiPriority w:val="99"/>
    <w:rPr>
      <w:color w:val="404040"/>
    </w:rPr>
  </w:style>
  <w:style w:type="table" w:customStyle="1" w:styleId="287">
    <w:name w:val="Bordered &amp; Lined - Accent 1"/>
    <w:basedOn w:val="69"/>
    <w:qFormat/>
    <w:uiPriority w:val="99"/>
    <w:rPr>
      <w:color w:val="404040"/>
    </w:rPr>
  </w:style>
  <w:style w:type="table" w:customStyle="1" w:styleId="288">
    <w:name w:val="Bordered &amp; Lined - Accent 2"/>
    <w:basedOn w:val="69"/>
    <w:qFormat/>
    <w:uiPriority w:val="99"/>
    <w:rPr>
      <w:color w:val="404040"/>
    </w:rPr>
  </w:style>
  <w:style w:type="table" w:customStyle="1" w:styleId="289">
    <w:name w:val="Bordered &amp; Lined - Accent 3"/>
    <w:basedOn w:val="69"/>
    <w:qFormat/>
    <w:uiPriority w:val="99"/>
    <w:rPr>
      <w:color w:val="404040"/>
    </w:rPr>
  </w:style>
  <w:style w:type="table" w:customStyle="1" w:styleId="290">
    <w:name w:val="Bordered &amp; Lined - Accent 4"/>
    <w:basedOn w:val="69"/>
    <w:qFormat/>
    <w:uiPriority w:val="99"/>
    <w:rPr>
      <w:color w:val="404040"/>
    </w:rPr>
  </w:style>
  <w:style w:type="table" w:customStyle="1" w:styleId="291">
    <w:name w:val="Bordered &amp; Lined - Accent 5"/>
    <w:basedOn w:val="69"/>
    <w:qFormat/>
    <w:uiPriority w:val="99"/>
    <w:rPr>
      <w:color w:val="404040"/>
    </w:rPr>
  </w:style>
  <w:style w:type="table" w:customStyle="1" w:styleId="292">
    <w:name w:val="Bordered &amp; Lined - Accent 6"/>
    <w:basedOn w:val="69"/>
    <w:qFormat/>
    <w:uiPriority w:val="99"/>
    <w:rPr>
      <w:color w:val="404040"/>
    </w:rPr>
  </w:style>
  <w:style w:type="table" w:customStyle="1" w:styleId="293">
    <w:name w:val="Bordered"/>
    <w:basedOn w:val="69"/>
    <w:qFormat/>
    <w:uiPriority w:val="99"/>
  </w:style>
  <w:style w:type="table" w:customStyle="1" w:styleId="294">
    <w:name w:val="Bordered - Accent 1"/>
    <w:basedOn w:val="69"/>
    <w:qFormat/>
    <w:uiPriority w:val="99"/>
  </w:style>
  <w:style w:type="table" w:customStyle="1" w:styleId="295">
    <w:name w:val="Bordered - Accent 2"/>
    <w:basedOn w:val="69"/>
    <w:qFormat/>
    <w:uiPriority w:val="99"/>
  </w:style>
  <w:style w:type="table" w:customStyle="1" w:styleId="296">
    <w:name w:val="Bordered - Accent 3"/>
    <w:basedOn w:val="69"/>
    <w:qFormat/>
    <w:uiPriority w:val="99"/>
  </w:style>
  <w:style w:type="table" w:customStyle="1" w:styleId="297">
    <w:name w:val="Bordered - Accent 4"/>
    <w:basedOn w:val="69"/>
    <w:qFormat/>
    <w:uiPriority w:val="99"/>
  </w:style>
  <w:style w:type="table" w:customStyle="1" w:styleId="298">
    <w:name w:val="Bordered - Accent 5"/>
    <w:basedOn w:val="69"/>
    <w:qFormat/>
    <w:uiPriority w:val="99"/>
  </w:style>
  <w:style w:type="table" w:customStyle="1" w:styleId="299">
    <w:name w:val="Bordered - Accent 6"/>
    <w:basedOn w:val="69"/>
    <w:qFormat/>
    <w:uiPriority w:val="99"/>
  </w:style>
  <w:style w:type="paragraph" w:customStyle="1" w:styleId="300">
    <w:name w:val="TOC 标题1"/>
    <w:unhideWhenUsed/>
    <w:qFormat/>
    <w:uiPriority w:val="39"/>
    <w:rPr>
      <w:rFonts w:hint="default" w:ascii="Times New Roman" w:hAnsi="Times New Roman" w:eastAsia="宋体" w:cs="Times New Roman"/>
      <w:lang w:val="en-US" w:eastAsia="zh-CN" w:bidi="ar-SA"/>
    </w:rPr>
  </w:style>
  <w:style w:type="paragraph" w:customStyle="1" w:styleId="301">
    <w:name w:val="段"/>
    <w:next w:val="1"/>
    <w:qFormat/>
    <w:uiPriority w:val="0"/>
    <w:pPr>
      <w:spacing w:line="360" w:lineRule="auto"/>
      <w:ind w:firstLine="200"/>
      <w:jc w:val="both"/>
    </w:pPr>
    <w:rPr>
      <w:rFonts w:hint="default" w:ascii="宋体" w:hAnsi="Times New Roman" w:eastAsia="宋体" w:cs="Times New Roman"/>
      <w:sz w:val="24"/>
      <w:szCs w:val="22"/>
      <w:lang w:val="en-US" w:eastAsia="zh-CN" w:bidi="ar-SA"/>
    </w:rPr>
  </w:style>
  <w:style w:type="character" w:customStyle="1" w:styleId="302">
    <w:name w:val="point_normal1"/>
    <w:link w:val="1"/>
    <w:qFormat/>
    <w:uiPriority w:val="99"/>
    <w:rPr>
      <w:rFonts w:ascii="Arial" w:hAnsi="Arial" w:cs="Arial"/>
      <w:sz w:val="18"/>
      <w:szCs w:val="18"/>
    </w:rPr>
  </w:style>
  <w:style w:type="character" w:customStyle="1" w:styleId="303">
    <w:name w:val="15"/>
    <w:link w:val="1"/>
    <w:qFormat/>
    <w:uiPriority w:val="0"/>
    <w:rPr>
      <w:rFonts w:ascii="Times New Roman" w:hAnsi="Times New Roman" w:eastAsia="宋体" w:cs="Times New Roman"/>
    </w:rPr>
  </w:style>
  <w:style w:type="character" w:customStyle="1" w:styleId="304">
    <w:name w:val="二级目录 Char"/>
    <w:link w:val="305"/>
    <w:qFormat/>
    <w:uiPriority w:val="99"/>
    <w:rPr>
      <w:b/>
      <w:sz w:val="30"/>
      <w:szCs w:val="28"/>
    </w:rPr>
  </w:style>
  <w:style w:type="paragraph" w:customStyle="1" w:styleId="305">
    <w:name w:val="二级目录"/>
    <w:next w:val="1"/>
    <w:link w:val="304"/>
    <w:qFormat/>
    <w:uiPriority w:val="99"/>
    <w:pPr>
      <w:tabs>
        <w:tab w:val="left" w:pos="720"/>
      </w:tabs>
      <w:ind w:left="567" w:hanging="567"/>
      <w:outlineLvl w:val="1"/>
    </w:pPr>
    <w:rPr>
      <w:rFonts w:hint="default" w:ascii="Times New Roman" w:hAnsi="Times New Roman" w:eastAsia="宋体" w:cs="Times New Roman"/>
      <w:b/>
      <w:sz w:val="30"/>
      <w:szCs w:val="28"/>
      <w:lang w:val="en-US" w:eastAsia="zh-CN" w:bidi="ar-SA"/>
    </w:rPr>
  </w:style>
  <w:style w:type="character" w:customStyle="1" w:styleId="306">
    <w:name w:val="副标题 Char2"/>
    <w:link w:val="1"/>
    <w:qFormat/>
    <w:uiPriority w:val="11"/>
    <w:rPr>
      <w:rFonts w:ascii="Calibri Light" w:hAnsi="Calibri Light" w:cs="Times New Roman"/>
      <w:b/>
      <w:bCs/>
      <w:sz w:val="32"/>
      <w:szCs w:val="32"/>
    </w:rPr>
  </w:style>
  <w:style w:type="character" w:customStyle="1" w:styleId="307">
    <w:name w:val="正文2 Char"/>
    <w:link w:val="308"/>
    <w:qFormat/>
    <w:uiPriority w:val="0"/>
    <w:rPr>
      <w:sz w:val="24"/>
    </w:rPr>
  </w:style>
  <w:style w:type="paragraph" w:customStyle="1" w:styleId="308">
    <w:name w:val="正文2"/>
    <w:basedOn w:val="1"/>
    <w:link w:val="307"/>
    <w:qFormat/>
    <w:uiPriority w:val="0"/>
    <w:pPr>
      <w:spacing w:before="156" w:line="360" w:lineRule="auto"/>
      <w:ind w:firstLine="510"/>
    </w:pPr>
    <w:rPr>
      <w:sz w:val="24"/>
    </w:rPr>
  </w:style>
  <w:style w:type="character" w:customStyle="1" w:styleId="309">
    <w:name w:val="标题 3 Char"/>
    <w:link w:val="1"/>
    <w:qFormat/>
    <w:uiPriority w:val="99"/>
    <w:rPr>
      <w:rFonts w:ascii="宋体" w:hAnsi="宋体" w:eastAsia="宋体" w:cs="Times New Roman"/>
      <w:b/>
      <w:bCs/>
      <w:sz w:val="32"/>
      <w:szCs w:val="32"/>
      <w:lang w:val="en-US" w:eastAsia="zh-CN" w:bidi="ar-SA"/>
    </w:rPr>
  </w:style>
  <w:style w:type="character" w:customStyle="1" w:styleId="310">
    <w:name w:val="纯文本 Char1"/>
    <w:link w:val="1"/>
    <w:qFormat/>
    <w:uiPriority w:val="0"/>
    <w:rPr>
      <w:rFonts w:ascii="宋体" w:hAnsi="Courier New" w:eastAsia="宋体"/>
      <w:sz w:val="21"/>
      <w:lang w:val="en-US" w:eastAsia="zh-CN" w:bidi="ar-SA"/>
    </w:rPr>
  </w:style>
  <w:style w:type="character" w:customStyle="1" w:styleId="311">
    <w:name w:val="para_small"/>
    <w:link w:val="1"/>
    <w:qFormat/>
    <w:uiPriority w:val="99"/>
    <w:rPr>
      <w:rFonts w:cs="Times New Roman"/>
    </w:rPr>
  </w:style>
  <w:style w:type="character" w:customStyle="1" w:styleId="312">
    <w:name w:val="标题 Char3"/>
    <w:link w:val="1"/>
    <w:qFormat/>
    <w:uiPriority w:val="10"/>
    <w:rPr>
      <w:rFonts w:ascii="黑体" w:hAnsi="黑体" w:eastAsia="黑体"/>
      <w:b/>
      <w:bCs/>
      <w:sz w:val="24"/>
      <w:szCs w:val="32"/>
    </w:rPr>
  </w:style>
  <w:style w:type="paragraph" w:customStyle="1" w:styleId="313">
    <w:name w:val="样式"/>
    <w:basedOn w:val="1"/>
    <w:next w:val="92"/>
    <w:qFormat/>
    <w:uiPriority w:val="99"/>
    <w:rPr>
      <w:rFonts w:ascii="楷体_GB2312" w:hAnsi="Arial" w:eastAsia="楷体_GB2312"/>
      <w:sz w:val="28"/>
    </w:rPr>
  </w:style>
  <w:style w:type="paragraph" w:customStyle="1" w:styleId="314">
    <w:name w:val="xl11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color w:val="000000"/>
      <w:sz w:val="20"/>
    </w:rPr>
  </w:style>
  <w:style w:type="paragraph" w:customStyle="1" w:styleId="315">
    <w:name w:val="xl11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color w:val="000000"/>
      <w:sz w:val="20"/>
    </w:rPr>
  </w:style>
  <w:style w:type="paragraph" w:customStyle="1" w:styleId="316">
    <w:name w:val="普通正文"/>
    <w:basedOn w:val="1"/>
    <w:qFormat/>
    <w:uiPriority w:val="0"/>
    <w:pPr>
      <w:spacing w:before="120" w:after="120" w:line="360" w:lineRule="auto"/>
      <w:ind w:firstLine="480"/>
      <w:jc w:val="left"/>
    </w:pPr>
    <w:rPr>
      <w:rFonts w:ascii="Arial" w:hAnsi="Arial" w:cs="Arial"/>
      <w:sz w:val="24"/>
      <w:szCs w:val="24"/>
    </w:rPr>
  </w:style>
  <w:style w:type="paragraph" w:customStyle="1" w:styleId="317">
    <w:name w:val="Char Char Char Char Char Char Char Char Char Char Char Char Char"/>
    <w:basedOn w:val="85"/>
    <w:qFormat/>
    <w:uiPriority w:val="99"/>
    <w:rPr>
      <w:rFonts w:ascii="Tahoma" w:hAnsi="Tahoma"/>
      <w:sz w:val="24"/>
      <w:szCs w:val="24"/>
    </w:rPr>
  </w:style>
  <w:style w:type="paragraph" w:customStyle="1" w:styleId="318">
    <w:name w:val="丁华标题1"/>
    <w:basedOn w:val="58"/>
    <w:next w:val="319"/>
    <w:qFormat/>
    <w:uiPriority w:val="99"/>
    <w:pPr>
      <w:keepLines/>
      <w:numPr>
        <w:ilvl w:val="0"/>
        <w:numId w:val="2"/>
      </w:numPr>
      <w:spacing w:before="0" w:line="578" w:lineRule="auto"/>
      <w:ind w:firstLine="0"/>
      <w:jc w:val="left"/>
    </w:pPr>
    <w:rPr>
      <w:rFonts w:ascii="Times New Roman"/>
      <w:b w:val="0"/>
      <w:sz w:val="32"/>
    </w:rPr>
  </w:style>
  <w:style w:type="paragraph" w:customStyle="1" w:styleId="319">
    <w:name w:val="丁华正文"/>
    <w:basedOn w:val="124"/>
    <w:qFormat/>
    <w:uiPriority w:val="99"/>
    <w:pPr>
      <w:spacing w:line="360" w:lineRule="auto"/>
      <w:ind w:left="0" w:firstLine="510"/>
    </w:pPr>
    <w:rPr>
      <w:sz w:val="24"/>
    </w:rPr>
  </w:style>
  <w:style w:type="paragraph" w:customStyle="1" w:styleId="320">
    <w:name w:val="Bullets L1"/>
    <w:basedOn w:val="1"/>
    <w:qFormat/>
    <w:uiPriority w:val="99"/>
    <w:pPr>
      <w:widowControl/>
      <w:numPr>
        <w:ilvl w:val="0"/>
        <w:numId w:val="3"/>
      </w:numPr>
      <w:spacing w:before="60" w:after="60"/>
      <w:jc w:val="left"/>
    </w:pPr>
    <w:rPr>
      <w:rFonts w:ascii="Arial" w:hAnsi="Arial"/>
      <w:sz w:val="20"/>
    </w:rPr>
  </w:style>
  <w:style w:type="paragraph" w:customStyle="1" w:styleId="321">
    <w:name w:val="+正文"/>
    <w:basedOn w:val="1"/>
    <w:qFormat/>
    <w:uiPriority w:val="0"/>
    <w:pPr>
      <w:spacing w:line="360" w:lineRule="auto"/>
      <w:ind w:firstLine="200"/>
    </w:pPr>
    <w:rPr>
      <w:sz w:val="24"/>
      <w:szCs w:val="28"/>
    </w:rPr>
  </w:style>
  <w:style w:type="paragraph" w:customStyle="1" w:styleId="322">
    <w:name w:val="xl107"/>
    <w:basedOn w:val="1"/>
    <w:next w:val="81"/>
    <w:qFormat/>
    <w:uiPriority w:val="0"/>
    <w:pPr>
      <w:widowControl/>
      <w:spacing w:before="100" w:beforeAutospacing="1" w:after="100" w:afterAutospacing="1"/>
      <w:jc w:val="left"/>
    </w:pPr>
    <w:rPr>
      <w:rFonts w:ascii="Arial" w:hAnsi="Arial" w:cs="Arial"/>
      <w:sz w:val="20"/>
    </w:rPr>
  </w:style>
  <w:style w:type="paragraph" w:customStyle="1" w:styleId="323">
    <w:name w:val="xl11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center"/>
    </w:pPr>
    <w:rPr>
      <w:rFonts w:ascii="宋体" w:hAnsi="宋体" w:cs="宋体"/>
      <w:color w:val="000000"/>
      <w:sz w:val="20"/>
    </w:rPr>
  </w:style>
  <w:style w:type="paragraph" w:customStyle="1" w:styleId="324">
    <w:name w:val="默认段落字体 Para Char Char Char Char Char Char Char"/>
    <w:basedOn w:val="1"/>
    <w:qFormat/>
    <w:uiPriority w:val="99"/>
  </w:style>
  <w:style w:type="paragraph" w:customStyle="1" w:styleId="325">
    <w:name w:val="xl10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0"/>
    </w:rPr>
  </w:style>
  <w:style w:type="paragraph" w:customStyle="1" w:styleId="326">
    <w:name w:val="Table Paragraph"/>
    <w:basedOn w:val="1"/>
    <w:qFormat/>
    <w:uiPriority w:val="1"/>
    <w:rPr>
      <w:rFonts w:ascii="宋体" w:hAnsi="宋体" w:cs="宋体"/>
      <w:lang w:val="zh-CN" w:bidi="zh-CN"/>
    </w:rPr>
  </w:style>
  <w:style w:type="paragraph" w:customStyle="1" w:styleId="327">
    <w:name w:val="丁华标题2"/>
    <w:basedOn w:val="59"/>
    <w:next w:val="319"/>
    <w:qFormat/>
    <w:uiPriority w:val="99"/>
    <w:pPr>
      <w:numPr>
        <w:numId w:val="2"/>
      </w:numPr>
      <w:tabs>
        <w:tab w:val="left" w:pos="567"/>
        <w:tab w:val="left" w:pos="1004"/>
      </w:tabs>
      <w:spacing w:line="415" w:lineRule="auto"/>
    </w:pPr>
    <w:rPr>
      <w:rFonts w:ascii="Arial" w:hAnsi="Arial" w:eastAsia="黑体"/>
      <w:b w:val="0"/>
      <w:sz w:val="28"/>
      <w:szCs w:val="20"/>
    </w:rPr>
  </w:style>
  <w:style w:type="paragraph" w:customStyle="1" w:styleId="328">
    <w:name w:val="font5"/>
    <w:basedOn w:val="1"/>
    <w:qFormat/>
    <w:uiPriority w:val="0"/>
    <w:pPr>
      <w:widowControl/>
      <w:spacing w:before="100" w:beforeAutospacing="1" w:after="100" w:afterAutospacing="1"/>
      <w:jc w:val="left"/>
    </w:pPr>
    <w:rPr>
      <w:rFonts w:ascii="宋体" w:hAnsi="宋体" w:cs="宋体"/>
      <w:sz w:val="18"/>
      <w:szCs w:val="18"/>
    </w:rPr>
  </w:style>
  <w:style w:type="paragraph" w:customStyle="1" w:styleId="329">
    <w:name w:val="Char"/>
    <w:basedOn w:val="1"/>
    <w:qFormat/>
    <w:uiPriority w:val="0"/>
    <w:rPr>
      <w:rFonts w:ascii="Tahoma" w:hAnsi="Tahoma" w:cs="仿宋_GB2312"/>
      <w:sz w:val="24"/>
      <w:szCs w:val="28"/>
    </w:rPr>
  </w:style>
  <w:style w:type="paragraph" w:customStyle="1" w:styleId="330">
    <w:name w:val="列出段落1"/>
    <w:basedOn w:val="1"/>
    <w:qFormat/>
    <w:uiPriority w:val="99"/>
    <w:pPr>
      <w:widowControl/>
      <w:ind w:left="720"/>
      <w:contextualSpacing/>
      <w:jc w:val="left"/>
    </w:pPr>
    <w:rPr>
      <w:rFonts w:ascii="Arial" w:hAnsi="Arial" w:eastAsia="黑体"/>
      <w:sz w:val="24"/>
      <w:szCs w:val="24"/>
      <w:lang w:eastAsia="en-US"/>
    </w:rPr>
  </w:style>
  <w:style w:type="paragraph" w:customStyle="1" w:styleId="331">
    <w:name w:val="font7"/>
    <w:basedOn w:val="1"/>
    <w:qFormat/>
    <w:uiPriority w:val="0"/>
    <w:pPr>
      <w:widowControl/>
      <w:spacing w:before="100" w:beforeAutospacing="1" w:after="100" w:afterAutospacing="1"/>
      <w:jc w:val="left"/>
    </w:pPr>
    <w:rPr>
      <w:rFonts w:ascii="Arial" w:hAnsi="Arial" w:cs="Arial"/>
      <w:color w:val="000000"/>
      <w:sz w:val="20"/>
    </w:rPr>
  </w:style>
  <w:style w:type="paragraph" w:customStyle="1" w:styleId="332">
    <w:name w:val="xl111"/>
    <w:basedOn w:val="1"/>
    <w:next w:val="89"/>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w:hAnsi="Arial" w:cs="Arial"/>
      <w:color w:val="000000"/>
      <w:sz w:val="20"/>
    </w:rPr>
  </w:style>
  <w:style w:type="paragraph" w:customStyle="1" w:styleId="333">
    <w:name w:val="tableau"/>
    <w:basedOn w:val="1"/>
    <w:qFormat/>
    <w:uiPriority w:val="99"/>
    <w:pPr>
      <w:widowControl/>
      <w:spacing w:before="20" w:after="20"/>
      <w:jc w:val="center"/>
    </w:pPr>
    <w:rPr>
      <w:rFonts w:ascii="Arial" w:hAnsi="Arial"/>
      <w:sz w:val="16"/>
      <w:lang w:eastAsia="en-US"/>
    </w:rPr>
  </w:style>
  <w:style w:type="paragraph" w:customStyle="1" w:styleId="334">
    <w:name w:val="列出段落3"/>
    <w:basedOn w:val="1"/>
    <w:qFormat/>
    <w:uiPriority w:val="34"/>
    <w:pPr>
      <w:ind w:firstLine="420"/>
    </w:pPr>
  </w:style>
  <w:style w:type="paragraph" w:customStyle="1" w:styleId="335">
    <w:name w:val="Char1"/>
    <w:basedOn w:val="1"/>
    <w:qFormat/>
    <w:uiPriority w:val="99"/>
    <w:pPr>
      <w:widowControl/>
      <w:spacing w:after="160" w:line="240" w:lineRule="exact"/>
      <w:jc w:val="left"/>
    </w:pPr>
    <w:rPr>
      <w:rFonts w:ascii="Verdana" w:hAnsi="Verdana" w:eastAsia="仿宋_GB2312"/>
      <w:sz w:val="24"/>
      <w:lang w:eastAsia="en-US"/>
    </w:rPr>
  </w:style>
  <w:style w:type="paragraph" w:customStyle="1" w:styleId="336">
    <w:name w:val="Char Char Char"/>
    <w:basedOn w:val="85"/>
    <w:qFormat/>
    <w:uiPriority w:val="99"/>
    <w:pPr>
      <w:spacing w:line="436" w:lineRule="exact"/>
    </w:pPr>
    <w:rPr>
      <w:szCs w:val="24"/>
    </w:rPr>
  </w:style>
  <w:style w:type="paragraph" w:customStyle="1" w:styleId="337">
    <w:name w:val="xl10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w:hAnsi="Arial" w:cs="Arial"/>
      <w:color w:val="000000"/>
      <w:sz w:val="20"/>
    </w:rPr>
  </w:style>
  <w:style w:type="paragraph" w:customStyle="1" w:styleId="338">
    <w:name w:val="Char Char Char Char"/>
    <w:basedOn w:val="85"/>
    <w:qFormat/>
    <w:uiPriority w:val="99"/>
    <w:pPr>
      <w:spacing w:line="360" w:lineRule="auto"/>
    </w:pPr>
    <w:rPr>
      <w:rFonts w:ascii="Tahoma" w:hAnsi="Tahoma"/>
      <w:sz w:val="24"/>
      <w:szCs w:val="24"/>
    </w:rPr>
  </w:style>
  <w:style w:type="paragraph" w:customStyle="1" w:styleId="339">
    <w:name w:val="列表段落1"/>
    <w:basedOn w:val="1"/>
    <w:qFormat/>
    <w:uiPriority w:val="99"/>
    <w:pPr>
      <w:ind w:firstLine="420"/>
    </w:pPr>
  </w:style>
  <w:style w:type="paragraph" w:customStyle="1" w:styleId="340">
    <w:name w:val="List Paragraph1"/>
    <w:basedOn w:val="1"/>
    <w:qFormat/>
    <w:uiPriority w:val="99"/>
    <w:pPr>
      <w:ind w:firstLine="420"/>
    </w:pPr>
    <w:rPr>
      <w:szCs w:val="24"/>
    </w:rPr>
  </w:style>
  <w:style w:type="paragraph" w:customStyle="1" w:styleId="341">
    <w:name w:val="font6"/>
    <w:basedOn w:val="1"/>
    <w:qFormat/>
    <w:uiPriority w:val="0"/>
    <w:pPr>
      <w:widowControl/>
      <w:spacing w:before="100" w:beforeAutospacing="1" w:after="100" w:afterAutospacing="1"/>
      <w:jc w:val="left"/>
    </w:pPr>
    <w:rPr>
      <w:rFonts w:ascii="宋体" w:hAnsi="宋体" w:cs="宋体"/>
      <w:color w:val="000000"/>
      <w:sz w:val="20"/>
    </w:rPr>
  </w:style>
  <w:style w:type="paragraph" w:customStyle="1" w:styleId="342">
    <w:name w:val="xl25"/>
    <w:basedOn w:val="1"/>
    <w:qFormat/>
    <w:uiPriority w:val="99"/>
    <w:pPr>
      <w:widowControl/>
      <w:pBdr>
        <w:right w:val="single" w:color="000000" w:sz="4" w:space="0"/>
      </w:pBdr>
      <w:spacing w:before="100" w:beforeAutospacing="1" w:after="100" w:afterAutospacing="1"/>
      <w:jc w:val="center"/>
    </w:pPr>
    <w:rPr>
      <w:szCs w:val="21"/>
    </w:rPr>
  </w:style>
  <w:style w:type="paragraph" w:customStyle="1" w:styleId="343">
    <w:name w:val="丁华标题3"/>
    <w:basedOn w:val="327"/>
    <w:next w:val="319"/>
    <w:qFormat/>
    <w:uiPriority w:val="99"/>
    <w:pPr>
      <w:numPr>
        <w:ilvl w:val="0"/>
        <w:numId w:val="0"/>
      </w:numPr>
      <w:tabs>
        <w:tab w:val="left" w:pos="1470"/>
        <w:tab w:val="left" w:pos="1980"/>
      </w:tabs>
      <w:spacing w:after="0"/>
      <w:ind w:left="1980" w:hanging="420"/>
      <w:outlineLvl w:val="2"/>
    </w:pPr>
    <w:rPr>
      <w:sz w:val="24"/>
    </w:rPr>
  </w:style>
  <w:style w:type="paragraph" w:customStyle="1" w:styleId="344">
    <w:name w:val="模板正文"/>
    <w:basedOn w:val="1"/>
    <w:qFormat/>
    <w:uiPriority w:val="0"/>
    <w:pPr>
      <w:spacing w:before="120" w:line="360" w:lineRule="auto"/>
      <w:ind w:firstLine="200"/>
    </w:pPr>
    <w:rPr>
      <w:rFonts w:eastAsia="仿宋_GB2312"/>
      <w:sz w:val="24"/>
      <w:szCs w:val="21"/>
    </w:rPr>
  </w:style>
  <w:style w:type="paragraph" w:customStyle="1" w:styleId="345">
    <w:name w:val="msolistparagraph"/>
    <w:basedOn w:val="1"/>
    <w:qFormat/>
    <w:uiPriority w:val="99"/>
    <w:pPr>
      <w:ind w:firstLine="420"/>
    </w:pPr>
    <w:rPr>
      <w:rFonts w:ascii="Calibri" w:hAnsi="Calibri"/>
      <w:szCs w:val="22"/>
    </w:rPr>
  </w:style>
  <w:style w:type="paragraph" w:customStyle="1" w:styleId="346">
    <w:name w:val="首行缩进"/>
    <w:basedOn w:val="1"/>
    <w:qFormat/>
    <w:uiPriority w:val="0"/>
    <w:pPr>
      <w:ind w:firstLine="480"/>
    </w:pPr>
    <w:rPr>
      <w:rFonts w:ascii="Calibri" w:hAnsi="Calibri"/>
      <w:szCs w:val="21"/>
    </w:rPr>
  </w:style>
  <w:style w:type="paragraph" w:customStyle="1" w:styleId="347">
    <w:name w:val="retrait3"/>
    <w:basedOn w:val="1"/>
    <w:qFormat/>
    <w:uiPriority w:val="99"/>
    <w:pPr>
      <w:widowControl/>
      <w:spacing w:before="20" w:after="20"/>
      <w:ind w:left="851"/>
      <w:jc w:val="left"/>
    </w:pPr>
    <w:rPr>
      <w:rFonts w:ascii="Arial" w:hAnsi="Arial"/>
      <w:sz w:val="24"/>
    </w:rPr>
  </w:style>
  <w:style w:type="paragraph" w:customStyle="1" w:styleId="348">
    <w:name w:val="论文正文"/>
    <w:basedOn w:val="106"/>
    <w:qFormat/>
    <w:uiPriority w:val="99"/>
    <w:pPr>
      <w:spacing w:line="360" w:lineRule="auto"/>
      <w:ind w:left="0" w:firstLine="200"/>
      <w:jc w:val="left"/>
    </w:pPr>
    <w:rPr>
      <w:sz w:val="28"/>
      <w:szCs w:val="24"/>
    </w:rPr>
  </w:style>
  <w:style w:type="paragraph" w:customStyle="1" w:styleId="349">
    <w:name w:val="Item Step in Table"/>
    <w:qFormat/>
    <w:uiPriority w:val="99"/>
    <w:pPr>
      <w:numPr>
        <w:ilvl w:val="0"/>
        <w:numId w:val="4"/>
      </w:numPr>
      <w:spacing w:before="40" w:after="40"/>
      <w:jc w:val="both"/>
    </w:pPr>
    <w:rPr>
      <w:rFonts w:hint="default" w:ascii="Arial" w:hAnsi="Arial" w:eastAsia="宋体" w:cs="Arial"/>
      <w:sz w:val="18"/>
      <w:szCs w:val="18"/>
      <w:lang w:val="en-US" w:eastAsia="zh-CN" w:bidi="ar-SA"/>
    </w:rPr>
  </w:style>
  <w:style w:type="paragraph" w:customStyle="1" w:styleId="350">
    <w:name w:val="正文_0"/>
    <w:qFormat/>
    <w:uiPriority w:val="0"/>
    <w:pPr>
      <w:widowControl w:val="0"/>
      <w:spacing w:before="100" w:line="360" w:lineRule="auto"/>
      <w:jc w:val="both"/>
    </w:pPr>
    <w:rPr>
      <w:rFonts w:hint="default" w:ascii="Times New Roman" w:hAnsi="Times New Roman" w:eastAsia="Times New Roman" w:cs="Times New Roman"/>
      <w:sz w:val="21"/>
      <w:szCs w:val="22"/>
      <w:lang w:val="en-US" w:eastAsia="zh-CN" w:bidi="ar-SA"/>
    </w:rPr>
  </w:style>
  <w:style w:type="paragraph" w:customStyle="1" w:styleId="351">
    <w:name w:val="列出段落2"/>
    <w:basedOn w:val="1"/>
    <w:qFormat/>
    <w:uiPriority w:val="34"/>
    <w:pPr>
      <w:ind w:firstLine="420"/>
    </w:pPr>
  </w:style>
  <w:style w:type="paragraph" w:customStyle="1" w:styleId="352">
    <w:name w:val="zhang"/>
    <w:basedOn w:val="1"/>
    <w:qFormat/>
    <w:uiPriority w:val="0"/>
    <w:pPr>
      <w:spacing w:before="100" w:beforeAutospacing="1" w:after="100" w:afterAutospacing="1"/>
    </w:pPr>
    <w:rPr>
      <w:b/>
      <w:bCs/>
      <w:smallCaps/>
      <w:color w:val="000000"/>
      <w:sz w:val="20"/>
    </w:rPr>
  </w:style>
  <w:style w:type="paragraph" w:customStyle="1" w:styleId="353">
    <w:name w:val="_Style 145"/>
    <w:basedOn w:val="58"/>
    <w:next w:val="1"/>
    <w:qFormat/>
    <w:uiPriority w:val="39"/>
    <w:pPr>
      <w:keepLines/>
      <w:widowControl/>
      <w:tabs>
        <w:tab w:val="clear" w:pos="1440"/>
        <w:tab w:val="clear" w:pos="5670"/>
      </w:tabs>
      <w:spacing w:before="480" w:after="0" w:line="276" w:lineRule="auto"/>
      <w:ind w:firstLine="0"/>
      <w:jc w:val="left"/>
      <w:outlineLvl w:val="9"/>
    </w:pPr>
    <w:rPr>
      <w:rFonts w:ascii="Cambria" w:hAnsi="Cambria" w:eastAsia="宋体"/>
      <w:bCs/>
      <w:color w:val="365F91"/>
      <w:szCs w:val="28"/>
    </w:rPr>
  </w:style>
  <w:style w:type="paragraph" w:customStyle="1" w:styleId="354">
    <w:name w:val="列出段落4"/>
    <w:basedOn w:val="1"/>
    <w:qFormat/>
    <w:uiPriority w:val="34"/>
    <w:pPr>
      <w:ind w:firstLine="420"/>
    </w:pPr>
  </w:style>
  <w:style w:type="paragraph" w:customStyle="1" w:styleId="355">
    <w:name w:val="段落"/>
    <w:basedOn w:val="1"/>
    <w:qFormat/>
    <w:uiPriority w:val="99"/>
    <w:pPr>
      <w:spacing w:line="460" w:lineRule="exact"/>
      <w:ind w:firstLine="480"/>
    </w:pPr>
    <w:rPr>
      <w:sz w:val="24"/>
    </w:rPr>
  </w:style>
  <w:style w:type="paragraph" w:customStyle="1" w:styleId="356">
    <w:name w:val="默认段落字体 Para Char"/>
    <w:basedOn w:val="1"/>
    <w:qFormat/>
    <w:uiPriority w:val="99"/>
    <w:rPr>
      <w:sz w:val="24"/>
      <w:szCs w:val="24"/>
    </w:rPr>
  </w:style>
  <w:style w:type="paragraph" w:customStyle="1" w:styleId="357">
    <w:name w:val="表格1"/>
    <w:basedOn w:val="1"/>
    <w:qFormat/>
    <w:uiPriority w:val="99"/>
    <w:rPr>
      <w:rFonts w:ascii="宋体"/>
      <w:szCs w:val="21"/>
    </w:rPr>
  </w:style>
  <w:style w:type="paragraph" w:customStyle="1" w:styleId="358">
    <w:name w:val="Char Char Char Char Char Char Char Char Char Char Char1 Char Char Char1"/>
    <w:basedOn w:val="1"/>
    <w:semiHidden/>
    <w:qFormat/>
    <w:uiPriority w:val="99"/>
    <w:pPr>
      <w:ind w:firstLine="200"/>
      <w:jc w:val="left"/>
    </w:pPr>
    <w:rPr>
      <w:rFonts w:ascii="Tahoma" w:hAnsi="Tahoma"/>
      <w:sz w:val="24"/>
      <w:szCs w:val="24"/>
    </w:rPr>
  </w:style>
  <w:style w:type="paragraph" w:customStyle="1" w:styleId="359">
    <w:name w:val="Char Char2 Char Char"/>
    <w:basedOn w:val="85"/>
    <w:qFormat/>
    <w:uiPriority w:val="99"/>
    <w:pPr>
      <w:spacing w:line="436" w:lineRule="exact"/>
    </w:pPr>
    <w:rPr>
      <w:rFonts w:ascii="Tahoma" w:hAnsi="Tahoma"/>
      <w:sz w:val="24"/>
    </w:rPr>
  </w:style>
  <w:style w:type="paragraph" w:customStyle="1" w:styleId="360">
    <w:name w:val="p0"/>
    <w:basedOn w:val="1"/>
    <w:qFormat/>
    <w:uiPriority w:val="99"/>
    <w:pPr>
      <w:widowControl/>
    </w:pPr>
    <w:rPr>
      <w:szCs w:val="21"/>
    </w:rPr>
  </w:style>
  <w:style w:type="paragraph" w:customStyle="1" w:styleId="361">
    <w:name w:val="xl11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color w:val="000000"/>
      <w:sz w:val="20"/>
    </w:rPr>
  </w:style>
  <w:style w:type="paragraph" w:customStyle="1" w:styleId="362">
    <w:name w:val="_Style 154"/>
    <w:unhideWhenUsed/>
    <w:qFormat/>
    <w:uiPriority w:val="99"/>
    <w:rPr>
      <w:rFonts w:hint="default" w:ascii="Times New Roman" w:hAnsi="Times New Roman" w:eastAsia="宋体" w:cs="Times New Roman"/>
      <w:sz w:val="21"/>
      <w:lang w:val="en-US" w:eastAsia="zh-CN" w:bidi="ar-SA"/>
    </w:rPr>
  </w:style>
  <w:style w:type="paragraph" w:customStyle="1" w:styleId="363">
    <w:name w:val="xl11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w:hAnsi="Arial" w:cs="Arial"/>
      <w:b/>
      <w:bCs/>
      <w:color w:val="000000"/>
      <w:sz w:val="20"/>
    </w:rPr>
  </w:style>
  <w:style w:type="paragraph" w:styleId="364">
    <w:name w:val="List Paragraph"/>
    <w:basedOn w:val="1"/>
    <w:qFormat/>
    <w:uiPriority w:val="99"/>
    <w:pPr>
      <w:ind w:firstLine="420"/>
    </w:pPr>
    <w:rPr>
      <w:rFonts w:ascii="Calibri" w:hAnsi="Calibri"/>
      <w:szCs w:val="22"/>
    </w:rPr>
  </w:style>
  <w:style w:type="paragraph" w:customStyle="1" w:styleId="365">
    <w:name w:val="正文1"/>
    <w:qFormat/>
    <w:uiPriority w:val="0"/>
    <w:pPr>
      <w:widowControl w:val="0"/>
      <w:jc w:val="both"/>
    </w:pPr>
    <w:rPr>
      <w:rFonts w:hint="default" w:ascii="Times New Roman" w:hAnsi="Times New Roman" w:eastAsia="Times New Roman" w:cs="Times New Roman"/>
      <w:sz w:val="21"/>
      <w:szCs w:val="22"/>
      <w:lang w:val="en-US" w:eastAsia="zh-CN" w:bidi="ar-SA"/>
    </w:rPr>
  </w:style>
  <w:style w:type="paragraph" w:customStyle="1" w:styleId="366">
    <w:name w:val="标题6"/>
    <w:basedOn w:val="63"/>
    <w:qFormat/>
    <w:uiPriority w:val="99"/>
    <w:pPr>
      <w:keepLines/>
      <w:numPr>
        <w:ilvl w:val="0"/>
        <w:numId w:val="5"/>
      </w:numPr>
    </w:pPr>
    <w:rPr>
      <w:b w:val="0"/>
      <w:sz w:val="24"/>
    </w:rPr>
  </w:style>
  <w:style w:type="paragraph" w:customStyle="1" w:styleId="367">
    <w:name w:val="Normal_0"/>
    <w:basedOn w:val="1"/>
    <w:qFormat/>
    <w:uiPriority w:val="0"/>
    <w:rPr>
      <w:rFonts w:eastAsia="Times New Roman"/>
      <w:sz w:val="24"/>
      <w:szCs w:val="24"/>
    </w:rPr>
  </w:style>
  <w:style w:type="paragraph" w:customStyle="1" w:styleId="368">
    <w:name w:val="xl11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0"/>
    </w:rPr>
  </w:style>
  <w:style w:type="paragraph" w:customStyle="1" w:styleId="369">
    <w:name w:val="Heading 3_0"/>
    <w:basedOn w:val="367"/>
    <w:next w:val="367"/>
    <w:qFormat/>
    <w:uiPriority w:val="0"/>
    <w:pPr>
      <w:keepNext/>
      <w:keepLines/>
      <w:spacing w:after="100" w:afterAutospacing="1"/>
      <w:outlineLvl w:val="2"/>
    </w:pPr>
    <w:rPr>
      <w:rFonts w:ascii="宋体" w:hAnsi="宋体" w:cs="宋体"/>
    </w:rPr>
  </w:style>
  <w:style w:type="paragraph" w:customStyle="1" w:styleId="370">
    <w:name w:val="xl11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center"/>
    </w:pPr>
    <w:rPr>
      <w:rFonts w:ascii="宋体" w:hAnsi="宋体" w:cs="宋体"/>
      <w:b/>
      <w:bCs/>
      <w:color w:val="000000"/>
      <w:sz w:val="20"/>
    </w:rPr>
  </w:style>
  <w:style w:type="paragraph" w:customStyle="1" w:styleId="371">
    <w:name w:val="样式2"/>
    <w:basedOn w:val="59"/>
    <w:next w:val="59"/>
    <w:qFormat/>
    <w:uiPriority w:val="0"/>
    <w:pPr>
      <w:tabs>
        <w:tab w:val="left" w:pos="5250"/>
      </w:tabs>
      <w:spacing w:line="400" w:lineRule="exact"/>
      <w:outlineLvl w:val="0"/>
    </w:pPr>
    <w:rPr>
      <w:rFonts w:hint="eastAsia" w:eastAsia="仿宋"/>
    </w:rPr>
  </w:style>
  <w:style w:type="paragraph" w:styleId="372">
    <w:name w:val="No Spacing"/>
    <w:qFormat/>
    <w:uiPriority w:val="1"/>
    <w:pPr>
      <w:widowControl w:val="0"/>
      <w:jc w:val="both"/>
    </w:pPr>
    <w:rPr>
      <w:rFonts w:hint="default" w:ascii="Times New Roman" w:hAnsi="Times New Roman" w:eastAsia="宋体" w:cs="Times New Roman"/>
      <w:sz w:val="21"/>
      <w:lang w:val="en-US" w:eastAsia="zh-CN" w:bidi="ar-SA"/>
    </w:rPr>
  </w:style>
  <w:style w:type="table" w:customStyle="1" w:styleId="373">
    <w:name w:val="Table Normal"/>
    <w:basedOn w:val="69"/>
    <w:qFormat/>
    <w:uiPriority w:val="2"/>
    <w:rPr>
      <w:rFonts w:eastAsia="Times New Roman"/>
    </w:rPr>
  </w:style>
  <w:style w:type="paragraph" w:customStyle="1" w:styleId="374">
    <w:name w:val="Char Char Char1"/>
    <w:basedOn w:val="1"/>
    <w:qFormat/>
    <w:uiPriority w:val="0"/>
    <w:pPr>
      <w:widowControl/>
      <w:tabs>
        <w:tab w:val="left" w:pos="360"/>
      </w:tabs>
      <w:jc w:val="left"/>
    </w:pPr>
  </w:style>
  <w:style w:type="paragraph" w:customStyle="1" w:styleId="375">
    <w:name w:val="正文_1"/>
    <w:qFormat/>
    <w:uiPriority w:val="99"/>
    <w:pPr>
      <w:widowControl w:val="0"/>
      <w:jc w:val="both"/>
    </w:pPr>
    <w:rPr>
      <w:rFonts w:hint="default" w:ascii="Times New Roman" w:hAnsi="Times New Roman" w:eastAsia="宋体" w:cs="Times New Roman"/>
      <w:sz w:val="21"/>
      <w:szCs w:val="22"/>
      <w:lang w:val="en-US" w:eastAsia="zh-CN" w:bidi="ar-SA"/>
    </w:rPr>
  </w:style>
  <w:style w:type="paragraph" w:customStyle="1" w:styleId="376">
    <w:name w:val="修订1"/>
    <w:unhideWhenUsed/>
    <w:qFormat/>
    <w:uiPriority w:val="99"/>
    <w:rPr>
      <w:rFonts w:hint="default" w:ascii="Times New Roman" w:hAnsi="Times New Roman" w:eastAsia="宋体" w:cs="Times New Roman"/>
      <w:sz w:val="21"/>
      <w:lang w:val="en-US" w:eastAsia="zh-CN" w:bidi="ar-SA"/>
    </w:rPr>
  </w:style>
  <w:style w:type="character" w:customStyle="1" w:styleId="377">
    <w:name w:val="未处理的提及1"/>
    <w:basedOn w:val="68"/>
    <w:link w:val="1"/>
    <w:unhideWhenUsed/>
    <w:qFormat/>
    <w:uiPriority w:val="99"/>
    <w:rPr>
      <w:color w:val="605E5C"/>
      <w:shd w:val="clear" w:color="auto" w:fill="E1DFDD"/>
    </w:rPr>
  </w:style>
  <w:style w:type="paragraph" w:customStyle="1" w:styleId="378">
    <w:name w:val="正文文本12"/>
    <w:basedOn w:val="1"/>
    <w:next w:val="1"/>
    <w:unhideWhenUsed/>
    <w:qFormat/>
    <w:uiPriority w:val="0"/>
    <w:pPr>
      <w:spacing w:after="120"/>
    </w:pPr>
  </w:style>
  <w:style w:type="paragraph" w:customStyle="1" w:styleId="379">
    <w:name w:val="Default"/>
    <w:next w:val="1"/>
    <w:qFormat/>
    <w:uiPriority w:val="0"/>
    <w:pPr>
      <w:widowControl w:val="0"/>
    </w:pPr>
    <w:rPr>
      <w:rFonts w:hint="default" w:ascii="宋体" w:hAnsi="Times New Roman" w:eastAsia="宋体" w:cs="宋体"/>
      <w:color w:val="000000"/>
      <w:sz w:val="24"/>
      <w:szCs w:val="24"/>
      <w:lang w:val="en-US" w:eastAsia="zh-CN" w:bidi="ar-SA"/>
    </w:rPr>
  </w:style>
  <w:style w:type="paragraph" w:customStyle="1" w:styleId="380">
    <w:name w:val="Revision"/>
    <w:unhideWhenUsed/>
    <w:qFormat/>
    <w:uiPriority w:val="99"/>
    <w:rPr>
      <w:rFonts w:hint="default" w:ascii="Times New Roman" w:hAnsi="Times New Roman" w:eastAsia="宋体" w:cs="Times New Roman"/>
      <w:sz w:val="21"/>
      <w:lang w:val="en-US" w:eastAsia="zh-CN" w:bidi="ar-SA"/>
    </w:rPr>
  </w:style>
  <w:style w:type="paragraph" w:customStyle="1" w:styleId="381">
    <w:name w:val="Table Text"/>
    <w:basedOn w:val="1"/>
    <w:semiHidden/>
    <w:qFormat/>
    <w:uiPriority w:val="0"/>
    <w:rPr>
      <w:rFonts w:ascii="宋体" w:hAnsi="宋体" w:cs="宋体"/>
      <w:szCs w:val="21"/>
      <w:lang w:eastAsia="en-US"/>
    </w:rPr>
  </w:style>
</w:styles>
</file>

<file path=word/_rels/document.xml.rels><?xml version="1.0" encoding="UTF-8" standalone="yes"?>
<Relationships xmlns="http://schemas.openxmlformats.org/package/2006/relationships"><Relationship Id="rId9" Type="http://schemas.openxmlformats.org/officeDocument/2006/relationships/header" Target="header1.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header" Target="header2.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Template>
  <Company>江苏省设备成</Company>
  <Pages>78</Pages>
  <Words>12964</Words>
  <Characters>13734</Characters>
  <TotalTime>18</TotalTime>
  <ScaleCrop>false</ScaleCrop>
  <LinksUpToDate>false</LinksUpToDate>
  <CharactersWithSpaces>13875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2025-09-12T07:30:00Z</dcterms:created>
  <dc:creator>wh</dc:creator>
  <cp:lastModifiedBy>牛仔糕糕</cp:lastModifiedBy>
  <dcterms:modified xsi:type="dcterms:W3CDTF">2026-06-29T07:42:10Z</dcterms:modified>
  <dc:title>竞争性谈</dc:title>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353E77F00CC2443BB3B410E0EA71D99C_13</vt:lpwstr>
  </property>
  <property fmtid="{D5CDD505-2E9C-101B-9397-08002B2CF9AE}" pid="4" name="KSOTemplateDocerSaveRecord">
    <vt:lpwstr>eyJoZGlkIjoiYzcyOWI2ODE5NTNjY2M4YTdiNTg3OWMxZDQ1YmM4MTUiLCJ1c2VySWQiOiIzNzkyMjY1MTgifQ==</vt:lpwstr>
  </property>
</Properties>
</file>