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2F0F4">
      <w:pPr>
        <w:pStyle w:val="234"/>
        <w:ind w:left="0"/>
        <w:rPr>
          <w:rFonts w:hint="eastAsia" w:ascii="宋体" w:hAnsi="宋体" w:eastAsia="宋体" w:cs="宋体"/>
          <w:b/>
          <w:color w:val="auto"/>
          <w:sz w:val="96"/>
          <w:szCs w:val="96"/>
          <w:highlight w:val="none"/>
        </w:rPr>
      </w:pPr>
    </w:p>
    <w:p w14:paraId="32D6D9F9">
      <w:pPr>
        <w:pStyle w:val="234"/>
        <w:ind w:left="0"/>
        <w:rPr>
          <w:rFonts w:hint="eastAsia" w:ascii="宋体" w:hAnsi="宋体" w:eastAsia="宋体" w:cs="宋体"/>
          <w:color w:val="auto"/>
          <w:highlight w:val="none"/>
        </w:rPr>
      </w:pPr>
    </w:p>
    <w:p w14:paraId="02B03CB4">
      <w:pPr>
        <w:spacing w:line="360" w:lineRule="auto"/>
        <w:jc w:val="center"/>
        <w:rPr>
          <w:rFonts w:hint="eastAsia" w:ascii="宋体" w:hAnsi="宋体" w:eastAsia="宋体" w:cs="宋体"/>
          <w:b/>
          <w:color w:val="auto"/>
          <w:spacing w:val="40"/>
          <w:sz w:val="72"/>
          <w:szCs w:val="72"/>
          <w:highlight w:val="none"/>
        </w:rPr>
      </w:pPr>
      <w:r>
        <w:rPr>
          <w:rFonts w:hint="eastAsia" w:ascii="宋体" w:hAnsi="宋体" w:eastAsia="宋体" w:cs="宋体"/>
          <w:b/>
          <w:color w:val="auto"/>
          <w:spacing w:val="40"/>
          <w:sz w:val="72"/>
          <w:szCs w:val="72"/>
          <w:highlight w:val="none"/>
        </w:rPr>
        <w:t>苏州市吴江区政府采购</w:t>
      </w:r>
    </w:p>
    <w:p w14:paraId="2EE720FD">
      <w:pPr>
        <w:spacing w:line="360" w:lineRule="auto"/>
        <w:jc w:val="center"/>
        <w:rPr>
          <w:rFonts w:hint="eastAsia" w:ascii="宋体" w:hAnsi="宋体" w:eastAsia="宋体" w:cs="宋体"/>
          <w:b/>
          <w:color w:val="auto"/>
          <w:spacing w:val="40"/>
          <w:sz w:val="72"/>
          <w:szCs w:val="72"/>
          <w:highlight w:val="none"/>
        </w:rPr>
      </w:pPr>
      <w:r>
        <w:rPr>
          <w:rFonts w:hint="eastAsia" w:ascii="宋体" w:hAnsi="宋体" w:eastAsia="宋体" w:cs="宋体"/>
          <w:b/>
          <w:color w:val="auto"/>
          <w:spacing w:val="40"/>
          <w:sz w:val="72"/>
          <w:szCs w:val="72"/>
          <w:highlight w:val="none"/>
        </w:rPr>
        <w:t>竞争性磋商</w:t>
      </w:r>
      <w:r>
        <w:rPr>
          <w:rFonts w:hint="eastAsia" w:ascii="宋体" w:hAnsi="宋体" w:eastAsia="宋体" w:cs="宋体"/>
          <w:b/>
          <w:color w:val="auto"/>
          <w:spacing w:val="20"/>
          <w:sz w:val="72"/>
          <w:szCs w:val="72"/>
          <w:highlight w:val="none"/>
        </w:rPr>
        <w:t>文件</w:t>
      </w:r>
    </w:p>
    <w:p w14:paraId="44CF8DD4">
      <w:pPr>
        <w:spacing w:line="360" w:lineRule="auto"/>
        <w:jc w:val="center"/>
        <w:rPr>
          <w:rFonts w:hint="eastAsia" w:ascii="宋体" w:hAnsi="宋体" w:eastAsia="宋体" w:cs="宋体"/>
          <w:color w:val="auto"/>
          <w:highlight w:val="none"/>
        </w:rPr>
      </w:pPr>
    </w:p>
    <w:p w14:paraId="4F5CF0F9">
      <w:pPr>
        <w:spacing w:line="360" w:lineRule="auto"/>
        <w:jc w:val="center"/>
        <w:rPr>
          <w:rFonts w:hint="eastAsia" w:ascii="宋体" w:hAnsi="宋体" w:eastAsia="宋体" w:cs="宋体"/>
          <w:color w:val="auto"/>
          <w:highlight w:val="none"/>
        </w:rPr>
      </w:pPr>
    </w:p>
    <w:p w14:paraId="2B064B81">
      <w:pPr>
        <w:spacing w:line="360" w:lineRule="auto"/>
        <w:jc w:val="center"/>
        <w:rPr>
          <w:rFonts w:hint="eastAsia" w:ascii="宋体" w:hAnsi="宋体" w:eastAsia="宋体" w:cs="宋体"/>
          <w:color w:val="auto"/>
          <w:highlight w:val="none"/>
        </w:rPr>
      </w:pPr>
    </w:p>
    <w:p w14:paraId="19711F11">
      <w:pPr>
        <w:spacing w:line="360" w:lineRule="auto"/>
        <w:rPr>
          <w:rFonts w:hint="eastAsia" w:ascii="宋体" w:hAnsi="宋体" w:eastAsia="宋体" w:cs="宋体"/>
          <w:color w:val="auto"/>
          <w:highlight w:val="none"/>
        </w:rPr>
      </w:pPr>
    </w:p>
    <w:p w14:paraId="009503CE">
      <w:pPr>
        <w:tabs>
          <w:tab w:val="left" w:pos="709"/>
        </w:tabs>
        <w:spacing w:line="360" w:lineRule="auto"/>
        <w:ind w:firstLine="150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采购编号：</w:t>
      </w:r>
      <w:r>
        <w:rPr>
          <w:rFonts w:hint="eastAsia" w:ascii="宋体" w:hAnsi="宋体" w:eastAsia="宋体" w:cs="宋体"/>
          <w:color w:val="auto"/>
          <w:sz w:val="30"/>
          <w:szCs w:val="30"/>
          <w:highlight w:val="none"/>
          <w:lang w:eastAsia="zh-CN"/>
        </w:rPr>
        <w:t>JSZC-320509-SZDR-C2026-0007</w:t>
      </w:r>
    </w:p>
    <w:p w14:paraId="3C829D60">
      <w:pPr>
        <w:tabs>
          <w:tab w:val="left" w:pos="709"/>
        </w:tabs>
        <w:spacing w:line="360" w:lineRule="auto"/>
        <w:ind w:left="2991" w:hanging="150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采购内容：</w:t>
      </w:r>
      <w:r>
        <w:rPr>
          <w:rFonts w:hint="eastAsia" w:ascii="宋体" w:hAnsi="宋体" w:eastAsia="宋体" w:cs="宋体"/>
          <w:color w:val="auto"/>
          <w:sz w:val="30"/>
          <w:szCs w:val="30"/>
          <w:highlight w:val="none"/>
          <w:lang w:eastAsia="zh-CN"/>
        </w:rPr>
        <w:t>2026年度吴江区政府投资项目跟踪审计服务</w:t>
      </w:r>
    </w:p>
    <w:p w14:paraId="4185D338">
      <w:pPr>
        <w:tabs>
          <w:tab w:val="left" w:pos="709"/>
        </w:tabs>
        <w:spacing w:line="360" w:lineRule="auto"/>
        <w:ind w:firstLine="15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采购类别：服务类</w:t>
      </w:r>
    </w:p>
    <w:p w14:paraId="4F376546">
      <w:pPr>
        <w:tabs>
          <w:tab w:val="left" w:pos="709"/>
        </w:tabs>
        <w:spacing w:line="360" w:lineRule="auto"/>
        <w:ind w:left="2370" w:hanging="9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 购 人：苏州市吴江区审计局</w:t>
      </w:r>
    </w:p>
    <w:p w14:paraId="255115AA">
      <w:pPr>
        <w:jc w:val="center"/>
        <w:rPr>
          <w:rFonts w:hint="eastAsia" w:ascii="宋体" w:hAnsi="宋体" w:eastAsia="宋体" w:cs="宋体"/>
          <w:color w:val="auto"/>
          <w:highlight w:val="none"/>
          <w:lang w:eastAsia="zh-CN"/>
        </w:rPr>
      </w:pPr>
    </w:p>
    <w:p w14:paraId="4C538F34">
      <w:pPr>
        <w:pStyle w:val="17"/>
        <w:rPr>
          <w:rFonts w:hint="eastAsia" w:ascii="宋体" w:hAnsi="宋体" w:eastAsia="宋体" w:cs="宋体"/>
          <w:color w:val="auto"/>
          <w:highlight w:val="none"/>
          <w:lang w:eastAsia="zh-CN"/>
        </w:rPr>
      </w:pPr>
    </w:p>
    <w:p w14:paraId="4E99E8AB">
      <w:pPr>
        <w:pStyle w:val="18"/>
        <w:rPr>
          <w:rFonts w:hint="eastAsia" w:ascii="宋体" w:hAnsi="宋体" w:eastAsia="宋体" w:cs="宋体"/>
          <w:color w:val="auto"/>
          <w:highlight w:val="none"/>
          <w:lang w:eastAsia="zh-CN"/>
        </w:rPr>
      </w:pPr>
    </w:p>
    <w:p w14:paraId="3062D24F">
      <w:pPr>
        <w:pStyle w:val="18"/>
        <w:rPr>
          <w:rFonts w:hint="eastAsia" w:ascii="宋体" w:hAnsi="宋体" w:eastAsia="宋体" w:cs="宋体"/>
          <w:color w:val="auto"/>
          <w:highlight w:val="none"/>
          <w:lang w:eastAsia="zh-CN"/>
        </w:rPr>
      </w:pPr>
    </w:p>
    <w:p w14:paraId="4D45695F">
      <w:pPr>
        <w:pStyle w:val="18"/>
        <w:rPr>
          <w:rFonts w:hint="eastAsia" w:ascii="宋体" w:hAnsi="宋体" w:eastAsia="宋体" w:cs="宋体"/>
          <w:color w:val="auto"/>
          <w:highlight w:val="none"/>
          <w:lang w:eastAsia="zh-CN"/>
        </w:rPr>
      </w:pPr>
    </w:p>
    <w:p w14:paraId="7083BA23">
      <w:pPr>
        <w:pStyle w:val="18"/>
        <w:rPr>
          <w:rFonts w:hint="eastAsia" w:ascii="宋体" w:hAnsi="宋体" w:eastAsia="宋体" w:cs="宋体"/>
          <w:color w:val="auto"/>
          <w:highlight w:val="none"/>
          <w:lang w:eastAsia="zh-CN"/>
        </w:rPr>
      </w:pPr>
    </w:p>
    <w:p w14:paraId="144114B5">
      <w:pPr>
        <w:pStyle w:val="18"/>
        <w:rPr>
          <w:rFonts w:hint="eastAsia" w:ascii="宋体" w:hAnsi="宋体" w:eastAsia="宋体" w:cs="宋体"/>
          <w:color w:val="auto"/>
          <w:highlight w:val="none"/>
          <w:lang w:eastAsia="zh-CN"/>
        </w:rPr>
      </w:pPr>
    </w:p>
    <w:p w14:paraId="4F8CD84A">
      <w:pPr>
        <w:pStyle w:val="18"/>
        <w:rPr>
          <w:rFonts w:hint="eastAsia" w:ascii="宋体" w:hAnsi="宋体" w:eastAsia="宋体" w:cs="宋体"/>
          <w:color w:val="auto"/>
          <w:highlight w:val="none"/>
          <w:lang w:eastAsia="zh-CN"/>
        </w:rPr>
      </w:pPr>
    </w:p>
    <w:p w14:paraId="6C5E95BB">
      <w:pPr>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苏州达仁建设工程咨询有限公司</w:t>
      </w:r>
    </w:p>
    <w:p w14:paraId="09AC8D3B">
      <w:pPr>
        <w:spacing w:line="360" w:lineRule="auto"/>
        <w:jc w:val="cente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zh-CN"/>
        </w:rPr>
        <w:t>二</w:t>
      </w:r>
      <w:r>
        <w:rPr>
          <w:rFonts w:hint="eastAsia" w:ascii="宋体" w:hAnsi="宋体" w:eastAsia="宋体" w:cs="宋体"/>
          <w:color w:val="auto"/>
          <w:sz w:val="30"/>
          <w:szCs w:val="30"/>
          <w:highlight w:val="none"/>
        </w:rPr>
        <w:t>〇二</w:t>
      </w:r>
      <w:r>
        <w:rPr>
          <w:rFonts w:hint="eastAsia" w:ascii="宋体" w:hAnsi="宋体" w:eastAsia="宋体" w:cs="宋体"/>
          <w:color w:val="auto"/>
          <w:sz w:val="30"/>
          <w:szCs w:val="30"/>
          <w:highlight w:val="none"/>
          <w:lang w:val="en-US" w:eastAsia="zh-CN"/>
        </w:rPr>
        <w:t>六</w:t>
      </w:r>
      <w:r>
        <w:rPr>
          <w:rFonts w:hint="eastAsia" w:ascii="宋体" w:hAnsi="宋体" w:eastAsia="宋体" w:cs="宋体"/>
          <w:color w:val="auto"/>
          <w:sz w:val="30"/>
          <w:szCs w:val="30"/>
          <w:highlight w:val="none"/>
          <w:lang w:val="zh-CN"/>
        </w:rPr>
        <w:t>年</w:t>
      </w:r>
      <w:r>
        <w:rPr>
          <w:rFonts w:hint="eastAsia" w:ascii="宋体" w:hAnsi="宋体" w:eastAsia="宋体" w:cs="宋体"/>
          <w:color w:val="auto"/>
          <w:sz w:val="30"/>
          <w:szCs w:val="30"/>
          <w:highlight w:val="none"/>
          <w:lang w:val="en-US" w:eastAsia="zh-CN"/>
        </w:rPr>
        <w:t>七月</w:t>
      </w:r>
    </w:p>
    <w:p w14:paraId="061EEAEB">
      <w:pPr>
        <w:spacing w:line="480" w:lineRule="auto"/>
        <w:jc w:val="center"/>
        <w:rPr>
          <w:rFonts w:hint="eastAsia" w:ascii="宋体" w:hAnsi="宋体" w:eastAsia="宋体" w:cs="宋体"/>
          <w:b/>
          <w:bCs/>
          <w:color w:val="auto"/>
          <w:sz w:val="36"/>
          <w:szCs w:val="36"/>
          <w:highlight w:val="none"/>
        </w:rPr>
      </w:pPr>
    </w:p>
    <w:p w14:paraId="2DC8F409">
      <w:pPr>
        <w:spacing w:line="480" w:lineRule="auto"/>
        <w:jc w:val="center"/>
        <w:rPr>
          <w:rFonts w:hint="eastAsia" w:ascii="宋体" w:hAnsi="宋体" w:eastAsia="宋体" w:cs="宋体"/>
          <w:b/>
          <w:color w:val="auto"/>
          <w:sz w:val="36"/>
          <w:highlight w:val="none"/>
        </w:rPr>
      </w:pPr>
    </w:p>
    <w:p w14:paraId="560ED898">
      <w:pPr>
        <w:spacing w:line="480" w:lineRule="auto"/>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前附表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9"/>
        <w:gridCol w:w="1701"/>
        <w:gridCol w:w="5877"/>
      </w:tblGrid>
      <w:tr w14:paraId="66F63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39" w:type="dxa"/>
            <w:noWrap w:val="0"/>
            <w:vAlign w:val="center"/>
          </w:tcPr>
          <w:p w14:paraId="031F0CB1">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序号</w:t>
            </w:r>
          </w:p>
        </w:tc>
        <w:tc>
          <w:tcPr>
            <w:tcW w:w="1701" w:type="dxa"/>
            <w:noWrap w:val="0"/>
            <w:vAlign w:val="center"/>
          </w:tcPr>
          <w:p w14:paraId="2D7739A9">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   目</w:t>
            </w:r>
          </w:p>
        </w:tc>
        <w:tc>
          <w:tcPr>
            <w:tcW w:w="5877" w:type="dxa"/>
            <w:noWrap w:val="0"/>
            <w:vAlign w:val="center"/>
          </w:tcPr>
          <w:p w14:paraId="150B1305">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     容</w:t>
            </w:r>
          </w:p>
        </w:tc>
      </w:tr>
      <w:tr w14:paraId="7B0A2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39" w:type="dxa"/>
            <w:noWrap w:val="0"/>
            <w:vAlign w:val="center"/>
          </w:tcPr>
          <w:p w14:paraId="10090B3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01" w:type="dxa"/>
            <w:noWrap w:val="0"/>
            <w:vAlign w:val="center"/>
          </w:tcPr>
          <w:p w14:paraId="06F826F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877" w:type="dxa"/>
            <w:noWrap w:val="0"/>
            <w:vAlign w:val="center"/>
          </w:tcPr>
          <w:p w14:paraId="09378A3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2026年度吴江区政府投资项目跟踪审计服务</w:t>
            </w:r>
          </w:p>
        </w:tc>
      </w:tr>
      <w:tr w14:paraId="0B75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39" w:type="dxa"/>
            <w:noWrap w:val="0"/>
            <w:vAlign w:val="center"/>
          </w:tcPr>
          <w:p w14:paraId="7478FD3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701" w:type="dxa"/>
            <w:noWrap w:val="0"/>
            <w:vAlign w:val="center"/>
          </w:tcPr>
          <w:p w14:paraId="7EF81AF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采购预算（元）</w:t>
            </w:r>
          </w:p>
        </w:tc>
        <w:tc>
          <w:tcPr>
            <w:tcW w:w="5877" w:type="dxa"/>
            <w:noWrap w:val="0"/>
            <w:vAlign w:val="center"/>
          </w:tcPr>
          <w:p w14:paraId="1937514B">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人民币</w:t>
            </w:r>
            <w:r>
              <w:rPr>
                <w:rFonts w:hint="eastAsia" w:ascii="宋体" w:hAnsi="宋体" w:eastAsia="宋体" w:cs="宋体"/>
                <w:color w:val="auto"/>
                <w:sz w:val="21"/>
                <w:szCs w:val="21"/>
                <w:highlight w:val="none"/>
                <w:lang w:val="en-US" w:eastAsia="zh-CN"/>
              </w:rPr>
              <w:t>壹佰零叁万元整</w:t>
            </w:r>
            <w:r>
              <w:rPr>
                <w:rFonts w:hint="eastAsia" w:ascii="宋体" w:hAnsi="宋体" w:eastAsia="宋体" w:cs="宋体"/>
                <w:color w:val="auto"/>
                <w:sz w:val="21"/>
                <w:szCs w:val="21"/>
                <w:highlight w:val="none"/>
                <w:lang w:val="zh-CN"/>
              </w:rPr>
              <w:t>（¥：1030000.00），</w:t>
            </w:r>
            <w:r>
              <w:rPr>
                <w:rFonts w:hint="eastAsia" w:ascii="宋体" w:hAnsi="宋体" w:eastAsia="宋体" w:cs="宋体"/>
                <w:color w:val="auto"/>
                <w:sz w:val="21"/>
                <w:szCs w:val="21"/>
                <w:highlight w:val="none"/>
              </w:rPr>
              <w:t>其中：</w:t>
            </w:r>
          </w:p>
          <w:p w14:paraId="0476BD6A">
            <w:pPr>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一标段：2026年度吴江区政府投资项目跟踪审计服务-苏州市吴江经开区水质净化厂（新建日处理工业废水1.5万吨）项目，预算：566000元；</w:t>
            </w:r>
          </w:p>
          <w:p w14:paraId="1D6B1FEC">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二标段：2026年度吴江区政府投资项目跟踪审计服务-苏州市吴江经开区产业园区基础设施工程（二期）二标段，预算：464000.00元。</w:t>
            </w:r>
          </w:p>
        </w:tc>
      </w:tr>
      <w:tr w14:paraId="6E42F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noWrap w:val="0"/>
            <w:vAlign w:val="center"/>
          </w:tcPr>
          <w:p w14:paraId="42A442A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701" w:type="dxa"/>
            <w:noWrap w:val="0"/>
            <w:vAlign w:val="center"/>
          </w:tcPr>
          <w:p w14:paraId="31C9970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5877" w:type="dxa"/>
            <w:noWrap w:val="0"/>
            <w:vAlign w:val="center"/>
          </w:tcPr>
          <w:p w14:paraId="0E5E247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4DE7F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noWrap w:val="0"/>
            <w:vAlign w:val="center"/>
          </w:tcPr>
          <w:p w14:paraId="62D6449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701" w:type="dxa"/>
            <w:noWrap w:val="0"/>
            <w:vAlign w:val="center"/>
          </w:tcPr>
          <w:p w14:paraId="036F7AF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现场勘察</w:t>
            </w:r>
          </w:p>
        </w:tc>
        <w:tc>
          <w:tcPr>
            <w:tcW w:w="5877" w:type="dxa"/>
            <w:noWrap w:val="0"/>
            <w:vAlign w:val="center"/>
          </w:tcPr>
          <w:p w14:paraId="44B25DD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本项目不组织统一踏勘，由供应商自行踏勘现场。</w:t>
            </w:r>
          </w:p>
        </w:tc>
      </w:tr>
      <w:tr w14:paraId="10A9C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noWrap w:val="0"/>
            <w:vAlign w:val="center"/>
          </w:tcPr>
          <w:p w14:paraId="6D16B6A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701" w:type="dxa"/>
            <w:noWrap w:val="0"/>
            <w:vAlign w:val="center"/>
          </w:tcPr>
          <w:p w14:paraId="22A55FA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投标答疑会</w:t>
            </w:r>
          </w:p>
        </w:tc>
        <w:tc>
          <w:tcPr>
            <w:tcW w:w="5877" w:type="dxa"/>
            <w:noWrap w:val="0"/>
            <w:vAlign w:val="center"/>
          </w:tcPr>
          <w:p w14:paraId="10D07B14">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网上答疑</w:t>
            </w:r>
          </w:p>
        </w:tc>
      </w:tr>
      <w:tr w14:paraId="2011A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noWrap w:val="0"/>
            <w:vAlign w:val="center"/>
          </w:tcPr>
          <w:p w14:paraId="25A3A9B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701" w:type="dxa"/>
            <w:noWrap w:val="0"/>
            <w:vAlign w:val="center"/>
          </w:tcPr>
          <w:p w14:paraId="1743A3B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5877" w:type="dxa"/>
            <w:noWrap w:val="0"/>
            <w:vAlign w:val="center"/>
          </w:tcPr>
          <w:p w14:paraId="5494C735">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网上响应文件</w:t>
            </w:r>
            <w:r>
              <w:rPr>
                <w:rFonts w:hint="eastAsia" w:ascii="宋体" w:hAnsi="宋体" w:eastAsia="宋体" w:cs="宋体"/>
                <w:bCs/>
                <w:color w:val="auto"/>
                <w:sz w:val="21"/>
                <w:szCs w:val="21"/>
                <w:highlight w:val="none"/>
                <w:u w:val="single"/>
              </w:rPr>
              <w:t xml:space="preserve"> 壹 </w:t>
            </w:r>
            <w:r>
              <w:rPr>
                <w:rFonts w:hint="eastAsia" w:ascii="宋体" w:hAnsi="宋体" w:eastAsia="宋体" w:cs="宋体"/>
                <w:bCs/>
                <w:color w:val="auto"/>
                <w:sz w:val="21"/>
                <w:szCs w:val="21"/>
                <w:highlight w:val="none"/>
              </w:rPr>
              <w:t>份</w:t>
            </w:r>
          </w:p>
        </w:tc>
      </w:tr>
      <w:tr w14:paraId="0AD3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noWrap w:val="0"/>
            <w:vAlign w:val="center"/>
          </w:tcPr>
          <w:p w14:paraId="13FEB9A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701" w:type="dxa"/>
            <w:noWrap w:val="0"/>
            <w:vAlign w:val="center"/>
          </w:tcPr>
          <w:p w14:paraId="3DD1E31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响应货币</w:t>
            </w:r>
          </w:p>
        </w:tc>
        <w:tc>
          <w:tcPr>
            <w:tcW w:w="5877" w:type="dxa"/>
            <w:noWrap w:val="0"/>
            <w:vAlign w:val="center"/>
          </w:tcPr>
          <w:p w14:paraId="35B31BDA">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r>
      <w:tr w14:paraId="19FE1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noWrap w:val="0"/>
            <w:vAlign w:val="center"/>
          </w:tcPr>
          <w:p w14:paraId="165BA5A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701" w:type="dxa"/>
            <w:noWrap w:val="0"/>
            <w:vAlign w:val="center"/>
          </w:tcPr>
          <w:p w14:paraId="21BF6D2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投标文件有效期</w:t>
            </w:r>
          </w:p>
        </w:tc>
        <w:tc>
          <w:tcPr>
            <w:tcW w:w="5877" w:type="dxa"/>
            <w:noWrap w:val="0"/>
            <w:vAlign w:val="center"/>
          </w:tcPr>
          <w:p w14:paraId="23D250B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日历天（从响应截止之日算起）</w:t>
            </w:r>
          </w:p>
        </w:tc>
      </w:tr>
      <w:tr w14:paraId="0EF36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vMerge w:val="restart"/>
            <w:noWrap w:val="0"/>
            <w:vAlign w:val="center"/>
          </w:tcPr>
          <w:p w14:paraId="5BA7A4C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701" w:type="dxa"/>
            <w:noWrap w:val="0"/>
            <w:vAlign w:val="center"/>
          </w:tcPr>
          <w:p w14:paraId="522EB82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网上响应文件接收开始时间</w:t>
            </w:r>
          </w:p>
        </w:tc>
        <w:tc>
          <w:tcPr>
            <w:tcW w:w="5877" w:type="dxa"/>
            <w:noWrap w:val="0"/>
            <w:vAlign w:val="center"/>
          </w:tcPr>
          <w:p w14:paraId="61B99270">
            <w:pPr>
              <w:pStyle w:val="335"/>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13</w:t>
            </w:r>
            <w:r>
              <w:rPr>
                <w:rFonts w:hint="eastAsia" w:hAnsi="宋体" w:cs="宋体"/>
                <w:color w:val="auto"/>
                <w:sz w:val="21"/>
                <w:szCs w:val="21"/>
                <w:highlight w:val="none"/>
                <w:lang w:val="en-US" w:eastAsia="zh-CN"/>
              </w:rPr>
              <w:t>:</w:t>
            </w:r>
            <w:r>
              <w:rPr>
                <w:rFonts w:hint="eastAsia" w:ascii="宋体" w:hAnsi="宋体" w:eastAsia="宋体" w:cs="宋体"/>
                <w:color w:val="auto"/>
                <w:sz w:val="21"/>
                <w:szCs w:val="21"/>
                <w:highlight w:val="none"/>
              </w:rPr>
              <w:t>00（北京时间）</w:t>
            </w:r>
          </w:p>
        </w:tc>
      </w:tr>
      <w:tr w14:paraId="7C486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9" w:type="dxa"/>
            <w:vMerge w:val="continue"/>
            <w:noWrap w:val="0"/>
            <w:vAlign w:val="center"/>
          </w:tcPr>
          <w:p w14:paraId="60479DD5">
            <w:pPr>
              <w:pStyle w:val="331"/>
              <w:ind w:firstLine="420"/>
              <w:jc w:val="center"/>
              <w:rPr>
                <w:rFonts w:hint="eastAsia" w:ascii="宋体" w:hAnsi="宋体" w:eastAsia="宋体" w:cs="宋体"/>
                <w:color w:val="auto"/>
                <w:sz w:val="21"/>
                <w:szCs w:val="21"/>
                <w:highlight w:val="none"/>
                <w:lang w:val="en-US"/>
              </w:rPr>
            </w:pPr>
          </w:p>
        </w:tc>
        <w:tc>
          <w:tcPr>
            <w:tcW w:w="1701" w:type="dxa"/>
            <w:noWrap w:val="0"/>
            <w:vAlign w:val="center"/>
          </w:tcPr>
          <w:p w14:paraId="13B2EE0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5877" w:type="dxa"/>
            <w:noWrap w:val="0"/>
            <w:vAlign w:val="center"/>
          </w:tcPr>
          <w:p w14:paraId="22AEEAAB">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tc>
      </w:tr>
      <w:tr w14:paraId="0B09C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39" w:type="dxa"/>
            <w:vMerge w:val="continue"/>
            <w:noWrap w:val="0"/>
            <w:vAlign w:val="center"/>
          </w:tcPr>
          <w:p w14:paraId="413A43AB">
            <w:pPr>
              <w:pStyle w:val="331"/>
              <w:ind w:firstLine="420"/>
              <w:jc w:val="center"/>
              <w:rPr>
                <w:rFonts w:hint="eastAsia" w:ascii="宋体" w:hAnsi="宋体" w:eastAsia="宋体" w:cs="宋体"/>
                <w:color w:val="auto"/>
                <w:sz w:val="21"/>
                <w:szCs w:val="21"/>
                <w:highlight w:val="none"/>
                <w:lang w:val="en-US"/>
              </w:rPr>
            </w:pPr>
          </w:p>
        </w:tc>
        <w:tc>
          <w:tcPr>
            <w:tcW w:w="1701" w:type="dxa"/>
            <w:noWrap w:val="0"/>
            <w:vAlign w:val="center"/>
          </w:tcPr>
          <w:p w14:paraId="074239BC">
            <w:pPr>
              <w:pBdr>
                <w:top w:val="none" w:color="000000" w:sz="0" w:space="0"/>
                <w:left w:val="none" w:color="000000" w:sz="0" w:space="0"/>
                <w:bottom w:val="none" w:color="000000" w:sz="0" w:space="0"/>
                <w:right w:val="none" w:color="000000" w:sz="0" w:space="0"/>
              </w:pBdr>
              <w:spacing w:line="74"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w:t>
            </w:r>
          </w:p>
          <w:p w14:paraId="03732BE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开启地点</w:t>
            </w:r>
          </w:p>
        </w:tc>
        <w:tc>
          <w:tcPr>
            <w:tcW w:w="5877" w:type="dxa"/>
            <w:noWrap w:val="0"/>
            <w:vAlign w:val="center"/>
          </w:tcPr>
          <w:p w14:paraId="2290AEE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p w14:paraId="66CE08B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14:paraId="37141B3B">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本项目为不见面磋商项目，开启阶段供应商在【供应商解密】环节必须使用 CA证书解密电子响应文件，如在系统规定的解密时间内未能完成解密的视为放弃参与本项目。</w:t>
            </w:r>
          </w:p>
        </w:tc>
      </w:tr>
      <w:tr w14:paraId="56876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4" w:hRule="atLeast"/>
          <w:jc w:val="center"/>
        </w:trPr>
        <w:tc>
          <w:tcPr>
            <w:tcW w:w="639" w:type="dxa"/>
            <w:noWrap w:val="0"/>
            <w:vAlign w:val="center"/>
          </w:tcPr>
          <w:p w14:paraId="2B11A37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701" w:type="dxa"/>
            <w:noWrap w:val="0"/>
            <w:vAlign w:val="center"/>
          </w:tcPr>
          <w:p w14:paraId="48E68F1F">
            <w:pPr>
              <w:pBdr>
                <w:top w:val="none" w:color="000000" w:sz="0" w:space="0"/>
                <w:left w:val="none" w:color="000000" w:sz="0" w:space="0"/>
                <w:bottom w:val="none" w:color="000000" w:sz="0" w:space="0"/>
                <w:right w:val="none" w:color="000000" w:sz="0" w:space="0"/>
              </w:pBdr>
              <w:spacing w:line="74"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评审时间</w:t>
            </w:r>
          </w:p>
          <w:p w14:paraId="4ADB35F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评审地点</w:t>
            </w:r>
          </w:p>
        </w:tc>
        <w:tc>
          <w:tcPr>
            <w:tcW w:w="5877" w:type="dxa"/>
            <w:noWrap w:val="0"/>
            <w:vAlign w:val="center"/>
          </w:tcPr>
          <w:p w14:paraId="5EF9BEC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p w14:paraId="7AEB48B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地点：苏州市吴江区开平路998号行政服务大楼三楼</w:t>
            </w:r>
          </w:p>
        </w:tc>
      </w:tr>
    </w:tbl>
    <w:p w14:paraId="0F24005C">
      <w:pPr>
        <w:tabs>
          <w:tab w:val="left" w:pos="315"/>
          <w:tab w:val="center" w:pos="4153"/>
        </w:tabs>
        <w:spacing w:line="360" w:lineRule="auto"/>
        <w:rPr>
          <w:rFonts w:hint="eastAsia" w:ascii="宋体" w:hAnsi="宋体" w:eastAsia="宋体" w:cs="宋体"/>
          <w:b/>
          <w:color w:val="auto"/>
          <w:sz w:val="21"/>
          <w:szCs w:val="21"/>
          <w:highlight w:val="none"/>
        </w:rPr>
      </w:pPr>
    </w:p>
    <w:p w14:paraId="23AC75E6">
      <w:pPr>
        <w:pStyle w:val="48"/>
        <w:rPr>
          <w:rFonts w:hint="eastAsia" w:ascii="宋体" w:hAnsi="宋体" w:eastAsia="宋体" w:cs="宋体"/>
          <w:sz w:val="21"/>
          <w:szCs w:val="21"/>
          <w:highlight w:val="none"/>
        </w:rPr>
      </w:pPr>
    </w:p>
    <w:p w14:paraId="2F04DA0A">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目    录</w:t>
      </w:r>
    </w:p>
    <w:p w14:paraId="2F39F213">
      <w:pPr>
        <w:tabs>
          <w:tab w:val="left" w:pos="315"/>
          <w:tab w:val="center" w:pos="4153"/>
        </w:tabs>
        <w:spacing w:line="360" w:lineRule="auto"/>
        <w:jc w:val="center"/>
        <w:rPr>
          <w:rFonts w:hint="eastAsia" w:ascii="宋体" w:hAnsi="宋体" w:eastAsia="宋体" w:cs="宋体"/>
          <w:b/>
          <w:color w:val="auto"/>
          <w:sz w:val="52"/>
          <w:szCs w:val="52"/>
          <w:highlight w:val="none"/>
        </w:rPr>
      </w:pPr>
    </w:p>
    <w:p w14:paraId="49A8D21B">
      <w:pPr>
        <w:numPr>
          <w:ilvl w:val="0"/>
          <w:numId w:val="4"/>
        </w:numPr>
        <w:tabs>
          <w:tab w:val="left" w:pos="315"/>
        </w:tabs>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竞争性磋商邀请函</w:t>
      </w:r>
    </w:p>
    <w:p w14:paraId="550CA13E">
      <w:pPr>
        <w:numPr>
          <w:ilvl w:val="0"/>
          <w:numId w:val="4"/>
        </w:numPr>
        <w:tabs>
          <w:tab w:val="left" w:pos="315"/>
        </w:tabs>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w:t>
      </w:r>
    </w:p>
    <w:p w14:paraId="6C07D6E6">
      <w:pPr>
        <w:numPr>
          <w:ilvl w:val="0"/>
          <w:numId w:val="4"/>
        </w:numPr>
        <w:tabs>
          <w:tab w:val="left" w:pos="315"/>
        </w:tabs>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评审方法及评分标准</w:t>
      </w:r>
    </w:p>
    <w:p w14:paraId="2F7090D6">
      <w:pPr>
        <w:numPr>
          <w:ilvl w:val="0"/>
          <w:numId w:val="4"/>
        </w:numPr>
        <w:tabs>
          <w:tab w:val="left" w:pos="315"/>
        </w:tabs>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合同主要条款</w:t>
      </w:r>
    </w:p>
    <w:p w14:paraId="11963BD6">
      <w:pPr>
        <w:numPr>
          <w:ilvl w:val="0"/>
          <w:numId w:val="4"/>
        </w:numPr>
        <w:tabs>
          <w:tab w:val="left" w:pos="315"/>
        </w:tabs>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附件格式</w:t>
      </w:r>
    </w:p>
    <w:p w14:paraId="42AB0571">
      <w:pPr>
        <w:pStyle w:val="265"/>
        <w:rPr>
          <w:rFonts w:hint="eastAsia" w:ascii="宋体" w:hAnsi="宋体" w:eastAsia="宋体" w:cs="宋体"/>
          <w:color w:val="auto"/>
          <w:highlight w:val="none"/>
        </w:rPr>
      </w:pPr>
    </w:p>
    <w:p w14:paraId="1EE3E846">
      <w:pPr>
        <w:tabs>
          <w:tab w:val="left" w:pos="315"/>
          <w:tab w:val="left" w:pos="720"/>
        </w:tabs>
        <w:spacing w:line="360" w:lineRule="auto"/>
        <w:rPr>
          <w:rFonts w:hint="eastAsia" w:ascii="宋体" w:hAnsi="宋体" w:eastAsia="宋体" w:cs="宋体"/>
          <w:b/>
          <w:color w:val="auto"/>
          <w:sz w:val="36"/>
          <w:szCs w:val="36"/>
          <w:highlight w:val="none"/>
        </w:rPr>
      </w:pPr>
    </w:p>
    <w:p w14:paraId="163CD9D5">
      <w:pPr>
        <w:tabs>
          <w:tab w:val="left" w:pos="315"/>
          <w:tab w:val="center" w:pos="4153"/>
        </w:tabs>
        <w:spacing w:line="360" w:lineRule="auto"/>
        <w:rPr>
          <w:rFonts w:hint="eastAsia" w:ascii="宋体" w:hAnsi="宋体" w:eastAsia="宋体" w:cs="宋体"/>
          <w:b/>
          <w:color w:val="auto"/>
          <w:sz w:val="32"/>
          <w:szCs w:val="32"/>
          <w:highlight w:val="none"/>
        </w:rPr>
      </w:pPr>
    </w:p>
    <w:p w14:paraId="7AC0A24E">
      <w:pPr>
        <w:spacing w:line="480" w:lineRule="auto"/>
        <w:jc w:val="center"/>
        <w:rPr>
          <w:rFonts w:hint="eastAsia" w:ascii="宋体" w:hAnsi="宋体" w:eastAsia="宋体" w:cs="宋体"/>
          <w:b/>
          <w:color w:val="auto"/>
          <w:sz w:val="36"/>
          <w:highlight w:val="none"/>
        </w:rPr>
      </w:pPr>
    </w:p>
    <w:p w14:paraId="23F1D988">
      <w:pPr>
        <w:spacing w:line="480" w:lineRule="auto"/>
        <w:jc w:val="center"/>
        <w:rPr>
          <w:rFonts w:hint="eastAsia" w:ascii="宋体" w:hAnsi="宋体" w:eastAsia="宋体" w:cs="宋体"/>
          <w:b/>
          <w:color w:val="auto"/>
          <w:sz w:val="36"/>
          <w:highlight w:val="none"/>
        </w:rPr>
      </w:pPr>
    </w:p>
    <w:p w14:paraId="48655EF4">
      <w:pPr>
        <w:spacing w:line="480" w:lineRule="auto"/>
        <w:jc w:val="center"/>
        <w:rPr>
          <w:rFonts w:hint="eastAsia" w:ascii="宋体" w:hAnsi="宋体" w:eastAsia="宋体" w:cs="宋体"/>
          <w:b/>
          <w:color w:val="auto"/>
          <w:sz w:val="36"/>
          <w:highlight w:val="none"/>
        </w:rPr>
      </w:pPr>
    </w:p>
    <w:p w14:paraId="716DE4EC">
      <w:pPr>
        <w:spacing w:line="480" w:lineRule="auto"/>
        <w:jc w:val="center"/>
        <w:rPr>
          <w:rFonts w:hint="eastAsia" w:ascii="宋体" w:hAnsi="宋体" w:eastAsia="宋体" w:cs="宋体"/>
          <w:b/>
          <w:color w:val="auto"/>
          <w:sz w:val="36"/>
          <w:highlight w:val="none"/>
        </w:rPr>
      </w:pPr>
    </w:p>
    <w:p w14:paraId="5F2D62B8">
      <w:pPr>
        <w:spacing w:line="480" w:lineRule="auto"/>
        <w:jc w:val="center"/>
        <w:rPr>
          <w:rFonts w:hint="eastAsia" w:ascii="宋体" w:hAnsi="宋体" w:eastAsia="宋体" w:cs="宋体"/>
          <w:b/>
          <w:color w:val="auto"/>
          <w:sz w:val="36"/>
          <w:highlight w:val="none"/>
        </w:rPr>
      </w:pPr>
    </w:p>
    <w:p w14:paraId="619333E2">
      <w:pPr>
        <w:spacing w:line="480" w:lineRule="auto"/>
        <w:jc w:val="center"/>
        <w:rPr>
          <w:rFonts w:hint="eastAsia" w:ascii="宋体" w:hAnsi="宋体" w:eastAsia="宋体" w:cs="宋体"/>
          <w:b/>
          <w:color w:val="auto"/>
          <w:sz w:val="36"/>
          <w:highlight w:val="none"/>
        </w:rPr>
      </w:pPr>
    </w:p>
    <w:p w14:paraId="31D29C6E">
      <w:pPr>
        <w:tabs>
          <w:tab w:val="left" w:pos="315"/>
          <w:tab w:val="center" w:pos="4153"/>
        </w:tabs>
        <w:spacing w:line="360" w:lineRule="auto"/>
        <w:rPr>
          <w:rFonts w:hint="eastAsia" w:ascii="宋体" w:hAnsi="宋体" w:eastAsia="宋体" w:cs="宋体"/>
          <w:b/>
          <w:color w:val="auto"/>
          <w:sz w:val="32"/>
          <w:szCs w:val="32"/>
          <w:highlight w:val="none"/>
        </w:rPr>
        <w:sectPr>
          <w:headerReference r:id="rId4" w:type="first"/>
          <w:footerReference r:id="rId6" w:type="first"/>
          <w:headerReference r:id="rId3" w:type="default"/>
          <w:footerReference r:id="rId5" w:type="default"/>
          <w:pgSz w:w="11906" w:h="16838"/>
          <w:pgMar w:top="1440" w:right="926" w:bottom="1440" w:left="1418" w:header="851" w:footer="992" w:gutter="0"/>
          <w:cols w:space="1701" w:num="1"/>
          <w:titlePg/>
          <w:docGrid w:linePitch="360" w:charSpace="0"/>
        </w:sectPr>
      </w:pPr>
    </w:p>
    <w:p w14:paraId="29C65CE0">
      <w:pPr>
        <w:numPr>
          <w:ilvl w:val="0"/>
          <w:numId w:val="5"/>
        </w:numPr>
        <w:tabs>
          <w:tab w:val="left" w:pos="315"/>
          <w:tab w:val="left" w:pos="720"/>
          <w:tab w:val="center" w:pos="4153"/>
        </w:tabs>
        <w:spacing w:line="360" w:lineRule="auto"/>
        <w:ind w:left="4483" w:leftChars="0" w:hanging="1080" w:firstLineChars="0"/>
        <w:outlineLvl w:val="0"/>
        <w:rPr>
          <w:rFonts w:hint="eastAsia" w:ascii="宋体" w:hAnsi="宋体" w:eastAsia="宋体" w:cs="宋体"/>
          <w:b/>
          <w:color w:val="auto"/>
          <w:sz w:val="32"/>
          <w:szCs w:val="32"/>
          <w:highlight w:val="none"/>
        </w:rPr>
      </w:pPr>
      <w:bookmarkStart w:id="0" w:name="_Toc17486"/>
      <w:r>
        <w:rPr>
          <w:rFonts w:hint="eastAsia" w:ascii="宋体" w:hAnsi="宋体" w:eastAsia="宋体" w:cs="宋体"/>
          <w:b/>
          <w:color w:val="auto"/>
          <w:sz w:val="32"/>
          <w:szCs w:val="32"/>
          <w:highlight w:val="none"/>
        </w:rPr>
        <w:t>竞争性磋商邀请函</w:t>
      </w:r>
      <w:bookmarkEnd w:id="0"/>
    </w:p>
    <w:p w14:paraId="0C302F1B">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受</w:t>
      </w:r>
      <w:r>
        <w:rPr>
          <w:rFonts w:hint="eastAsia" w:ascii="宋体" w:hAnsi="宋体" w:eastAsia="宋体" w:cs="宋体"/>
          <w:color w:val="auto"/>
          <w:sz w:val="21"/>
          <w:szCs w:val="21"/>
          <w:highlight w:val="none"/>
          <w:u w:val="single"/>
          <w:lang w:val="zh-CN"/>
        </w:rPr>
        <w:t>苏州市吴江区审计局</w:t>
      </w:r>
      <w:r>
        <w:rPr>
          <w:rFonts w:hint="eastAsia" w:ascii="宋体" w:hAnsi="宋体" w:eastAsia="宋体" w:cs="宋体"/>
          <w:color w:val="auto"/>
          <w:sz w:val="21"/>
          <w:szCs w:val="21"/>
          <w:highlight w:val="none"/>
          <w:lang w:val="zh-CN"/>
        </w:rPr>
        <w:t>的委托，</w:t>
      </w:r>
      <w:r>
        <w:rPr>
          <w:rFonts w:hint="eastAsia" w:ascii="宋体" w:hAnsi="宋体" w:eastAsia="宋体" w:cs="宋体"/>
          <w:color w:val="auto"/>
          <w:sz w:val="21"/>
          <w:szCs w:val="21"/>
          <w:highlight w:val="none"/>
          <w:u w:val="single"/>
          <w:lang w:val="zh-CN"/>
        </w:rPr>
        <w:t>苏州达仁建设工程咨询有限公司</w:t>
      </w:r>
      <w:r>
        <w:rPr>
          <w:rFonts w:hint="eastAsia" w:ascii="宋体" w:hAnsi="宋体" w:eastAsia="宋体" w:cs="宋体"/>
          <w:color w:val="auto"/>
          <w:sz w:val="21"/>
          <w:szCs w:val="21"/>
          <w:highlight w:val="none"/>
          <w:lang w:val="zh-CN"/>
        </w:rPr>
        <w:t>就</w:t>
      </w:r>
      <w:r>
        <w:rPr>
          <w:rFonts w:hint="eastAsia" w:ascii="宋体" w:hAnsi="宋体" w:eastAsia="宋体" w:cs="宋体"/>
          <w:color w:val="auto"/>
          <w:sz w:val="21"/>
          <w:szCs w:val="21"/>
          <w:highlight w:val="none"/>
          <w:u w:val="single"/>
          <w:lang w:val="zh-CN"/>
        </w:rPr>
        <w:t>2026年度吴江区政府投资项目跟踪审计服务（</w:t>
      </w:r>
      <w:r>
        <w:rPr>
          <w:rFonts w:hint="eastAsia" w:ascii="宋体" w:hAnsi="宋体" w:eastAsia="宋体" w:cs="宋体"/>
          <w:color w:val="auto"/>
          <w:sz w:val="21"/>
          <w:szCs w:val="21"/>
          <w:highlight w:val="none"/>
          <w:u w:val="single"/>
          <w:lang w:val="en-US" w:eastAsia="zh-CN"/>
        </w:rPr>
        <w:t>编号：</w:t>
      </w:r>
      <w:r>
        <w:rPr>
          <w:rFonts w:hint="eastAsia" w:ascii="宋体" w:hAnsi="宋体" w:eastAsia="宋体" w:cs="宋体"/>
          <w:color w:val="auto"/>
          <w:sz w:val="21"/>
          <w:szCs w:val="21"/>
          <w:highlight w:val="none"/>
          <w:u w:val="single"/>
          <w:lang w:val="zh-CN" w:eastAsia="zh-CN"/>
        </w:rPr>
        <w:t>JSZC-320509-SZDR-C2026-0007</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lang w:val="zh-CN"/>
        </w:rPr>
        <w:t>项目进行竞争性磋商采购，欢迎符合条件的供应商参加磋商。</w:t>
      </w:r>
    </w:p>
    <w:tbl>
      <w:tblPr>
        <w:tblStyle w:val="38"/>
        <w:tblpPr w:leftFromText="180" w:rightFromText="180" w:vertAnchor="text" w:horzAnchor="margin" w:tblpXSpec="center" w:tblpY="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7A2D7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trPr>
        <w:tc>
          <w:tcPr>
            <w:tcW w:w="8522" w:type="dxa"/>
            <w:noWrap w:val="0"/>
          </w:tcPr>
          <w:p w14:paraId="348C3773">
            <w:pPr>
              <w:keepNext w:val="0"/>
              <w:keepLines w:val="0"/>
              <w:pageBreakBefore w:val="0"/>
              <w:widowControl/>
              <w:shd w:val="clear" w:color="auto" w:fill="FFFFFF"/>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bookmarkStart w:id="1" w:name="OLE_LINK4"/>
            <w:bookmarkStart w:id="2" w:name="OLE_LINK5"/>
            <w:bookmarkStart w:id="3" w:name="OLE_LINK8"/>
            <w:bookmarkStart w:id="4" w:name="OLE_LINK2"/>
            <w:bookmarkStart w:id="5" w:name="OLE_LINK7"/>
            <w:bookmarkStart w:id="6" w:name="OLE_LINK6"/>
            <w:bookmarkStart w:id="7" w:name="OLE_LINK1"/>
            <w:bookmarkStart w:id="8" w:name="OLE_LINK3"/>
            <w:r>
              <w:rPr>
                <w:rFonts w:hint="eastAsia" w:ascii="宋体" w:hAnsi="宋体" w:eastAsia="宋体" w:cs="宋体"/>
                <w:color w:val="auto"/>
                <w:sz w:val="21"/>
                <w:szCs w:val="21"/>
                <w:highlight w:val="none"/>
              </w:rPr>
              <w:t>项目概况</w:t>
            </w:r>
          </w:p>
          <w:p w14:paraId="083BE876">
            <w:pPr>
              <w:pStyle w:val="48"/>
              <w:keepNext w:val="0"/>
              <w:keepLines w:val="0"/>
              <w:pageBreakBefore w:val="0"/>
              <w:widowControl w:val="0"/>
              <w:tabs>
                <w:tab w:val="center" w:pos="4201"/>
                <w:tab w:val="right" w:leader="dot" w:pos="9298"/>
              </w:tabs>
              <w:kinsoku/>
              <w:wordWrap/>
              <w:overflowPunct/>
              <w:topLinePunct w:val="0"/>
              <w:autoSpaceDE/>
              <w:autoSpaceDN/>
              <w:bidi w:val="0"/>
              <w:adjustRightInd/>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2026年度吴江区政府投资项目跟踪审计服务竞争性磋商项目的潜在供应商应在“苏采云”系统（网址：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"http://jszfcg.jsczt.cn/）获取采购文件，并于2024年"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http://jszfcg.jsczt.cn/）自行免费下载磋商文件，</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"http://jszfcg.jsczt.cn/）获取采购文件，并于2024年"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并于202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年</w:t>
            </w:r>
            <w:r>
              <w:rPr>
                <w:rFonts w:hint="eastAsia"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月</w:t>
            </w:r>
            <w:r>
              <w:rPr>
                <w:rFonts w:hint="eastAsia"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lang w:val="en-US" w:eastAsia="zh-CN"/>
              </w:rPr>
              <w:t>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zh-CN"/>
              </w:rPr>
              <w:t>（北京时间）前提交响应文件。</w:t>
            </w:r>
            <w:bookmarkEnd w:id="1"/>
            <w:bookmarkEnd w:id="2"/>
            <w:bookmarkEnd w:id="3"/>
            <w:bookmarkEnd w:id="4"/>
            <w:bookmarkEnd w:id="5"/>
            <w:bookmarkEnd w:id="6"/>
          </w:p>
        </w:tc>
      </w:tr>
    </w:tbl>
    <w:p w14:paraId="3BF7B8D0">
      <w:pPr>
        <w:keepNext w:val="0"/>
        <w:keepLines w:val="0"/>
        <w:pageBreakBefore w:val="0"/>
        <w:tabs>
          <w:tab w:val="left" w:pos="5250"/>
        </w:tabs>
        <w:kinsoku/>
        <w:wordWrap/>
        <w:overflowPunct/>
        <w:topLinePunct w:val="0"/>
        <w:autoSpaceDE/>
        <w:autoSpaceDN/>
        <w:bidi w:val="0"/>
        <w:adjustRightInd/>
        <w:spacing w:line="360" w:lineRule="auto"/>
        <w:ind w:firstLine="422" w:firstLineChars="0"/>
        <w:jc w:val="left"/>
        <w:textAlignment w:val="auto"/>
        <w:outlineLvl w:val="1"/>
        <w:rPr>
          <w:rFonts w:hint="eastAsia" w:ascii="宋体" w:hAnsi="宋体" w:eastAsia="宋体" w:cs="宋体"/>
          <w:b/>
          <w:color w:val="auto"/>
          <w:sz w:val="21"/>
          <w:szCs w:val="21"/>
          <w:highlight w:val="none"/>
          <w:lang w:val="zh-CN"/>
        </w:rPr>
      </w:pPr>
      <w:bookmarkStart w:id="9" w:name="_Toc5036"/>
      <w:r>
        <w:rPr>
          <w:rFonts w:hint="eastAsia" w:ascii="宋体" w:hAnsi="宋体" w:eastAsia="宋体" w:cs="宋体"/>
          <w:b/>
          <w:color w:val="auto"/>
          <w:sz w:val="21"/>
          <w:szCs w:val="21"/>
          <w:highlight w:val="none"/>
          <w:lang w:val="zh-CN"/>
        </w:rPr>
        <w:t>一、项目基本情况</w:t>
      </w:r>
      <w:bookmarkEnd w:id="9"/>
    </w:p>
    <w:p w14:paraId="50BFA381">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项目编号：</w:t>
      </w:r>
      <w:r>
        <w:rPr>
          <w:rFonts w:hint="eastAsia" w:ascii="宋体" w:hAnsi="宋体" w:eastAsia="宋体" w:cs="宋体"/>
          <w:color w:val="auto"/>
          <w:sz w:val="21"/>
          <w:szCs w:val="21"/>
          <w:highlight w:val="none"/>
          <w:u w:val="none"/>
          <w:lang w:val="zh-CN" w:eastAsia="zh-CN"/>
        </w:rPr>
        <w:t>JSZC-320509-SZDR-C2026-0007</w:t>
      </w:r>
      <w:r>
        <w:rPr>
          <w:rFonts w:hint="eastAsia" w:ascii="宋体" w:hAnsi="宋体" w:eastAsia="宋体" w:cs="宋体"/>
          <w:color w:val="auto"/>
          <w:sz w:val="21"/>
          <w:szCs w:val="21"/>
          <w:highlight w:val="none"/>
          <w:lang w:val="zh-CN"/>
        </w:rPr>
        <w:t xml:space="preserve"> </w:t>
      </w:r>
    </w:p>
    <w:p w14:paraId="450DC33F">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项目名称：2026年度吴江区政府投资项目跟踪审计服务</w:t>
      </w:r>
    </w:p>
    <w:p w14:paraId="1266CE9A">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采购方式：竞争性磋商</w:t>
      </w:r>
    </w:p>
    <w:p w14:paraId="7EF67C0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预算金额：人民币</w:t>
      </w:r>
      <w:r>
        <w:rPr>
          <w:rFonts w:hint="eastAsia" w:ascii="宋体" w:hAnsi="宋体" w:eastAsia="宋体" w:cs="宋体"/>
          <w:color w:val="auto"/>
          <w:sz w:val="21"/>
          <w:szCs w:val="21"/>
          <w:highlight w:val="none"/>
          <w:lang w:val="en-US" w:eastAsia="zh-CN"/>
        </w:rPr>
        <w:t>壹佰零叁万元整</w:t>
      </w:r>
      <w:r>
        <w:rPr>
          <w:rFonts w:hint="eastAsia" w:ascii="宋体" w:hAnsi="宋体" w:eastAsia="宋体" w:cs="宋体"/>
          <w:color w:val="auto"/>
          <w:sz w:val="21"/>
          <w:szCs w:val="21"/>
          <w:highlight w:val="none"/>
          <w:lang w:val="zh-CN"/>
        </w:rPr>
        <w:t>（¥：1030000.00），（</w:t>
      </w:r>
      <w:r>
        <w:rPr>
          <w:rFonts w:hint="eastAsia" w:ascii="宋体" w:hAnsi="宋体" w:eastAsia="宋体" w:cs="宋体"/>
          <w:color w:val="auto"/>
          <w:sz w:val="21"/>
          <w:szCs w:val="21"/>
          <w:highlight w:val="none"/>
          <w:lang w:val="en-US" w:eastAsia="zh-CN"/>
        </w:rPr>
        <w:t>采购包1</w:t>
      </w:r>
      <w:r>
        <w:rPr>
          <w:rFonts w:hint="eastAsia" w:ascii="宋体" w:hAnsi="宋体" w:eastAsia="宋体" w:cs="宋体"/>
          <w:color w:val="auto"/>
          <w:sz w:val="21"/>
          <w:szCs w:val="21"/>
          <w:highlight w:val="none"/>
          <w:lang w:val="zh-CN"/>
        </w:rPr>
        <w:t>：566000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val="zh-CN"/>
        </w:rPr>
        <w:t>元，</w:t>
      </w:r>
      <w:r>
        <w:rPr>
          <w:rFonts w:hint="eastAsia" w:ascii="宋体" w:hAnsi="宋体" w:eastAsia="宋体" w:cs="宋体"/>
          <w:color w:val="auto"/>
          <w:sz w:val="21"/>
          <w:szCs w:val="21"/>
          <w:highlight w:val="none"/>
          <w:lang w:val="en-US" w:eastAsia="zh-CN"/>
        </w:rPr>
        <w:t>采购包2</w:t>
      </w:r>
      <w:r>
        <w:rPr>
          <w:rFonts w:hint="eastAsia" w:ascii="宋体" w:hAnsi="宋体" w:eastAsia="宋体" w:cs="宋体"/>
          <w:color w:val="auto"/>
          <w:sz w:val="21"/>
          <w:szCs w:val="21"/>
          <w:highlight w:val="none"/>
          <w:lang w:val="zh-CN"/>
        </w:rPr>
        <w:t>：464000.00元）</w:t>
      </w:r>
    </w:p>
    <w:tbl>
      <w:tblPr>
        <w:tblStyle w:val="38"/>
        <w:tblW w:w="87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7"/>
        <w:gridCol w:w="4065"/>
        <w:gridCol w:w="3900"/>
      </w:tblGrid>
      <w:tr w14:paraId="3BD41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767" w:type="dxa"/>
            <w:noWrap w:val="0"/>
            <w:vAlign w:val="center"/>
          </w:tcPr>
          <w:p w14:paraId="01CA5AE0">
            <w:pPr>
              <w:keepNext w:val="0"/>
              <w:keepLines w:val="0"/>
              <w:pageBreakBefore w:val="0"/>
              <w:widowControl w:val="0"/>
              <w:kinsoku/>
              <w:wordWrap/>
              <w:overflowPunct/>
              <w:topLinePunct w:val="0"/>
              <w:autoSpaceDE/>
              <w:autoSpaceDN/>
              <w:bidi w:val="0"/>
              <w:adjustRightInd/>
              <w:snapToGrid w:val="0"/>
              <w:spacing w:line="360" w:lineRule="auto"/>
              <w:ind w:right="284"/>
              <w:textAlignment w:val="auto"/>
              <w:rPr>
                <w:rFonts w:hint="eastAsia" w:ascii="宋体" w:hAnsi="宋体" w:eastAsia="宋体" w:cs="宋体"/>
                <w:b/>
                <w:color w:val="auto"/>
                <w:sz w:val="21"/>
                <w:szCs w:val="21"/>
                <w:highlight w:val="none"/>
                <w:lang w:bidi="zh-CN"/>
              </w:rPr>
            </w:pPr>
            <w:r>
              <w:rPr>
                <w:rFonts w:hint="eastAsia" w:ascii="宋体" w:hAnsi="宋体" w:eastAsia="宋体" w:cs="宋体"/>
                <w:b/>
                <w:color w:val="auto"/>
                <w:sz w:val="21"/>
                <w:szCs w:val="21"/>
                <w:highlight w:val="none"/>
                <w:lang w:val="zh-CN" w:bidi="zh-CN"/>
              </w:rPr>
              <w:t>标段</w:t>
            </w:r>
            <w:r>
              <w:rPr>
                <w:rFonts w:hint="eastAsia" w:ascii="宋体" w:hAnsi="宋体" w:eastAsia="宋体" w:cs="宋体"/>
                <w:b/>
                <w:color w:val="auto"/>
                <w:sz w:val="21"/>
                <w:szCs w:val="21"/>
                <w:highlight w:val="none"/>
                <w:lang w:bidi="zh-CN"/>
              </w:rPr>
              <w:t>号</w:t>
            </w:r>
          </w:p>
        </w:tc>
        <w:tc>
          <w:tcPr>
            <w:tcW w:w="4065" w:type="dxa"/>
            <w:noWrap w:val="0"/>
            <w:vAlign w:val="center"/>
          </w:tcPr>
          <w:p w14:paraId="01A43E9C">
            <w:pPr>
              <w:keepNext w:val="0"/>
              <w:keepLines w:val="0"/>
              <w:pageBreakBefore w:val="0"/>
              <w:widowControl w:val="0"/>
              <w:kinsoku/>
              <w:wordWrap/>
              <w:overflowPunct/>
              <w:topLinePunct w:val="0"/>
              <w:autoSpaceDE/>
              <w:autoSpaceDN/>
              <w:bidi w:val="0"/>
              <w:adjustRightInd/>
              <w:snapToGrid w:val="0"/>
              <w:spacing w:line="360" w:lineRule="auto"/>
              <w:ind w:left="101" w:right="93"/>
              <w:jc w:val="center"/>
              <w:textAlignment w:val="auto"/>
              <w:rPr>
                <w:rFonts w:hint="eastAsia" w:ascii="宋体" w:hAnsi="宋体" w:eastAsia="宋体" w:cs="宋体"/>
                <w:b/>
                <w:color w:val="auto"/>
                <w:sz w:val="21"/>
                <w:szCs w:val="21"/>
                <w:highlight w:val="none"/>
                <w:lang w:bidi="zh-CN"/>
              </w:rPr>
            </w:pPr>
            <w:r>
              <w:rPr>
                <w:rFonts w:hint="eastAsia" w:ascii="宋体" w:hAnsi="宋体" w:eastAsia="宋体" w:cs="宋体"/>
                <w:b/>
                <w:color w:val="auto"/>
                <w:sz w:val="21"/>
                <w:szCs w:val="21"/>
                <w:highlight w:val="none"/>
                <w:lang w:bidi="zh-CN"/>
              </w:rPr>
              <w:t>标段名称</w:t>
            </w:r>
          </w:p>
        </w:tc>
        <w:tc>
          <w:tcPr>
            <w:tcW w:w="3900" w:type="dxa"/>
            <w:noWrap w:val="0"/>
            <w:vAlign w:val="center"/>
          </w:tcPr>
          <w:p w14:paraId="11F8A00A">
            <w:pPr>
              <w:keepNext w:val="0"/>
              <w:keepLines w:val="0"/>
              <w:pageBreakBefore w:val="0"/>
              <w:widowControl w:val="0"/>
              <w:kinsoku/>
              <w:wordWrap/>
              <w:overflowPunct/>
              <w:topLinePunct w:val="0"/>
              <w:autoSpaceDE/>
              <w:autoSpaceDN/>
              <w:bidi w:val="0"/>
              <w:adjustRightInd/>
              <w:snapToGrid w:val="0"/>
              <w:spacing w:line="360" w:lineRule="auto"/>
              <w:ind w:left="110" w:right="-15"/>
              <w:jc w:val="center"/>
              <w:textAlignment w:val="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采购预算</w:t>
            </w:r>
          </w:p>
        </w:tc>
      </w:tr>
      <w:tr w14:paraId="1C7B0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767" w:type="dxa"/>
            <w:noWrap w:val="0"/>
            <w:vAlign w:val="center"/>
          </w:tcPr>
          <w:p w14:paraId="130C1734">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一标段</w:t>
            </w:r>
          </w:p>
        </w:tc>
        <w:tc>
          <w:tcPr>
            <w:tcW w:w="4065" w:type="dxa"/>
            <w:noWrap w:val="0"/>
            <w:vAlign w:val="center"/>
          </w:tcPr>
          <w:p w14:paraId="21D8279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2026年度吴江区政府投资项目跟踪审计服务-苏州市吴江经开区水质净化厂（新建日处理工业废水1.5万吨）项目</w:t>
            </w:r>
          </w:p>
        </w:tc>
        <w:tc>
          <w:tcPr>
            <w:tcW w:w="3900" w:type="dxa"/>
            <w:noWrap w:val="0"/>
            <w:vAlign w:val="center"/>
          </w:tcPr>
          <w:p w14:paraId="3FB2C10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人民币伍拾陆万陆仟元整（</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566000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eastAsia="zh-CN"/>
              </w:rPr>
              <w:t>）</w:t>
            </w:r>
          </w:p>
          <w:p w14:paraId="1BFED55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14:paraId="423A7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jc w:val="center"/>
        </w:trPr>
        <w:tc>
          <w:tcPr>
            <w:tcW w:w="767" w:type="dxa"/>
            <w:noWrap w:val="0"/>
            <w:vAlign w:val="center"/>
          </w:tcPr>
          <w:p w14:paraId="2D16B8AB">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二标段</w:t>
            </w:r>
          </w:p>
        </w:tc>
        <w:tc>
          <w:tcPr>
            <w:tcW w:w="4065" w:type="dxa"/>
            <w:noWrap w:val="0"/>
            <w:vAlign w:val="center"/>
          </w:tcPr>
          <w:p w14:paraId="63BF608F">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2026年度吴江区政府投资项目跟踪审计服务-苏州市吴江经开区产业园区基础设施工程（二期）二标段</w:t>
            </w:r>
          </w:p>
        </w:tc>
        <w:tc>
          <w:tcPr>
            <w:tcW w:w="3900" w:type="dxa"/>
            <w:noWrap w:val="0"/>
            <w:vAlign w:val="center"/>
          </w:tcPr>
          <w:p w14:paraId="5D52B2D2">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人民币肆拾陆万肆仟元整（</w:t>
            </w:r>
            <w:r>
              <w:rPr>
                <w:rFonts w:hint="eastAsia" w:ascii="宋体" w:hAnsi="宋体" w:eastAsia="宋体" w:cs="宋体"/>
                <w:color w:val="auto"/>
                <w:sz w:val="21"/>
                <w:szCs w:val="21"/>
                <w:highlight w:val="none"/>
                <w:lang w:val="zh-CN"/>
              </w:rPr>
              <w:t>¥：464000.00</w:t>
            </w:r>
            <w:r>
              <w:rPr>
                <w:rFonts w:hint="eastAsia" w:ascii="宋体" w:hAnsi="宋体" w:eastAsia="宋体" w:cs="宋体"/>
                <w:color w:val="auto"/>
                <w:sz w:val="21"/>
                <w:szCs w:val="21"/>
                <w:highlight w:val="none"/>
                <w:lang w:val="en-US" w:eastAsia="zh-CN"/>
              </w:rPr>
              <w:t>）</w:t>
            </w:r>
          </w:p>
        </w:tc>
      </w:tr>
    </w:tbl>
    <w:p w14:paraId="041E910A">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注：</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本项目分标段采购，共分为</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val="zh-CN"/>
        </w:rPr>
        <w:t>个标段，根据最终总得分排名，每个标段成交单位为一名。供应商可选择其中一个或多个标段，标段开启顺序按标段号顺序确定，但只能就其中一个标段成交，成交标段按标段号顺序。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p>
    <w:p w14:paraId="6DCCA798">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采购需求：</w:t>
      </w:r>
    </w:p>
    <w:p w14:paraId="268181A7">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苏州市吴江区审计局委托的2026年度吴江区政府投资项目跟踪审计服务项目，每标段成交单位数量为1家。为更</w:t>
      </w:r>
      <w:r>
        <w:rPr>
          <w:rFonts w:hint="eastAsia" w:ascii="宋体" w:hAnsi="宋体" w:eastAsia="宋体" w:cs="宋体"/>
          <w:color w:val="auto"/>
          <w:sz w:val="21"/>
          <w:szCs w:val="21"/>
          <w:highlight w:val="none"/>
          <w:u w:val="none"/>
          <w:lang w:val="zh-CN"/>
        </w:rPr>
        <w:t>好</w:t>
      </w:r>
      <w:r>
        <w:rPr>
          <w:rFonts w:hint="eastAsia" w:ascii="宋体" w:hAnsi="宋体" w:eastAsia="宋体" w:cs="宋体"/>
          <w:color w:val="auto"/>
          <w:sz w:val="21"/>
          <w:szCs w:val="21"/>
          <w:highlight w:val="none"/>
          <w:lang w:val="zh-CN"/>
        </w:rPr>
        <w:t>履行审计监督职能，结合工作需要，根据政府购买服务要求采购政府投资项目工程跟踪审计服务。</w:t>
      </w:r>
    </w:p>
    <w:p w14:paraId="56477E71">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★合同履行期限：合同签订之日起至中标项目</w:t>
      </w:r>
      <w:r>
        <w:rPr>
          <w:rFonts w:hint="eastAsia" w:ascii="宋体" w:hAnsi="宋体" w:eastAsia="宋体" w:cs="宋体"/>
          <w:color w:val="auto"/>
          <w:sz w:val="21"/>
          <w:szCs w:val="21"/>
          <w:highlight w:val="none"/>
        </w:rPr>
        <w:t>跟踪</w:t>
      </w:r>
      <w:r>
        <w:rPr>
          <w:rFonts w:hint="eastAsia" w:ascii="宋体" w:hAnsi="宋体" w:eastAsia="宋体" w:cs="宋体"/>
          <w:color w:val="auto"/>
          <w:sz w:val="21"/>
          <w:szCs w:val="21"/>
          <w:highlight w:val="none"/>
          <w:lang w:val="zh-CN"/>
        </w:rPr>
        <w:t>审计完成。</w:t>
      </w:r>
    </w:p>
    <w:p w14:paraId="5FAA5F6E">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服务地点：</w:t>
      </w:r>
      <w:r>
        <w:rPr>
          <w:rFonts w:hint="eastAsia" w:ascii="宋体" w:hAnsi="宋体" w:eastAsia="宋体" w:cs="宋体"/>
          <w:color w:val="auto"/>
          <w:sz w:val="21"/>
          <w:szCs w:val="21"/>
          <w:highlight w:val="none"/>
        </w:rPr>
        <w:t>根据采购单位要求。</w:t>
      </w:r>
    </w:p>
    <w:p w14:paraId="5ADAB4C2">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验收标准：根据采购文件、响应文件、合同及国家行业相关标准由采购人验收。</w:t>
      </w:r>
    </w:p>
    <w:p w14:paraId="5E18ADDC">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在本次招标跟审服务期内，本项目中标服务标段供应商应与跟审报告出具单位一致。履行本项目合同期间出现违背上述约定的情况，</w:t>
      </w:r>
      <w:r>
        <w:rPr>
          <w:rFonts w:hint="eastAsia" w:ascii="宋体" w:hAnsi="宋体" w:eastAsia="宋体" w:cs="宋体"/>
          <w:color w:val="auto"/>
          <w:sz w:val="21"/>
          <w:szCs w:val="21"/>
          <w:highlight w:val="none"/>
          <w:lang w:val="zh-CN"/>
        </w:rPr>
        <w:t>采购方有权解除合同</w:t>
      </w:r>
      <w:r>
        <w:rPr>
          <w:rFonts w:hint="eastAsia" w:ascii="宋体" w:hAnsi="宋体" w:eastAsia="宋体" w:cs="宋体"/>
          <w:color w:val="auto"/>
          <w:sz w:val="21"/>
          <w:szCs w:val="21"/>
          <w:highlight w:val="none"/>
        </w:rPr>
        <w:t>。</w:t>
      </w:r>
    </w:p>
    <w:p w14:paraId="162C20C7">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本项目（是/否）接受联合体：不接受联合体</w:t>
      </w:r>
      <w:r>
        <w:rPr>
          <w:rFonts w:hint="eastAsia" w:ascii="宋体" w:hAnsi="宋体" w:eastAsia="宋体" w:cs="宋体"/>
          <w:color w:val="auto"/>
          <w:sz w:val="21"/>
          <w:szCs w:val="21"/>
          <w:highlight w:val="none"/>
          <w:lang w:val="zh-CN"/>
        </w:rPr>
        <w:t>。</w:t>
      </w:r>
    </w:p>
    <w:p w14:paraId="1C18068E">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本项目不允许分包、转包。</w:t>
      </w:r>
    </w:p>
    <w:p w14:paraId="7339A30E">
      <w:pPr>
        <w:keepNext w:val="0"/>
        <w:keepLines w:val="0"/>
        <w:pageBreakBefore w:val="0"/>
        <w:tabs>
          <w:tab w:val="left" w:pos="5250"/>
        </w:tabs>
        <w:kinsoku/>
        <w:wordWrap/>
        <w:overflowPunct/>
        <w:topLinePunct w:val="0"/>
        <w:autoSpaceDE/>
        <w:autoSpaceDN/>
        <w:bidi w:val="0"/>
        <w:adjustRightInd/>
        <w:spacing w:line="360" w:lineRule="auto"/>
        <w:ind w:firstLine="422" w:firstLineChars="0"/>
        <w:jc w:val="left"/>
        <w:textAlignment w:val="auto"/>
        <w:outlineLvl w:val="1"/>
        <w:rPr>
          <w:rFonts w:hint="eastAsia" w:ascii="宋体" w:hAnsi="宋体" w:eastAsia="宋体" w:cs="宋体"/>
          <w:b/>
          <w:color w:val="auto"/>
          <w:sz w:val="21"/>
          <w:szCs w:val="21"/>
          <w:highlight w:val="none"/>
          <w:lang w:val="zh-CN"/>
        </w:rPr>
      </w:pPr>
      <w:bookmarkStart w:id="10" w:name="_Toc7269"/>
      <w:r>
        <w:rPr>
          <w:rFonts w:hint="eastAsia" w:ascii="宋体" w:hAnsi="宋体" w:eastAsia="宋体" w:cs="宋体"/>
          <w:b/>
          <w:color w:val="auto"/>
          <w:sz w:val="21"/>
          <w:szCs w:val="21"/>
          <w:highlight w:val="none"/>
          <w:lang w:val="zh-CN"/>
        </w:rPr>
        <w:t>二、</w:t>
      </w:r>
      <w:r>
        <w:rPr>
          <w:rFonts w:hint="eastAsia" w:ascii="宋体" w:hAnsi="宋体" w:eastAsia="宋体" w:cs="宋体"/>
          <w:color w:val="auto"/>
          <w:sz w:val="21"/>
          <w:szCs w:val="21"/>
          <w:highlight w:val="none"/>
          <w:lang w:val="zh-CN"/>
        </w:rPr>
        <w:t>★</w:t>
      </w:r>
      <w:r>
        <w:rPr>
          <w:rFonts w:hint="eastAsia" w:ascii="宋体" w:hAnsi="宋体" w:eastAsia="宋体" w:cs="宋体"/>
          <w:b/>
          <w:color w:val="auto"/>
          <w:sz w:val="21"/>
          <w:szCs w:val="21"/>
          <w:highlight w:val="none"/>
          <w:lang w:val="zh-CN"/>
        </w:rPr>
        <w:t>申请人的资格要求</w:t>
      </w:r>
      <w:bookmarkEnd w:id="10"/>
    </w:p>
    <w:p w14:paraId="428BD6F3">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val="zh-CN"/>
        </w:rPr>
        <w:t>满足《中华人民共和国政府采购法》第二十二条规定：</w:t>
      </w:r>
    </w:p>
    <w:p w14:paraId="53C47ACC">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具有独立承担民事责任的能力。</w:t>
      </w:r>
    </w:p>
    <w:p w14:paraId="46C481BA">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具有良好的商业信誉和健全的财务会计制度。</w:t>
      </w:r>
    </w:p>
    <w:p w14:paraId="4C47EACB">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具有履行合同所必需的设备和专业技术能力。</w:t>
      </w:r>
    </w:p>
    <w:p w14:paraId="4E798334">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有依法缴纳税收和社会保障资金的良好记录。</w:t>
      </w:r>
    </w:p>
    <w:p w14:paraId="74412555">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参加政府采购活动前三年内，在经营活动中没有重大违法记录。</w:t>
      </w:r>
    </w:p>
    <w:p w14:paraId="5E89B19A">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法律、行政法规规定的其他条件。</w:t>
      </w:r>
    </w:p>
    <w:p w14:paraId="1DFE9060">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（二）落实政府采购政策需满足的</w:t>
      </w:r>
      <w:r>
        <w:rPr>
          <w:rFonts w:hint="eastAsia" w:ascii="宋体" w:hAnsi="宋体" w:eastAsia="宋体" w:cs="宋体"/>
          <w:color w:val="auto"/>
          <w:sz w:val="21"/>
          <w:szCs w:val="21"/>
          <w:highlight w:val="none"/>
          <w:lang w:val="zh-CN"/>
        </w:rPr>
        <w:t>资格要求：</w:t>
      </w:r>
      <w:r>
        <w:rPr>
          <w:rFonts w:hint="eastAsia" w:ascii="宋体" w:hAnsi="宋体" w:eastAsia="宋体" w:cs="宋体"/>
          <w:color w:val="auto"/>
          <w:sz w:val="21"/>
          <w:szCs w:val="21"/>
          <w:highlight w:val="none"/>
        </w:rPr>
        <w:t>根据《关于印发&lt;苏州市政府采购促进中小企业发展实施意见&gt;的通知》的相关规定，</w:t>
      </w:r>
      <w:r>
        <w:rPr>
          <w:rFonts w:hint="eastAsia" w:ascii="宋体" w:hAnsi="宋体" w:eastAsia="宋体" w:cs="宋体"/>
          <w:b/>
          <w:bCs/>
          <w:color w:val="auto"/>
          <w:sz w:val="21"/>
          <w:szCs w:val="21"/>
          <w:highlight w:val="none"/>
        </w:rPr>
        <w:t>本项目非专门面向中小企业，所属行业为其他未列明服务业。</w:t>
      </w:r>
    </w:p>
    <w:p w14:paraId="57B92A32">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val="zh-CN"/>
        </w:rPr>
        <w:t>本项目的特定资格要求：</w:t>
      </w:r>
    </w:p>
    <w:p w14:paraId="3F7E7B41">
      <w:pPr>
        <w:keepNext w:val="0"/>
        <w:keepLines w:val="0"/>
        <w:pageBreakBefore w:val="0"/>
        <w:tabs>
          <w:tab w:val="left" w:pos="441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1.未被“信用中国”网站（www.creditchina.gov.cn）列入失信被执行人、重大税收违法案件当事人名单、政府采购严重失信行为记录名单；</w:t>
      </w:r>
    </w:p>
    <w:p w14:paraId="05C4297C">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2.单位负责人为同一人或者存在直接控股、管理关系的不同供应商（包含法定代表人为同一个人的两个及两个以上法人，母公司、全资子公司及其控股公司），不得参加同一合同项下的政府采购活动；</w:t>
      </w:r>
    </w:p>
    <w:p w14:paraId="701E327A">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3.法人的分支机构不得参加政府采购活动（除银行、保险、石油石化、电力、电信等行业特殊情况外）。</w:t>
      </w:r>
    </w:p>
    <w:p w14:paraId="41092CF8">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4.其他特定资格要求：</w:t>
      </w:r>
    </w:p>
    <w:p w14:paraId="5A2CCF86">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（1）投标单位负责人或股东与从事本工程施工、施工劳务、工程材料供应、施工器械租赁、咨询服务等相关业务的企业存在交叉股权关系或者管理等影响社会咨询企业独立性的，不得参与相应标段的采购活动。</w:t>
      </w:r>
    </w:p>
    <w:p w14:paraId="2F874AB2">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（2）投标单位应承诺具有相关造价咨询能力，且提供的造价咨询服务工作符合中华人民共和国建设部令第149号及中华人民共和国建设部令第50号等相关规定。</w:t>
      </w:r>
    </w:p>
    <w:p w14:paraId="4D900D7F">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（3）投标单位与被审计单位或者审计事项有利害关系的，应当回避。标段中若有从事过该标段项目的</w:t>
      </w:r>
      <w:r>
        <w:rPr>
          <w:rFonts w:hint="eastAsia" w:ascii="宋体" w:hAnsi="宋体" w:eastAsia="宋体" w:cs="宋体"/>
          <w:b/>
          <w:bCs/>
          <w:color w:val="auto"/>
          <w:sz w:val="21"/>
          <w:szCs w:val="21"/>
          <w:highlight w:val="none"/>
        </w:rPr>
        <w:t>概算编制、预算编制、预算评审、招标代理、监理、施工、勘察设计等相关业务</w:t>
      </w:r>
      <w:r>
        <w:rPr>
          <w:rFonts w:hint="eastAsia" w:ascii="宋体" w:hAnsi="宋体" w:eastAsia="宋体" w:cs="宋体"/>
          <w:color w:val="auto"/>
          <w:sz w:val="21"/>
          <w:szCs w:val="21"/>
          <w:highlight w:val="none"/>
        </w:rPr>
        <w:t>的单位（包括其母公司、全资子公司及控股公司）不得参与该标段跟踪审计。</w:t>
      </w:r>
    </w:p>
    <w:p w14:paraId="58BEB8C5">
      <w:pPr>
        <w:keepNext w:val="0"/>
        <w:keepLines w:val="0"/>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b/>
          <w:bCs/>
          <w:color w:val="auto"/>
          <w:sz w:val="21"/>
          <w:szCs w:val="21"/>
          <w:highlight w:val="none"/>
        </w:rPr>
        <w:t>自202</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年至今，被采购人及其下属单位处理处罚过的单位不得参与本次采购</w:t>
      </w:r>
      <w:r>
        <w:rPr>
          <w:rFonts w:hint="eastAsia" w:ascii="宋体" w:hAnsi="宋体" w:eastAsia="宋体" w:cs="宋体"/>
          <w:color w:val="auto"/>
          <w:sz w:val="21"/>
          <w:szCs w:val="21"/>
          <w:highlight w:val="none"/>
        </w:rPr>
        <w:t>。</w:t>
      </w:r>
    </w:p>
    <w:p w14:paraId="1670C307">
      <w:pPr>
        <w:keepNext w:val="0"/>
        <w:keepLines w:val="0"/>
        <w:pageBreakBefore w:val="0"/>
        <w:kinsoku/>
        <w:wordWrap/>
        <w:overflowPunct/>
        <w:topLinePunct w:val="0"/>
        <w:autoSpaceDE/>
        <w:autoSpaceDN/>
        <w:bidi w:val="0"/>
        <w:adjustRightInd/>
        <w:spacing w:line="360" w:lineRule="auto"/>
        <w:ind w:firstLine="420" w:firstLineChars="0"/>
        <w:jc w:val="left"/>
        <w:textAlignment w:val="auto"/>
        <w:outlineLvl w:val="1"/>
        <w:rPr>
          <w:rFonts w:hint="eastAsia" w:ascii="宋体" w:hAnsi="宋体" w:eastAsia="宋体" w:cs="宋体"/>
          <w:b/>
          <w:color w:val="auto"/>
          <w:sz w:val="21"/>
          <w:szCs w:val="21"/>
          <w:highlight w:val="none"/>
          <w:lang w:val="zh-CN"/>
        </w:rPr>
      </w:pPr>
      <w:bookmarkStart w:id="11" w:name="_Toc8043"/>
      <w:r>
        <w:rPr>
          <w:rFonts w:hint="eastAsia" w:ascii="宋体" w:hAnsi="宋体" w:eastAsia="宋体" w:cs="宋体"/>
          <w:b/>
          <w:color w:val="auto"/>
          <w:sz w:val="21"/>
          <w:szCs w:val="21"/>
          <w:highlight w:val="none"/>
          <w:lang w:val="zh-CN"/>
        </w:rPr>
        <w:t>三、获取采购文件</w:t>
      </w:r>
      <w:bookmarkEnd w:id="11"/>
    </w:p>
    <w:p w14:paraId="24D9E60E">
      <w:pPr>
        <w:keepNext w:val="0"/>
        <w:keepLines w:val="0"/>
        <w:pageBreakBefore w:val="0"/>
        <w:tabs>
          <w:tab w:val="left" w:pos="5250"/>
        </w:tabs>
        <w:kinsoku/>
        <w:wordWrap/>
        <w:overflowPunct/>
        <w:topLinePunct w:val="0"/>
        <w:autoSpaceDE/>
        <w:autoSpaceDN/>
        <w:bidi w:val="0"/>
        <w:adjustRightInd/>
        <w:spacing w:line="360" w:lineRule="auto"/>
        <w:ind w:firstLine="420" w:firstLineChars="0"/>
        <w:jc w:val="left"/>
        <w:textAlignment w:val="auto"/>
        <w:outlineLvl w:val="2"/>
        <w:rPr>
          <w:rFonts w:hint="eastAsia" w:ascii="宋体" w:hAnsi="宋体" w:eastAsia="宋体" w:cs="宋体"/>
          <w:color w:val="auto"/>
          <w:sz w:val="21"/>
          <w:szCs w:val="21"/>
          <w:highlight w:val="none"/>
          <w:lang w:val="zh-CN"/>
        </w:rPr>
      </w:pPr>
      <w:bookmarkStart w:id="12" w:name="_Toc31155"/>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val="zh-CN"/>
        </w:rPr>
        <w:t>）本项目实行供应商网上报名，网上报名截止时间：202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val="zh-CN"/>
        </w:rPr>
        <w:t>日</w:t>
      </w:r>
      <w:r>
        <w:rPr>
          <w:rFonts w:hint="eastAsia" w:ascii="宋体" w:hAnsi="宋体" w:eastAsia="宋体" w:cs="宋体"/>
          <w:color w:val="auto"/>
          <w:sz w:val="21"/>
          <w:szCs w:val="21"/>
          <w:highlight w:val="none"/>
        </w:rPr>
        <w:t>23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59</w:t>
      </w:r>
      <w:r>
        <w:rPr>
          <w:rFonts w:hint="eastAsia" w:ascii="宋体" w:hAnsi="宋体" w:eastAsia="宋体" w:cs="宋体"/>
          <w:color w:val="auto"/>
          <w:sz w:val="21"/>
          <w:szCs w:val="21"/>
          <w:highlight w:val="none"/>
          <w:lang w:val="zh-CN"/>
        </w:rPr>
        <w:t>（北京时间）。</w:t>
      </w:r>
      <w:bookmarkEnd w:id="12"/>
    </w:p>
    <w:p w14:paraId="4F3B2793">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方式：在苏采云系统报名后自行免费下载磋商文件。</w:t>
      </w:r>
    </w:p>
    <w:p w14:paraId="7E1D778A">
      <w:pPr>
        <w:keepNext w:val="0"/>
        <w:keepLines w:val="0"/>
        <w:pageBreakBefore w:val="0"/>
        <w:tabs>
          <w:tab w:val="left" w:pos="5250"/>
        </w:tabs>
        <w:kinsoku/>
        <w:wordWrap/>
        <w:overflowPunct/>
        <w:topLinePunct w:val="0"/>
        <w:autoSpaceDE/>
        <w:autoSpaceDN/>
        <w:bidi w:val="0"/>
        <w:adjustRightInd/>
        <w:spacing w:line="360" w:lineRule="auto"/>
        <w:ind w:firstLine="420" w:firstLineChars="0"/>
        <w:jc w:val="left"/>
        <w:textAlignment w:val="auto"/>
        <w:outlineLvl w:val="2"/>
        <w:rPr>
          <w:rFonts w:hint="eastAsia" w:ascii="宋体" w:hAnsi="宋体" w:eastAsia="宋体" w:cs="宋体"/>
          <w:color w:val="auto"/>
          <w:sz w:val="21"/>
          <w:szCs w:val="21"/>
          <w:highlight w:val="none"/>
          <w:lang w:val="zh-CN"/>
        </w:rPr>
      </w:pPr>
      <w:bookmarkStart w:id="13" w:name="_Toc20478"/>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val="zh-CN"/>
        </w:rPr>
        <w:t>）报名流程：</w:t>
      </w:r>
      <w:bookmarkEnd w:id="13"/>
    </w:p>
    <w:p w14:paraId="5F5EF2CA">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CA证书办理</w:t>
      </w:r>
    </w:p>
    <w:p w14:paraId="75E33267">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47A9A825">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参与采购活动</w:t>
      </w:r>
    </w:p>
    <w:p w14:paraId="0BB34085">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35308792">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电子投标准备</w:t>
      </w:r>
    </w:p>
    <w:p w14:paraId="76957FF6">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1497812C">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补充通知（如有）。成功获取磋商文件的供应商通过“苏州市政府采购网”或“苏采云”系统自行查看所报项目的补充通知。</w:t>
      </w:r>
    </w:p>
    <w:p w14:paraId="62B3BF2F">
      <w:pPr>
        <w:keepNext w:val="0"/>
        <w:keepLines w:val="0"/>
        <w:pageBreakBefore w:val="0"/>
        <w:tabs>
          <w:tab w:val="left" w:pos="5250"/>
        </w:tabs>
        <w:kinsoku/>
        <w:wordWrap/>
        <w:overflowPunct/>
        <w:topLinePunct w:val="0"/>
        <w:autoSpaceDE/>
        <w:autoSpaceDN/>
        <w:bidi w:val="0"/>
        <w:adjustRightInd/>
        <w:spacing w:line="360" w:lineRule="auto"/>
        <w:ind w:firstLine="420" w:firstLineChars="0"/>
        <w:jc w:val="left"/>
        <w:textAlignment w:val="auto"/>
        <w:outlineLvl w:val="2"/>
        <w:rPr>
          <w:rFonts w:hint="eastAsia" w:ascii="宋体" w:hAnsi="宋体" w:eastAsia="宋体" w:cs="宋体"/>
          <w:color w:val="auto"/>
          <w:sz w:val="21"/>
          <w:szCs w:val="21"/>
          <w:highlight w:val="none"/>
          <w:lang w:val="zh-CN"/>
        </w:rPr>
      </w:pPr>
      <w:bookmarkStart w:id="14" w:name="_Toc12329"/>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val="zh-CN"/>
        </w:rPr>
        <w:t>）在网上报名和磋商过程中如有疑问，请按以下方式联系：</w:t>
      </w:r>
      <w:bookmarkEnd w:id="14"/>
    </w:p>
    <w:p w14:paraId="6E61CC57">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注册咨询：18261002950；</w:t>
      </w:r>
    </w:p>
    <w:p w14:paraId="2BBDF570">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CA技术咨询电话：400-608-6099；</w:t>
      </w:r>
    </w:p>
    <w:p w14:paraId="7F39B644">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签章使用问题：025-83633811、025-83633812、15380932027、15371015030；</w:t>
      </w:r>
    </w:p>
    <w:p w14:paraId="2C7C994B">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系统使用指导与咨询：联系电话：18261002950；智能客服：登录苏采云系统后，联系系统右下方智能客服图标进行咨询。</w:t>
      </w:r>
    </w:p>
    <w:p w14:paraId="7E822C36">
      <w:pPr>
        <w:keepNext w:val="0"/>
        <w:keepLines w:val="0"/>
        <w:pageBreakBefore w:val="0"/>
        <w:tabs>
          <w:tab w:val="left" w:pos="5250"/>
        </w:tabs>
        <w:kinsoku/>
        <w:wordWrap/>
        <w:overflowPunct/>
        <w:topLinePunct w:val="0"/>
        <w:autoSpaceDE/>
        <w:autoSpaceDN/>
        <w:bidi w:val="0"/>
        <w:adjustRightInd/>
        <w:spacing w:line="360" w:lineRule="auto"/>
        <w:ind w:firstLine="422" w:firstLineChars="0"/>
        <w:jc w:val="left"/>
        <w:textAlignment w:val="auto"/>
        <w:outlineLvl w:val="1"/>
        <w:rPr>
          <w:rFonts w:hint="eastAsia" w:ascii="宋体" w:hAnsi="宋体" w:eastAsia="宋体" w:cs="宋体"/>
          <w:b/>
          <w:color w:val="auto"/>
          <w:sz w:val="21"/>
          <w:szCs w:val="21"/>
          <w:highlight w:val="none"/>
          <w:lang w:val="zh-CN"/>
        </w:rPr>
      </w:pPr>
      <w:bookmarkStart w:id="15" w:name="_Toc28473"/>
      <w:r>
        <w:rPr>
          <w:rFonts w:hint="eastAsia" w:ascii="宋体" w:hAnsi="宋体" w:eastAsia="宋体" w:cs="宋体"/>
          <w:b/>
          <w:color w:val="auto"/>
          <w:sz w:val="21"/>
          <w:szCs w:val="21"/>
          <w:highlight w:val="none"/>
          <w:lang w:val="zh-CN"/>
        </w:rPr>
        <w:t>四、响应文件提交</w:t>
      </w:r>
      <w:bookmarkEnd w:id="15"/>
    </w:p>
    <w:p w14:paraId="0DE81297">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val="zh-CN"/>
        </w:rPr>
        <w:t>）本项目采用电子招投标形式，请供应商按照《苏采云系统供应商操作手册》进行制作、上传电子投标文件。</w:t>
      </w:r>
      <w:r>
        <w:rPr>
          <w:rFonts w:hint="eastAsia" w:ascii="宋体" w:hAnsi="宋体" w:eastAsia="宋体" w:cs="宋体"/>
          <w:b/>
          <w:bCs/>
          <w:color w:val="auto"/>
          <w:sz w:val="21"/>
          <w:szCs w:val="21"/>
          <w:highlight w:val="none"/>
          <w:lang w:val="zh-CN"/>
        </w:rPr>
        <w:t>电子投标文件制作完成后请于投标文件递交截止时间前成功上传至“苏采云”系统，否则视为放弃参加该采购项目。</w:t>
      </w:r>
      <w:r>
        <w:rPr>
          <w:rFonts w:hint="eastAsia" w:ascii="宋体" w:hAnsi="宋体" w:eastAsia="宋体" w:cs="宋体"/>
          <w:color w:val="auto"/>
          <w:sz w:val="21"/>
          <w:szCs w:val="21"/>
          <w:highlight w:val="none"/>
          <w:lang w:val="zh-CN"/>
        </w:rPr>
        <w:t>供应商应充分考虑到网络环境、网络带宽等风险因素，如因供应商自身原因造成的电子投标文件上传不成功由供应商自行承担全部责任。</w:t>
      </w:r>
    </w:p>
    <w:p w14:paraId="3087B43E">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val="zh-CN"/>
        </w:rPr>
        <w:t>）网上响应文件接收截止时间：202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val="zh-CN"/>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val="zh-CN"/>
        </w:rPr>
        <w:t>：30（北京时间）</w:t>
      </w:r>
    </w:p>
    <w:p w14:paraId="6B3A812E">
      <w:pPr>
        <w:keepNext w:val="0"/>
        <w:keepLines w:val="0"/>
        <w:pageBreakBefore w:val="0"/>
        <w:tabs>
          <w:tab w:val="left" w:pos="5250"/>
        </w:tabs>
        <w:kinsoku/>
        <w:wordWrap/>
        <w:overflowPunct/>
        <w:topLinePunct w:val="0"/>
        <w:autoSpaceDE/>
        <w:autoSpaceDN/>
        <w:bidi w:val="0"/>
        <w:adjustRightInd/>
        <w:spacing w:line="360" w:lineRule="auto"/>
        <w:ind w:firstLine="422" w:firstLineChars="0"/>
        <w:jc w:val="left"/>
        <w:textAlignment w:val="auto"/>
        <w:outlineLvl w:val="1"/>
        <w:rPr>
          <w:rFonts w:hint="eastAsia" w:ascii="宋体" w:hAnsi="宋体" w:eastAsia="宋体" w:cs="宋体"/>
          <w:b/>
          <w:color w:val="auto"/>
          <w:sz w:val="21"/>
          <w:szCs w:val="21"/>
          <w:highlight w:val="none"/>
          <w:lang w:val="zh-CN"/>
        </w:rPr>
      </w:pPr>
      <w:bookmarkStart w:id="16" w:name="_Toc14662"/>
      <w:r>
        <w:rPr>
          <w:rFonts w:hint="eastAsia" w:ascii="宋体" w:hAnsi="宋体" w:eastAsia="宋体" w:cs="宋体"/>
          <w:b/>
          <w:color w:val="auto"/>
          <w:sz w:val="21"/>
          <w:szCs w:val="21"/>
          <w:highlight w:val="none"/>
          <w:lang w:val="zh-CN"/>
        </w:rPr>
        <w:t>五、开启</w:t>
      </w:r>
      <w:bookmarkEnd w:id="16"/>
    </w:p>
    <w:p w14:paraId="5810CA0E">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远程签到起止时间：202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lang w:val="zh-CN"/>
        </w:rPr>
        <w:t>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val="zh-CN"/>
        </w:rPr>
        <w:t>：00至</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val="zh-CN"/>
        </w:rPr>
        <w:t>：30（北京时间）；</w:t>
      </w:r>
    </w:p>
    <w:p w14:paraId="39113E12">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远程开标时间：202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lang w:val="zh-CN"/>
        </w:rPr>
        <w:t xml:space="preserve">日 </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val="zh-CN"/>
        </w:rPr>
        <w:t>：30（北京时间）；</w:t>
      </w:r>
    </w:p>
    <w:p w14:paraId="01651FCE">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远程CA预解密时间：202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lang w:val="zh-CN"/>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val="zh-CN"/>
        </w:rPr>
        <w:t>：30至</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val="zh-CN"/>
        </w:rPr>
        <w:t xml:space="preserve">：00（北京时间）； </w:t>
      </w:r>
    </w:p>
    <w:p w14:paraId="35A22F1F">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开标地点：“苏采云”系统（网址：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w:instrText>
      </w:r>
      <w:r>
        <w:rPr>
          <w:rFonts w:hint="eastAsia" w:ascii="宋体" w:hAnsi="宋体" w:eastAsia="宋体" w:cs="宋体"/>
          <w:color w:val="auto"/>
          <w:sz w:val="21"/>
          <w:szCs w:val="21"/>
          <w:highlight w:val="none"/>
        </w:rPr>
        <w:fldChar w:fldCharType="separate"/>
      </w:r>
      <w:r>
        <w:rPr>
          <w:rStyle w:val="272"/>
          <w:rFonts w:hint="eastAsia" w:ascii="宋体" w:hAnsi="宋体" w:eastAsia="宋体" w:cs="宋体"/>
          <w:color w:val="auto"/>
          <w:sz w:val="21"/>
          <w:szCs w:val="21"/>
          <w:highlight w:val="none"/>
          <w:lang w:val="zh-CN"/>
        </w:rPr>
        <w:t>http://jszfcg.jsczt.cn/）。</w:t>
      </w:r>
      <w:r>
        <w:rPr>
          <w:rStyle w:val="272"/>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响应文件网上递交，供应商无需到现场。</w:t>
      </w:r>
    </w:p>
    <w:p w14:paraId="2F70461F">
      <w:pPr>
        <w:keepNext w:val="0"/>
        <w:keepLines w:val="0"/>
        <w:pageBreakBefore w:val="0"/>
        <w:tabs>
          <w:tab w:val="left" w:pos="5250"/>
        </w:tabs>
        <w:kinsoku/>
        <w:wordWrap/>
        <w:overflowPunct/>
        <w:topLinePunct w:val="0"/>
        <w:autoSpaceDE/>
        <w:autoSpaceDN/>
        <w:bidi w:val="0"/>
        <w:adjustRightInd/>
        <w:spacing w:line="360" w:lineRule="auto"/>
        <w:ind w:firstLine="422" w:firstLineChars="0"/>
        <w:jc w:val="left"/>
        <w:textAlignment w:val="auto"/>
        <w:outlineLvl w:val="1"/>
        <w:rPr>
          <w:rFonts w:hint="eastAsia" w:ascii="宋体" w:hAnsi="宋体" w:eastAsia="宋体" w:cs="宋体"/>
          <w:b/>
          <w:color w:val="auto"/>
          <w:sz w:val="21"/>
          <w:szCs w:val="21"/>
          <w:highlight w:val="none"/>
          <w:lang w:val="zh-CN"/>
        </w:rPr>
      </w:pPr>
      <w:bookmarkStart w:id="17" w:name="_Toc5013"/>
      <w:r>
        <w:rPr>
          <w:rFonts w:hint="eastAsia" w:ascii="宋体" w:hAnsi="宋体" w:eastAsia="宋体" w:cs="宋体"/>
          <w:b/>
          <w:color w:val="auto"/>
          <w:sz w:val="21"/>
          <w:szCs w:val="21"/>
          <w:highlight w:val="none"/>
          <w:lang w:val="zh-CN"/>
        </w:rPr>
        <w:t>六、公告期限</w:t>
      </w:r>
      <w:bookmarkEnd w:id="17"/>
    </w:p>
    <w:p w14:paraId="04CF9A3E">
      <w:pPr>
        <w:keepNext w:val="0"/>
        <w:keepLines w:val="0"/>
        <w:pageBreakBefore w:val="0"/>
        <w:tabs>
          <w:tab w:val="left" w:pos="5250"/>
        </w:tabs>
        <w:kinsoku/>
        <w:wordWrap/>
        <w:overflowPunct/>
        <w:topLinePunct w:val="0"/>
        <w:autoSpaceDE/>
        <w:autoSpaceDN/>
        <w:bidi w:val="0"/>
        <w:adjustRightInd/>
        <w:spacing w:line="360" w:lineRule="auto"/>
        <w:ind w:firstLine="422"/>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自本公告发布之日起</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个工作日。</w:t>
      </w:r>
    </w:p>
    <w:p w14:paraId="2F0C1AC2">
      <w:pPr>
        <w:keepNext w:val="0"/>
        <w:keepLines w:val="0"/>
        <w:pageBreakBefore w:val="0"/>
        <w:tabs>
          <w:tab w:val="left" w:pos="5250"/>
        </w:tabs>
        <w:kinsoku/>
        <w:wordWrap/>
        <w:overflowPunct/>
        <w:topLinePunct w:val="0"/>
        <w:autoSpaceDE/>
        <w:autoSpaceDN/>
        <w:bidi w:val="0"/>
        <w:adjustRightInd/>
        <w:spacing w:line="360" w:lineRule="auto"/>
        <w:ind w:firstLine="422" w:firstLineChars="0"/>
        <w:jc w:val="left"/>
        <w:textAlignment w:val="auto"/>
        <w:outlineLvl w:val="1"/>
        <w:rPr>
          <w:rFonts w:hint="eastAsia" w:ascii="宋体" w:hAnsi="宋体" w:eastAsia="宋体" w:cs="宋体"/>
          <w:b/>
          <w:color w:val="auto"/>
          <w:sz w:val="21"/>
          <w:szCs w:val="21"/>
          <w:highlight w:val="none"/>
          <w:lang w:val="zh-CN"/>
        </w:rPr>
      </w:pPr>
      <w:bookmarkStart w:id="18" w:name="_Toc12467"/>
      <w:r>
        <w:rPr>
          <w:rFonts w:hint="eastAsia" w:ascii="宋体" w:hAnsi="宋体" w:eastAsia="宋体" w:cs="宋体"/>
          <w:b/>
          <w:color w:val="auto"/>
          <w:sz w:val="21"/>
          <w:szCs w:val="21"/>
          <w:highlight w:val="none"/>
          <w:lang w:val="zh-CN"/>
        </w:rPr>
        <w:t>七、其他补充事宜</w:t>
      </w:r>
      <w:bookmarkEnd w:id="18"/>
    </w:p>
    <w:p w14:paraId="28B4E4AF">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http://jszfcg.jsczt.cn/</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w:t>
      </w:r>
    </w:p>
    <w:p w14:paraId="751D2E6D">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CA证书解密电子响应文件，如在系统规定的解密时间（响应文件提交截止时间后30分钟）内未能完成解密的视为放弃参与本项目。</w:t>
      </w:r>
    </w:p>
    <w:p w14:paraId="31EB8EAE">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请供应商确保电脑、系统及其他设备（视频输入输出设备等）无误，且开启直至项目结束始终保持系统在线状态。</w:t>
      </w:r>
    </w:p>
    <w:p w14:paraId="12541979">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3.质疑按《中华人民共和国财政部令第94号―政府采购质疑和投诉办法》中相关规定提出，供应商应在法定质疑期内一次性提出针对同一采购程序环节的质疑，质疑函（必须附“交易文件下载确认单”）现场提交或邮寄至本公司（不接收到付快递）。</w:t>
      </w:r>
    </w:p>
    <w:p w14:paraId="3F930B4F">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地址：</w:t>
      </w:r>
      <w:r>
        <w:rPr>
          <w:rFonts w:hint="eastAsia" w:ascii="宋体" w:hAnsi="宋体" w:eastAsia="宋体" w:cs="宋体"/>
          <w:color w:val="auto"/>
          <w:sz w:val="21"/>
          <w:szCs w:val="21"/>
          <w:highlight w:val="none"/>
          <w:lang w:val="en-US" w:eastAsia="zh-CN"/>
        </w:rPr>
        <w:t>苏州新区广达路9号金马大厦B座3楼</w:t>
      </w:r>
    </w:p>
    <w:p w14:paraId="77C680C6">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联系人：</w:t>
      </w:r>
      <w:r>
        <w:rPr>
          <w:rFonts w:hint="eastAsia" w:ascii="宋体" w:hAnsi="宋体" w:eastAsia="宋体" w:cs="宋体"/>
          <w:color w:val="auto"/>
          <w:sz w:val="21"/>
          <w:szCs w:val="21"/>
          <w:highlight w:val="none"/>
          <w:lang w:val="en-US" w:eastAsia="zh-CN"/>
        </w:rPr>
        <w:t>孙玉珍</w:t>
      </w:r>
      <w:r>
        <w:rPr>
          <w:rFonts w:hint="eastAsia" w:ascii="宋体" w:hAnsi="宋体" w:eastAsia="宋体" w:cs="宋体"/>
          <w:color w:val="auto"/>
          <w:sz w:val="21"/>
          <w:szCs w:val="21"/>
          <w:highlight w:val="none"/>
          <w:lang w:val="zh-CN"/>
        </w:rPr>
        <w:t xml:space="preserve">     联系电话：</w:t>
      </w:r>
      <w:r>
        <w:rPr>
          <w:rFonts w:hint="eastAsia" w:ascii="宋体" w:hAnsi="宋体" w:eastAsia="宋体" w:cs="宋体"/>
          <w:color w:val="auto"/>
          <w:sz w:val="21"/>
          <w:szCs w:val="21"/>
          <w:highlight w:val="none"/>
          <w:lang w:val="en-US" w:eastAsia="zh-CN"/>
        </w:rPr>
        <w:t>0512-68786252</w:t>
      </w:r>
    </w:p>
    <w:p w14:paraId="21861CE5">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提交方式：书面形式原件（邮寄或当面递交）</w:t>
      </w:r>
    </w:p>
    <w:p w14:paraId="5AB5C790">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投标单位提出书面质疑必须有理、有据，不得恶意质疑或提交虚假质疑。否则，一经查实，招标采购人有权依据政府采购的有关规定，报请政府采购监管部门对该投标单位进行相应的行政处罚。</w:t>
      </w:r>
    </w:p>
    <w:p w14:paraId="0C1F097F">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w:t>
      </w:r>
      <w:r>
        <w:rPr>
          <w:rFonts w:hint="eastAsia" w:ascii="宋体" w:hAnsi="宋体" w:eastAsia="宋体" w:cs="宋体"/>
          <w:b/>
          <w:bCs/>
          <w:color w:val="auto"/>
          <w:sz w:val="21"/>
          <w:szCs w:val="21"/>
          <w:highlight w:val="none"/>
          <w:lang w:val="zh-CN"/>
        </w:rPr>
        <w:t>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sz w:val="21"/>
          <w:szCs w:val="21"/>
          <w:highlight w:val="none"/>
          <w:lang w:val="zh-CN"/>
        </w:rPr>
        <w:t>。</w:t>
      </w:r>
    </w:p>
    <w:p w14:paraId="13B73474">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5.勘察现场：为更好地了解现场情况，各投标供应商需至现场进行踏勘，熟悉实际情况，以获得一切可能影响其投标的直接资料。踏勘时间自文件公告之日起由各投标供应商自行联系</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踏勘，投标人中标后，不得以不完全了解现场情况为理由而向招标采购单位提出任何索赔或加价的要求，对此招标采购单位不承担任何责任并将不作任何答复与考虑。勘察现场费用自理。</w:t>
      </w:r>
    </w:p>
    <w:p w14:paraId="6CEAD0C7">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6.成交服务费：</w:t>
      </w:r>
      <w:r>
        <w:rPr>
          <w:rFonts w:hint="eastAsia" w:ascii="宋体" w:hAnsi="宋体" w:eastAsia="宋体" w:cs="宋体"/>
          <w:color w:val="auto"/>
          <w:sz w:val="21"/>
          <w:szCs w:val="21"/>
          <w:highlight w:val="none"/>
          <w:lang w:val="zh-CN"/>
        </w:rPr>
        <w:t>本项目采购代理服务费由</w:t>
      </w:r>
      <w:r>
        <w:rPr>
          <w:rFonts w:hint="eastAsia" w:ascii="宋体" w:hAnsi="宋体" w:eastAsia="宋体" w:cs="宋体"/>
          <w:color w:val="auto"/>
          <w:sz w:val="21"/>
          <w:szCs w:val="21"/>
          <w:highlight w:val="none"/>
          <w:u w:val="single"/>
          <w:lang w:val="zh-CN"/>
        </w:rPr>
        <w:t>成交单位</w:t>
      </w:r>
      <w:r>
        <w:rPr>
          <w:rFonts w:hint="eastAsia" w:ascii="宋体" w:hAnsi="宋体" w:eastAsia="宋体" w:cs="宋体"/>
          <w:color w:val="auto"/>
          <w:sz w:val="21"/>
          <w:szCs w:val="21"/>
          <w:highlight w:val="none"/>
          <w:lang w:val="zh-CN"/>
        </w:rPr>
        <w:t>支付，</w:t>
      </w:r>
      <w:r>
        <w:rPr>
          <w:rFonts w:hint="eastAsia" w:ascii="宋体" w:hAnsi="宋体" w:eastAsia="宋体" w:cs="宋体"/>
          <w:color w:val="auto"/>
          <w:sz w:val="21"/>
          <w:szCs w:val="21"/>
          <w:highlight w:val="none"/>
          <w:lang w:val="en-US" w:eastAsia="zh-CN"/>
        </w:rPr>
        <w:t>代理服务费</w:t>
      </w:r>
      <w:r>
        <w:rPr>
          <w:rFonts w:hint="eastAsia" w:ascii="宋体" w:hAnsi="宋体" w:eastAsia="宋体" w:cs="宋体"/>
          <w:color w:val="auto"/>
          <w:sz w:val="21"/>
          <w:szCs w:val="21"/>
          <w:highlight w:val="none"/>
          <w:lang w:val="zh-CN" w:eastAsia="zh-CN"/>
        </w:rPr>
        <w:t>金额：人民币壹</w:t>
      </w:r>
      <w:r>
        <w:rPr>
          <w:rFonts w:hint="eastAsia" w:ascii="宋体" w:hAnsi="宋体" w:eastAsia="宋体" w:cs="宋体"/>
          <w:color w:val="auto"/>
          <w:sz w:val="21"/>
          <w:szCs w:val="21"/>
          <w:highlight w:val="none"/>
          <w:lang w:val="zh-CN" w:eastAsia="zh-CN" w:bidi="ar-SA"/>
        </w:rPr>
        <w:t>万贰仟元整（小写：12000.00元）；</w:t>
      </w:r>
      <w:r>
        <w:rPr>
          <w:rFonts w:hint="eastAsia" w:ascii="宋体" w:hAnsi="宋体" w:eastAsia="宋体" w:cs="宋体"/>
          <w:color w:val="auto"/>
          <w:sz w:val="21"/>
          <w:szCs w:val="21"/>
          <w:highlight w:val="none"/>
          <w:lang w:val="en-US" w:eastAsia="zh-CN" w:bidi="ar-SA"/>
        </w:rPr>
        <w:t>其中</w:t>
      </w:r>
      <w:r>
        <w:rPr>
          <w:rFonts w:hint="eastAsia" w:ascii="宋体" w:hAnsi="宋体" w:eastAsia="宋体" w:cs="宋体"/>
          <w:color w:val="auto"/>
          <w:sz w:val="21"/>
          <w:szCs w:val="21"/>
          <w:highlight w:val="none"/>
          <w:lang w:val="zh-CN" w:eastAsia="zh-CN" w:bidi="ar-SA"/>
        </w:rPr>
        <w:t>一标段为：陆仟伍佰玖拾肆元整（小写：6594.00元）；二标段为：伍仟肆佰零陆元整（小写：5406.00元）。</w:t>
      </w:r>
      <w:r>
        <w:rPr>
          <w:rFonts w:hint="eastAsia" w:ascii="宋体" w:hAnsi="宋体" w:eastAsia="宋体" w:cs="宋体"/>
          <w:color w:val="auto"/>
          <w:sz w:val="21"/>
          <w:szCs w:val="21"/>
          <w:highlight w:val="none"/>
          <w:lang w:val="zh-CN"/>
        </w:rPr>
        <w:t>响应单位报价时考虑此项费用。</w:t>
      </w:r>
    </w:p>
    <w:p w14:paraId="3C94C531">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7.磋商保证金：无，提供投标（响应）保证承诺书。</w:t>
      </w:r>
    </w:p>
    <w:p w14:paraId="5154A2CC">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履约保证金：</w:t>
      </w:r>
      <w:r>
        <w:rPr>
          <w:rFonts w:hint="eastAsia" w:ascii="宋体" w:hAnsi="宋体" w:eastAsia="宋体" w:cs="宋体"/>
          <w:color w:val="auto"/>
          <w:sz w:val="21"/>
          <w:szCs w:val="21"/>
          <w:highlight w:val="none"/>
        </w:rPr>
        <w:t>无</w:t>
      </w:r>
      <w:r>
        <w:rPr>
          <w:rFonts w:hint="eastAsia" w:ascii="宋体" w:hAnsi="宋体" w:eastAsia="宋体" w:cs="宋体"/>
          <w:color w:val="auto"/>
          <w:sz w:val="21"/>
          <w:szCs w:val="21"/>
          <w:highlight w:val="none"/>
          <w:lang w:val="zh-CN"/>
        </w:rPr>
        <w:t>。</w:t>
      </w:r>
    </w:p>
    <w:p w14:paraId="07BF60AA">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zh-CN"/>
        </w:rPr>
        <w:t>.★网上响应文件请按招标文件要求的响应文件的组成要求进行制作。本项目采用网上报名、网上提交响应文件，未使用上述方式将导致无法报名或投标失败。</w:t>
      </w:r>
    </w:p>
    <w:p w14:paraId="5EA95994">
      <w:pPr>
        <w:keepNext w:val="0"/>
        <w:keepLines w:val="0"/>
        <w:pageBreakBefore w:val="0"/>
        <w:tabs>
          <w:tab w:val="left" w:pos="5250"/>
        </w:tabs>
        <w:kinsoku/>
        <w:wordWrap/>
        <w:overflowPunct/>
        <w:topLinePunct w:val="0"/>
        <w:autoSpaceDE/>
        <w:autoSpaceDN/>
        <w:bidi w:val="0"/>
        <w:adjustRightInd/>
        <w:spacing w:line="360" w:lineRule="auto"/>
        <w:ind w:firstLine="422" w:firstLineChars="0"/>
        <w:jc w:val="left"/>
        <w:textAlignment w:val="auto"/>
        <w:outlineLvl w:val="1"/>
        <w:rPr>
          <w:rFonts w:hint="eastAsia" w:ascii="宋体" w:hAnsi="宋体" w:eastAsia="宋体" w:cs="宋体"/>
          <w:b/>
          <w:color w:val="auto"/>
          <w:sz w:val="21"/>
          <w:szCs w:val="21"/>
          <w:highlight w:val="none"/>
          <w:lang w:val="zh-CN"/>
        </w:rPr>
      </w:pPr>
      <w:bookmarkStart w:id="19" w:name="_Toc5349"/>
      <w:r>
        <w:rPr>
          <w:rFonts w:hint="eastAsia" w:ascii="宋体" w:hAnsi="宋体" w:eastAsia="宋体" w:cs="宋体"/>
          <w:b/>
          <w:color w:val="auto"/>
          <w:sz w:val="21"/>
          <w:szCs w:val="21"/>
          <w:highlight w:val="none"/>
          <w:lang w:val="zh-CN"/>
        </w:rPr>
        <w:t>八、联系及监督</w:t>
      </w:r>
      <w:bookmarkEnd w:id="19"/>
    </w:p>
    <w:p w14:paraId="02710F86">
      <w:pPr>
        <w:keepNext w:val="0"/>
        <w:keepLines w:val="0"/>
        <w:pageBreakBefore w:val="0"/>
        <w:tabs>
          <w:tab w:val="left" w:pos="5250"/>
        </w:tabs>
        <w:kinsoku/>
        <w:wordWrap/>
        <w:overflowPunct/>
        <w:topLinePunct w:val="0"/>
        <w:autoSpaceDE/>
        <w:autoSpaceDN/>
        <w:bidi w:val="0"/>
        <w:adjustRightInd/>
        <w:spacing w:line="360" w:lineRule="auto"/>
        <w:ind w:firstLine="420" w:firstLineChars="0"/>
        <w:jc w:val="left"/>
        <w:textAlignment w:val="auto"/>
        <w:outlineLvl w:val="2"/>
        <w:rPr>
          <w:rFonts w:hint="eastAsia" w:ascii="宋体" w:hAnsi="宋体" w:eastAsia="宋体" w:cs="宋体"/>
          <w:color w:val="auto"/>
          <w:sz w:val="21"/>
          <w:szCs w:val="21"/>
          <w:highlight w:val="none"/>
          <w:lang w:val="zh-CN"/>
        </w:rPr>
      </w:pPr>
      <w:bookmarkStart w:id="20" w:name="_Toc13982"/>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采购人信息</w:t>
      </w:r>
      <w:bookmarkEnd w:id="20"/>
    </w:p>
    <w:p w14:paraId="1AB47517">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单位名称：苏州市吴江区审计局</w:t>
      </w:r>
    </w:p>
    <w:p w14:paraId="3A07A431">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单位地址：苏州市吴江区松陵街道开平路1000号</w:t>
      </w:r>
    </w:p>
    <w:p w14:paraId="42FBAE85">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联系人：刘志闪</w:t>
      </w:r>
    </w:p>
    <w:p w14:paraId="466EFE04">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联系电话：0512-63981745</w:t>
      </w:r>
    </w:p>
    <w:p w14:paraId="441BA353">
      <w:pPr>
        <w:keepNext w:val="0"/>
        <w:keepLines w:val="0"/>
        <w:pageBreakBefore w:val="0"/>
        <w:tabs>
          <w:tab w:val="left" w:pos="5250"/>
        </w:tabs>
        <w:kinsoku/>
        <w:wordWrap/>
        <w:overflowPunct/>
        <w:topLinePunct w:val="0"/>
        <w:autoSpaceDE/>
        <w:autoSpaceDN/>
        <w:bidi w:val="0"/>
        <w:adjustRightInd/>
        <w:spacing w:line="360" w:lineRule="auto"/>
        <w:ind w:firstLine="420" w:firstLineChars="0"/>
        <w:jc w:val="left"/>
        <w:textAlignment w:val="auto"/>
        <w:outlineLvl w:val="2"/>
        <w:rPr>
          <w:rFonts w:hint="eastAsia" w:ascii="宋体" w:hAnsi="宋体" w:eastAsia="宋体" w:cs="宋体"/>
          <w:color w:val="auto"/>
          <w:sz w:val="21"/>
          <w:szCs w:val="21"/>
          <w:highlight w:val="none"/>
        </w:rPr>
      </w:pPr>
      <w:bookmarkStart w:id="21" w:name="_Toc9144"/>
      <w:r>
        <w:rPr>
          <w:rFonts w:hint="eastAsia" w:ascii="宋体" w:hAnsi="宋体" w:eastAsia="宋体" w:cs="宋体"/>
          <w:color w:val="auto"/>
          <w:sz w:val="21"/>
          <w:szCs w:val="21"/>
          <w:highlight w:val="none"/>
        </w:rPr>
        <w:t>2.采购代理机构信息（如有）</w:t>
      </w:r>
      <w:bookmarkEnd w:id="21"/>
    </w:p>
    <w:p w14:paraId="7A554C19">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单位名称：苏州达仁建设工程咨询有限公司</w:t>
      </w:r>
    </w:p>
    <w:p w14:paraId="2DC030E1">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r>
        <w:rPr>
          <w:rFonts w:hint="eastAsia" w:ascii="宋体" w:hAnsi="宋体" w:eastAsia="宋体" w:cs="宋体"/>
          <w:sz w:val="21"/>
          <w:szCs w:val="21"/>
          <w:highlight w:val="none"/>
          <w:lang w:val="en-US" w:eastAsia="zh-CN"/>
        </w:rPr>
        <w:t>苏州新区广达路9号金马大厦B座3楼</w:t>
      </w:r>
    </w:p>
    <w:p w14:paraId="5D39C793">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联系人：</w:t>
      </w:r>
      <w:r>
        <w:rPr>
          <w:rFonts w:hint="eastAsia" w:ascii="宋体" w:hAnsi="宋体" w:eastAsia="宋体" w:cs="宋体"/>
          <w:sz w:val="21"/>
          <w:szCs w:val="21"/>
          <w:highlight w:val="none"/>
          <w:lang w:val="en-US" w:eastAsia="zh-CN"/>
        </w:rPr>
        <w:t>孙玉珍、王婷</w:t>
      </w:r>
    </w:p>
    <w:p w14:paraId="358D4147">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r>
        <w:rPr>
          <w:rFonts w:hint="eastAsia" w:ascii="宋体" w:hAnsi="宋体" w:eastAsia="宋体" w:cs="宋体"/>
          <w:sz w:val="21"/>
          <w:szCs w:val="21"/>
          <w:highlight w:val="none"/>
          <w:lang w:val="en-US" w:eastAsia="zh-CN"/>
        </w:rPr>
        <w:t>0512-68786252</w:t>
      </w:r>
    </w:p>
    <w:p w14:paraId="451833F8">
      <w:pPr>
        <w:keepNext w:val="0"/>
        <w:keepLines w:val="0"/>
        <w:pageBreakBefore w:val="0"/>
        <w:tabs>
          <w:tab w:val="left" w:pos="5250"/>
        </w:tabs>
        <w:kinsoku/>
        <w:wordWrap/>
        <w:overflowPunct/>
        <w:topLinePunct w:val="0"/>
        <w:autoSpaceDE/>
        <w:autoSpaceDN/>
        <w:bidi w:val="0"/>
        <w:adjustRightInd/>
        <w:spacing w:line="360" w:lineRule="auto"/>
        <w:ind w:firstLine="420" w:firstLineChars="0"/>
        <w:jc w:val="left"/>
        <w:textAlignment w:val="auto"/>
        <w:outlineLvl w:val="2"/>
        <w:rPr>
          <w:rFonts w:hint="eastAsia" w:ascii="宋体" w:hAnsi="宋体" w:eastAsia="宋体" w:cs="宋体"/>
          <w:color w:val="auto"/>
          <w:sz w:val="21"/>
          <w:szCs w:val="21"/>
          <w:highlight w:val="none"/>
        </w:rPr>
      </w:pPr>
      <w:bookmarkStart w:id="22" w:name="_Toc28164"/>
      <w:r>
        <w:rPr>
          <w:rFonts w:hint="eastAsia" w:ascii="宋体" w:hAnsi="宋体" w:eastAsia="宋体" w:cs="宋体"/>
          <w:color w:val="auto"/>
          <w:sz w:val="21"/>
          <w:szCs w:val="21"/>
          <w:highlight w:val="none"/>
        </w:rPr>
        <w:t>3.项目联系方式</w:t>
      </w:r>
      <w:bookmarkEnd w:id="22"/>
    </w:p>
    <w:p w14:paraId="66AD5E2F">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项目联系人：</w:t>
      </w:r>
      <w:r>
        <w:rPr>
          <w:rFonts w:hint="eastAsia" w:ascii="宋体" w:hAnsi="宋体" w:eastAsia="宋体" w:cs="宋体"/>
          <w:sz w:val="21"/>
          <w:szCs w:val="21"/>
          <w:highlight w:val="none"/>
          <w:lang w:val="en-US" w:eastAsia="zh-CN"/>
        </w:rPr>
        <w:t>孙玉珍</w:t>
      </w:r>
    </w:p>
    <w:p w14:paraId="6F43B1D3">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w:t>
      </w:r>
      <w:r>
        <w:rPr>
          <w:rFonts w:hint="eastAsia" w:ascii="宋体" w:hAnsi="宋体" w:eastAsia="宋体" w:cs="宋体"/>
          <w:color w:val="auto"/>
          <w:sz w:val="21"/>
          <w:szCs w:val="21"/>
          <w:highlight w:val="none"/>
        </w:rPr>
        <w:t>电话：</w:t>
      </w:r>
      <w:r>
        <w:rPr>
          <w:rFonts w:hint="eastAsia" w:ascii="宋体" w:hAnsi="宋体" w:eastAsia="宋体" w:cs="宋体"/>
          <w:sz w:val="21"/>
          <w:szCs w:val="21"/>
          <w:highlight w:val="none"/>
          <w:lang w:val="en-US" w:eastAsia="zh-CN"/>
        </w:rPr>
        <w:t>0512-68786252</w:t>
      </w:r>
    </w:p>
    <w:p w14:paraId="55B16A06">
      <w:pPr>
        <w:keepNext w:val="0"/>
        <w:keepLines w:val="0"/>
        <w:pageBreakBefore w:val="0"/>
        <w:tabs>
          <w:tab w:val="left" w:pos="5250"/>
        </w:tabs>
        <w:kinsoku/>
        <w:wordWrap/>
        <w:overflowPunct/>
        <w:topLinePunct w:val="0"/>
        <w:autoSpaceDE/>
        <w:autoSpaceDN/>
        <w:bidi w:val="0"/>
        <w:adjustRightInd/>
        <w:spacing w:line="360" w:lineRule="auto"/>
        <w:ind w:firstLine="420" w:firstLineChars="0"/>
        <w:jc w:val="left"/>
        <w:textAlignment w:val="auto"/>
        <w:outlineLvl w:val="2"/>
        <w:rPr>
          <w:rFonts w:hint="eastAsia" w:ascii="宋体" w:hAnsi="宋体" w:eastAsia="宋体" w:cs="宋体"/>
          <w:color w:val="auto"/>
          <w:sz w:val="21"/>
          <w:szCs w:val="21"/>
          <w:highlight w:val="none"/>
          <w:lang w:val="zh-CN"/>
        </w:rPr>
      </w:pPr>
      <w:bookmarkStart w:id="23" w:name="_Toc258"/>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苏州吴江区政府采购办公室监督电话：0512-63982393</w:t>
      </w:r>
      <w:bookmarkEnd w:id="7"/>
      <w:bookmarkEnd w:id="8"/>
      <w:bookmarkEnd w:id="23"/>
    </w:p>
    <w:p w14:paraId="3ED2C7A7">
      <w:pPr>
        <w:keepNext w:val="0"/>
        <w:keepLines w:val="0"/>
        <w:pageBreakBefore w:val="0"/>
        <w:tabs>
          <w:tab w:val="left" w:pos="5250"/>
        </w:tabs>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备注：本次采购的有关信息将在</w:t>
      </w:r>
      <w:r>
        <w:rPr>
          <w:rFonts w:hint="eastAsia" w:ascii="宋体" w:hAnsi="宋体" w:eastAsia="宋体" w:cs="宋体"/>
          <w:color w:val="auto"/>
          <w:sz w:val="21"/>
          <w:szCs w:val="21"/>
          <w:highlight w:val="none"/>
        </w:rPr>
        <w:t>苏州市政府采购网、江苏政府采购网、中国政府采购网</w:t>
      </w:r>
      <w:r>
        <w:rPr>
          <w:rFonts w:hint="eastAsia" w:ascii="宋体" w:hAnsi="宋体" w:eastAsia="宋体" w:cs="宋体"/>
          <w:color w:val="auto"/>
          <w:sz w:val="21"/>
          <w:szCs w:val="21"/>
          <w:highlight w:val="none"/>
          <w:lang w:val="zh-CN"/>
        </w:rPr>
        <w:t>等媒体上发布，敬请留意，请各单位获取本次采购文件后，认真阅读各项内容，进行必要准备工作，按文件的要求详细填写和编制响应文件，并按以上确定的时间、地点准时参加磋商。</w:t>
      </w:r>
    </w:p>
    <w:p w14:paraId="623F0C37">
      <w:pPr>
        <w:pageBreakBefore/>
        <w:numPr>
          <w:ilvl w:val="0"/>
          <w:numId w:val="5"/>
        </w:numPr>
        <w:spacing w:line="360" w:lineRule="auto"/>
        <w:ind w:left="4483" w:leftChars="0" w:hanging="1080" w:firstLineChars="0"/>
        <w:outlineLvl w:val="0"/>
        <w:rPr>
          <w:rFonts w:hint="eastAsia" w:ascii="宋体" w:hAnsi="宋体" w:eastAsia="宋体" w:cs="宋体"/>
          <w:b/>
          <w:color w:val="auto"/>
          <w:sz w:val="32"/>
          <w:szCs w:val="32"/>
          <w:highlight w:val="none"/>
        </w:rPr>
      </w:pPr>
      <w:bookmarkStart w:id="24" w:name="_Toc15955"/>
      <w:r>
        <w:rPr>
          <w:rFonts w:hint="eastAsia" w:ascii="宋体" w:hAnsi="宋体" w:eastAsia="宋体" w:cs="宋体"/>
          <w:b/>
          <w:color w:val="auto"/>
          <w:sz w:val="32"/>
          <w:szCs w:val="32"/>
          <w:highlight w:val="none"/>
        </w:rPr>
        <w:t>采购需求</w:t>
      </w:r>
      <w:bookmarkEnd w:id="24"/>
    </w:p>
    <w:p w14:paraId="1BD53A8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受苏州市吴江区审计局之委托，</w:t>
      </w:r>
      <w:r>
        <w:rPr>
          <w:rFonts w:hint="eastAsia" w:ascii="宋体" w:hAnsi="宋体" w:eastAsia="宋体" w:cs="宋体"/>
          <w:color w:val="auto"/>
          <w:sz w:val="21"/>
          <w:szCs w:val="21"/>
          <w:highlight w:val="none"/>
          <w:lang w:eastAsia="zh-CN"/>
        </w:rPr>
        <w:t>苏州达仁建设工程咨询有限公司</w:t>
      </w:r>
      <w:r>
        <w:rPr>
          <w:rFonts w:hint="eastAsia" w:ascii="宋体" w:hAnsi="宋体" w:eastAsia="宋体" w:cs="宋体"/>
          <w:color w:val="auto"/>
          <w:sz w:val="21"/>
          <w:szCs w:val="21"/>
          <w:highlight w:val="none"/>
        </w:rPr>
        <w:t>对其需采购的</w:t>
      </w:r>
      <w:r>
        <w:rPr>
          <w:rFonts w:hint="eastAsia" w:ascii="宋体" w:hAnsi="宋体" w:eastAsia="宋体" w:cs="宋体"/>
          <w:color w:val="auto"/>
          <w:sz w:val="21"/>
          <w:szCs w:val="21"/>
          <w:highlight w:val="none"/>
          <w:lang w:eastAsia="zh-CN"/>
        </w:rPr>
        <w:t>2026年度吴江区政府投资项目跟踪审计服务</w:t>
      </w:r>
      <w:r>
        <w:rPr>
          <w:rFonts w:hint="eastAsia" w:ascii="宋体" w:hAnsi="宋体" w:eastAsia="宋体" w:cs="宋体"/>
          <w:color w:val="auto"/>
          <w:sz w:val="21"/>
          <w:szCs w:val="21"/>
          <w:highlight w:val="none"/>
        </w:rPr>
        <w:t>在国内组织竞争性磋商采购。欢迎符合资格条件的投标单位前来报名参加。</w:t>
      </w:r>
    </w:p>
    <w:p w14:paraId="21F5A4AB">
      <w:pPr>
        <w:keepNext w:val="0"/>
        <w:keepLines w:val="0"/>
        <w:pageBreakBefore w:val="0"/>
        <w:widowControl w:val="0"/>
        <w:tabs>
          <w:tab w:val="left" w:pos="54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Cs/>
          <w:color w:val="auto"/>
          <w:sz w:val="21"/>
          <w:szCs w:val="21"/>
          <w:highlight w:val="none"/>
          <w:u w:val="none"/>
          <w:lang w:val="zh-CN"/>
        </w:rPr>
      </w:pPr>
      <w:bookmarkStart w:id="25" w:name="_Toc32693"/>
      <w:r>
        <w:rPr>
          <w:rFonts w:hint="eastAsia" w:ascii="宋体" w:hAnsi="宋体" w:eastAsia="宋体" w:cs="宋体"/>
          <w:bCs/>
          <w:color w:val="auto"/>
          <w:sz w:val="21"/>
          <w:szCs w:val="21"/>
          <w:highlight w:val="none"/>
        </w:rPr>
        <w:t>一、</w:t>
      </w:r>
      <w:r>
        <w:rPr>
          <w:rFonts w:hint="eastAsia" w:ascii="宋体" w:hAnsi="宋体" w:eastAsia="宋体" w:cs="宋体"/>
          <w:b/>
          <w:color w:val="auto"/>
          <w:sz w:val="21"/>
          <w:szCs w:val="21"/>
          <w:highlight w:val="none"/>
          <w:lang w:val="zh-CN"/>
        </w:rPr>
        <w:t>招标编号：</w:t>
      </w:r>
      <w:bookmarkEnd w:id="25"/>
      <w:r>
        <w:rPr>
          <w:rFonts w:hint="eastAsia" w:ascii="宋体" w:hAnsi="宋体" w:eastAsia="宋体" w:cs="宋体"/>
          <w:color w:val="auto"/>
          <w:sz w:val="21"/>
          <w:szCs w:val="21"/>
          <w:highlight w:val="none"/>
          <w:u w:val="none"/>
          <w:lang w:val="zh-CN" w:eastAsia="zh-CN"/>
        </w:rPr>
        <w:t>JSZC-320509-SZDR-C2026-0007</w:t>
      </w:r>
    </w:p>
    <w:p w14:paraId="74801A44">
      <w:pPr>
        <w:keepNext w:val="0"/>
        <w:keepLines w:val="0"/>
        <w:pageBreakBefore w:val="0"/>
        <w:widowControl w:val="0"/>
        <w:tabs>
          <w:tab w:val="left" w:pos="54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Cs/>
          <w:color w:val="auto"/>
          <w:sz w:val="21"/>
          <w:szCs w:val="21"/>
          <w:highlight w:val="none"/>
          <w:lang w:val="zh-CN"/>
        </w:rPr>
      </w:pPr>
      <w:bookmarkStart w:id="26" w:name="_Toc31490"/>
      <w:r>
        <w:rPr>
          <w:rFonts w:hint="eastAsia" w:ascii="宋体" w:hAnsi="宋体" w:eastAsia="宋体" w:cs="宋体"/>
          <w:b/>
          <w:color w:val="auto"/>
          <w:sz w:val="21"/>
          <w:szCs w:val="21"/>
          <w:highlight w:val="none"/>
          <w:lang w:val="zh-CN"/>
        </w:rPr>
        <w:t>二、项目名称：</w:t>
      </w:r>
      <w:r>
        <w:rPr>
          <w:rFonts w:hint="eastAsia" w:ascii="宋体" w:hAnsi="宋体" w:eastAsia="宋体" w:cs="宋体"/>
          <w:bCs/>
          <w:color w:val="auto"/>
          <w:sz w:val="21"/>
          <w:szCs w:val="21"/>
          <w:highlight w:val="none"/>
          <w:lang w:val="zh-CN"/>
        </w:rPr>
        <w:t>2026年度吴江区政府投资项目跟踪审计服务</w:t>
      </w:r>
      <w:bookmarkEnd w:id="26"/>
    </w:p>
    <w:p w14:paraId="64DCC57D">
      <w:pPr>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预算金额：</w:t>
      </w:r>
      <w:r>
        <w:rPr>
          <w:rFonts w:hint="eastAsia" w:ascii="宋体" w:hAnsi="宋体" w:eastAsia="宋体" w:cs="宋体"/>
          <w:color w:val="auto"/>
          <w:sz w:val="21"/>
          <w:szCs w:val="21"/>
          <w:highlight w:val="none"/>
          <w:lang w:val="zh-CN"/>
        </w:rPr>
        <w:t>人民币</w:t>
      </w:r>
      <w:r>
        <w:rPr>
          <w:rFonts w:hint="eastAsia" w:ascii="宋体" w:hAnsi="宋体" w:eastAsia="宋体" w:cs="宋体"/>
          <w:color w:val="auto"/>
          <w:sz w:val="21"/>
          <w:szCs w:val="21"/>
          <w:highlight w:val="none"/>
          <w:lang w:val="en-US" w:eastAsia="zh-CN"/>
        </w:rPr>
        <w:t>壹佰零叁万元整</w:t>
      </w:r>
      <w:r>
        <w:rPr>
          <w:rFonts w:hint="eastAsia" w:ascii="宋体" w:hAnsi="宋体" w:eastAsia="宋体" w:cs="宋体"/>
          <w:color w:val="auto"/>
          <w:sz w:val="21"/>
          <w:szCs w:val="21"/>
          <w:highlight w:val="none"/>
          <w:lang w:val="zh-CN"/>
        </w:rPr>
        <w:t>（¥：1030000.00），（</w:t>
      </w:r>
      <w:r>
        <w:rPr>
          <w:rFonts w:hint="eastAsia" w:ascii="宋体" w:hAnsi="宋体" w:eastAsia="宋体" w:cs="宋体"/>
          <w:color w:val="auto"/>
          <w:sz w:val="21"/>
          <w:szCs w:val="21"/>
          <w:highlight w:val="none"/>
          <w:lang w:val="en-US" w:eastAsia="zh-CN"/>
        </w:rPr>
        <w:t>采购包1</w:t>
      </w:r>
      <w:r>
        <w:rPr>
          <w:rFonts w:hint="eastAsia" w:ascii="宋体" w:hAnsi="宋体" w:eastAsia="宋体" w:cs="宋体"/>
          <w:color w:val="auto"/>
          <w:sz w:val="21"/>
          <w:szCs w:val="21"/>
          <w:highlight w:val="none"/>
          <w:lang w:val="zh-CN"/>
        </w:rPr>
        <w:t>：566000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val="zh-CN"/>
        </w:rPr>
        <w:t>元，</w:t>
      </w:r>
      <w:r>
        <w:rPr>
          <w:rFonts w:hint="eastAsia" w:ascii="宋体" w:hAnsi="宋体" w:eastAsia="宋体" w:cs="宋体"/>
          <w:color w:val="auto"/>
          <w:sz w:val="21"/>
          <w:szCs w:val="21"/>
          <w:highlight w:val="none"/>
          <w:lang w:val="en-US" w:eastAsia="zh-CN"/>
        </w:rPr>
        <w:t>采购包2</w:t>
      </w:r>
      <w:r>
        <w:rPr>
          <w:rFonts w:hint="eastAsia" w:ascii="宋体" w:hAnsi="宋体" w:eastAsia="宋体" w:cs="宋体"/>
          <w:color w:val="auto"/>
          <w:sz w:val="21"/>
          <w:szCs w:val="21"/>
          <w:highlight w:val="none"/>
          <w:lang w:val="zh-CN"/>
        </w:rPr>
        <w:t>：464000.00元）</w:t>
      </w:r>
    </w:p>
    <w:tbl>
      <w:tblPr>
        <w:tblStyle w:val="38"/>
        <w:tblW w:w="87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7"/>
        <w:gridCol w:w="4065"/>
        <w:gridCol w:w="3900"/>
      </w:tblGrid>
      <w:tr w14:paraId="2B5D2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jc w:val="center"/>
        </w:trPr>
        <w:tc>
          <w:tcPr>
            <w:tcW w:w="767" w:type="dxa"/>
            <w:noWrap w:val="0"/>
            <w:vAlign w:val="center"/>
          </w:tcPr>
          <w:p w14:paraId="1525D5BF">
            <w:pPr>
              <w:keepNext w:val="0"/>
              <w:keepLines w:val="0"/>
              <w:pageBreakBefore w:val="0"/>
              <w:widowControl w:val="0"/>
              <w:kinsoku/>
              <w:wordWrap/>
              <w:overflowPunct/>
              <w:topLinePunct w:val="0"/>
              <w:autoSpaceDE/>
              <w:autoSpaceDN/>
              <w:bidi w:val="0"/>
              <w:adjustRightInd/>
              <w:snapToGrid w:val="0"/>
              <w:spacing w:line="360" w:lineRule="auto"/>
              <w:ind w:right="284"/>
              <w:textAlignment w:val="auto"/>
              <w:rPr>
                <w:rFonts w:hint="eastAsia" w:ascii="宋体" w:hAnsi="宋体" w:eastAsia="宋体" w:cs="宋体"/>
                <w:b/>
                <w:color w:val="auto"/>
                <w:sz w:val="21"/>
                <w:szCs w:val="21"/>
                <w:highlight w:val="none"/>
                <w:lang w:bidi="zh-CN"/>
              </w:rPr>
            </w:pPr>
            <w:r>
              <w:rPr>
                <w:rFonts w:hint="eastAsia" w:ascii="宋体" w:hAnsi="宋体" w:eastAsia="宋体" w:cs="宋体"/>
                <w:b/>
                <w:color w:val="auto"/>
                <w:sz w:val="21"/>
                <w:szCs w:val="21"/>
                <w:highlight w:val="none"/>
                <w:lang w:val="zh-CN" w:bidi="zh-CN"/>
              </w:rPr>
              <w:t>标段</w:t>
            </w:r>
            <w:r>
              <w:rPr>
                <w:rFonts w:hint="eastAsia" w:ascii="宋体" w:hAnsi="宋体" w:eastAsia="宋体" w:cs="宋体"/>
                <w:b/>
                <w:color w:val="auto"/>
                <w:sz w:val="21"/>
                <w:szCs w:val="21"/>
                <w:highlight w:val="none"/>
                <w:lang w:bidi="zh-CN"/>
              </w:rPr>
              <w:t>号</w:t>
            </w:r>
          </w:p>
        </w:tc>
        <w:tc>
          <w:tcPr>
            <w:tcW w:w="4065" w:type="dxa"/>
            <w:noWrap w:val="0"/>
            <w:vAlign w:val="center"/>
          </w:tcPr>
          <w:p w14:paraId="64D5D68E">
            <w:pPr>
              <w:keepNext w:val="0"/>
              <w:keepLines w:val="0"/>
              <w:pageBreakBefore w:val="0"/>
              <w:widowControl w:val="0"/>
              <w:kinsoku/>
              <w:wordWrap/>
              <w:overflowPunct/>
              <w:topLinePunct w:val="0"/>
              <w:autoSpaceDE/>
              <w:autoSpaceDN/>
              <w:bidi w:val="0"/>
              <w:adjustRightInd/>
              <w:snapToGrid w:val="0"/>
              <w:spacing w:line="360" w:lineRule="auto"/>
              <w:ind w:left="101" w:right="93"/>
              <w:jc w:val="center"/>
              <w:textAlignment w:val="auto"/>
              <w:rPr>
                <w:rFonts w:hint="eastAsia" w:ascii="宋体" w:hAnsi="宋体" w:eastAsia="宋体" w:cs="宋体"/>
                <w:b/>
                <w:color w:val="auto"/>
                <w:sz w:val="21"/>
                <w:szCs w:val="21"/>
                <w:highlight w:val="none"/>
                <w:lang w:bidi="zh-CN"/>
              </w:rPr>
            </w:pPr>
            <w:r>
              <w:rPr>
                <w:rFonts w:hint="eastAsia" w:ascii="宋体" w:hAnsi="宋体" w:eastAsia="宋体" w:cs="宋体"/>
                <w:b/>
                <w:color w:val="auto"/>
                <w:sz w:val="21"/>
                <w:szCs w:val="21"/>
                <w:highlight w:val="none"/>
                <w:lang w:bidi="zh-CN"/>
              </w:rPr>
              <w:t>标段名称</w:t>
            </w:r>
          </w:p>
        </w:tc>
        <w:tc>
          <w:tcPr>
            <w:tcW w:w="3900" w:type="dxa"/>
            <w:noWrap w:val="0"/>
            <w:vAlign w:val="center"/>
          </w:tcPr>
          <w:p w14:paraId="23F03D1E">
            <w:pPr>
              <w:keepNext w:val="0"/>
              <w:keepLines w:val="0"/>
              <w:pageBreakBefore w:val="0"/>
              <w:widowControl w:val="0"/>
              <w:kinsoku/>
              <w:wordWrap/>
              <w:overflowPunct/>
              <w:topLinePunct w:val="0"/>
              <w:autoSpaceDE/>
              <w:autoSpaceDN/>
              <w:bidi w:val="0"/>
              <w:adjustRightInd/>
              <w:snapToGrid w:val="0"/>
              <w:spacing w:line="360" w:lineRule="auto"/>
              <w:ind w:left="110" w:right="-15"/>
              <w:jc w:val="center"/>
              <w:textAlignment w:val="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采购预算</w:t>
            </w:r>
          </w:p>
        </w:tc>
      </w:tr>
      <w:tr w14:paraId="7C45D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767" w:type="dxa"/>
            <w:noWrap w:val="0"/>
            <w:vAlign w:val="center"/>
          </w:tcPr>
          <w:p w14:paraId="435BE81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一标段</w:t>
            </w:r>
          </w:p>
        </w:tc>
        <w:tc>
          <w:tcPr>
            <w:tcW w:w="4065" w:type="dxa"/>
            <w:noWrap w:val="0"/>
            <w:vAlign w:val="center"/>
          </w:tcPr>
          <w:p w14:paraId="3CBBAD5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2026年度吴江区政府投资项目跟踪审计服务-苏州市吴江经开区水质净化厂（新建日处理工业废水1.5万吨）项目</w:t>
            </w:r>
          </w:p>
        </w:tc>
        <w:tc>
          <w:tcPr>
            <w:tcW w:w="3900" w:type="dxa"/>
            <w:noWrap w:val="0"/>
            <w:vAlign w:val="center"/>
          </w:tcPr>
          <w:p w14:paraId="3BFE1D4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人民币伍拾陆万陆仟元整（</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566000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eastAsia="zh-CN"/>
              </w:rPr>
              <w:t>）</w:t>
            </w:r>
          </w:p>
          <w:p w14:paraId="14CDBAC3">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14:paraId="0D30D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jc w:val="center"/>
        </w:trPr>
        <w:tc>
          <w:tcPr>
            <w:tcW w:w="767" w:type="dxa"/>
            <w:noWrap w:val="0"/>
            <w:vAlign w:val="center"/>
          </w:tcPr>
          <w:p w14:paraId="24758BD8">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二标段</w:t>
            </w:r>
          </w:p>
        </w:tc>
        <w:tc>
          <w:tcPr>
            <w:tcW w:w="4065" w:type="dxa"/>
            <w:noWrap w:val="0"/>
            <w:vAlign w:val="center"/>
          </w:tcPr>
          <w:p w14:paraId="520AAFD5">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2026年度吴江区政府投资项目跟踪审计服务-苏州市吴江经开区产业园区基础设施工程（二期）二标段</w:t>
            </w:r>
          </w:p>
        </w:tc>
        <w:tc>
          <w:tcPr>
            <w:tcW w:w="3900" w:type="dxa"/>
            <w:noWrap w:val="0"/>
            <w:vAlign w:val="center"/>
          </w:tcPr>
          <w:p w14:paraId="0C7F95BF">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人民币肆拾陆万肆仟元整（</w:t>
            </w:r>
            <w:r>
              <w:rPr>
                <w:rFonts w:hint="eastAsia" w:ascii="宋体" w:hAnsi="宋体" w:eastAsia="宋体" w:cs="宋体"/>
                <w:color w:val="auto"/>
                <w:sz w:val="21"/>
                <w:szCs w:val="21"/>
                <w:highlight w:val="none"/>
                <w:lang w:val="zh-CN"/>
              </w:rPr>
              <w:t>¥：464000.00</w:t>
            </w:r>
            <w:r>
              <w:rPr>
                <w:rFonts w:hint="eastAsia" w:ascii="宋体" w:hAnsi="宋体" w:eastAsia="宋体" w:cs="宋体"/>
                <w:color w:val="auto"/>
                <w:sz w:val="21"/>
                <w:szCs w:val="21"/>
                <w:highlight w:val="none"/>
                <w:lang w:val="en-US" w:eastAsia="zh-CN"/>
              </w:rPr>
              <w:t>）</w:t>
            </w:r>
          </w:p>
        </w:tc>
      </w:tr>
    </w:tbl>
    <w:p w14:paraId="6BB64115">
      <w:pPr>
        <w:keepNext w:val="0"/>
        <w:keepLines w:val="0"/>
        <w:pageBreakBefore w:val="0"/>
        <w:kinsoku/>
        <w:wordWrap/>
        <w:overflowPunct/>
        <w:topLinePunct w:val="0"/>
        <w:autoSpaceDE/>
        <w:autoSpaceDN/>
        <w:bidi w:val="0"/>
        <w:adjustRightInd/>
        <w:snapToGrid w:val="0"/>
        <w:spacing w:line="360" w:lineRule="auto"/>
        <w:ind w:firstLine="210" w:firstLineChars="1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注：</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本项目分标段采购，共分为</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val="zh-CN"/>
        </w:rPr>
        <w:t>个标段，根据最终总得分排名，每个标段成交单位为一名。供应商可选择其中一个或多个标段，标段开启顺序按标段号顺序确定，但只能就其中一个标段成交，成交标段按标段号顺序。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p>
    <w:p w14:paraId="28A88F82">
      <w:pPr>
        <w:keepNext w:val="0"/>
        <w:keepLines w:val="0"/>
        <w:pageBreakBefore w:val="0"/>
        <w:numPr>
          <w:ilvl w:val="0"/>
          <w:numId w:val="0"/>
        </w:numPr>
        <w:kinsoku/>
        <w:wordWrap/>
        <w:overflowPunct/>
        <w:topLinePunct w:val="0"/>
        <w:autoSpaceDE/>
        <w:autoSpaceDN/>
        <w:bidi w:val="0"/>
        <w:adjustRightInd/>
        <w:snapToGrid w:val="0"/>
        <w:spacing w:line="360" w:lineRule="auto"/>
        <w:ind w:firstLine="42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bidi="ar-SA"/>
        </w:rPr>
        <w:t>2.</w:t>
      </w:r>
      <w:r>
        <w:rPr>
          <w:rFonts w:hint="eastAsia" w:ascii="宋体" w:hAnsi="宋体" w:eastAsia="宋体" w:cs="宋体"/>
          <w:b/>
          <w:bCs/>
          <w:color w:val="auto"/>
          <w:sz w:val="21"/>
          <w:szCs w:val="21"/>
          <w:highlight w:val="none"/>
          <w:lang w:val="zh-CN"/>
        </w:rPr>
        <w:t>本项目不设价格分，价格不再是评审因素。报价按预算金额填写。不按规定报价，视为不响应采购文件。</w:t>
      </w:r>
    </w:p>
    <w:p w14:paraId="0FB94565">
      <w:pPr>
        <w:keepNext w:val="0"/>
        <w:keepLines w:val="0"/>
        <w:pageBreakBefore w:val="0"/>
        <w:numPr>
          <w:ilvl w:val="0"/>
          <w:numId w:val="0"/>
        </w:numPr>
        <w:kinsoku/>
        <w:wordWrap/>
        <w:overflowPunct/>
        <w:topLinePunct w:val="0"/>
        <w:autoSpaceDE/>
        <w:autoSpaceDN/>
        <w:bidi w:val="0"/>
        <w:adjustRightInd/>
        <w:snapToGrid w:val="0"/>
        <w:spacing w:line="360" w:lineRule="auto"/>
        <w:ind w:firstLine="42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bidi="ar-SA"/>
        </w:rPr>
        <w:t>3.</w:t>
      </w:r>
      <w:r>
        <w:rPr>
          <w:rFonts w:hint="eastAsia" w:ascii="宋体" w:hAnsi="宋体" w:eastAsia="宋体" w:cs="宋体"/>
          <w:b/>
          <w:bCs/>
          <w:color w:val="000000"/>
          <w:sz w:val="21"/>
          <w:szCs w:val="21"/>
          <w:highlight w:val="none"/>
          <w:lang w:val="en-US" w:eastAsia="zh-CN"/>
        </w:rPr>
        <w:t>苏州市吴江区审计局（甲方）监督各标段成交单位（乙方）的跟踪审计服务行为，并对各标段成交单位（乙方）结算跟踪审计的服务质量进行考核。</w:t>
      </w:r>
    </w:p>
    <w:p w14:paraId="69B404E8">
      <w:pPr>
        <w:keepNext w:val="0"/>
        <w:keepLines w:val="0"/>
        <w:pageBreakBefore w:val="0"/>
        <w:tabs>
          <w:tab w:val="left" w:pos="540"/>
        </w:tabs>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合同履行期限：</w:t>
      </w:r>
      <w:r>
        <w:rPr>
          <w:rFonts w:hint="eastAsia" w:ascii="宋体" w:hAnsi="宋体" w:eastAsia="宋体" w:cs="宋体"/>
          <w:color w:val="auto"/>
          <w:sz w:val="21"/>
          <w:szCs w:val="21"/>
          <w:highlight w:val="none"/>
          <w:lang w:val="zh-CN"/>
        </w:rPr>
        <w:t>合同签订之日起至中标整个标段所有跟踪审计项目完成。</w:t>
      </w:r>
    </w:p>
    <w:p w14:paraId="57C2773B">
      <w:pPr>
        <w:keepNext w:val="0"/>
        <w:keepLines w:val="0"/>
        <w:pageBreakBefore w:val="0"/>
        <w:tabs>
          <w:tab w:val="left" w:pos="540"/>
        </w:tabs>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rPr>
        <w:t>服务地点：</w:t>
      </w:r>
      <w:r>
        <w:rPr>
          <w:rFonts w:hint="eastAsia" w:ascii="宋体" w:hAnsi="宋体" w:eastAsia="宋体" w:cs="宋体"/>
          <w:color w:val="auto"/>
          <w:sz w:val="21"/>
          <w:szCs w:val="21"/>
          <w:highlight w:val="none"/>
        </w:rPr>
        <w:t>根据采购单位要求。</w:t>
      </w:r>
    </w:p>
    <w:p w14:paraId="2D70B27E">
      <w:pPr>
        <w:keepNext w:val="0"/>
        <w:keepLines w:val="0"/>
        <w:pageBreakBefore w:val="0"/>
        <w:numPr>
          <w:ilvl w:val="0"/>
          <w:numId w:val="6"/>
        </w:numPr>
        <w:tabs>
          <w:tab w:val="left" w:pos="54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
          <w:color w:val="auto"/>
          <w:sz w:val="21"/>
          <w:szCs w:val="21"/>
          <w:highlight w:val="none"/>
          <w:lang w:val="zh-CN"/>
        </w:rPr>
      </w:pPr>
      <w:bookmarkStart w:id="27" w:name="_Toc2159"/>
      <w:r>
        <w:rPr>
          <w:rFonts w:hint="eastAsia" w:ascii="宋体" w:hAnsi="宋体" w:eastAsia="宋体" w:cs="宋体"/>
          <w:b/>
          <w:color w:val="auto"/>
          <w:sz w:val="21"/>
          <w:szCs w:val="21"/>
          <w:highlight w:val="none"/>
          <w:lang w:val="zh-CN"/>
        </w:rPr>
        <w:t>采购需求</w:t>
      </w:r>
      <w:bookmarkEnd w:id="27"/>
    </w:p>
    <w:p w14:paraId="2A38170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bookmarkStart w:id="28" w:name="_Toc26906"/>
      <w:r>
        <w:rPr>
          <w:rFonts w:hint="eastAsia" w:ascii="宋体" w:hAnsi="宋体" w:eastAsia="宋体" w:cs="宋体"/>
          <w:b/>
          <w:bCs/>
          <w:color w:val="auto"/>
          <w:sz w:val="21"/>
          <w:szCs w:val="21"/>
          <w:highlight w:val="none"/>
        </w:rPr>
        <w:t>（一）项目概况</w:t>
      </w:r>
      <w:bookmarkEnd w:id="28"/>
    </w:p>
    <w:p w14:paraId="197EA48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苏州市吴江区审计局委托的2026年度吴江区政府投资项目跟踪审计服务项目，每标段成交单位数量为1家。为更好履行审计监督职能，结合工作需要，根据政府购买服务要求采购政府投资项目工程跟踪审计服务。</w:t>
      </w:r>
      <w:r>
        <w:rPr>
          <w:rFonts w:hint="eastAsia" w:ascii="宋体" w:hAnsi="宋体" w:eastAsia="宋体" w:cs="宋体"/>
          <w:b/>
          <w:bCs/>
          <w:color w:val="auto"/>
          <w:sz w:val="21"/>
          <w:szCs w:val="21"/>
          <w:highlight w:val="none"/>
          <w:lang w:val="zh-CN"/>
        </w:rPr>
        <w:t>项目概况表详见附件。</w:t>
      </w:r>
    </w:p>
    <w:p w14:paraId="7E0814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bookmarkStart w:id="29" w:name="_Toc22389"/>
      <w:r>
        <w:rPr>
          <w:rFonts w:hint="eastAsia" w:ascii="宋体" w:hAnsi="宋体" w:eastAsia="宋体" w:cs="宋体"/>
          <w:b/>
          <w:bCs/>
          <w:color w:val="auto"/>
          <w:sz w:val="21"/>
          <w:szCs w:val="21"/>
          <w:highlight w:val="none"/>
        </w:rPr>
        <w:t>（二）</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rPr>
        <w:t>审计费率标准：</w:t>
      </w:r>
      <w:bookmarkEnd w:id="29"/>
    </w:p>
    <w:p w14:paraId="307CDB0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4"/>
        <w:gridCol w:w="1027"/>
        <w:gridCol w:w="1027"/>
        <w:gridCol w:w="1027"/>
        <w:gridCol w:w="1027"/>
        <w:gridCol w:w="1027"/>
        <w:gridCol w:w="1031"/>
        <w:gridCol w:w="681"/>
      </w:tblGrid>
      <w:tr w14:paraId="20B1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2884" w:type="dxa"/>
            <w:vMerge w:val="restart"/>
            <w:noWrap w:val="0"/>
          </w:tcPr>
          <w:p w14:paraId="7D4DC33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6166" w:type="dxa"/>
            <w:gridSpan w:val="6"/>
            <w:noWrap w:val="0"/>
          </w:tcPr>
          <w:p w14:paraId="6A5DE89C">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付费标准</w:t>
            </w:r>
          </w:p>
        </w:tc>
        <w:tc>
          <w:tcPr>
            <w:tcW w:w="681" w:type="dxa"/>
            <w:noWrap w:val="0"/>
          </w:tcPr>
          <w:p w14:paraId="4C4D76C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8AD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4" w:type="dxa"/>
            <w:vMerge w:val="continue"/>
            <w:noWrap w:val="0"/>
          </w:tcPr>
          <w:p w14:paraId="7D0BD7A6">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tc>
        <w:tc>
          <w:tcPr>
            <w:tcW w:w="1027" w:type="dxa"/>
            <w:noWrap w:val="0"/>
          </w:tcPr>
          <w:p w14:paraId="4CAF133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≤500万元</w:t>
            </w:r>
          </w:p>
        </w:tc>
        <w:tc>
          <w:tcPr>
            <w:tcW w:w="1027" w:type="dxa"/>
            <w:noWrap w:val="0"/>
          </w:tcPr>
          <w:p w14:paraId="33D160E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≤1000万元</w:t>
            </w:r>
          </w:p>
        </w:tc>
        <w:tc>
          <w:tcPr>
            <w:tcW w:w="1027" w:type="dxa"/>
            <w:noWrap w:val="0"/>
          </w:tcPr>
          <w:p w14:paraId="5A399A6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≤5000万元</w:t>
            </w:r>
          </w:p>
        </w:tc>
        <w:tc>
          <w:tcPr>
            <w:tcW w:w="1027" w:type="dxa"/>
            <w:noWrap w:val="0"/>
          </w:tcPr>
          <w:p w14:paraId="3B0420D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≤1亿元</w:t>
            </w:r>
          </w:p>
        </w:tc>
        <w:tc>
          <w:tcPr>
            <w:tcW w:w="1027" w:type="dxa"/>
            <w:noWrap w:val="0"/>
          </w:tcPr>
          <w:p w14:paraId="7380046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≤5亿元</w:t>
            </w:r>
          </w:p>
        </w:tc>
        <w:tc>
          <w:tcPr>
            <w:tcW w:w="1031" w:type="dxa"/>
            <w:noWrap w:val="0"/>
          </w:tcPr>
          <w:p w14:paraId="73469BA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＞5亿</w:t>
            </w:r>
          </w:p>
        </w:tc>
        <w:tc>
          <w:tcPr>
            <w:tcW w:w="681" w:type="dxa"/>
            <w:noWrap w:val="0"/>
          </w:tcPr>
          <w:p w14:paraId="404F2D58">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tc>
      </w:tr>
      <w:tr w14:paraId="3447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884" w:type="dxa"/>
            <w:noWrap w:val="0"/>
          </w:tcPr>
          <w:p w14:paraId="6E60601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跟审服务费费率（‰）</w:t>
            </w:r>
          </w:p>
        </w:tc>
        <w:tc>
          <w:tcPr>
            <w:tcW w:w="1027" w:type="dxa"/>
            <w:noWrap w:val="0"/>
          </w:tcPr>
          <w:p w14:paraId="3821D41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w:t>
            </w:r>
          </w:p>
        </w:tc>
        <w:tc>
          <w:tcPr>
            <w:tcW w:w="1027" w:type="dxa"/>
            <w:noWrap w:val="0"/>
          </w:tcPr>
          <w:p w14:paraId="6B4B805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027" w:type="dxa"/>
            <w:noWrap w:val="0"/>
          </w:tcPr>
          <w:p w14:paraId="52B2BB3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027" w:type="dxa"/>
            <w:noWrap w:val="0"/>
          </w:tcPr>
          <w:p w14:paraId="434C5D8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1027" w:type="dxa"/>
            <w:noWrap w:val="0"/>
          </w:tcPr>
          <w:p w14:paraId="5B591BF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1.75</w:t>
            </w:r>
          </w:p>
        </w:tc>
        <w:tc>
          <w:tcPr>
            <w:tcW w:w="1031" w:type="dxa"/>
            <w:noWrap w:val="0"/>
          </w:tcPr>
          <w:p w14:paraId="0AC27A7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681" w:type="dxa"/>
            <w:noWrap w:val="0"/>
          </w:tcPr>
          <w:p w14:paraId="2B6956A1">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tc>
      </w:tr>
      <w:tr w14:paraId="4336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1" w:type="dxa"/>
            <w:gridSpan w:val="8"/>
            <w:noWrap w:val="0"/>
          </w:tcPr>
          <w:p w14:paraId="3DAA32F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考核扣费：根据《苏州市吴江区审计局组织中介机构实施政府投资项目跟踪审计管理办法（试行）》及《苏州市吴江区审计局组织中介机构参与跟踪审计考核打分表》（详见附件），最终考核得分大于等于90分，不扣跟踪审计协审费用；最终考核得分大于等于80分小于90分，扣减10%跟踪审计协审费用；最终考核得分大于等于70分小于80分，扣减20%跟踪审计协审费用；最终考核得分大于等于60分小于70分，扣减30%跟踪审计协审费用；最终考核得分小于60分，扣</w:t>
            </w:r>
            <w:r>
              <w:rPr>
                <w:rFonts w:hint="eastAsia" w:ascii="宋体" w:hAnsi="宋体" w:eastAsia="宋体" w:cs="宋体"/>
                <w:color w:val="auto"/>
                <w:sz w:val="21"/>
                <w:szCs w:val="21"/>
                <w:highlight w:val="none"/>
                <w:lang w:val="en-US" w:eastAsia="zh-CN"/>
              </w:rPr>
              <w:t>减4</w:t>
            </w:r>
            <w:r>
              <w:rPr>
                <w:rFonts w:hint="eastAsia" w:ascii="宋体" w:hAnsi="宋体" w:eastAsia="宋体" w:cs="宋体"/>
                <w:color w:val="auto"/>
                <w:sz w:val="21"/>
                <w:szCs w:val="21"/>
                <w:highlight w:val="none"/>
              </w:rPr>
              <w:t>0%跟踪审计协审费用</w:t>
            </w:r>
            <w:r>
              <w:rPr>
                <w:rFonts w:hint="eastAsia" w:ascii="宋体" w:hAnsi="宋体" w:eastAsia="宋体" w:cs="宋体"/>
                <w:color w:val="auto"/>
                <w:sz w:val="21"/>
                <w:szCs w:val="21"/>
                <w:highlight w:val="none"/>
                <w:lang w:eastAsia="zh-CN"/>
              </w:rPr>
              <w:t>。（如跟审过程中累计分值已低于60分，采购人有权暂停支付后续进度款，待服务周期结束进行最终考核后，再依据最终考核得分结果进行结算。）</w:t>
            </w:r>
          </w:p>
        </w:tc>
      </w:tr>
    </w:tbl>
    <w:p w14:paraId="20F9E4E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最终跟踪审计协审费用=送审建安工程造价*跟审服务费费率（分档累进）-考核扣费，且最终跟踪审计协审费用不超过预算金额。</w:t>
      </w:r>
    </w:p>
    <w:p w14:paraId="65680B8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bookmarkStart w:id="30" w:name="_Toc6590"/>
      <w:r>
        <w:rPr>
          <w:rFonts w:hint="eastAsia" w:ascii="宋体" w:hAnsi="宋体" w:eastAsia="宋体" w:cs="宋体"/>
          <w:b/>
          <w:bCs/>
          <w:color w:val="auto"/>
          <w:sz w:val="21"/>
          <w:szCs w:val="21"/>
          <w:highlight w:val="none"/>
        </w:rPr>
        <w:t>（三）人员配备基本要求</w:t>
      </w:r>
      <w:bookmarkEnd w:id="30"/>
    </w:p>
    <w:p w14:paraId="05E6DAE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各标段中标单位均应根据所中标段中项目专业情况配备相应专业类别并符合行业要求的造价执业人员。</w:t>
      </w:r>
    </w:p>
    <w:p w14:paraId="23DCCA7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本采购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rPr>
          <w:rFonts w:hint="eastAsia" w:ascii="宋体" w:hAnsi="宋体" w:eastAsia="宋体" w:cs="宋体"/>
          <w:b/>
          <w:color w:val="auto"/>
          <w:sz w:val="21"/>
          <w:szCs w:val="21"/>
          <w:highlight w:val="none"/>
          <w:lang w:val="zh-CN"/>
        </w:rPr>
        <w:t>本采购文件中的职称要求是建设工程类的。</w:t>
      </w:r>
    </w:p>
    <w:p w14:paraId="31A1E5D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lang w:val="zh-CN"/>
        </w:rPr>
        <w:t>服务单位须委派1名项目负责人。</w:t>
      </w:r>
      <w:r>
        <w:rPr>
          <w:rFonts w:hint="eastAsia" w:ascii="宋体" w:hAnsi="宋体" w:eastAsia="宋体" w:cs="宋体"/>
          <w:b/>
          <w:bCs/>
          <w:color w:val="auto"/>
          <w:sz w:val="21"/>
          <w:szCs w:val="21"/>
          <w:highlight w:val="none"/>
        </w:rPr>
        <w:t>否则视为未实质性响应磋商文件</w:t>
      </w:r>
      <w:r>
        <w:rPr>
          <w:rFonts w:hint="eastAsia" w:ascii="宋体" w:hAnsi="宋体" w:eastAsia="宋体" w:cs="宋体"/>
          <w:b/>
          <w:bCs/>
          <w:color w:val="auto"/>
          <w:sz w:val="21"/>
          <w:szCs w:val="21"/>
          <w:highlight w:val="none"/>
          <w:lang w:val="zh-CN"/>
        </w:rPr>
        <w:t>。</w:t>
      </w:r>
    </w:p>
    <w:p w14:paraId="554CF31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拟派人员的证书注册信息、社保、档案均须与响应文件中提供的一致。拟派人员在整个服务期内应保持稳定，如因离职、退休等情况导致人员变动，审计单位应</w:t>
      </w:r>
      <w:r>
        <w:rPr>
          <w:rFonts w:hint="eastAsia" w:ascii="宋体" w:hAnsi="宋体" w:eastAsia="宋体" w:cs="宋体"/>
          <w:color w:val="auto"/>
          <w:sz w:val="21"/>
          <w:szCs w:val="21"/>
          <w:highlight w:val="none"/>
        </w:rPr>
        <w:t>在变更前</w:t>
      </w:r>
      <w:r>
        <w:rPr>
          <w:rFonts w:hint="eastAsia" w:ascii="宋体" w:hAnsi="宋体" w:eastAsia="宋体" w:cs="宋体"/>
          <w:color w:val="auto"/>
          <w:sz w:val="21"/>
          <w:szCs w:val="21"/>
          <w:highlight w:val="none"/>
          <w:lang w:val="zh-CN"/>
        </w:rPr>
        <w:t>一个月内向采购单位报备、及时变更，</w:t>
      </w:r>
      <w:r>
        <w:rPr>
          <w:rFonts w:hint="eastAsia" w:ascii="宋体" w:hAnsi="宋体" w:eastAsia="宋体" w:cs="宋体"/>
          <w:color w:val="auto"/>
          <w:sz w:val="21"/>
          <w:szCs w:val="21"/>
          <w:highlight w:val="none"/>
        </w:rPr>
        <w:t>重新配备的审计人员的数量、业绩、执业资格、职称、能力、执业水平等应不低于原审计人员。</w:t>
      </w:r>
    </w:p>
    <w:p w14:paraId="039D35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bookmarkStart w:id="31" w:name="_Toc12167"/>
      <w:r>
        <w:rPr>
          <w:rFonts w:hint="eastAsia" w:ascii="宋体" w:hAnsi="宋体" w:eastAsia="宋体" w:cs="宋体"/>
          <w:b/>
          <w:bCs/>
          <w:color w:val="auto"/>
          <w:sz w:val="21"/>
          <w:szCs w:val="21"/>
          <w:highlight w:val="none"/>
        </w:rPr>
        <w:t>（四）综合说明其他要求</w:t>
      </w:r>
      <w:bookmarkEnd w:id="31"/>
    </w:p>
    <w:p w14:paraId="2B6D30B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开展跟踪审计工作</w:t>
      </w:r>
    </w:p>
    <w:p w14:paraId="6BF91E8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）跟踪审计单位根据采购单位的相关文件制度开展跟踪审计工作。跟踪审计单位完成项目咨询工作后，应按采购单位规定的格式出具书面报告，移交工程造价跟踪审计资料。</w:t>
      </w:r>
    </w:p>
    <w:p w14:paraId="75C38AD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）跟踪审计</w:t>
      </w:r>
      <w:r>
        <w:rPr>
          <w:rFonts w:hint="eastAsia" w:ascii="宋体" w:hAnsi="宋体" w:eastAsia="宋体" w:cs="宋体"/>
          <w:color w:val="auto"/>
          <w:sz w:val="21"/>
          <w:szCs w:val="21"/>
          <w:highlight w:val="none"/>
        </w:rPr>
        <w:t>单位</w:t>
      </w:r>
      <w:r>
        <w:rPr>
          <w:rFonts w:hint="eastAsia" w:ascii="宋体" w:hAnsi="宋体" w:eastAsia="宋体" w:cs="宋体"/>
          <w:color w:val="auto"/>
          <w:sz w:val="21"/>
          <w:szCs w:val="21"/>
          <w:highlight w:val="none"/>
          <w:lang w:val="zh-CN"/>
        </w:rPr>
        <w:t>在开展跟踪审计工作时，必须服从采购单位的内部管理规定，若就跟踪审计中的争议需咨询专家的，所发生的专家咨询费由承担该标段造价跟踪审计业务的跟踪审计单位支付。</w:t>
      </w:r>
    </w:p>
    <w:p w14:paraId="4ABC2FA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）跟踪审计单位档案须按照《江苏省建设工程造价咨询业务指导规程》中的立卷规则归档。</w:t>
      </w:r>
    </w:p>
    <w:p w14:paraId="27DC3C6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lang w:val="zh-CN"/>
        </w:rPr>
        <w:t>在开展跟踪审计工作时，要求跟踪审计单位每周驻场时间不得少于</w:t>
      </w:r>
      <w:r>
        <w:rPr>
          <w:rFonts w:hint="eastAsia" w:ascii="宋体" w:hAnsi="宋体" w:eastAsia="宋体" w:cs="宋体"/>
          <w:b/>
          <w:bCs/>
          <w:color w:val="auto"/>
          <w:sz w:val="21"/>
          <w:szCs w:val="21"/>
          <w:highlight w:val="none"/>
        </w:rPr>
        <w:t>2日</w:t>
      </w:r>
      <w:r>
        <w:rPr>
          <w:rFonts w:hint="eastAsia" w:ascii="宋体" w:hAnsi="宋体" w:eastAsia="宋体" w:cs="宋体"/>
          <w:b/>
          <w:bCs/>
          <w:color w:val="auto"/>
          <w:sz w:val="21"/>
          <w:szCs w:val="21"/>
          <w:highlight w:val="none"/>
          <w:lang w:val="zh-CN"/>
        </w:rPr>
        <w:t>，</w:t>
      </w:r>
      <w:r>
        <w:rPr>
          <w:rFonts w:hint="eastAsia" w:ascii="宋体" w:hAnsi="宋体" w:eastAsia="宋体" w:cs="宋体"/>
          <w:b/>
          <w:bCs/>
          <w:color w:val="auto"/>
          <w:sz w:val="21"/>
          <w:szCs w:val="21"/>
          <w:highlight w:val="none"/>
        </w:rPr>
        <w:t>遇</w:t>
      </w:r>
      <w:r>
        <w:rPr>
          <w:rFonts w:hint="eastAsia" w:ascii="宋体" w:hAnsi="宋体" w:eastAsia="宋体" w:cs="宋体"/>
          <w:b/>
          <w:bCs/>
          <w:color w:val="auto"/>
          <w:sz w:val="21"/>
          <w:szCs w:val="21"/>
          <w:highlight w:val="none"/>
          <w:lang w:val="zh-CN"/>
        </w:rPr>
        <w:t>重大隐蔽工程施工</w:t>
      </w:r>
      <w:r>
        <w:rPr>
          <w:rFonts w:hint="eastAsia" w:ascii="宋体" w:hAnsi="宋体" w:eastAsia="宋体" w:cs="宋体"/>
          <w:b/>
          <w:bCs/>
          <w:color w:val="auto"/>
          <w:sz w:val="21"/>
          <w:szCs w:val="21"/>
          <w:highlight w:val="none"/>
        </w:rPr>
        <w:t>及其他特殊情况应</w:t>
      </w:r>
      <w:r>
        <w:rPr>
          <w:rFonts w:hint="eastAsia" w:ascii="宋体" w:hAnsi="宋体" w:eastAsia="宋体" w:cs="宋体"/>
          <w:b/>
          <w:bCs/>
          <w:color w:val="auto"/>
          <w:sz w:val="21"/>
          <w:szCs w:val="21"/>
          <w:highlight w:val="none"/>
          <w:lang w:val="zh-CN"/>
        </w:rPr>
        <w:t>确保项目</w:t>
      </w:r>
      <w:r>
        <w:rPr>
          <w:rFonts w:hint="eastAsia" w:ascii="宋体" w:hAnsi="宋体" w:eastAsia="宋体" w:cs="宋体"/>
          <w:b/>
          <w:bCs/>
          <w:color w:val="auto"/>
          <w:sz w:val="21"/>
          <w:szCs w:val="21"/>
          <w:highlight w:val="none"/>
        </w:rPr>
        <w:t>组成员到场</w:t>
      </w:r>
      <w:r>
        <w:rPr>
          <w:rFonts w:hint="eastAsia" w:ascii="宋体" w:hAnsi="宋体" w:eastAsia="宋体" w:cs="宋体"/>
          <w:b/>
          <w:bCs/>
          <w:color w:val="auto"/>
          <w:sz w:val="21"/>
          <w:szCs w:val="21"/>
          <w:highlight w:val="none"/>
          <w:lang w:val="zh-CN"/>
        </w:rPr>
        <w:t>。</w:t>
      </w:r>
    </w:p>
    <w:p w14:paraId="523EE1E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（5）跟审</w:t>
      </w:r>
      <w:r>
        <w:rPr>
          <w:rFonts w:hint="eastAsia" w:ascii="宋体" w:hAnsi="宋体" w:eastAsia="宋体" w:cs="宋体"/>
          <w:b/>
          <w:bCs/>
          <w:color w:val="auto"/>
          <w:sz w:val="21"/>
          <w:szCs w:val="21"/>
          <w:highlight w:val="none"/>
        </w:rPr>
        <w:t>工作质量考核</w:t>
      </w:r>
    </w:p>
    <w:p w14:paraId="5B5F263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咨询机构的工作必须接受委托部门的考核，考核办法由有关部门在不违反</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rPr>
        <w:t>文件规定的前提下制定，主要考核咨询工作的时效性、执业质量、服务水平等方面。对不同意参加考核的咨询机构，委托方有权终止合同。</w:t>
      </w:r>
    </w:p>
    <w:p w14:paraId="3A681BF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rPr>
        <w:t>本项目后期如果因政府政策或其它原因，标段项目停建或取消，则合同自动作废，</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lang w:val="en-US"/>
        </w:rPr>
        <w:t>单位不得向</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lang w:val="en-US"/>
        </w:rPr>
        <w:t>单位索赔任何费用。</w:t>
      </w:r>
    </w:p>
    <w:p w14:paraId="3D56CA9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相关附表</w:t>
      </w:r>
    </w:p>
    <w:p w14:paraId="7BCD71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第四章</w:t>
      </w:r>
      <w:r>
        <w:rPr>
          <w:rFonts w:hint="eastAsia" w:ascii="宋体" w:hAnsi="宋体" w:eastAsia="宋体" w:cs="宋体"/>
          <w:b/>
          <w:bCs/>
          <w:color w:val="auto"/>
          <w:sz w:val="21"/>
          <w:szCs w:val="21"/>
          <w:highlight w:val="none"/>
        </w:rPr>
        <w:t>附件一：</w:t>
      </w:r>
      <w:r>
        <w:rPr>
          <w:rFonts w:hint="eastAsia" w:ascii="宋体" w:hAnsi="宋体" w:eastAsia="宋体" w:cs="宋体"/>
          <w:b/>
          <w:bCs/>
          <w:color w:val="auto"/>
          <w:sz w:val="21"/>
          <w:szCs w:val="21"/>
          <w:highlight w:val="none"/>
          <w:lang w:val="zh-CN"/>
        </w:rPr>
        <w:t>《</w:t>
      </w:r>
      <w:r>
        <w:rPr>
          <w:rFonts w:hint="eastAsia" w:ascii="宋体" w:hAnsi="宋体" w:eastAsia="宋体" w:cs="宋体"/>
          <w:b/>
          <w:bCs/>
          <w:color w:val="auto"/>
          <w:sz w:val="21"/>
          <w:szCs w:val="21"/>
          <w:highlight w:val="none"/>
        </w:rPr>
        <w:t>苏州市吴江区审计局组织中介机构参与跟踪审计考核打分表</w:t>
      </w:r>
      <w:r>
        <w:rPr>
          <w:rFonts w:hint="eastAsia" w:ascii="宋体" w:hAnsi="宋体" w:eastAsia="宋体" w:cs="宋体"/>
          <w:b/>
          <w:bCs/>
          <w:color w:val="auto"/>
          <w:sz w:val="21"/>
          <w:szCs w:val="21"/>
          <w:highlight w:val="none"/>
          <w:lang w:val="zh-CN"/>
        </w:rPr>
        <w:t>》</w:t>
      </w:r>
    </w:p>
    <w:p w14:paraId="26AB12D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rPr>
      </w:pPr>
      <w:bookmarkStart w:id="32" w:name="_Toc2609"/>
      <w:r>
        <w:rPr>
          <w:rFonts w:hint="eastAsia" w:ascii="宋体" w:hAnsi="宋体" w:eastAsia="宋体" w:cs="宋体"/>
          <w:b/>
          <w:bCs/>
          <w:color w:val="auto"/>
          <w:sz w:val="21"/>
          <w:szCs w:val="21"/>
          <w:highlight w:val="none"/>
        </w:rPr>
        <w:t>（五）投标综合说明：</w:t>
      </w:r>
      <w:bookmarkEnd w:id="32"/>
    </w:p>
    <w:p w14:paraId="75C3D7D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1.成交单位提供的服务应</w:t>
      </w:r>
      <w:r>
        <w:rPr>
          <w:rFonts w:hint="eastAsia" w:ascii="宋体" w:hAnsi="宋体" w:eastAsia="宋体" w:cs="宋体"/>
          <w:color w:val="auto"/>
          <w:sz w:val="21"/>
          <w:szCs w:val="21"/>
          <w:highlight w:val="none"/>
          <w:lang w:eastAsia="zh-CN"/>
        </w:rPr>
        <w:t>至少能够达到</w:t>
      </w:r>
      <w:r>
        <w:rPr>
          <w:rFonts w:hint="eastAsia" w:ascii="宋体" w:hAnsi="宋体" w:eastAsia="宋体" w:cs="宋体"/>
          <w:color w:val="auto"/>
          <w:sz w:val="21"/>
          <w:szCs w:val="21"/>
          <w:highlight w:val="none"/>
        </w:rPr>
        <w:t>要求，同时明确详细的服务方案。</w:t>
      </w:r>
    </w:p>
    <w:p w14:paraId="0EF66B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成交单位必须承诺采购文件中提出的全部服务要求，如果以其中某些条款不响应时，应在文件中逐条列出，未列出的视同响应。响应单位须对本项目中的所有服务进行报价，不得拆开报价或只投其中的部分内容，否则作无效响应处理。</w:t>
      </w:r>
    </w:p>
    <w:p w14:paraId="7EF5F93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1"/>
        <w:rPr>
          <w:rFonts w:hint="eastAsia" w:ascii="宋体" w:hAnsi="宋体" w:eastAsia="宋体" w:cs="宋体"/>
          <w:b/>
          <w:color w:val="auto"/>
          <w:sz w:val="21"/>
          <w:szCs w:val="21"/>
          <w:highlight w:val="none"/>
          <w:lang w:val="zh-TW"/>
        </w:rPr>
      </w:pPr>
      <w:bookmarkStart w:id="33" w:name="_Toc20563"/>
      <w:r>
        <w:rPr>
          <w:rFonts w:hint="eastAsia" w:ascii="宋体" w:hAnsi="宋体" w:eastAsia="宋体" w:cs="宋体"/>
          <w:b/>
          <w:color w:val="auto"/>
          <w:sz w:val="21"/>
          <w:szCs w:val="21"/>
          <w:highlight w:val="none"/>
        </w:rPr>
        <w:t>四、磋商响应文件</w:t>
      </w:r>
      <w:r>
        <w:rPr>
          <w:rFonts w:hint="eastAsia" w:ascii="宋体" w:hAnsi="宋体" w:eastAsia="宋体" w:cs="宋体"/>
          <w:b/>
          <w:bCs/>
          <w:color w:val="auto"/>
          <w:sz w:val="21"/>
          <w:szCs w:val="21"/>
          <w:highlight w:val="none"/>
        </w:rPr>
        <w:t>的</w:t>
      </w:r>
      <w:r>
        <w:rPr>
          <w:rFonts w:hint="eastAsia" w:ascii="宋体" w:hAnsi="宋体" w:eastAsia="宋体" w:cs="宋体"/>
          <w:b/>
          <w:bCs/>
          <w:color w:val="auto"/>
          <w:sz w:val="21"/>
          <w:szCs w:val="21"/>
          <w:highlight w:val="none"/>
          <w:lang w:val="zh-CN"/>
        </w:rPr>
        <w:t>组成和顺序</w:t>
      </w:r>
      <w:bookmarkEnd w:id="33"/>
    </w:p>
    <w:p w14:paraId="77897CF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lang w:val="zh-CN"/>
        </w:rPr>
      </w:pPr>
      <w:bookmarkStart w:id="34" w:name="_Toc15608"/>
      <w:r>
        <w:rPr>
          <w:rFonts w:hint="eastAsia" w:ascii="宋体" w:hAnsi="宋体" w:eastAsia="宋体" w:cs="宋体"/>
          <w:b/>
          <w:bCs/>
          <w:color w:val="auto"/>
          <w:sz w:val="21"/>
          <w:szCs w:val="21"/>
          <w:highlight w:val="none"/>
          <w:lang w:val="zh-CN"/>
        </w:rPr>
        <w:t>1.目录；</w:t>
      </w:r>
      <w:bookmarkEnd w:id="34"/>
    </w:p>
    <w:p w14:paraId="2BBABD1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lang w:val="zh-CN"/>
        </w:rPr>
      </w:pPr>
      <w:bookmarkStart w:id="35" w:name="_Toc13720"/>
      <w:r>
        <w:rPr>
          <w:rFonts w:hint="eastAsia" w:ascii="宋体" w:hAnsi="宋体" w:eastAsia="宋体" w:cs="宋体"/>
          <w:b/>
          <w:bCs/>
          <w:color w:val="auto"/>
          <w:sz w:val="21"/>
          <w:szCs w:val="21"/>
          <w:highlight w:val="none"/>
          <w:lang w:val="zh-CN"/>
        </w:rPr>
        <w:t>2.★资格审查响应文件：</w:t>
      </w:r>
      <w:bookmarkEnd w:id="35"/>
    </w:p>
    <w:p w14:paraId="4618D50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具有独立承担民事责任的能力证明。包括响应单位三证合一营业执照副本或民办非企业单位（法人）登记证书副本、社会团体法人登记证书副本或事业单位法人证书（注：公益一类事业单位、使用事业编制且由财政拨款保障的群团组织，不作为政府购买服务的承接主体）副本扫描件，自然人的身份证明（加盖公章）；</w:t>
      </w:r>
    </w:p>
    <w:p w14:paraId="4341367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）具有良好的商业信誉和健全的财务会计制度证明，提供包括参加本次采购活动前的最新一期的年度会计报表或审计报告，其他组织、自然人及成立未满一年的法人应提供银行出具的资信证明；</w:t>
      </w:r>
    </w:p>
    <w:p w14:paraId="29DB186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依法缴纳税收和社会保障资金的良好记录。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p>
    <w:p w14:paraId="5024619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）提供具备履行合同所必需的设备和专业技术能力的证明材料或承诺；（格式见第五章）</w:t>
      </w:r>
    </w:p>
    <w:p w14:paraId="1615C1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）提供参加政府采购活动前三年内在经营活动中没有重大违法记录的书面声明；（格式见第五章）</w:t>
      </w:r>
    </w:p>
    <w:p w14:paraId="6111FC5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（6）提供</w:t>
      </w: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val="zh-CN"/>
        </w:rPr>
        <w:t>单位注册地造价主管部门（造价处、定额站等）出具的202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年至今是否受到通报批评或责令整改的相关证明或提供承诺书（格式自拟）；</w:t>
      </w:r>
    </w:p>
    <w:p w14:paraId="55AB1A5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）特殊资格证明材料；（如有）</w:t>
      </w:r>
    </w:p>
    <w:p w14:paraId="6F60437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lang w:val="zh-CN"/>
        </w:rPr>
      </w:pPr>
      <w:bookmarkStart w:id="36" w:name="_Toc23806"/>
      <w:r>
        <w:rPr>
          <w:rFonts w:hint="eastAsia" w:ascii="宋体" w:hAnsi="宋体" w:eastAsia="宋体" w:cs="宋体"/>
          <w:b/>
          <w:bCs/>
          <w:color w:val="auto"/>
          <w:sz w:val="21"/>
          <w:szCs w:val="21"/>
          <w:highlight w:val="none"/>
          <w:lang w:val="zh-CN"/>
        </w:rPr>
        <w:t>3.★符合性审查响应文件：</w:t>
      </w:r>
      <w:bookmarkEnd w:id="36"/>
    </w:p>
    <w:p w14:paraId="4C4B4CF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）磋商响应承诺书；（格式见第五章）</w:t>
      </w:r>
    </w:p>
    <w:p w14:paraId="340260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）投标单位法定代表人身份证复印件；</w:t>
      </w:r>
    </w:p>
    <w:p w14:paraId="498CD7F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）法定代表人授权委托书（如有授权）；（格式见第五章）</w:t>
      </w:r>
    </w:p>
    <w:p w14:paraId="418FD91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）投标单位委托代理人身份证复印件（如有授权）；</w:t>
      </w:r>
    </w:p>
    <w:p w14:paraId="3E2A9A9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）投标（响应）保证承诺书</w:t>
      </w:r>
      <w:r>
        <w:rPr>
          <w:rFonts w:hint="eastAsia" w:ascii="宋体" w:hAnsi="宋体" w:eastAsia="宋体" w:cs="宋体"/>
          <w:b/>
          <w:bCs/>
          <w:color w:val="auto"/>
          <w:sz w:val="21"/>
          <w:szCs w:val="21"/>
          <w:highlight w:val="none"/>
          <w:lang w:val="zh-CN"/>
        </w:rPr>
        <w:t>（必须提供，不提供为无效响应）</w:t>
      </w:r>
      <w:r>
        <w:rPr>
          <w:rFonts w:hint="eastAsia" w:ascii="宋体" w:hAnsi="宋体" w:eastAsia="宋体" w:cs="宋体"/>
          <w:color w:val="auto"/>
          <w:sz w:val="21"/>
          <w:szCs w:val="21"/>
          <w:highlight w:val="none"/>
          <w:lang w:val="zh-CN"/>
        </w:rPr>
        <w:t>；（格式见第五章）</w:t>
      </w:r>
    </w:p>
    <w:p w14:paraId="417B4DC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）服务条款偏离表；（格式见第五章）</w:t>
      </w:r>
    </w:p>
    <w:p w14:paraId="70CCDC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）商务条款偏离表；（格式见第五章）</w:t>
      </w:r>
    </w:p>
    <w:p w14:paraId="176325D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）实质性条款；</w:t>
      </w:r>
    </w:p>
    <w:p w14:paraId="29ABAD0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（9）服务响应承诺书；（格式见第五章）</w:t>
      </w:r>
    </w:p>
    <w:p w14:paraId="62B3386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zh-CN"/>
        </w:rPr>
        <w:t>）其他有关符合性证明的文件（如投标单位情况表、关于资格文件的声明函等）；（格式见第五章）</w:t>
      </w:r>
    </w:p>
    <w:p w14:paraId="684A225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b/>
          <w:bCs/>
          <w:color w:val="auto"/>
          <w:sz w:val="21"/>
          <w:szCs w:val="21"/>
          <w:highlight w:val="none"/>
          <w:lang w:val="zh-CN"/>
        </w:rPr>
      </w:pPr>
      <w:bookmarkStart w:id="37" w:name="_Toc3118"/>
      <w:r>
        <w:rPr>
          <w:rFonts w:hint="eastAsia" w:ascii="宋体" w:hAnsi="宋体" w:eastAsia="宋体" w:cs="宋体"/>
          <w:b/>
          <w:bCs/>
          <w:color w:val="auto"/>
          <w:sz w:val="21"/>
          <w:szCs w:val="21"/>
          <w:highlight w:val="none"/>
          <w:lang w:val="zh-CN"/>
        </w:rPr>
        <w:t>4.综合评审响应文件：</w:t>
      </w:r>
      <w:bookmarkEnd w:id="37"/>
    </w:p>
    <w:p w14:paraId="31AFA21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）技术部分；（详见评分要点及技术要求）</w:t>
      </w:r>
    </w:p>
    <w:p w14:paraId="1C0BBE6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）对本次投标的详细说明；（投标人视各自的情况自行编制）</w:t>
      </w:r>
    </w:p>
    <w:p w14:paraId="5E666DF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）对本项目的其他说明情况；（响应人视情况自行编写）</w:t>
      </w:r>
    </w:p>
    <w:p w14:paraId="12D14A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2"/>
        <w:rPr>
          <w:rFonts w:hint="eastAsia" w:ascii="宋体" w:hAnsi="宋体" w:eastAsia="宋体" w:cs="宋体"/>
          <w:color w:val="auto"/>
          <w:sz w:val="21"/>
          <w:szCs w:val="21"/>
          <w:highlight w:val="none"/>
          <w:lang w:val="zh-CN"/>
        </w:rPr>
      </w:pPr>
      <w:bookmarkStart w:id="38" w:name="_Toc17125"/>
      <w:r>
        <w:rPr>
          <w:rFonts w:hint="eastAsia" w:ascii="宋体" w:hAnsi="宋体" w:eastAsia="宋体" w:cs="宋体"/>
          <w:b/>
          <w:bCs/>
          <w:color w:val="auto"/>
          <w:sz w:val="21"/>
          <w:szCs w:val="21"/>
          <w:highlight w:val="none"/>
        </w:rPr>
        <w:t>5</w:t>
      </w:r>
      <w:r>
        <w:rPr>
          <w:rFonts w:hint="eastAsia" w:ascii="宋体" w:hAnsi="宋体" w:eastAsia="宋体" w:cs="宋体"/>
          <w:b/>
          <w:bCs/>
          <w:color w:val="auto"/>
          <w:sz w:val="21"/>
          <w:szCs w:val="21"/>
          <w:highlight w:val="none"/>
          <w:lang w:val="zh-CN"/>
        </w:rPr>
        <w:t>.中小企业声明函/残疾人福利性单位声明函/监狱企业的证明文件</w:t>
      </w:r>
      <w:r>
        <w:rPr>
          <w:rFonts w:hint="eastAsia" w:ascii="宋体" w:hAnsi="宋体" w:eastAsia="宋体" w:cs="宋体"/>
          <w:color w:val="auto"/>
          <w:sz w:val="21"/>
          <w:szCs w:val="21"/>
          <w:highlight w:val="none"/>
          <w:lang w:val="zh-CN"/>
        </w:rPr>
        <w:t>。（格式见第五章）</w:t>
      </w:r>
      <w:bookmarkEnd w:id="38"/>
    </w:p>
    <w:p w14:paraId="49DAAE3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注：</w:t>
      </w:r>
    </w:p>
    <w:p w14:paraId="32D05AF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1）以上第</w:t>
      </w: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zh-CN"/>
        </w:rPr>
        <w:t>为资格审查要求提供的材料，是作为对供应商资格审查、质疑身份认定的依据，响应供应商必须提供并加盖电子公章。否则，磋商响应文件将被认定为不符合资格审查要求。</w:t>
      </w:r>
    </w:p>
    <w:p w14:paraId="1DC1A7A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2）以上第3为符合性审查需提供的资料，响应供应商必须提供并加盖电子公章。否则，磋商响应文件将被认定为未实质性响应。</w:t>
      </w:r>
    </w:p>
    <w:p w14:paraId="0E3BCA0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3）制作电子响应文件时必须与投标文件制作软件目录一一对应，将相关资料上传至相应模块。</w:t>
      </w:r>
    </w:p>
    <w:p w14:paraId="6D97D07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71923D5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5）磋商过程中如有问题采购代理机构工作人员会及时通过《投标供应商确认函》留存的手机号与供应商联系。请供应商确保该手机号磋商当日通讯畅通，否则导致对供应商不利的后果由供应商自行承担。</w:t>
      </w:r>
    </w:p>
    <w:p w14:paraId="352BF4F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1"/>
        <w:rPr>
          <w:rFonts w:hint="eastAsia" w:ascii="宋体" w:hAnsi="宋体" w:eastAsia="宋体" w:cs="宋体"/>
          <w:b/>
          <w:color w:val="auto"/>
          <w:sz w:val="21"/>
          <w:szCs w:val="21"/>
          <w:highlight w:val="none"/>
          <w:lang w:val="zh-CN"/>
        </w:rPr>
      </w:pPr>
      <w:bookmarkStart w:id="39" w:name="_Toc29846"/>
      <w:r>
        <w:rPr>
          <w:rFonts w:hint="eastAsia" w:ascii="宋体" w:hAnsi="宋体" w:eastAsia="宋体" w:cs="宋体"/>
          <w:b/>
          <w:color w:val="auto"/>
          <w:sz w:val="21"/>
          <w:szCs w:val="21"/>
          <w:highlight w:val="none"/>
          <w:lang w:val="zh-CN"/>
        </w:rPr>
        <w:t>五、网上响应文件的制作</w:t>
      </w:r>
      <w:bookmarkEnd w:id="39"/>
    </w:p>
    <w:p w14:paraId="4E619EDA">
      <w:pPr>
        <w:keepNext w:val="0"/>
        <w:keepLines w:val="0"/>
        <w:pageBreakBefore w:val="0"/>
        <w:kinsoku/>
        <w:wordWrap/>
        <w:overflowPunct/>
        <w:topLinePunct w:val="0"/>
        <w:autoSpaceDE/>
        <w:autoSpaceDN/>
        <w:bidi w:val="0"/>
        <w:adjustRightInd/>
        <w:snapToGrid w:val="0"/>
        <w:spacing w:line="360" w:lineRule="auto"/>
        <w:ind w:firstLine="422" w:firstLineChars="0"/>
        <w:jc w:val="left"/>
        <w:textAlignment w:val="auto"/>
        <w:outlineLvl w:val="2"/>
        <w:rPr>
          <w:rFonts w:hint="eastAsia" w:ascii="宋体" w:hAnsi="宋体" w:eastAsia="宋体" w:cs="宋体"/>
          <w:b/>
          <w:bCs/>
          <w:color w:val="auto"/>
          <w:sz w:val="21"/>
          <w:szCs w:val="21"/>
          <w:highlight w:val="none"/>
          <w:lang w:val="zh-CN"/>
        </w:rPr>
      </w:pPr>
      <w:bookmarkStart w:id="40" w:name="_Toc13811"/>
      <w:r>
        <w:rPr>
          <w:rFonts w:hint="eastAsia" w:ascii="宋体" w:hAnsi="宋体" w:eastAsia="宋体" w:cs="宋体"/>
          <w:b/>
          <w:bCs/>
          <w:color w:val="auto"/>
          <w:sz w:val="21"/>
          <w:szCs w:val="21"/>
          <w:highlight w:val="none"/>
          <w:lang w:val="zh-CN"/>
        </w:rPr>
        <w:t>（一）响应文件制作</w:t>
      </w:r>
      <w:bookmarkEnd w:id="40"/>
    </w:p>
    <w:p w14:paraId="40B7607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1.本项目采用电子招投标形式，请供应商按照《苏采云系统供应商操作手册》（https://czju.suzhou.gov.cn/zfcg/html/content/20231220161910031.shtml）进行制作、上传电子响应文件。</w:t>
      </w:r>
    </w:p>
    <w:p w14:paraId="0B757BC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电子磋商响应文件必须在投标截止时间前完成上传操作。</w:t>
      </w:r>
    </w:p>
    <w:p w14:paraId="0B04E5F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bookmarkStart w:id="41" w:name="bookmark110"/>
      <w:bookmarkEnd w:id="41"/>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全套响应文件应无涂改和行间插字，除非这些删改是根据磋商采购单位指示进行的，或者是供应商造成的必须修改的错误。但修改处应由供应商法定代表人（负责人）或授权代表签字证明。</w:t>
      </w:r>
    </w:p>
    <w:p w14:paraId="43CD389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电子响应文件需要加盖单位公章的地方必须加盖磋商响应单位电子签章，需要法定代表人（或委托代理人）盖章或签名的文件必须按要求盖章或签名。</w:t>
      </w:r>
    </w:p>
    <w:p w14:paraId="6F99F0F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网上响应文件附件如无法加盖电子签章，请上传清晰的盖有公章的扫描件。</w:t>
      </w:r>
    </w:p>
    <w:p w14:paraId="782770E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一经磋商，除非供应商在响应文件中对采购文件的规定或条款有书面偏离或保留，否则应视为其全部接受和遵守。同时无论供应商是否成交，其响应文件恕不退还。</w:t>
      </w:r>
    </w:p>
    <w:p w14:paraId="5B469FC6">
      <w:pPr>
        <w:keepNext w:val="0"/>
        <w:keepLines w:val="0"/>
        <w:pageBreakBefore w:val="0"/>
        <w:kinsoku/>
        <w:wordWrap/>
        <w:overflowPunct/>
        <w:topLinePunct w:val="0"/>
        <w:autoSpaceDE/>
        <w:autoSpaceDN/>
        <w:bidi w:val="0"/>
        <w:adjustRightInd/>
        <w:snapToGrid w:val="0"/>
        <w:spacing w:line="360" w:lineRule="auto"/>
        <w:ind w:firstLine="422" w:firstLineChars="0"/>
        <w:jc w:val="left"/>
        <w:textAlignment w:val="auto"/>
        <w:outlineLvl w:val="2"/>
        <w:rPr>
          <w:rFonts w:hint="eastAsia" w:ascii="宋体" w:hAnsi="宋体" w:eastAsia="宋体" w:cs="宋体"/>
          <w:b/>
          <w:color w:val="auto"/>
          <w:sz w:val="21"/>
          <w:szCs w:val="21"/>
          <w:highlight w:val="none"/>
        </w:rPr>
      </w:pPr>
      <w:bookmarkStart w:id="42" w:name="_Toc9917"/>
      <w:r>
        <w:rPr>
          <w:rFonts w:hint="eastAsia" w:ascii="宋体" w:hAnsi="宋体" w:eastAsia="宋体" w:cs="宋体"/>
          <w:b/>
          <w:color w:val="auto"/>
          <w:sz w:val="21"/>
          <w:szCs w:val="21"/>
          <w:highlight w:val="none"/>
        </w:rPr>
        <w:t>（二）</w:t>
      </w:r>
      <w:r>
        <w:rPr>
          <w:rFonts w:hint="eastAsia" w:ascii="宋体" w:hAnsi="宋体" w:eastAsia="宋体" w:cs="宋体"/>
          <w:color w:val="auto"/>
          <w:sz w:val="21"/>
          <w:szCs w:val="21"/>
          <w:highlight w:val="none"/>
          <w:lang w:val="zh-CN"/>
        </w:rPr>
        <w:t>★</w:t>
      </w:r>
      <w:r>
        <w:rPr>
          <w:rFonts w:hint="eastAsia" w:ascii="宋体" w:hAnsi="宋体" w:eastAsia="宋体" w:cs="宋体"/>
          <w:b/>
          <w:color w:val="auto"/>
          <w:sz w:val="21"/>
          <w:szCs w:val="21"/>
          <w:highlight w:val="none"/>
        </w:rPr>
        <w:t xml:space="preserve"> 响应文件的有效期：</w:t>
      </w:r>
      <w:bookmarkEnd w:id="42"/>
    </w:p>
    <w:p w14:paraId="7054C00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1.磋商响应文件的有效期为90日历天，在此期间内，响应文件应保持有效。有效期短于这个规定期限的，将被拒绝。</w:t>
      </w:r>
    </w:p>
    <w:p w14:paraId="14B3355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2.特殊情况下，采购单位可与磋商供应商协商延缓磋商响应文件的有效期，这种要求和答复均以书面形式进行。</w:t>
      </w:r>
    </w:p>
    <w:p w14:paraId="5756F90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3.磋商响应方可拒绝接受延期要求而放弃磋商，同意延长有效期的磋商响应方不能修改磋商响应文件。</w:t>
      </w:r>
    </w:p>
    <w:p w14:paraId="1BB8B542">
      <w:pPr>
        <w:keepNext w:val="0"/>
        <w:keepLines w:val="0"/>
        <w:pageBreakBefore w:val="0"/>
        <w:kinsoku/>
        <w:wordWrap/>
        <w:overflowPunct/>
        <w:topLinePunct w:val="0"/>
        <w:autoSpaceDE/>
        <w:autoSpaceDN/>
        <w:bidi w:val="0"/>
        <w:adjustRightInd/>
        <w:snapToGrid w:val="0"/>
        <w:spacing w:line="360" w:lineRule="auto"/>
        <w:ind w:firstLine="422" w:firstLineChars="0"/>
        <w:jc w:val="left"/>
        <w:textAlignment w:val="auto"/>
        <w:outlineLvl w:val="2"/>
        <w:rPr>
          <w:rFonts w:hint="eastAsia" w:ascii="宋体" w:hAnsi="宋体" w:eastAsia="宋体" w:cs="宋体"/>
          <w:b/>
          <w:color w:val="auto"/>
          <w:sz w:val="21"/>
          <w:szCs w:val="21"/>
          <w:highlight w:val="none"/>
        </w:rPr>
      </w:pPr>
      <w:bookmarkStart w:id="43" w:name="_Toc19760"/>
      <w:r>
        <w:rPr>
          <w:rFonts w:hint="eastAsia" w:ascii="宋体" w:hAnsi="宋体" w:eastAsia="宋体" w:cs="宋体"/>
          <w:b/>
          <w:color w:val="auto"/>
          <w:sz w:val="21"/>
          <w:szCs w:val="21"/>
          <w:highlight w:val="none"/>
        </w:rPr>
        <w:t>（三）磋商响应截止时间</w:t>
      </w:r>
      <w:bookmarkEnd w:id="43"/>
    </w:p>
    <w:p w14:paraId="4173E6B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1.响应文件必须在磋商采购文件要求的截止时间前提交。采购人或者采购代理机构拒绝接收在其规定的提交响应文件截止时间后上传的任何电子响应文件。</w:t>
      </w:r>
    </w:p>
    <w:p w14:paraId="592B7C7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2.采购人或者采购代理机构推迟磋商截止时间时，应以更正公告的形式，通知所有响应人。</w:t>
      </w:r>
    </w:p>
    <w:p w14:paraId="543BD2B0">
      <w:pPr>
        <w:keepNext w:val="0"/>
        <w:keepLines w:val="0"/>
        <w:pageBreakBefore w:val="0"/>
        <w:kinsoku/>
        <w:wordWrap/>
        <w:overflowPunct/>
        <w:topLinePunct w:val="0"/>
        <w:autoSpaceDE/>
        <w:autoSpaceDN/>
        <w:bidi w:val="0"/>
        <w:adjustRightInd/>
        <w:snapToGrid w:val="0"/>
        <w:spacing w:line="360" w:lineRule="auto"/>
        <w:ind w:firstLine="422" w:firstLineChars="0"/>
        <w:jc w:val="left"/>
        <w:textAlignment w:val="auto"/>
        <w:outlineLvl w:val="2"/>
        <w:rPr>
          <w:rFonts w:hint="eastAsia" w:ascii="宋体" w:hAnsi="宋体" w:eastAsia="宋体" w:cs="宋体"/>
          <w:b/>
          <w:color w:val="auto"/>
          <w:sz w:val="21"/>
          <w:szCs w:val="21"/>
          <w:highlight w:val="none"/>
        </w:rPr>
      </w:pPr>
      <w:bookmarkStart w:id="44" w:name="_Toc26897"/>
      <w:r>
        <w:rPr>
          <w:rFonts w:hint="eastAsia" w:ascii="宋体" w:hAnsi="宋体" w:eastAsia="宋体" w:cs="宋体"/>
          <w:b/>
          <w:color w:val="auto"/>
          <w:sz w:val="21"/>
          <w:szCs w:val="21"/>
          <w:highlight w:val="none"/>
        </w:rPr>
        <w:t>（四）磋商响应文件修改和撤回</w:t>
      </w:r>
      <w:bookmarkEnd w:id="44"/>
    </w:p>
    <w:p w14:paraId="24C9A1EE">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3"/>
        <w:rPr>
          <w:rFonts w:hint="eastAsia" w:ascii="宋体" w:hAnsi="宋体" w:eastAsia="宋体" w:cs="宋体"/>
          <w:color w:val="auto"/>
          <w:sz w:val="21"/>
          <w:szCs w:val="21"/>
          <w:highlight w:val="none"/>
        </w:rPr>
      </w:pPr>
      <w:bookmarkStart w:id="45" w:name="_Toc15028"/>
      <w:r>
        <w:rPr>
          <w:rFonts w:hint="eastAsia" w:ascii="宋体" w:hAnsi="宋体" w:eastAsia="宋体" w:cs="宋体"/>
          <w:color w:val="auto"/>
          <w:sz w:val="21"/>
          <w:szCs w:val="21"/>
          <w:highlight w:val="none"/>
        </w:rPr>
        <w:t>1.响应文件的撤回</w:t>
      </w:r>
      <w:bookmarkEnd w:id="45"/>
    </w:p>
    <w:p w14:paraId="725A3E1E">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4"/>
        <w:rPr>
          <w:rFonts w:hint="eastAsia" w:ascii="宋体" w:hAnsi="宋体" w:eastAsia="宋体" w:cs="宋体"/>
          <w:color w:val="auto"/>
          <w:sz w:val="21"/>
          <w:szCs w:val="21"/>
          <w:highlight w:val="none"/>
        </w:rPr>
      </w:pPr>
      <w:bookmarkStart w:id="46" w:name="_Toc7459"/>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电子响应文件的撤回</w:t>
      </w:r>
      <w:bookmarkEnd w:id="46"/>
    </w:p>
    <w:p w14:paraId="741284B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供应商可在提交响应文件截止时间前，撤回其电子响应文件，具体操作方法见《操作手册》。</w:t>
      </w:r>
    </w:p>
    <w:p w14:paraId="509DB355">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4"/>
        <w:rPr>
          <w:rFonts w:hint="eastAsia" w:ascii="宋体" w:hAnsi="宋体" w:eastAsia="宋体" w:cs="宋体"/>
          <w:color w:val="auto"/>
          <w:sz w:val="21"/>
          <w:szCs w:val="21"/>
          <w:highlight w:val="none"/>
        </w:rPr>
      </w:pPr>
      <w:bookmarkStart w:id="47" w:name="_Toc23102"/>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供应商撤回电子响应文件，则认为其不再参与本项目磋商活动。</w:t>
      </w:r>
      <w:bookmarkEnd w:id="47"/>
    </w:p>
    <w:p w14:paraId="737A0BF4">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3"/>
        <w:rPr>
          <w:rFonts w:hint="eastAsia" w:ascii="宋体" w:hAnsi="宋体" w:eastAsia="宋体" w:cs="宋体"/>
          <w:color w:val="auto"/>
          <w:sz w:val="21"/>
          <w:szCs w:val="21"/>
          <w:highlight w:val="none"/>
        </w:rPr>
      </w:pPr>
      <w:bookmarkStart w:id="48" w:name="_Toc30309"/>
      <w:r>
        <w:rPr>
          <w:rFonts w:hint="eastAsia" w:ascii="宋体" w:hAnsi="宋体" w:eastAsia="宋体" w:cs="宋体"/>
          <w:color w:val="auto"/>
          <w:sz w:val="21"/>
          <w:szCs w:val="21"/>
          <w:highlight w:val="none"/>
        </w:rPr>
        <w:t>2.响应文件的修改</w:t>
      </w:r>
      <w:bookmarkEnd w:id="48"/>
    </w:p>
    <w:p w14:paraId="2FECB60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供应商可在提交响应文件截止时间前，对其电子响应文件进行修改，具体操作方法见《操作手册》。</w:t>
      </w:r>
    </w:p>
    <w:p w14:paraId="1ACFACE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在提交响应文件截止时间之后，供应商不得对其电子响应文件作任何修改。</w:t>
      </w:r>
    </w:p>
    <w:p w14:paraId="3E04C73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在提交响应文件截止时间至磋商文件中规定的磋商有效期满之间的这段时间内，供应商不得撤回其响应文件。否则按投标（响应）保证承诺书中承诺履行违约赔偿。</w:t>
      </w:r>
    </w:p>
    <w:p w14:paraId="1F0850FF">
      <w:pPr>
        <w:keepNext w:val="0"/>
        <w:keepLines w:val="0"/>
        <w:pageBreakBefore w:val="0"/>
        <w:kinsoku/>
        <w:wordWrap/>
        <w:overflowPunct/>
        <w:topLinePunct w:val="0"/>
        <w:autoSpaceDE/>
        <w:autoSpaceDN/>
        <w:bidi w:val="0"/>
        <w:adjustRightInd/>
        <w:snapToGrid w:val="0"/>
        <w:spacing w:line="360" w:lineRule="auto"/>
        <w:ind w:firstLine="422" w:firstLineChars="0"/>
        <w:jc w:val="left"/>
        <w:textAlignment w:val="auto"/>
        <w:outlineLvl w:val="2"/>
        <w:rPr>
          <w:rFonts w:hint="eastAsia" w:ascii="宋体" w:hAnsi="宋体" w:eastAsia="宋体" w:cs="宋体"/>
          <w:b/>
          <w:color w:val="auto"/>
          <w:sz w:val="21"/>
          <w:szCs w:val="21"/>
          <w:highlight w:val="none"/>
        </w:rPr>
      </w:pPr>
      <w:bookmarkStart w:id="49" w:name="_Toc25980"/>
      <w:r>
        <w:rPr>
          <w:rFonts w:hint="eastAsia" w:ascii="宋体" w:hAnsi="宋体" w:eastAsia="宋体" w:cs="宋体"/>
          <w:b/>
          <w:color w:val="auto"/>
          <w:sz w:val="21"/>
          <w:szCs w:val="21"/>
          <w:highlight w:val="none"/>
        </w:rPr>
        <w:t>（五）递交磋商响应文件相关事项：</w:t>
      </w:r>
      <w:bookmarkEnd w:id="49"/>
    </w:p>
    <w:p w14:paraId="405ADE0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按照《操作手册》规定，在苏采云系统规定的时间内对磋商响应文件进行解密。如因软件系统出现问题或其他因素导致开标当天不能完成整个磋商程序的，可以在磋商现场进行封标，待问题解决后再继续进行下去。采购代理机构应把继续磋商程序的时间、地点通知到每个磋商响应单位。</w:t>
      </w:r>
    </w:p>
    <w:p w14:paraId="17167D5D">
      <w:pPr>
        <w:keepNext w:val="0"/>
        <w:keepLines w:val="0"/>
        <w:pageBreakBefore w:val="0"/>
        <w:kinsoku/>
        <w:wordWrap/>
        <w:overflowPunct/>
        <w:topLinePunct w:val="0"/>
        <w:autoSpaceDE/>
        <w:autoSpaceDN/>
        <w:bidi w:val="0"/>
        <w:adjustRightInd/>
        <w:snapToGrid w:val="0"/>
        <w:spacing w:line="360" w:lineRule="auto"/>
        <w:ind w:firstLine="422" w:firstLineChars="0"/>
        <w:jc w:val="left"/>
        <w:textAlignment w:val="auto"/>
        <w:outlineLvl w:val="1"/>
        <w:rPr>
          <w:rFonts w:hint="eastAsia" w:ascii="宋体" w:hAnsi="宋体" w:eastAsia="宋体" w:cs="宋体"/>
          <w:b/>
          <w:color w:val="auto"/>
          <w:sz w:val="21"/>
          <w:szCs w:val="21"/>
          <w:highlight w:val="none"/>
        </w:rPr>
      </w:pPr>
      <w:bookmarkStart w:id="50" w:name="_Toc21444"/>
      <w:r>
        <w:rPr>
          <w:rFonts w:hint="eastAsia" w:ascii="宋体" w:hAnsi="宋体" w:eastAsia="宋体" w:cs="宋体"/>
          <w:b/>
          <w:color w:val="auto"/>
          <w:sz w:val="21"/>
          <w:szCs w:val="21"/>
          <w:highlight w:val="none"/>
        </w:rPr>
        <w:t>六、</w:t>
      </w:r>
      <w:r>
        <w:rPr>
          <w:rFonts w:hint="eastAsia" w:ascii="宋体" w:hAnsi="宋体" w:eastAsia="宋体" w:cs="宋体"/>
          <w:b/>
          <w:bCs/>
          <w:color w:val="auto"/>
          <w:sz w:val="21"/>
          <w:szCs w:val="21"/>
          <w:highlight w:val="none"/>
        </w:rPr>
        <w:t>磋商评审程序</w:t>
      </w:r>
      <w:r>
        <w:rPr>
          <w:rFonts w:hint="eastAsia" w:ascii="宋体" w:hAnsi="宋体" w:eastAsia="宋体" w:cs="宋体"/>
          <w:b/>
          <w:color w:val="auto"/>
          <w:sz w:val="21"/>
          <w:szCs w:val="21"/>
          <w:highlight w:val="none"/>
        </w:rPr>
        <w:t>：</w:t>
      </w:r>
      <w:bookmarkEnd w:id="50"/>
    </w:p>
    <w:p w14:paraId="212441A6">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rPr>
      </w:pPr>
      <w:bookmarkStart w:id="51" w:name="_Toc950"/>
      <w:r>
        <w:rPr>
          <w:rFonts w:hint="eastAsia" w:ascii="宋体" w:hAnsi="宋体" w:eastAsia="宋体" w:cs="宋体"/>
          <w:b/>
          <w:bCs/>
          <w:color w:val="auto"/>
          <w:sz w:val="21"/>
          <w:szCs w:val="21"/>
          <w:highlight w:val="none"/>
        </w:rPr>
        <w:t>1.磋商仪式</w:t>
      </w:r>
      <w:bookmarkEnd w:id="51"/>
    </w:p>
    <w:p w14:paraId="28C6802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采购代理机构将在竞争性磋商公告中规定的时间和地点组织磋商。</w:t>
      </w:r>
    </w:p>
    <w:p w14:paraId="720FF6E5">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磋商仪式由采购招标代理机构主持。</w:t>
      </w:r>
    </w:p>
    <w:p w14:paraId="100C8D1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采购人依法对供应商的资格进行审查。</w:t>
      </w:r>
    </w:p>
    <w:p w14:paraId="6BAAB75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招标代理机构对供应商进行信用查询。</w:t>
      </w:r>
    </w:p>
    <w:p w14:paraId="142F2861">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rPr>
      </w:pPr>
      <w:bookmarkStart w:id="52" w:name="_Toc15153"/>
      <w:r>
        <w:rPr>
          <w:rFonts w:hint="eastAsia" w:ascii="宋体" w:hAnsi="宋体" w:eastAsia="宋体" w:cs="宋体"/>
          <w:b/>
          <w:bCs/>
          <w:color w:val="auto"/>
          <w:sz w:val="21"/>
          <w:szCs w:val="21"/>
          <w:highlight w:val="none"/>
        </w:rPr>
        <w:t>2.磋商小组</w:t>
      </w:r>
      <w:bookmarkEnd w:id="52"/>
    </w:p>
    <w:p w14:paraId="37998C2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采购代理机构将组织磋商小组（以下简称评委会）对响应文件进行评审。</w:t>
      </w:r>
    </w:p>
    <w:p w14:paraId="4518762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磋商小组由磋商采购单位依法组建，磋商小组由采购人代表和有关技术、经济等方面的专家组成，且人员构成符合政府采购有关规定。</w:t>
      </w:r>
    </w:p>
    <w:p w14:paraId="5DE6A88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磋商小组独立工作，负责评审所有响应文件并确定成交</w:t>
      </w:r>
      <w:r>
        <w:rPr>
          <w:rFonts w:hint="eastAsia" w:ascii="宋体" w:hAnsi="宋体" w:eastAsia="宋体" w:cs="宋体"/>
          <w:color w:val="auto"/>
          <w:sz w:val="21"/>
          <w:szCs w:val="21"/>
          <w:highlight w:val="none"/>
          <w:lang w:eastAsia="zh-CN"/>
        </w:rPr>
        <w:t>候选人</w:t>
      </w:r>
      <w:r>
        <w:rPr>
          <w:rFonts w:hint="eastAsia" w:ascii="宋体" w:hAnsi="宋体" w:eastAsia="宋体" w:cs="宋体"/>
          <w:color w:val="auto"/>
          <w:sz w:val="21"/>
          <w:szCs w:val="21"/>
          <w:highlight w:val="none"/>
        </w:rPr>
        <w:t>。</w:t>
      </w:r>
    </w:p>
    <w:p w14:paraId="5C9D426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评审过程的保密与公正：</w:t>
      </w:r>
    </w:p>
    <w:p w14:paraId="0D47299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磋商小组、采购人和采购代理机构、相关监督人员等与评审工作有关的人员，对评审情况以及在评审过程中获悉的国家秘密、商业秘密负有保密责任。</w:t>
      </w:r>
    </w:p>
    <w:p w14:paraId="5D41AF0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在评审过程中，供应商不得以任何行为影响磋商评审过程，否则其响应文件将被作为无效响应文件。</w:t>
      </w:r>
    </w:p>
    <w:p w14:paraId="4B8755E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在项目评审期间，采购人或采购代理机构将设专门人员与供应商联系。</w:t>
      </w:r>
    </w:p>
    <w:p w14:paraId="569505A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采购人或采购代理机构和磋商小组不向未成交的供应商解释未成交原因，也不公布评审过程中的相关细节。</w:t>
      </w:r>
    </w:p>
    <w:p w14:paraId="47091E00">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rPr>
      </w:pPr>
      <w:bookmarkStart w:id="53" w:name="_Toc513029232"/>
      <w:bookmarkStart w:id="54" w:name="_Toc16938548"/>
      <w:bookmarkStart w:id="55" w:name="_Toc20823304"/>
      <w:bookmarkStart w:id="56" w:name="_Toc22461"/>
      <w:r>
        <w:rPr>
          <w:rFonts w:hint="eastAsia" w:ascii="宋体" w:hAnsi="宋体" w:eastAsia="宋体" w:cs="宋体"/>
          <w:b/>
          <w:bCs/>
          <w:color w:val="auto"/>
          <w:sz w:val="21"/>
          <w:szCs w:val="21"/>
          <w:highlight w:val="none"/>
        </w:rPr>
        <w:t>3.评审过程中</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澄清</w:t>
      </w:r>
      <w:bookmarkEnd w:id="53"/>
      <w:bookmarkEnd w:id="54"/>
      <w:bookmarkEnd w:id="55"/>
      <w:bookmarkEnd w:id="56"/>
    </w:p>
    <w:p w14:paraId="07634BD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EEFDC3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磋商小组并非对每个供应商都作澄清要求。</w:t>
      </w:r>
    </w:p>
    <w:p w14:paraId="3CB7A32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04FBD3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 接到磋商小组澄清、说明和更正要求的供应商如未按规定</w:t>
      </w:r>
      <w:r>
        <w:rPr>
          <w:rFonts w:hint="eastAsia" w:ascii="宋体" w:hAnsi="宋体" w:eastAsia="宋体" w:cs="宋体"/>
          <w:color w:val="auto"/>
          <w:sz w:val="21"/>
          <w:szCs w:val="21"/>
          <w:highlight w:val="none"/>
          <w:lang w:eastAsia="zh-CN"/>
        </w:rPr>
        <w:t>作出</w:t>
      </w:r>
      <w:r>
        <w:rPr>
          <w:rFonts w:hint="eastAsia" w:ascii="宋体" w:hAnsi="宋体" w:eastAsia="宋体" w:cs="宋体"/>
          <w:color w:val="auto"/>
          <w:sz w:val="21"/>
          <w:szCs w:val="21"/>
          <w:highlight w:val="none"/>
        </w:rPr>
        <w:t>澄清、说明和 更正，其风险由供应商自行承担。</w:t>
      </w:r>
    </w:p>
    <w:p w14:paraId="57E199EA">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rPr>
      </w:pPr>
      <w:bookmarkStart w:id="57" w:name="_Toc20823305"/>
      <w:bookmarkStart w:id="58" w:name="_Toc513029233"/>
      <w:bookmarkStart w:id="59" w:name="_Toc16938549"/>
      <w:bookmarkStart w:id="60" w:name="_Toc11862"/>
      <w:r>
        <w:rPr>
          <w:rFonts w:hint="eastAsia" w:ascii="宋体" w:hAnsi="宋体" w:eastAsia="宋体" w:cs="宋体"/>
          <w:b/>
          <w:bCs/>
          <w:color w:val="auto"/>
          <w:sz w:val="21"/>
          <w:szCs w:val="21"/>
          <w:highlight w:val="none"/>
        </w:rPr>
        <w:t>4.对响应文件的审</w:t>
      </w:r>
      <w:bookmarkEnd w:id="57"/>
      <w:bookmarkEnd w:id="58"/>
      <w:bookmarkEnd w:id="59"/>
      <w:r>
        <w:rPr>
          <w:rFonts w:hint="eastAsia" w:ascii="宋体" w:hAnsi="宋体" w:eastAsia="宋体" w:cs="宋体"/>
          <w:b/>
          <w:bCs/>
          <w:color w:val="auto"/>
          <w:sz w:val="21"/>
          <w:szCs w:val="21"/>
          <w:highlight w:val="none"/>
        </w:rPr>
        <w:t>查</w:t>
      </w:r>
      <w:bookmarkEnd w:id="60"/>
    </w:p>
    <w:p w14:paraId="3BEC4740">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3"/>
        <w:rPr>
          <w:rFonts w:hint="eastAsia" w:ascii="宋体" w:hAnsi="宋体" w:eastAsia="宋体" w:cs="宋体"/>
          <w:color w:val="auto"/>
          <w:sz w:val="21"/>
          <w:szCs w:val="21"/>
          <w:highlight w:val="none"/>
        </w:rPr>
      </w:pPr>
      <w:bookmarkStart w:id="61" w:name="_Toc1601"/>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响应文件审查分为资格审查和符合性审查。</w:t>
      </w:r>
      <w:bookmarkEnd w:id="61"/>
    </w:p>
    <w:p w14:paraId="6122E29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资格审查：由采购人依据法律法规和磋商文件的规定，对响应文件中的资格证明文件进行审查，以确定供应商是否具备参加磋商的资格。</w:t>
      </w:r>
    </w:p>
    <w:p w14:paraId="66E4BC2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在进行资格审查的同时，招标代理机构将在“信用中国”网站（www.creditchina.gov.cn）查询供应商的信用记录，以确定供应商是否具备磋商资格</w:t>
      </w:r>
      <w:r>
        <w:rPr>
          <w:rFonts w:hint="eastAsia" w:ascii="宋体" w:hAnsi="宋体" w:eastAsia="宋体" w:cs="宋体"/>
          <w:color w:val="auto"/>
          <w:sz w:val="21"/>
          <w:szCs w:val="21"/>
          <w:highlight w:val="none"/>
          <w:lang w:eastAsia="zh-CN"/>
        </w:rPr>
        <w:t>，将</w:t>
      </w:r>
      <w:r>
        <w:rPr>
          <w:rFonts w:hint="eastAsia" w:ascii="宋体" w:hAnsi="宋体" w:eastAsia="宋体" w:cs="宋体"/>
          <w:color w:val="auto"/>
          <w:sz w:val="21"/>
          <w:szCs w:val="21"/>
          <w:highlight w:val="none"/>
        </w:rPr>
        <w:t>查询结果留存并归档。</w:t>
      </w:r>
    </w:p>
    <w:p w14:paraId="1AB796D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联合体成员中任何一方存在不良信用记录的，视同联合体存在不良应用记录。</w:t>
      </w:r>
    </w:p>
    <w:p w14:paraId="4BEAE28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符合性审查：依据磋商文件的规定，由磋商小组从响应文件的有效性、完整性和对磋商文件的响应程度进行审查，以确定是否对磋商文件的实质性要求作出响应。</w:t>
      </w:r>
    </w:p>
    <w:p w14:paraId="4979F73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未通过资格审查或符合性审查的供应商，磋商小组将在苏采云系统中告知未通过资格审查或符合性审查的原因，评审结束后，磋商小组将不再告知未通过资格审查或符合性审查的原因。</w:t>
      </w:r>
    </w:p>
    <w:p w14:paraId="7DF4043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在详细评审之前，磋商小组将首先审查每份响应文件是否实质性响应了磋商文件的要求。实质性响应的响应文件应该是与磋商文件要求的条款、条件和规格相符，没有重大偏离或保留。</w:t>
      </w:r>
    </w:p>
    <w:p w14:paraId="2008756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2B3A1B5">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未实质性响应磋商文件的情形：</w:t>
      </w:r>
    </w:p>
    <w:p w14:paraId="1B41AA7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5.1）供应商在苏采云系统规定的时间内未成功解密电子响应文件的。</w:t>
      </w:r>
    </w:p>
    <w:p w14:paraId="2FAA9CC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5.2）供应商未按照磋商文件要求上传电子响应文件的。</w:t>
      </w:r>
    </w:p>
    <w:p w14:paraId="3A40F82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5.3）同一供应商提交两个（含两个）以上不同的响应文件的。</w:t>
      </w:r>
    </w:p>
    <w:p w14:paraId="6B8B713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5.4）供应商不具备磋商文件中规定资格要求的。</w:t>
      </w:r>
    </w:p>
    <w:p w14:paraId="12A6BEA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5.5）不符合磋商文件中规定的实质性要求和条件的（</w:t>
      </w:r>
      <w:r>
        <w:rPr>
          <w:rFonts w:hint="eastAsia" w:ascii="宋体" w:hAnsi="宋体" w:eastAsia="宋体" w:cs="宋体"/>
          <w:b/>
          <w:color w:val="auto"/>
          <w:sz w:val="21"/>
          <w:szCs w:val="21"/>
          <w:highlight w:val="none"/>
        </w:rPr>
        <w:t>本文件打“★”为实质性条款，不可偏离，如偏离响应文件无效。</w:t>
      </w:r>
      <w:r>
        <w:rPr>
          <w:rFonts w:hint="eastAsia" w:ascii="宋体" w:hAnsi="宋体" w:eastAsia="宋体" w:cs="宋体"/>
          <w:color w:val="auto"/>
          <w:sz w:val="21"/>
          <w:szCs w:val="21"/>
          <w:highlight w:val="none"/>
        </w:rPr>
        <w:t>）</w:t>
      </w:r>
    </w:p>
    <w:p w14:paraId="2BA4F64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04533F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5.7）响应文件含有采购人不能接受的附加条件的。</w:t>
      </w:r>
    </w:p>
    <w:p w14:paraId="46F5F35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5.8）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0A5982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5.9）响应文件未按照磋商文件要求加盖CA电子公章的。</w:t>
      </w:r>
    </w:p>
    <w:p w14:paraId="0D828835">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未实质性响应磋商文件的响应文件按无效响应处理。</w:t>
      </w:r>
    </w:p>
    <w:p w14:paraId="5F22249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如果响应文件实质上没有响应磋商文件的要求，磋商小组将予以拒绝，供应商不得通过修改或撤销</w:t>
      </w:r>
      <w:r>
        <w:rPr>
          <w:rFonts w:hint="eastAsia" w:ascii="宋体" w:hAnsi="宋体" w:eastAsia="宋体" w:cs="宋体"/>
          <w:color w:val="auto"/>
          <w:sz w:val="21"/>
          <w:szCs w:val="21"/>
          <w:highlight w:val="none"/>
          <w:lang w:eastAsia="zh-CN"/>
        </w:rPr>
        <w:t>不符</w:t>
      </w:r>
      <w:r>
        <w:rPr>
          <w:rFonts w:hint="eastAsia" w:ascii="宋体" w:hAnsi="宋体" w:eastAsia="宋体" w:cs="宋体"/>
          <w:color w:val="auto"/>
          <w:sz w:val="21"/>
          <w:szCs w:val="21"/>
          <w:highlight w:val="none"/>
        </w:rPr>
        <w:t>合要求的偏离或保留而使其成为实质性响应的文件。</w:t>
      </w:r>
    </w:p>
    <w:p w14:paraId="3636EC7B">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供应商在项目评审全过程中应保持通讯畅通，并安排专人与采购人或采购代理机构及磋商小组联系。</w:t>
      </w:r>
    </w:p>
    <w:p w14:paraId="31818BB7">
      <w:pPr>
        <w:keepNext w:val="0"/>
        <w:keepLines w:val="0"/>
        <w:pageBreakBefore w:val="0"/>
        <w:kinsoku/>
        <w:wordWrap/>
        <w:overflowPunct/>
        <w:topLinePunct w:val="0"/>
        <w:autoSpaceDE/>
        <w:autoSpaceDN/>
        <w:bidi w:val="0"/>
        <w:adjustRightInd/>
        <w:snapToGrid w:val="0"/>
        <w:spacing w:line="360" w:lineRule="auto"/>
        <w:ind w:firstLine="422" w:firstLineChars="0"/>
        <w:jc w:val="left"/>
        <w:textAlignment w:val="auto"/>
        <w:outlineLvl w:val="2"/>
        <w:rPr>
          <w:rFonts w:hint="eastAsia" w:ascii="宋体" w:hAnsi="宋体" w:eastAsia="宋体" w:cs="宋体"/>
          <w:b/>
          <w:color w:val="auto"/>
          <w:sz w:val="21"/>
          <w:szCs w:val="21"/>
          <w:highlight w:val="none"/>
        </w:rPr>
      </w:pPr>
      <w:bookmarkStart w:id="62" w:name="_Toc2570"/>
      <w:r>
        <w:rPr>
          <w:rFonts w:hint="eastAsia" w:ascii="宋体" w:hAnsi="宋体" w:eastAsia="宋体" w:cs="宋体"/>
          <w:b/>
          <w:color w:val="auto"/>
          <w:sz w:val="21"/>
          <w:szCs w:val="21"/>
          <w:highlight w:val="none"/>
        </w:rPr>
        <w:t>5.磋商程序</w:t>
      </w:r>
      <w:bookmarkEnd w:id="62"/>
    </w:p>
    <w:p w14:paraId="717A3CB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（1）采购代理机构按采购文件规定的时间、地点主持磋商采购活动。</w:t>
      </w:r>
    </w:p>
    <w:p w14:paraId="2C46D11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（2）供应商通过“苏采云”系统准时在线参与磋商活动。供应商应当按照《苏采云系统供应商操作手册》规定在 “苏采云”系统规定的时间内对响应文件进行解密。</w:t>
      </w:r>
    </w:p>
    <w:p w14:paraId="4AA7B86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color w:val="auto"/>
          <w:sz w:val="21"/>
          <w:szCs w:val="21"/>
          <w:highlight w:val="none"/>
          <w:lang w:val="zh-CN"/>
        </w:rPr>
        <w:t>远程CA预解密时间</w:t>
      </w:r>
      <w:r>
        <w:rPr>
          <w:rFonts w:hint="eastAsia" w:ascii="宋体" w:hAnsi="宋体" w:eastAsia="宋体" w:cs="宋体"/>
          <w:color w:val="auto"/>
          <w:sz w:val="21"/>
          <w:szCs w:val="21"/>
          <w:highlight w:val="none"/>
        </w:rPr>
        <w:t>内成功解密的磋商供应商少于三家，则本次采购失败。</w:t>
      </w:r>
    </w:p>
    <w:p w14:paraId="127DD43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（4）由磋商小组审查供应商解密的响应文件。</w:t>
      </w:r>
    </w:p>
    <w:p w14:paraId="19EF24A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26F7102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（6）磋商小组要求供应商澄清、说明或者更正响应文件应当以书面形式做出。供应商的澄清、说明或者更正应当由其单位加盖电子公章。</w:t>
      </w:r>
    </w:p>
    <w:p w14:paraId="7C6603BC">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本项目供应商的澄清、说明或者补正采用线上澄清</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7838189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 w:val="21"/>
          <w:szCs w:val="21"/>
          <w:highlight w:val="none"/>
        </w:rPr>
        <w:t>磋商小组通过“苏采云”系统向供应商发布“磋商函”，供应商应当按照要求在“苏采云”系统提交“磋商响应函”并加盖CA电子公章。</w:t>
      </w:r>
    </w:p>
    <w:p w14:paraId="37AC585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52F602B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（9）经磋商确定最终采购需求供应商后，由磋商小组采用综合评分法对供应商的响应文件进行综合评分。</w:t>
      </w:r>
    </w:p>
    <w:p w14:paraId="4DB69E6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（10）磋商小组根据磋商成交原则确定成交供应商，并将结果通知所有参加磋商的供应商。</w:t>
      </w:r>
    </w:p>
    <w:p w14:paraId="3A23950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（11）如磋商过程中出现本采购文件未尽事宜，由磋商小组根据政府采购有关法律、法规讨论决定。</w:t>
      </w:r>
    </w:p>
    <w:p w14:paraId="0558A6F3">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rPr>
      </w:pPr>
      <w:bookmarkStart w:id="63" w:name="_Toc16390"/>
      <w:r>
        <w:rPr>
          <w:rFonts w:hint="eastAsia" w:ascii="宋体" w:hAnsi="宋体" w:eastAsia="宋体" w:cs="宋体"/>
          <w:b/>
          <w:color w:val="auto"/>
          <w:sz w:val="21"/>
          <w:szCs w:val="21"/>
          <w:highlight w:val="none"/>
        </w:rPr>
        <w:t>七、综合说明：</w:t>
      </w:r>
      <w:bookmarkEnd w:id="63"/>
    </w:p>
    <w:p w14:paraId="07BC5E3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1.磋商</w:t>
      </w:r>
      <w:r>
        <w:rPr>
          <w:rFonts w:hint="eastAsia" w:ascii="宋体" w:hAnsi="宋体" w:eastAsia="宋体" w:cs="宋体"/>
          <w:b/>
          <w:color w:val="auto"/>
          <w:sz w:val="21"/>
          <w:szCs w:val="21"/>
          <w:highlight w:val="none"/>
        </w:rPr>
        <w:t>保证金：</w:t>
      </w:r>
      <w:r>
        <w:rPr>
          <w:rFonts w:hint="eastAsia" w:ascii="宋体" w:hAnsi="宋体" w:eastAsia="宋体" w:cs="宋体"/>
          <w:b/>
          <w:bCs/>
          <w:color w:val="auto"/>
          <w:sz w:val="21"/>
          <w:szCs w:val="21"/>
          <w:highlight w:val="none"/>
        </w:rPr>
        <w:t>无，但须提供《投标（响应）保证承诺书》（格式见招标文件附件），未提供视为无效投标。</w:t>
      </w:r>
    </w:p>
    <w:p w14:paraId="49FFE305">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2.成</w:t>
      </w:r>
      <w:r>
        <w:rPr>
          <w:rFonts w:hint="eastAsia" w:ascii="宋体" w:hAnsi="宋体" w:eastAsia="宋体" w:cs="宋体"/>
          <w:b/>
          <w:color w:val="auto"/>
          <w:sz w:val="21"/>
          <w:szCs w:val="21"/>
          <w:highlight w:val="none"/>
        </w:rPr>
        <w:t>交服务费：</w:t>
      </w:r>
      <w:r>
        <w:rPr>
          <w:rFonts w:hint="eastAsia" w:ascii="宋体" w:hAnsi="宋体" w:eastAsia="宋体" w:cs="宋体"/>
          <w:color w:val="auto"/>
          <w:sz w:val="21"/>
          <w:szCs w:val="21"/>
          <w:highlight w:val="none"/>
          <w:lang w:val="zh-CN"/>
        </w:rPr>
        <w:t>本项目采购代理服务费由</w:t>
      </w:r>
      <w:r>
        <w:rPr>
          <w:rFonts w:hint="eastAsia" w:ascii="宋体" w:hAnsi="宋体" w:eastAsia="宋体" w:cs="宋体"/>
          <w:color w:val="auto"/>
          <w:sz w:val="21"/>
          <w:szCs w:val="21"/>
          <w:highlight w:val="none"/>
          <w:u w:val="single"/>
          <w:lang w:val="zh-CN"/>
        </w:rPr>
        <w:t>成交单位</w:t>
      </w:r>
      <w:r>
        <w:rPr>
          <w:rFonts w:hint="eastAsia" w:ascii="宋体" w:hAnsi="宋体" w:eastAsia="宋体" w:cs="宋体"/>
          <w:color w:val="auto"/>
          <w:sz w:val="21"/>
          <w:szCs w:val="21"/>
          <w:highlight w:val="none"/>
          <w:lang w:val="zh-CN"/>
        </w:rPr>
        <w:t>支付，</w:t>
      </w:r>
      <w:r>
        <w:rPr>
          <w:rFonts w:hint="eastAsia" w:ascii="宋体" w:hAnsi="宋体" w:eastAsia="宋体" w:cs="宋体"/>
          <w:color w:val="auto"/>
          <w:sz w:val="21"/>
          <w:szCs w:val="21"/>
          <w:highlight w:val="none"/>
        </w:rPr>
        <w:t>该费用应在领取成交通知书时付清。</w:t>
      </w:r>
    </w:p>
    <w:p w14:paraId="6023A32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代理服务费</w:t>
      </w:r>
      <w:r>
        <w:rPr>
          <w:rFonts w:hint="eastAsia" w:ascii="宋体" w:hAnsi="宋体" w:eastAsia="宋体" w:cs="宋体"/>
          <w:color w:val="auto"/>
          <w:sz w:val="21"/>
          <w:szCs w:val="21"/>
          <w:highlight w:val="none"/>
          <w:lang w:val="zh-CN" w:eastAsia="zh-CN"/>
        </w:rPr>
        <w:t>金额：人民币壹</w:t>
      </w:r>
      <w:r>
        <w:rPr>
          <w:rFonts w:hint="eastAsia" w:ascii="宋体" w:hAnsi="宋体" w:eastAsia="宋体" w:cs="宋体"/>
          <w:color w:val="auto"/>
          <w:sz w:val="21"/>
          <w:szCs w:val="21"/>
          <w:highlight w:val="none"/>
          <w:lang w:val="zh-CN" w:eastAsia="zh-CN" w:bidi="ar-SA"/>
        </w:rPr>
        <w:t>万贰仟元整（小写：12000.00元）；</w:t>
      </w:r>
      <w:r>
        <w:rPr>
          <w:rFonts w:hint="eastAsia" w:ascii="宋体" w:hAnsi="宋体" w:eastAsia="宋体" w:cs="宋体"/>
          <w:color w:val="auto"/>
          <w:sz w:val="21"/>
          <w:szCs w:val="21"/>
          <w:highlight w:val="none"/>
          <w:lang w:val="en-US" w:eastAsia="zh-CN" w:bidi="ar-SA"/>
        </w:rPr>
        <w:t>其中</w:t>
      </w:r>
      <w:r>
        <w:rPr>
          <w:rFonts w:hint="eastAsia" w:ascii="宋体" w:hAnsi="宋体" w:eastAsia="宋体" w:cs="宋体"/>
          <w:color w:val="auto"/>
          <w:sz w:val="21"/>
          <w:szCs w:val="21"/>
          <w:highlight w:val="none"/>
          <w:lang w:val="zh-CN" w:eastAsia="zh-CN" w:bidi="ar-SA"/>
        </w:rPr>
        <w:t>一标段为：陆仟伍佰玖拾肆元整（小写：6594.00元）；二标段为：伍仟肆佰零陆元整（小写：5406.00元）。</w:t>
      </w:r>
    </w:p>
    <w:p w14:paraId="260178F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服务费交纳账户：</w:t>
      </w:r>
      <w:r>
        <w:rPr>
          <w:rFonts w:hint="eastAsia" w:ascii="宋体" w:hAnsi="宋体" w:eastAsia="宋体" w:cs="宋体"/>
          <w:color w:val="auto"/>
          <w:spacing w:val="13"/>
          <w:sz w:val="21"/>
          <w:szCs w:val="21"/>
          <w:highlight w:val="none"/>
          <w:lang w:eastAsia="zh-CN"/>
        </w:rPr>
        <w:t>苏州达仁建设工程咨询有限公司</w:t>
      </w:r>
    </w:p>
    <w:p w14:paraId="2F00C62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lang w:val="en-US" w:eastAsia="zh-CN"/>
        </w:rPr>
        <w:t>：中国建设银行股份有限公司吴江运东开发区支行</w:t>
      </w:r>
    </w:p>
    <w:p w14:paraId="4E119EC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lang w:val="en-US" w:eastAsia="zh-CN"/>
        </w:rPr>
        <w:t>32250199768000000286</w:t>
      </w:r>
    </w:p>
    <w:p w14:paraId="7AAA35E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3.履约保证金（如有）</w:t>
      </w:r>
    </w:p>
    <w:p w14:paraId="46E81A8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成交供应商应按规定提交履约保证金，以支票、汇票、本票或者金融机构、担保机构出具的保函等非现金形式提交。</w:t>
      </w:r>
    </w:p>
    <w:p w14:paraId="411AD9D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成交供应商必须在发出成交通知书后（合同签订前）的三日内按规定将履约保证金交至采购人指定账户。</w:t>
      </w:r>
    </w:p>
    <w:p w14:paraId="6C72BE5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履约保证金待服务履行完毕且在</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val="zh-CN"/>
        </w:rPr>
        <w:t>人向保证金收取部门开具收款收据后7日内由保证金收取部门全额退回（不计息）</w:t>
      </w:r>
      <w:r>
        <w:rPr>
          <w:rFonts w:hint="eastAsia" w:ascii="宋体" w:hAnsi="宋体" w:eastAsia="宋体" w:cs="宋体"/>
          <w:color w:val="auto"/>
          <w:sz w:val="21"/>
          <w:szCs w:val="21"/>
          <w:highlight w:val="none"/>
        </w:rPr>
        <w:t>。</w:t>
      </w:r>
    </w:p>
    <w:p w14:paraId="6FF4815F">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4.知识产权：</w:t>
      </w:r>
      <w:r>
        <w:rPr>
          <w:rFonts w:hint="eastAsia" w:ascii="宋体" w:hAnsi="宋体" w:eastAsia="宋体" w:cs="宋体"/>
          <w:color w:val="auto"/>
          <w:sz w:val="21"/>
          <w:szCs w:val="21"/>
          <w:highlight w:val="none"/>
          <w:lang w:val="zh-CN"/>
        </w:rPr>
        <w:t>供应商要充分考虑知识产权问题（如涉及），应保证所提供服务涉及到的知识产权是合法取得，并享有完整的知识产权，不会因为采购方的使用而被责令停止使用、追偿或要求赔偿损失，如出现此情况，一切经济和法律责任均由供方承担</w:t>
      </w:r>
      <w:r>
        <w:rPr>
          <w:rFonts w:hint="eastAsia" w:ascii="宋体" w:hAnsi="宋体" w:eastAsia="宋体" w:cs="宋体"/>
          <w:color w:val="auto"/>
          <w:sz w:val="21"/>
          <w:szCs w:val="21"/>
          <w:highlight w:val="none"/>
        </w:rPr>
        <w:t>。</w:t>
      </w:r>
    </w:p>
    <w:p w14:paraId="12A7A96D">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5.响应无效和终止磋商活动条款：</w:t>
      </w:r>
    </w:p>
    <w:p w14:paraId="4A786CD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（1）响应人存在下列情况之一的，响应无效：</w:t>
      </w:r>
    </w:p>
    <w:p w14:paraId="758418E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1）未按照竞争性磋商文件规定要求签署、盖章的；</w:t>
      </w:r>
    </w:p>
    <w:p w14:paraId="3382193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2）供应商不具备竞争性磋商文件中规定资格条件的；</w:t>
      </w:r>
    </w:p>
    <w:p w14:paraId="2EDB8CE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3）响应文件含有采购人不能接受的附加条件；</w:t>
      </w:r>
    </w:p>
    <w:p w14:paraId="38CC13C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4）因磋商响应单位自身原因导致网上磋商响应文件无法递交的其他情况；</w:t>
      </w:r>
    </w:p>
    <w:p w14:paraId="6329348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5）不符合法律、法规和竞争性磋商文件中规定的其他实质性要求的；</w:t>
      </w:r>
    </w:p>
    <w:p w14:paraId="666176C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6）法律、法规及本竞争性磋商文件规定的其他无效的情形。</w:t>
      </w:r>
    </w:p>
    <w:p w14:paraId="4FEC72F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（2）响应人应当遵循公平竞争的原则，不得恶意串通，不得妨碍其他响应人的竞争行为，不得损害采购人或者其他响应人的合法权益。</w:t>
      </w:r>
    </w:p>
    <w:p w14:paraId="6E15B3C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过程中发现响应人有下述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所列情形的，磋商小组应当认定其响应无效，并书面报告本级财政部门。</w:t>
      </w:r>
    </w:p>
    <w:p w14:paraId="1092078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（3）有下列情形之一的，视为响应人恶意串通，其响应无效：</w:t>
      </w:r>
    </w:p>
    <w:p w14:paraId="7D585BF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1）不同响应人的响应文件由同一单位或者个人编制；</w:t>
      </w:r>
    </w:p>
    <w:p w14:paraId="16ACC32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2）不同响应人委托同一单位或者个人办理磋商事宜；</w:t>
      </w:r>
    </w:p>
    <w:p w14:paraId="457A027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3）不同响应人的响应文件载明的项目管理成员或者联系人员为同一人；</w:t>
      </w:r>
    </w:p>
    <w:p w14:paraId="4CFBC55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4）不同响应人的响应文件异常一致；</w:t>
      </w:r>
    </w:p>
    <w:p w14:paraId="70C9F8C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5）不同响应人的响应文件相互混装。</w:t>
      </w:r>
    </w:p>
    <w:p w14:paraId="286C68DA">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6）不同投标（响应）文件制作机器码一致。</w:t>
      </w:r>
    </w:p>
    <w:p w14:paraId="6B96173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（4）终止竞争性磋商采购活动的条款</w:t>
      </w:r>
    </w:p>
    <w:p w14:paraId="6274132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出现下列情形之一的，采购代理机构将终止竞争性磋商采购活动，发布项目终止公告并说明原因，重新开展采购活动：</w:t>
      </w:r>
    </w:p>
    <w:p w14:paraId="0BDE65B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1）因情况变化，不再符合规定的竞争性磋商采购方式适用情形的；</w:t>
      </w:r>
    </w:p>
    <w:p w14:paraId="63AD3B6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1D2833D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3）在采购活动中因重大变故，采购任务取消的；</w:t>
      </w:r>
    </w:p>
    <w:p w14:paraId="11BF956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不得少于二家），磋商采购失败。</w:t>
      </w:r>
    </w:p>
    <w:p w14:paraId="4D23B213">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6.对列入失信被执行人、重大税收违法案件当事人名单、政府采购严重违法失信行为记录名单的供应商，拒绝其参与政府采购活动。</w:t>
      </w:r>
    </w:p>
    <w:p w14:paraId="5CAF657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根据政府采购法及相关法规，以及苏州市财政局《关于印发苏州市市级政府采购信用记录查询和使用工作试行办法的通知》（苏财购</w:t>
      </w:r>
      <w:r>
        <w:rPr>
          <w:rFonts w:hint="eastAsia" w:ascii="宋体" w:hAnsi="宋体" w:eastAsia="宋体" w:cs="宋体"/>
          <w:color w:val="auto"/>
          <w:sz w:val="21"/>
          <w:szCs w:val="21"/>
          <w:highlight w:val="none"/>
          <w:lang w:eastAsia="zh-CN"/>
        </w:rPr>
        <w:t>〔2017〕11号</w:t>
      </w:r>
      <w:r>
        <w:rPr>
          <w:rFonts w:hint="eastAsia" w:ascii="宋体" w:hAnsi="宋体" w:eastAsia="宋体" w:cs="宋体"/>
          <w:color w:val="auto"/>
          <w:sz w:val="21"/>
          <w:szCs w:val="21"/>
          <w:highlight w:val="none"/>
        </w:rPr>
        <w:t>）文件的规定，招标代理机构将对供应商进行信用查询。</w:t>
      </w:r>
    </w:p>
    <w:p w14:paraId="1C93883C">
      <w:pPr>
        <w:keepNext w:val="0"/>
        <w:keepLines w:val="0"/>
        <w:pageBreakBefore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（1）查询截止时点：响应文件递交截止时间。</w:t>
      </w:r>
    </w:p>
    <w:p w14:paraId="0D39057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（2）查询渠道：</w:t>
      </w:r>
      <w:r>
        <w:rPr>
          <w:rFonts w:hint="eastAsia" w:ascii="宋体" w:hAnsi="宋体" w:eastAsia="宋体" w:cs="宋体"/>
          <w:color w:val="auto"/>
          <w:sz w:val="21"/>
          <w:szCs w:val="21"/>
          <w:highlight w:val="none"/>
          <w:lang w:val="zh-CN"/>
        </w:rPr>
        <w:t>信用中国、信用江苏。</w:t>
      </w:r>
    </w:p>
    <w:p w14:paraId="1B831F3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（3）信用记录使用规则：</w:t>
      </w:r>
    </w:p>
    <w:p w14:paraId="284D549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在对供应商进行资格性审查时，应根据查询结果对供应商的不良信用记录逐项甄别确认。</w:t>
      </w:r>
      <w:r>
        <w:rPr>
          <w:rFonts w:hint="eastAsia" w:ascii="宋体" w:hAnsi="宋体" w:eastAsia="宋体" w:cs="宋体"/>
          <w:color w:val="auto"/>
          <w:sz w:val="21"/>
          <w:szCs w:val="21"/>
          <w:highlight w:val="none"/>
          <w:lang w:val="zh-CN"/>
        </w:rPr>
        <w:t>按照《中华人民共和国政府采购法》第二十二条规定，下列信用记录属于应依法拒绝供应商参加政府采购的失信信息：</w:t>
      </w:r>
    </w:p>
    <w:p w14:paraId="256E017D">
      <w:pPr>
        <w:keepNext w:val="0"/>
        <w:keepLines w:val="0"/>
        <w:pageBreakBefore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政府采购严重违法记录，即供应商被全国各级财政部门列入“政府采购严重违法失信行</w:t>
      </w:r>
      <w:r>
        <w:rPr>
          <w:rFonts w:hint="eastAsia" w:ascii="宋体" w:hAnsi="宋体" w:eastAsia="宋体" w:cs="宋体"/>
          <w:color w:val="auto"/>
          <w:sz w:val="21"/>
          <w:szCs w:val="21"/>
          <w:highlight w:val="none"/>
        </w:rPr>
        <w:t>为记录名单”，且在处罚有效期内的。</w:t>
      </w:r>
    </w:p>
    <w:p w14:paraId="75EBEB7A">
      <w:pPr>
        <w:keepNext w:val="0"/>
        <w:keepLines w:val="0"/>
        <w:pageBreakBefore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财政部门与法院、工商、税务等部门联合惩戒的失信信息，包括：被列入失信被执行人名单；</w:t>
      </w:r>
    </w:p>
    <w:p w14:paraId="50148CDD">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列入重大税收违法案件当事人名单；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p>
    <w:p w14:paraId="27A794BE">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7.磋商文件的澄清和修改：</w:t>
      </w:r>
    </w:p>
    <w:p w14:paraId="2B335EB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（1）任何要求对磋商文件进行澄清的供应商，应在磋商采购文件要求的截止时间5日前按磋商公告中的通讯地址，以书面形式通知采购人、采购代理机构。</w:t>
      </w:r>
    </w:p>
    <w:p w14:paraId="6B1F49F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将在提交首次响应文件截止时间至少5日前，在“江苏政府采购网”上发布书面更正公告形式通知所有获取磋商文件的供应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更正公告内容将作为磋商文件的组成部分，并对供应商具有约束力。不足5日的，采购中心将顺延提交首次响应文件截止时间。</w:t>
      </w:r>
    </w:p>
    <w:p w14:paraId="41689EC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（3）磋商文件的澄清、修改等内容与竞争性磋商文件在同一内容的表述上不一致时，以发出日期最接近磋商时间的公告为准。</w:t>
      </w:r>
    </w:p>
    <w:p w14:paraId="1F1688E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（4）磋商文件的澄清、修改等内容均将在财政部门指定的政府采购信息发布媒体上发布，作为磋商文件的组成部分，对供应商起约束作用。</w:t>
      </w:r>
    </w:p>
    <w:p w14:paraId="2F31F90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（5）采购人或采购代理机构无论出于自己的考虑，还是出于对投标响应单位提问的澄清，均可对采购文件用更正公告的方式进行修改。</w:t>
      </w:r>
    </w:p>
    <w:p w14:paraId="79BE2B5B">
      <w:pPr>
        <w:pStyle w:val="226"/>
        <w:keepNext w:val="0"/>
        <w:keepLines w:val="0"/>
        <w:pageBreakBefore w:val="0"/>
        <w:kinsoku/>
        <w:wordWrap/>
        <w:overflowPunct/>
        <w:topLinePunct w:val="0"/>
        <w:autoSpaceDE/>
        <w:autoSpaceDN/>
        <w:bidi w:val="0"/>
        <w:adjustRightInd/>
        <w:snapToGrid w:val="0"/>
        <w:spacing w:line="360" w:lineRule="auto"/>
        <w:ind w:firstLine="361"/>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8.磋商文件的询问、质疑：</w:t>
      </w:r>
    </w:p>
    <w:p w14:paraId="3A55D11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7B922C1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（2）询问及质疑依据《中华人民共和国政府采购法》、《中华人民共和国政府采购法实施条例》、《政府采购质疑和投诉办法》及相关法律法规处理。</w:t>
      </w:r>
    </w:p>
    <w:p w14:paraId="431710E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p>
    <w:p w14:paraId="2F25BF8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供应商应在法定质疑期内一次性提出针对同一采购程序环节的质疑。</w:t>
      </w:r>
      <w:r>
        <w:rPr>
          <w:rFonts w:hint="eastAsia" w:ascii="宋体" w:hAnsi="宋体" w:eastAsia="宋体" w:cs="宋体"/>
          <w:color w:val="auto"/>
          <w:sz w:val="21"/>
          <w:szCs w:val="21"/>
          <w:highlight w:val="none"/>
        </w:rPr>
        <w:t>质疑函（必须附</w:t>
      </w:r>
      <w:r>
        <w:rPr>
          <w:rFonts w:hint="eastAsia" w:ascii="宋体" w:hAnsi="宋体" w:eastAsia="宋体" w:cs="宋体"/>
          <w:color w:val="auto"/>
          <w:sz w:val="21"/>
          <w:szCs w:val="21"/>
          <w:highlight w:val="none"/>
          <w:lang w:val="zh-CN"/>
        </w:rPr>
        <w:t>《投标供应商确认函》</w:t>
      </w:r>
      <w:r>
        <w:rPr>
          <w:rFonts w:hint="eastAsia" w:ascii="宋体" w:hAnsi="宋体" w:eastAsia="宋体" w:cs="宋体"/>
          <w:color w:val="auto"/>
          <w:sz w:val="21"/>
          <w:szCs w:val="21"/>
          <w:highlight w:val="none"/>
        </w:rPr>
        <w:t>）现场提交或邮寄至本公司（不接收到付快递），报名日期视同为依法获取采购文件日期。接收质疑函的联系信息如下：</w:t>
      </w:r>
    </w:p>
    <w:p w14:paraId="60A521A8">
      <w:pPr>
        <w:pStyle w:val="226"/>
        <w:keepNext w:val="0"/>
        <w:keepLines w:val="0"/>
        <w:pageBreakBefore w:val="0"/>
        <w:kinsoku/>
        <w:wordWrap/>
        <w:overflowPunct/>
        <w:topLinePunct w:val="0"/>
        <w:autoSpaceDE/>
        <w:autoSpaceDN/>
        <w:bidi w:val="0"/>
        <w:adjustRightInd/>
        <w:snapToGrid w:val="0"/>
        <w:spacing w:line="360" w:lineRule="auto"/>
        <w:ind w:firstLine="359"/>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w:t>
      </w:r>
      <w:r>
        <w:rPr>
          <w:rFonts w:hint="eastAsia" w:ascii="宋体" w:hAnsi="宋体" w:eastAsia="宋体" w:cs="宋体"/>
          <w:color w:val="auto"/>
          <w:sz w:val="21"/>
          <w:szCs w:val="21"/>
          <w:highlight w:val="none"/>
          <w:lang w:eastAsia="zh-CN"/>
        </w:rPr>
        <w:t>苏州达仁建设工程咨询有限公司</w:t>
      </w:r>
    </w:p>
    <w:p w14:paraId="0928B454">
      <w:pPr>
        <w:keepNext w:val="0"/>
        <w:keepLines w:val="0"/>
        <w:pageBreakBefore w:val="0"/>
        <w:kinsoku/>
        <w:wordWrap/>
        <w:overflowPunct/>
        <w:topLinePunct w:val="0"/>
        <w:autoSpaceDE/>
        <w:autoSpaceDN/>
        <w:bidi w:val="0"/>
        <w:adjustRightInd/>
        <w:snapToGrid w:val="0"/>
        <w:spacing w:line="360" w:lineRule="auto"/>
        <w:ind w:firstLine="35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sz w:val="21"/>
          <w:szCs w:val="21"/>
          <w:highlight w:val="none"/>
          <w:lang w:val="en-US" w:eastAsia="zh-CN"/>
        </w:rPr>
        <w:t>苏州新区广达路9号金马大厦B座3楼</w:t>
      </w:r>
    </w:p>
    <w:p w14:paraId="224DEBEC">
      <w:pPr>
        <w:keepNext w:val="0"/>
        <w:keepLines w:val="0"/>
        <w:pageBreakBefore w:val="0"/>
        <w:kinsoku/>
        <w:wordWrap/>
        <w:overflowPunct/>
        <w:topLinePunct w:val="0"/>
        <w:autoSpaceDE/>
        <w:autoSpaceDN/>
        <w:bidi w:val="0"/>
        <w:adjustRightInd/>
        <w:snapToGrid w:val="0"/>
        <w:spacing w:line="360" w:lineRule="auto"/>
        <w:ind w:firstLine="359"/>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lang w:val="en-US" w:eastAsia="zh-CN"/>
        </w:rPr>
        <w:t>315129</w:t>
      </w:r>
    </w:p>
    <w:p w14:paraId="46259BFB">
      <w:pPr>
        <w:keepNext w:val="0"/>
        <w:keepLines w:val="0"/>
        <w:pageBreakBefore w:val="0"/>
        <w:kinsoku/>
        <w:wordWrap/>
        <w:overflowPunct/>
        <w:topLinePunct w:val="0"/>
        <w:autoSpaceDE/>
        <w:autoSpaceDN/>
        <w:bidi w:val="0"/>
        <w:adjustRightInd/>
        <w:snapToGrid w:val="0"/>
        <w:spacing w:line="360" w:lineRule="auto"/>
        <w:ind w:firstLine="35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sz w:val="21"/>
          <w:szCs w:val="21"/>
          <w:highlight w:val="none"/>
        </w:rPr>
        <w:t>0512-63982091</w:t>
      </w:r>
    </w:p>
    <w:p w14:paraId="16D31755">
      <w:pPr>
        <w:keepNext w:val="0"/>
        <w:keepLines w:val="0"/>
        <w:pageBreakBefore w:val="0"/>
        <w:kinsoku/>
        <w:wordWrap/>
        <w:overflowPunct/>
        <w:topLinePunct w:val="0"/>
        <w:autoSpaceDE/>
        <w:autoSpaceDN/>
        <w:bidi w:val="0"/>
        <w:adjustRightInd/>
        <w:snapToGrid w:val="0"/>
        <w:spacing w:line="360" w:lineRule="auto"/>
        <w:ind w:firstLine="359"/>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孙玉珍</w:t>
      </w:r>
    </w:p>
    <w:p w14:paraId="1AC844E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提交方式：书面形式原件（邮寄或当面递交）</w:t>
      </w:r>
    </w:p>
    <w:p w14:paraId="06C0E42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（3）磋商单位提出书面质疑必须有理、有据，不得恶意质疑或提交虚假质疑。否则，一经查实，招标采购人有权依据政府采购的有关规定，报请政府采购监管部门对该磋商单位进行相应的行政处罚。</w:t>
      </w:r>
    </w:p>
    <w:p w14:paraId="4C0E1F1A">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9.★响应文件计量单位和使用文字</w:t>
      </w:r>
    </w:p>
    <w:p w14:paraId="42F89D0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（1）响应文件中所使用的计量单位，除竞争性磋商文件中有特殊要求外，均应使用中华人民共和国法定计量单位。</w:t>
      </w:r>
    </w:p>
    <w:p w14:paraId="3FB82BF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响应文件应使用中文编制，响应文件中使用其他文字的，必须附有中文译本，且以中文译本为准。对于未附有中文译本和中文译本不准确的响应文件可能引起的对供应商不利的后果，磋商采购单位概不负责。</w:t>
      </w:r>
    </w:p>
    <w:p w14:paraId="161D0D0C">
      <w:pPr>
        <w:pStyle w:val="226"/>
        <w:keepNext w:val="0"/>
        <w:keepLines w:val="0"/>
        <w:pageBreakBefore w:val="0"/>
        <w:kinsoku/>
        <w:wordWrap/>
        <w:overflowPunct/>
        <w:topLinePunct w:val="0"/>
        <w:autoSpaceDE/>
        <w:autoSpaceDN/>
        <w:bidi w:val="0"/>
        <w:adjustRightInd/>
        <w:snapToGrid w:val="0"/>
        <w:spacing w:line="360" w:lineRule="auto"/>
        <w:ind w:firstLine="361"/>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10.成交结果：</w:t>
      </w:r>
    </w:p>
    <w:p w14:paraId="1F0726B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（1）采购人授权磋商小组直接确定成交供应商。</w:t>
      </w:r>
    </w:p>
    <w:p w14:paraId="2515BF3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（2）采购人确定成交供应商后，采购代理机构将在“江苏政府采购网”发布成交结果公告，公告期限为1个工作日。</w:t>
      </w:r>
    </w:p>
    <w:p w14:paraId="4CA8D2C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（3）若有充分证据证明，成交供应商出现下列情况之一的，一经查实，将被取消成交资格：</w:t>
      </w:r>
    </w:p>
    <w:p w14:paraId="79DC599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1）提供虚假材料谋取成交的。</w:t>
      </w:r>
    </w:p>
    <w:p w14:paraId="4DEC9CA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2）与评审专家、采购人、其他供应商或者招标代理机构工作人员恶意串通的。</w:t>
      </w:r>
    </w:p>
    <w:p w14:paraId="4DA4371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3）向评审专家、采购人或招标代理机构工作人员行贿或者提供其他不正当利益的。</w:t>
      </w:r>
    </w:p>
    <w:p w14:paraId="0C9D741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4）恶意竞争，最后报价明显低于其自身合理成本且又无法提供证明的。</w:t>
      </w:r>
    </w:p>
    <w:p w14:paraId="594D552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5）不满足本磋商文件规定的实质性要求，但在评审过程中又未被磋商小组发现的。</w:t>
      </w:r>
    </w:p>
    <w:p w14:paraId="2C43B5D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6）成交后无正当理由拒不与采购人签订政府采购合同或者未按照磋商文件确定的事项签订政府采购合同的。</w:t>
      </w:r>
    </w:p>
    <w:p w14:paraId="5828FC2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7）将政府采购合同转包的。</w:t>
      </w:r>
    </w:p>
    <w:p w14:paraId="15830D87">
      <w:pPr>
        <w:pStyle w:val="226"/>
        <w:keepNext w:val="0"/>
        <w:keepLines w:val="0"/>
        <w:pageBreakBefore w:val="0"/>
        <w:kinsoku/>
        <w:wordWrap/>
        <w:overflowPunct/>
        <w:topLinePunct w:val="0"/>
        <w:autoSpaceDE/>
        <w:autoSpaceDN/>
        <w:bidi w:val="0"/>
        <w:adjustRightInd/>
        <w:snapToGrid w:val="0"/>
        <w:spacing w:line="360" w:lineRule="auto"/>
        <w:ind w:firstLine="361"/>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11.成交通知书</w:t>
      </w:r>
    </w:p>
    <w:p w14:paraId="77A093A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（1）成交结果确定后，采购人或采购代理机构将向成交供应商发出成交通知书。请成交供应商在成交结果公告届满之日起30日内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因未及时下载而造成的不利后果由成交供应商自行承担。</w:t>
      </w:r>
    </w:p>
    <w:p w14:paraId="295C5D2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（2）成交通知书将是合同的一个组成部分。对采购人和成交供应商均具有法律效力。成交通知书发出后，采购人改变成交结果的，或者成交供应商放弃成交项目的，应当依法承担法律责任。</w:t>
      </w:r>
    </w:p>
    <w:p w14:paraId="599ABEA8">
      <w:pPr>
        <w:pStyle w:val="226"/>
        <w:keepNext w:val="0"/>
        <w:keepLines w:val="0"/>
        <w:pageBreakBefore w:val="0"/>
        <w:kinsoku/>
        <w:wordWrap/>
        <w:overflowPunct/>
        <w:topLinePunct w:val="0"/>
        <w:autoSpaceDE/>
        <w:autoSpaceDN/>
        <w:bidi w:val="0"/>
        <w:adjustRightInd/>
        <w:snapToGrid w:val="0"/>
        <w:spacing w:line="360" w:lineRule="auto"/>
        <w:ind w:firstLine="361"/>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12.合同的签订：</w:t>
      </w:r>
    </w:p>
    <w:p w14:paraId="433BEC2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（1）成交供应商应当在成交通知书发出之日起三十日内，按照磋商文件确定的事项与采购人签订政府采购合同。</w:t>
      </w:r>
    </w:p>
    <w:p w14:paraId="679B995C">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（2）磋商文件、成交供应商的响应文件及磋商过程中有关澄清、承诺文件均应作为合同附件。</w:t>
      </w:r>
    </w:p>
    <w:p w14:paraId="282BC9C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（3）签订合同后，成交供应商不得将合同标的进行转包。未经采购人同意，成交供应商也不得采用分包形式履行合同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否则采购人有权终止合同。转包或分包造成采购人损失的，成交供应商应承担相应赔偿责任。</w:t>
      </w:r>
    </w:p>
    <w:p w14:paraId="43B103C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（4）标的物的追加</w:t>
      </w:r>
    </w:p>
    <w:p w14:paraId="0B65351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2FD2AC1">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13.</w:t>
      </w:r>
      <w:r>
        <w:rPr>
          <w:rFonts w:hint="eastAsia" w:ascii="宋体" w:hAnsi="宋体" w:eastAsia="宋体" w:cs="宋体"/>
          <w:color w:val="auto"/>
          <w:sz w:val="21"/>
          <w:szCs w:val="21"/>
          <w:highlight w:val="none"/>
          <w:lang w:val="zh-CN"/>
        </w:rPr>
        <w:t>本采购文件中所称按日计算期间的，开始当天不计入，从次日开始计算。期限的最后一日是国家法定节假日的，顺延到节假日后的次日为期限的最后一日。</w:t>
      </w:r>
    </w:p>
    <w:p w14:paraId="6DC69CA3">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14.</w:t>
      </w:r>
      <w:r>
        <w:rPr>
          <w:rFonts w:hint="eastAsia" w:ascii="宋体" w:hAnsi="宋体" w:eastAsia="宋体" w:cs="宋体"/>
          <w:color w:val="auto"/>
          <w:sz w:val="21"/>
          <w:szCs w:val="21"/>
          <w:highlight w:val="none"/>
          <w:lang w:val="zh-CN"/>
        </w:rPr>
        <w:t>采购文件最终解释权归采购单位及采购代理机构所有。</w:t>
      </w:r>
    </w:p>
    <w:p w14:paraId="377FD16E">
      <w:pPr>
        <w:keepNext w:val="0"/>
        <w:keepLines w:val="0"/>
        <w:pageBreakBefore w:val="0"/>
        <w:kinsoku/>
        <w:wordWrap/>
        <w:overflowPunct/>
        <w:topLinePunct w:val="0"/>
        <w:autoSpaceDE/>
        <w:autoSpaceDN/>
        <w:bidi w:val="0"/>
        <w:adjustRightInd/>
        <w:snapToGrid w:val="0"/>
        <w:spacing w:line="360" w:lineRule="auto"/>
        <w:ind w:firstLine="422"/>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w:t>
      </w:r>
      <w:r>
        <w:rPr>
          <w:rFonts w:hint="eastAsia" w:ascii="宋体" w:hAnsi="宋体" w:eastAsia="宋体" w:cs="宋体"/>
          <w:bCs/>
          <w:color w:val="auto"/>
          <w:sz w:val="21"/>
          <w:szCs w:val="21"/>
          <w:highlight w:val="none"/>
        </w:rPr>
        <w:t>凡涉及磋商采购文件的补充说明和修改，均以</w:t>
      </w:r>
      <w:r>
        <w:rPr>
          <w:rFonts w:hint="eastAsia" w:ascii="宋体" w:hAnsi="宋体" w:eastAsia="宋体" w:cs="宋体"/>
          <w:bCs/>
          <w:color w:val="auto"/>
          <w:sz w:val="21"/>
          <w:szCs w:val="21"/>
          <w:highlight w:val="none"/>
          <w:lang w:val="zh-CN"/>
        </w:rPr>
        <w:t>苏州市政府采购网、江苏政府采购网、中国政府采购网</w:t>
      </w:r>
      <w:r>
        <w:rPr>
          <w:rFonts w:hint="eastAsia" w:ascii="宋体" w:hAnsi="宋体" w:eastAsia="宋体" w:cs="宋体"/>
          <w:bCs/>
          <w:color w:val="auto"/>
          <w:sz w:val="21"/>
          <w:szCs w:val="21"/>
          <w:highlight w:val="none"/>
        </w:rPr>
        <w:t>发布的通知为准。</w:t>
      </w:r>
    </w:p>
    <w:p w14:paraId="446CA0B5">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rPr>
      </w:pPr>
      <w:bookmarkStart w:id="64" w:name="_Toc28219"/>
      <w:r>
        <w:rPr>
          <w:rFonts w:hint="eastAsia" w:ascii="宋体" w:hAnsi="宋体" w:eastAsia="宋体" w:cs="宋体"/>
          <w:b/>
          <w:color w:val="auto"/>
          <w:sz w:val="21"/>
          <w:szCs w:val="21"/>
          <w:highlight w:val="none"/>
        </w:rPr>
        <w:t>八、政策执行（如涉及）：</w:t>
      </w:r>
      <w:bookmarkEnd w:id="64"/>
    </w:p>
    <w:p w14:paraId="0B0C46CF">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lang w:val="zh-CN"/>
        </w:rPr>
      </w:pPr>
      <w:bookmarkStart w:id="65" w:name="_Toc30350"/>
      <w:r>
        <w:rPr>
          <w:rFonts w:hint="eastAsia" w:ascii="宋体" w:hAnsi="宋体" w:eastAsia="宋体" w:cs="宋体"/>
          <w:b/>
          <w:bCs/>
          <w:color w:val="auto"/>
          <w:sz w:val="21"/>
          <w:szCs w:val="21"/>
          <w:highlight w:val="none"/>
          <w:lang w:val="zh-CN"/>
        </w:rPr>
        <w:t>1.小、微企业</w:t>
      </w:r>
      <w:bookmarkEnd w:id="65"/>
    </w:p>
    <w:p w14:paraId="383B4BF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s="宋体"/>
          <w:b/>
          <w:bCs/>
          <w:color w:val="auto"/>
          <w:sz w:val="21"/>
          <w:szCs w:val="21"/>
          <w:highlight w:val="none"/>
          <w:lang w:val="zh-CN"/>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14933CD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1"/>
          <w:szCs w:val="21"/>
          <w:highlight w:val="none"/>
          <w:lang w:val="zh-CN"/>
        </w:rPr>
        <w:t>服务类项目中供应商若使用退休人员，将不享受相关扶持政策。</w:t>
      </w:r>
    </w:p>
    <w:p w14:paraId="71095CF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color w:val="auto"/>
          <w:sz w:val="21"/>
          <w:szCs w:val="21"/>
          <w:highlight w:val="none"/>
        </w:rPr>
        <w:t>其他未列明服务业</w:t>
      </w:r>
      <w:r>
        <w:rPr>
          <w:rFonts w:hint="eastAsia" w:ascii="宋体" w:hAnsi="宋体" w:eastAsia="宋体" w:cs="宋体"/>
          <w:color w:val="auto"/>
          <w:sz w:val="21"/>
          <w:szCs w:val="21"/>
          <w:highlight w:val="none"/>
          <w:lang w:val="zh-CN"/>
        </w:rPr>
        <w:t>。</w:t>
      </w:r>
    </w:p>
    <w:p w14:paraId="7D2FDEEE">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lang w:val="zh-CN"/>
        </w:rPr>
      </w:pPr>
      <w:bookmarkStart w:id="66" w:name="_Toc23152"/>
      <w:r>
        <w:rPr>
          <w:rFonts w:hint="eastAsia" w:ascii="宋体" w:hAnsi="宋体" w:eastAsia="宋体" w:cs="宋体"/>
          <w:b/>
          <w:bCs/>
          <w:color w:val="auto"/>
          <w:sz w:val="21"/>
          <w:szCs w:val="21"/>
          <w:highlight w:val="none"/>
          <w:lang w:val="zh-CN"/>
        </w:rPr>
        <w:t>2.残疾人福利性单位</w:t>
      </w:r>
      <w:bookmarkEnd w:id="66"/>
    </w:p>
    <w:p w14:paraId="2841B75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278AF0E3">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lang w:val="zh-CN"/>
        </w:rPr>
      </w:pPr>
      <w:bookmarkStart w:id="67" w:name="_Toc22314"/>
      <w:r>
        <w:rPr>
          <w:rFonts w:hint="eastAsia" w:ascii="宋体" w:hAnsi="宋体" w:eastAsia="宋体" w:cs="宋体"/>
          <w:b/>
          <w:bCs/>
          <w:color w:val="auto"/>
          <w:sz w:val="21"/>
          <w:szCs w:val="21"/>
          <w:highlight w:val="none"/>
          <w:lang w:val="zh-CN"/>
        </w:rPr>
        <w:t>3.监狱企业</w:t>
      </w:r>
      <w:bookmarkEnd w:id="67"/>
    </w:p>
    <w:p w14:paraId="6890DAC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57079C7A">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lang w:val="zh-CN"/>
        </w:rPr>
      </w:pPr>
      <w:bookmarkStart w:id="68" w:name="_Toc19214"/>
      <w:r>
        <w:rPr>
          <w:rFonts w:hint="eastAsia" w:ascii="宋体" w:hAnsi="宋体" w:eastAsia="宋体" w:cs="宋体"/>
          <w:b/>
          <w:bCs/>
          <w:color w:val="auto"/>
          <w:sz w:val="21"/>
          <w:szCs w:val="21"/>
          <w:highlight w:val="none"/>
          <w:lang w:val="zh-CN"/>
        </w:rPr>
        <w:t>4.绿色采购</w:t>
      </w:r>
      <w:bookmarkEnd w:id="68"/>
    </w:p>
    <w:p w14:paraId="5C8E852E">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0E9C4D4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A9BD74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7962AF8E">
      <w:pPr>
        <w:keepNext w:val="0"/>
        <w:keepLines w:val="0"/>
        <w:pageBreakBefore w:val="0"/>
        <w:kinsoku/>
        <w:wordWrap/>
        <w:overflowPunct/>
        <w:topLinePunct w:val="0"/>
        <w:autoSpaceDE/>
        <w:autoSpaceDN/>
        <w:bidi w:val="0"/>
        <w:adjustRightInd/>
        <w:snapToGrid w:val="0"/>
        <w:spacing w:line="360" w:lineRule="auto"/>
        <w:ind w:firstLine="420" w:firstLineChars="0"/>
        <w:jc w:val="left"/>
        <w:textAlignment w:val="auto"/>
        <w:outlineLvl w:val="2"/>
        <w:rPr>
          <w:rFonts w:hint="eastAsia" w:ascii="宋体" w:hAnsi="宋体" w:eastAsia="宋体" w:cs="宋体"/>
          <w:b/>
          <w:bCs/>
          <w:color w:val="auto"/>
          <w:sz w:val="21"/>
          <w:szCs w:val="21"/>
          <w:highlight w:val="none"/>
          <w:lang w:val="zh-CN"/>
        </w:rPr>
      </w:pPr>
      <w:bookmarkStart w:id="69" w:name="_Toc18330"/>
      <w:r>
        <w:rPr>
          <w:rFonts w:hint="eastAsia" w:ascii="宋体" w:hAnsi="宋体" w:eastAsia="宋体" w:cs="宋体"/>
          <w:b/>
          <w:bCs/>
          <w:color w:val="auto"/>
          <w:sz w:val="21"/>
          <w:szCs w:val="21"/>
          <w:highlight w:val="none"/>
        </w:rPr>
        <w:t>5</w:t>
      </w:r>
      <w:r>
        <w:rPr>
          <w:rFonts w:hint="eastAsia" w:ascii="宋体" w:hAnsi="宋体" w:eastAsia="宋体" w:cs="宋体"/>
          <w:b/>
          <w:bCs/>
          <w:color w:val="auto"/>
          <w:sz w:val="21"/>
          <w:szCs w:val="21"/>
          <w:highlight w:val="none"/>
          <w:lang w:val="zh-CN"/>
        </w:rPr>
        <w:t>.联合体响应：不接受。</w:t>
      </w:r>
      <w:bookmarkEnd w:id="69"/>
    </w:p>
    <w:p w14:paraId="1FA4CA99">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两个以上的自然人、法人或者其他组织可以组成一个联合体，以一个供应商的身份共同参加政府采购。</w:t>
      </w:r>
    </w:p>
    <w:p w14:paraId="066CEDED">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鼓励大中型企业和其他自然人、法人或者其他组织与小型、微型企业组成联合体共同参加非专门面向中小企业的政府采购活动。</w:t>
      </w:r>
    </w:p>
    <w:p w14:paraId="06FEA6B0">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以联合体形式参加采购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0913715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联合体各方之间应当签订联合体协议，明确约定联合体各方承担的工作和相应的责任，并将联合体协议连同响应文件一并提交。</w:t>
      </w:r>
    </w:p>
    <w:p w14:paraId="421DAF11">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以联合体形式参加政府采购活动的，联合体各方不得再单独参加或者与其他供应商另外组成联合体参加同一合同项下的政府采购活动。</w:t>
      </w:r>
    </w:p>
    <w:p w14:paraId="5437B2A1">
      <w:pPr>
        <w:pStyle w:val="46"/>
        <w:rPr>
          <w:rFonts w:hint="eastAsia" w:ascii="宋体" w:hAnsi="宋体" w:eastAsia="宋体" w:cs="宋体"/>
          <w:color w:val="auto"/>
          <w:sz w:val="21"/>
          <w:szCs w:val="21"/>
          <w:highlight w:val="none"/>
        </w:rPr>
      </w:pPr>
    </w:p>
    <w:p w14:paraId="24BD8E02">
      <w:pPr>
        <w:pStyle w:val="46"/>
        <w:rPr>
          <w:rFonts w:hint="eastAsia" w:ascii="宋体" w:hAnsi="宋体" w:eastAsia="宋体" w:cs="宋体"/>
          <w:color w:val="auto"/>
          <w:sz w:val="21"/>
          <w:szCs w:val="21"/>
          <w:highlight w:val="none"/>
        </w:rPr>
      </w:pPr>
    </w:p>
    <w:p w14:paraId="3BE704C2">
      <w:pPr>
        <w:pStyle w:val="46"/>
        <w:rPr>
          <w:rFonts w:hint="eastAsia" w:ascii="宋体" w:hAnsi="宋体" w:eastAsia="宋体" w:cs="宋体"/>
          <w:color w:val="auto"/>
          <w:sz w:val="21"/>
          <w:szCs w:val="21"/>
          <w:highlight w:val="none"/>
        </w:rPr>
      </w:pPr>
    </w:p>
    <w:p w14:paraId="2B4E0E66">
      <w:pPr>
        <w:pStyle w:val="46"/>
        <w:rPr>
          <w:rFonts w:hint="eastAsia" w:ascii="宋体" w:hAnsi="宋体" w:eastAsia="宋体" w:cs="宋体"/>
          <w:color w:val="auto"/>
          <w:sz w:val="21"/>
          <w:szCs w:val="21"/>
          <w:highlight w:val="none"/>
        </w:rPr>
      </w:pPr>
    </w:p>
    <w:p w14:paraId="4FB1B751">
      <w:pPr>
        <w:pStyle w:val="46"/>
        <w:rPr>
          <w:rFonts w:hint="eastAsia" w:ascii="宋体" w:hAnsi="宋体" w:eastAsia="宋体" w:cs="宋体"/>
          <w:color w:val="auto"/>
          <w:sz w:val="21"/>
          <w:szCs w:val="21"/>
          <w:highlight w:val="none"/>
        </w:rPr>
      </w:pPr>
    </w:p>
    <w:p w14:paraId="152D341F">
      <w:pPr>
        <w:pStyle w:val="46"/>
        <w:rPr>
          <w:rFonts w:hint="eastAsia" w:ascii="宋体" w:hAnsi="宋体" w:eastAsia="宋体" w:cs="宋体"/>
          <w:color w:val="auto"/>
          <w:sz w:val="21"/>
          <w:szCs w:val="21"/>
          <w:highlight w:val="none"/>
        </w:rPr>
      </w:pPr>
    </w:p>
    <w:p w14:paraId="323EEDA9">
      <w:pPr>
        <w:pStyle w:val="46"/>
        <w:rPr>
          <w:rFonts w:hint="eastAsia" w:ascii="宋体" w:hAnsi="宋体" w:eastAsia="宋体" w:cs="宋体"/>
          <w:color w:val="auto"/>
          <w:sz w:val="21"/>
          <w:szCs w:val="21"/>
          <w:highlight w:val="none"/>
        </w:rPr>
      </w:pPr>
    </w:p>
    <w:p w14:paraId="1B2DDE64">
      <w:pPr>
        <w:pStyle w:val="46"/>
        <w:rPr>
          <w:rFonts w:hint="eastAsia" w:ascii="宋体" w:hAnsi="宋体" w:eastAsia="宋体" w:cs="宋体"/>
          <w:color w:val="auto"/>
          <w:sz w:val="21"/>
          <w:szCs w:val="21"/>
          <w:highlight w:val="none"/>
        </w:rPr>
      </w:pPr>
    </w:p>
    <w:p w14:paraId="25AC9431">
      <w:pPr>
        <w:pStyle w:val="46"/>
        <w:rPr>
          <w:rFonts w:hint="eastAsia" w:ascii="宋体" w:hAnsi="宋体" w:eastAsia="宋体" w:cs="宋体"/>
          <w:color w:val="auto"/>
          <w:sz w:val="21"/>
          <w:szCs w:val="21"/>
          <w:highlight w:val="none"/>
        </w:rPr>
      </w:pPr>
    </w:p>
    <w:p w14:paraId="468C7CC7">
      <w:pPr>
        <w:pStyle w:val="46"/>
        <w:rPr>
          <w:rFonts w:hint="eastAsia" w:ascii="宋体" w:hAnsi="宋体" w:eastAsia="宋体" w:cs="宋体"/>
          <w:color w:val="auto"/>
          <w:sz w:val="21"/>
          <w:szCs w:val="21"/>
          <w:highlight w:val="none"/>
        </w:rPr>
      </w:pPr>
    </w:p>
    <w:p w14:paraId="2C96BD41">
      <w:pPr>
        <w:pStyle w:val="46"/>
        <w:rPr>
          <w:rFonts w:hint="eastAsia" w:ascii="宋体" w:hAnsi="宋体" w:eastAsia="宋体" w:cs="宋体"/>
          <w:color w:val="auto"/>
          <w:sz w:val="21"/>
          <w:szCs w:val="21"/>
          <w:highlight w:val="none"/>
        </w:rPr>
      </w:pPr>
    </w:p>
    <w:p w14:paraId="36A71F83">
      <w:pPr>
        <w:pStyle w:val="46"/>
        <w:rPr>
          <w:rFonts w:hint="eastAsia" w:ascii="宋体" w:hAnsi="宋体" w:eastAsia="宋体" w:cs="宋体"/>
          <w:color w:val="auto"/>
          <w:sz w:val="21"/>
          <w:szCs w:val="21"/>
          <w:highlight w:val="none"/>
        </w:rPr>
      </w:pPr>
    </w:p>
    <w:p w14:paraId="62BE8335">
      <w:pPr>
        <w:pStyle w:val="46"/>
        <w:rPr>
          <w:rFonts w:hint="eastAsia" w:ascii="宋体" w:hAnsi="宋体" w:eastAsia="宋体" w:cs="宋体"/>
          <w:color w:val="auto"/>
          <w:sz w:val="21"/>
          <w:szCs w:val="21"/>
          <w:highlight w:val="none"/>
        </w:rPr>
      </w:pPr>
    </w:p>
    <w:p w14:paraId="50866573">
      <w:pPr>
        <w:pStyle w:val="46"/>
        <w:rPr>
          <w:rFonts w:hint="eastAsia" w:ascii="宋体" w:hAnsi="宋体" w:eastAsia="宋体" w:cs="宋体"/>
          <w:color w:val="auto"/>
          <w:sz w:val="21"/>
          <w:szCs w:val="21"/>
          <w:highlight w:val="none"/>
        </w:rPr>
      </w:pPr>
    </w:p>
    <w:p w14:paraId="7BABD0AE">
      <w:pPr>
        <w:pStyle w:val="46"/>
        <w:rPr>
          <w:rFonts w:hint="eastAsia" w:ascii="宋体" w:hAnsi="宋体" w:eastAsia="宋体" w:cs="宋体"/>
          <w:color w:val="auto"/>
          <w:sz w:val="21"/>
          <w:szCs w:val="21"/>
          <w:highlight w:val="none"/>
        </w:rPr>
      </w:pPr>
    </w:p>
    <w:p w14:paraId="4A3C5491">
      <w:pPr>
        <w:pStyle w:val="46"/>
        <w:rPr>
          <w:rFonts w:hint="eastAsia" w:ascii="宋体" w:hAnsi="宋体" w:eastAsia="宋体" w:cs="宋体"/>
          <w:color w:val="auto"/>
          <w:sz w:val="21"/>
          <w:szCs w:val="21"/>
          <w:highlight w:val="none"/>
        </w:rPr>
      </w:pPr>
    </w:p>
    <w:p w14:paraId="024EB91B">
      <w:pPr>
        <w:pStyle w:val="46"/>
        <w:rPr>
          <w:rFonts w:hint="eastAsia" w:ascii="宋体" w:hAnsi="宋体" w:eastAsia="宋体" w:cs="宋体"/>
          <w:color w:val="auto"/>
          <w:sz w:val="21"/>
          <w:szCs w:val="21"/>
          <w:highlight w:val="none"/>
        </w:rPr>
      </w:pPr>
    </w:p>
    <w:p w14:paraId="093DB78C">
      <w:pPr>
        <w:pStyle w:val="46"/>
        <w:rPr>
          <w:rFonts w:hint="eastAsia" w:ascii="宋体" w:hAnsi="宋体" w:eastAsia="宋体" w:cs="宋体"/>
          <w:color w:val="auto"/>
          <w:sz w:val="21"/>
          <w:szCs w:val="21"/>
          <w:highlight w:val="none"/>
        </w:rPr>
      </w:pPr>
    </w:p>
    <w:p w14:paraId="7901A2ED">
      <w:pPr>
        <w:pStyle w:val="46"/>
        <w:rPr>
          <w:rFonts w:hint="eastAsia" w:ascii="宋体" w:hAnsi="宋体" w:eastAsia="宋体" w:cs="宋体"/>
          <w:color w:val="auto"/>
          <w:sz w:val="21"/>
          <w:szCs w:val="21"/>
          <w:highlight w:val="none"/>
        </w:rPr>
      </w:pPr>
    </w:p>
    <w:p w14:paraId="2EF76361">
      <w:pPr>
        <w:pStyle w:val="46"/>
        <w:rPr>
          <w:rFonts w:hint="eastAsia" w:ascii="宋体" w:hAnsi="宋体" w:eastAsia="宋体" w:cs="宋体"/>
          <w:color w:val="auto"/>
          <w:sz w:val="21"/>
          <w:szCs w:val="21"/>
          <w:highlight w:val="none"/>
        </w:rPr>
      </w:pPr>
    </w:p>
    <w:p w14:paraId="117FA8CE">
      <w:pPr>
        <w:pStyle w:val="46"/>
        <w:rPr>
          <w:rFonts w:hint="eastAsia" w:ascii="宋体" w:hAnsi="宋体" w:eastAsia="宋体" w:cs="宋体"/>
          <w:color w:val="auto"/>
          <w:sz w:val="21"/>
          <w:szCs w:val="21"/>
          <w:highlight w:val="none"/>
        </w:rPr>
      </w:pPr>
    </w:p>
    <w:p w14:paraId="4D65FFD1">
      <w:pPr>
        <w:pStyle w:val="46"/>
        <w:rPr>
          <w:rFonts w:hint="eastAsia" w:ascii="宋体" w:hAnsi="宋体" w:eastAsia="宋体" w:cs="宋体"/>
          <w:color w:val="auto"/>
          <w:sz w:val="21"/>
          <w:szCs w:val="21"/>
          <w:highlight w:val="none"/>
        </w:rPr>
      </w:pPr>
    </w:p>
    <w:p w14:paraId="44296EB0">
      <w:pPr>
        <w:pStyle w:val="46"/>
        <w:rPr>
          <w:rFonts w:hint="eastAsia" w:ascii="宋体" w:hAnsi="宋体" w:eastAsia="宋体" w:cs="宋体"/>
          <w:color w:val="auto"/>
          <w:sz w:val="21"/>
          <w:szCs w:val="21"/>
          <w:highlight w:val="none"/>
        </w:rPr>
      </w:pPr>
    </w:p>
    <w:p w14:paraId="6F16EBE7">
      <w:pPr>
        <w:pStyle w:val="46"/>
        <w:rPr>
          <w:rFonts w:hint="eastAsia" w:ascii="宋体" w:hAnsi="宋体" w:eastAsia="宋体" w:cs="宋体"/>
          <w:color w:val="auto"/>
          <w:sz w:val="21"/>
          <w:szCs w:val="21"/>
          <w:highlight w:val="none"/>
        </w:rPr>
      </w:pPr>
    </w:p>
    <w:p w14:paraId="7DB35872">
      <w:pPr>
        <w:pStyle w:val="46"/>
        <w:rPr>
          <w:rFonts w:hint="eastAsia" w:ascii="宋体" w:hAnsi="宋体" w:eastAsia="宋体" w:cs="宋体"/>
          <w:color w:val="auto"/>
          <w:sz w:val="21"/>
          <w:szCs w:val="21"/>
          <w:highlight w:val="none"/>
        </w:rPr>
      </w:pPr>
    </w:p>
    <w:p w14:paraId="45BB8491">
      <w:pPr>
        <w:pStyle w:val="46"/>
        <w:rPr>
          <w:rFonts w:hint="eastAsia" w:ascii="宋体" w:hAnsi="宋体" w:eastAsia="宋体" w:cs="宋体"/>
          <w:color w:val="auto"/>
          <w:sz w:val="21"/>
          <w:szCs w:val="21"/>
          <w:highlight w:val="none"/>
        </w:rPr>
      </w:pPr>
    </w:p>
    <w:p w14:paraId="45DC268A">
      <w:pPr>
        <w:pStyle w:val="46"/>
        <w:rPr>
          <w:rFonts w:hint="eastAsia" w:ascii="宋体" w:hAnsi="宋体" w:eastAsia="宋体" w:cs="宋体"/>
          <w:color w:val="auto"/>
          <w:sz w:val="21"/>
          <w:szCs w:val="21"/>
          <w:highlight w:val="none"/>
        </w:rPr>
      </w:pPr>
    </w:p>
    <w:p w14:paraId="3E55B6F7">
      <w:pPr>
        <w:pStyle w:val="46"/>
        <w:rPr>
          <w:rFonts w:hint="eastAsia" w:ascii="宋体" w:hAnsi="宋体" w:eastAsia="宋体" w:cs="宋体"/>
          <w:color w:val="auto"/>
          <w:sz w:val="21"/>
          <w:szCs w:val="21"/>
          <w:highlight w:val="none"/>
        </w:rPr>
      </w:pPr>
    </w:p>
    <w:p w14:paraId="3112402F">
      <w:pPr>
        <w:pStyle w:val="46"/>
        <w:rPr>
          <w:rFonts w:hint="eastAsia" w:ascii="宋体" w:hAnsi="宋体" w:eastAsia="宋体" w:cs="宋体"/>
          <w:color w:val="auto"/>
          <w:sz w:val="21"/>
          <w:szCs w:val="21"/>
          <w:highlight w:val="none"/>
        </w:rPr>
      </w:pPr>
    </w:p>
    <w:p w14:paraId="1DF2627D">
      <w:pPr>
        <w:pStyle w:val="46"/>
        <w:rPr>
          <w:rFonts w:hint="eastAsia" w:ascii="宋体" w:hAnsi="宋体" w:eastAsia="宋体" w:cs="宋体"/>
          <w:color w:val="auto"/>
          <w:sz w:val="21"/>
          <w:szCs w:val="21"/>
          <w:highlight w:val="none"/>
        </w:rPr>
      </w:pPr>
    </w:p>
    <w:p w14:paraId="6BE9D889">
      <w:pPr>
        <w:pStyle w:val="46"/>
        <w:rPr>
          <w:rFonts w:hint="eastAsia" w:ascii="宋体" w:hAnsi="宋体" w:eastAsia="宋体" w:cs="宋体"/>
          <w:color w:val="auto"/>
          <w:sz w:val="21"/>
          <w:szCs w:val="21"/>
          <w:highlight w:val="none"/>
        </w:rPr>
      </w:pPr>
    </w:p>
    <w:p w14:paraId="7B8B5A4D">
      <w:pPr>
        <w:pStyle w:val="46"/>
        <w:rPr>
          <w:rFonts w:hint="eastAsia" w:ascii="宋体" w:hAnsi="宋体" w:eastAsia="宋体" w:cs="宋体"/>
          <w:color w:val="auto"/>
          <w:sz w:val="21"/>
          <w:szCs w:val="21"/>
          <w:highlight w:val="none"/>
        </w:rPr>
      </w:pPr>
    </w:p>
    <w:p w14:paraId="01C7E79A">
      <w:pPr>
        <w:pStyle w:val="46"/>
        <w:rPr>
          <w:rFonts w:hint="eastAsia" w:ascii="宋体" w:hAnsi="宋体" w:eastAsia="宋体" w:cs="宋体"/>
          <w:color w:val="auto"/>
          <w:sz w:val="21"/>
          <w:szCs w:val="21"/>
          <w:highlight w:val="none"/>
        </w:rPr>
      </w:pPr>
    </w:p>
    <w:p w14:paraId="1FFC3F0E">
      <w:pPr>
        <w:pStyle w:val="226"/>
        <w:spacing w:line="360" w:lineRule="auto"/>
        <w:ind w:firstLine="0" w:firstLineChars="0"/>
        <w:jc w:val="center"/>
        <w:outlineLvl w:val="0"/>
        <w:rPr>
          <w:rFonts w:hint="eastAsia" w:ascii="宋体" w:hAnsi="宋体" w:eastAsia="宋体" w:cs="宋体"/>
          <w:color w:val="auto"/>
          <w:sz w:val="21"/>
          <w:szCs w:val="21"/>
          <w:highlight w:val="none"/>
        </w:rPr>
      </w:pPr>
      <w:bookmarkStart w:id="70" w:name="_Toc17920"/>
      <w:r>
        <w:rPr>
          <w:rFonts w:hint="eastAsia" w:ascii="宋体" w:hAnsi="宋体" w:eastAsia="宋体" w:cs="宋体"/>
          <w:b/>
          <w:color w:val="auto"/>
          <w:sz w:val="32"/>
          <w:szCs w:val="32"/>
          <w:highlight w:val="none"/>
        </w:rPr>
        <w:t>第三章 评审方法及评分标准</w:t>
      </w:r>
      <w:bookmarkEnd w:id="70"/>
    </w:p>
    <w:p w14:paraId="3642A1ED">
      <w:pPr>
        <w:keepNext w:val="0"/>
        <w:keepLines w:val="0"/>
        <w:pageBreakBefore w:val="0"/>
        <w:widowControl w:val="0"/>
        <w:tabs>
          <w:tab w:val="left" w:pos="287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
          <w:color w:val="auto"/>
          <w:szCs w:val="21"/>
          <w:highlight w:val="none"/>
        </w:rPr>
      </w:pPr>
      <w:bookmarkStart w:id="71" w:name="_Toc14495"/>
      <w:r>
        <w:rPr>
          <w:rFonts w:hint="eastAsia" w:ascii="宋体" w:hAnsi="宋体" w:eastAsia="宋体" w:cs="宋体"/>
          <w:b/>
          <w:color w:val="auto"/>
          <w:szCs w:val="21"/>
          <w:highlight w:val="none"/>
        </w:rPr>
        <w:t>一、评审方法</w:t>
      </w:r>
      <w:bookmarkEnd w:id="71"/>
    </w:p>
    <w:p w14:paraId="64AE11FE">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1.本次磋商评标采用综合评分法，综合评分法是指磋商响应文件满足磋商采购文件全部实质性要求，且按照评审因素的量化指标评审得分最高的投标人为成交单位的评标方法。</w:t>
      </w:r>
      <w:r>
        <w:rPr>
          <w:rFonts w:hint="eastAsia" w:ascii="宋体" w:hAnsi="宋体" w:eastAsia="宋体" w:cs="宋体"/>
          <w:color w:val="auto"/>
          <w:szCs w:val="21"/>
          <w:highlight w:val="none"/>
          <w:lang w:val="zh-TW" w:eastAsia="zh-TW"/>
        </w:rPr>
        <w:t>采购单位书面授权磋商小组直接确定成交单位。</w:t>
      </w:r>
    </w:p>
    <w:p w14:paraId="623D5581">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2.采用综合评分法的，评标结果按评审后得分由高到低顺序排列。得分相同的，则由采购人以抽签方式确定中标人。</w:t>
      </w:r>
    </w:p>
    <w:p w14:paraId="258D5705">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3.本项目分标段采购，共分为</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个标段，</w:t>
      </w:r>
      <w:r>
        <w:rPr>
          <w:rFonts w:hint="eastAsia" w:ascii="宋体" w:hAnsi="宋体" w:eastAsia="宋体" w:cs="宋体"/>
          <w:color w:val="auto"/>
          <w:szCs w:val="21"/>
          <w:highlight w:val="none"/>
          <w:lang w:val="zh-CN"/>
        </w:rPr>
        <w:t>根据最终总得分排名，</w:t>
      </w:r>
      <w:r>
        <w:rPr>
          <w:rFonts w:hint="eastAsia" w:ascii="宋体" w:hAnsi="宋体" w:eastAsia="宋体" w:cs="宋体"/>
          <w:color w:val="auto"/>
          <w:szCs w:val="21"/>
          <w:highlight w:val="none"/>
        </w:rPr>
        <w:t>每个标段成交单位为一名。供应商可选择其中一个或多个标段投标，标段开标顺序按标段号顺序确定，但只能就其中一个标段成交，成交标段按标段号顺序。进入每个标段评审的实质性响应且具有得标权的</w:t>
      </w:r>
      <w:r>
        <w:rPr>
          <w:rFonts w:hint="eastAsia" w:ascii="宋体" w:hAnsi="宋体" w:eastAsia="宋体" w:cs="宋体"/>
          <w:color w:val="auto"/>
          <w:szCs w:val="21"/>
          <w:highlight w:val="none"/>
          <w:lang w:val="zh-CN"/>
        </w:rPr>
        <w:t>供应商</w:t>
      </w:r>
      <w:r>
        <w:rPr>
          <w:rFonts w:hint="eastAsia" w:ascii="宋体" w:hAnsi="宋体" w:eastAsia="宋体" w:cs="宋体"/>
          <w:color w:val="auto"/>
          <w:szCs w:val="21"/>
          <w:highlight w:val="none"/>
        </w:rPr>
        <w:t>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评审），也不具备本次磋商如有废标标段再次挂牌的磋商资格，同时该标段评审小组根据综合评分法由高到</w:t>
      </w:r>
      <w:r>
        <w:rPr>
          <w:rFonts w:hint="eastAsia" w:ascii="宋体" w:hAnsi="宋体" w:eastAsia="宋体" w:cs="宋体"/>
          <w:color w:val="auto"/>
          <w:szCs w:val="21"/>
          <w:highlight w:val="none"/>
          <w:lang w:eastAsia="zh-CN"/>
        </w:rPr>
        <w:t>低</w:t>
      </w:r>
      <w:r>
        <w:rPr>
          <w:rFonts w:hint="eastAsia" w:ascii="宋体" w:hAnsi="宋体" w:eastAsia="宋体" w:cs="宋体"/>
          <w:color w:val="auto"/>
          <w:szCs w:val="21"/>
          <w:highlight w:val="none"/>
        </w:rPr>
        <w:t>推选排名次高的响应供应商为预成交单位。</w:t>
      </w:r>
    </w:p>
    <w:p w14:paraId="445F215C">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4.评标时，评标委员会各成员应当独立对每个投标人的投标文件进行评价，并汇总每个投标人的得分，按算术平均方法计算出每个投标人的得分（计算结果四舍五入，保留两位小数点）。</w:t>
      </w:r>
      <w:r>
        <w:rPr>
          <w:rFonts w:hint="eastAsia" w:ascii="宋体" w:hAnsi="宋体" w:eastAsia="宋体" w:cs="宋体"/>
          <w:b/>
          <w:bCs/>
          <w:color w:val="auto"/>
          <w:szCs w:val="21"/>
          <w:highlight w:val="none"/>
          <w:lang w:val="zh-CN"/>
        </w:rPr>
        <w:t>本项目不设价格分，价格不再是评审因素。报价按预算金额填写。不按规定报价，视为不响应采购文件。</w:t>
      </w:r>
    </w:p>
    <w:p w14:paraId="49800300">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5.如供应商存在“苏财购字（2017）11号”文件中所列的失信或不良行为，按照文件规定执行。</w:t>
      </w:r>
    </w:p>
    <w:p w14:paraId="2C9CE761">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w:t>
      </w:r>
      <w:r>
        <w:rPr>
          <w:rFonts w:hint="eastAsia" w:ascii="宋体" w:hAnsi="宋体" w:eastAsia="宋体" w:cs="宋体"/>
          <w:color w:val="auto"/>
          <w:szCs w:val="21"/>
          <w:highlight w:val="none"/>
        </w:rPr>
        <w:t>响应单位与被审计单位或者审计事项有利害关系的，应当回避。标段中若有从事过该标段项目的</w:t>
      </w:r>
      <w:r>
        <w:rPr>
          <w:rFonts w:hint="eastAsia" w:ascii="宋体" w:hAnsi="宋体" w:eastAsia="宋体" w:cs="宋体"/>
          <w:b/>
          <w:bCs/>
          <w:color w:val="auto"/>
          <w:szCs w:val="21"/>
          <w:highlight w:val="none"/>
        </w:rPr>
        <w:t>概算编制、概算评审、预算编制、预算评审、招标代理、监理、施工、勘察设计等相关业务</w:t>
      </w:r>
      <w:r>
        <w:rPr>
          <w:rFonts w:hint="eastAsia" w:ascii="宋体" w:hAnsi="宋体" w:eastAsia="宋体" w:cs="宋体"/>
          <w:color w:val="auto"/>
          <w:szCs w:val="21"/>
          <w:highlight w:val="none"/>
        </w:rPr>
        <w:t>的单位（包括其母公司、全资子公司及控股公司）不得参与该标段跟踪审计。</w:t>
      </w:r>
    </w:p>
    <w:p w14:paraId="7FCFB823">
      <w:pPr>
        <w:keepNext w:val="0"/>
        <w:keepLines w:val="0"/>
        <w:pageBreakBefore w:val="0"/>
        <w:widowControl w:val="0"/>
        <w:tabs>
          <w:tab w:val="left" w:pos="720"/>
        </w:tabs>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Cs w:val="21"/>
          <w:highlight w:val="none"/>
        </w:rPr>
      </w:pPr>
      <w:bookmarkStart w:id="72" w:name="_Toc31100"/>
      <w:r>
        <w:rPr>
          <w:rFonts w:hint="eastAsia" w:ascii="宋体" w:hAnsi="宋体" w:eastAsia="宋体" w:cs="宋体"/>
          <w:b/>
          <w:color w:val="auto"/>
          <w:szCs w:val="21"/>
          <w:highlight w:val="none"/>
        </w:rPr>
        <w:t>二、评分标准</w:t>
      </w:r>
      <w:bookmarkEnd w:id="72"/>
    </w:p>
    <w:p w14:paraId="2E7276E2">
      <w:pPr>
        <w:pStyle w:val="46"/>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各评审项内容及分值分配如下：</w:t>
      </w:r>
    </w:p>
    <w:tbl>
      <w:tblPr>
        <w:tblStyle w:val="39"/>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0"/>
        <w:gridCol w:w="6022"/>
        <w:gridCol w:w="1853"/>
      </w:tblGrid>
      <w:tr w14:paraId="46534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380C4C1E">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序号</w:t>
            </w:r>
          </w:p>
        </w:tc>
        <w:tc>
          <w:tcPr>
            <w:tcW w:w="0" w:type="auto"/>
            <w:vAlign w:val="center"/>
          </w:tcPr>
          <w:p w14:paraId="5B28E7A5">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评审项</w:t>
            </w:r>
          </w:p>
        </w:tc>
        <w:tc>
          <w:tcPr>
            <w:tcW w:w="1853" w:type="dxa"/>
            <w:vAlign w:val="center"/>
          </w:tcPr>
          <w:p w14:paraId="21910814">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满分(100分)</w:t>
            </w:r>
          </w:p>
        </w:tc>
      </w:tr>
      <w:tr w14:paraId="372EE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5ED839A">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（一）</w:t>
            </w:r>
          </w:p>
        </w:tc>
        <w:tc>
          <w:tcPr>
            <w:tcW w:w="0" w:type="auto"/>
            <w:vAlign w:val="center"/>
          </w:tcPr>
          <w:p w14:paraId="5826048F">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服务方案</w:t>
            </w:r>
          </w:p>
        </w:tc>
        <w:tc>
          <w:tcPr>
            <w:tcW w:w="1853" w:type="dxa"/>
            <w:vAlign w:val="center"/>
          </w:tcPr>
          <w:p w14:paraId="18C73412">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38分</w:t>
            </w:r>
          </w:p>
        </w:tc>
      </w:tr>
      <w:tr w14:paraId="29E4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AF1FB93">
            <w:pPr>
              <w:pStyle w:val="46"/>
              <w:snapToGrid w:val="0"/>
              <w:spacing w:line="240" w:lineRule="auto"/>
              <w:ind w:left="0" w:leftChars="0" w:right="0" w:rightChars="0" w:firstLine="0" w:firstLineChars="0"/>
              <w:jc w:val="center"/>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（二）</w:t>
            </w:r>
          </w:p>
        </w:tc>
        <w:tc>
          <w:tcPr>
            <w:tcW w:w="0" w:type="auto"/>
            <w:vAlign w:val="center"/>
          </w:tcPr>
          <w:p w14:paraId="61EC3BC0">
            <w:pPr>
              <w:pStyle w:val="46"/>
              <w:snapToGrid w:val="0"/>
              <w:spacing w:line="240" w:lineRule="auto"/>
              <w:ind w:left="0" w:leftChars="0" w:right="0" w:rightChars="0" w:firstLine="0" w:firstLineChars="0"/>
              <w:jc w:val="center"/>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Cs w:val="21"/>
                <w:highlight w:val="none"/>
              </w:rPr>
              <w:t>企业资信情况</w:t>
            </w:r>
          </w:p>
        </w:tc>
        <w:tc>
          <w:tcPr>
            <w:tcW w:w="1853" w:type="dxa"/>
            <w:vAlign w:val="center"/>
          </w:tcPr>
          <w:p w14:paraId="683C8FAF">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6分</w:t>
            </w:r>
          </w:p>
        </w:tc>
      </w:tr>
      <w:tr w14:paraId="041DA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BA1C50E">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（三）</w:t>
            </w:r>
          </w:p>
        </w:tc>
        <w:tc>
          <w:tcPr>
            <w:tcW w:w="0" w:type="auto"/>
            <w:vAlign w:val="center"/>
          </w:tcPr>
          <w:p w14:paraId="20859026">
            <w:pPr>
              <w:pStyle w:val="46"/>
              <w:snapToGrid w:val="0"/>
              <w:spacing w:line="240" w:lineRule="auto"/>
              <w:ind w:left="0" w:leftChars="0" w:right="0" w:rightChars="0" w:firstLine="0" w:firstLineChars="0"/>
              <w:jc w:val="center"/>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Cs w:val="21"/>
                <w:highlight w:val="none"/>
              </w:rPr>
              <w:t>拟投入人员的综合素质水平</w:t>
            </w:r>
          </w:p>
        </w:tc>
        <w:tc>
          <w:tcPr>
            <w:tcW w:w="1853" w:type="dxa"/>
            <w:vAlign w:val="center"/>
          </w:tcPr>
          <w:p w14:paraId="324A620F">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40分</w:t>
            </w:r>
          </w:p>
        </w:tc>
      </w:tr>
      <w:tr w14:paraId="05DF9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50" w:type="dxa"/>
            <w:vAlign w:val="center"/>
          </w:tcPr>
          <w:p w14:paraId="0FD8D923">
            <w:pPr>
              <w:pStyle w:val="46"/>
              <w:snapToGrid w:val="0"/>
              <w:spacing w:line="240" w:lineRule="auto"/>
              <w:ind w:left="0" w:leftChars="0" w:right="0" w:rightChars="0" w:firstLine="0" w:firstLineChars="0"/>
              <w:jc w:val="center"/>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（四）</w:t>
            </w:r>
          </w:p>
        </w:tc>
        <w:tc>
          <w:tcPr>
            <w:tcW w:w="6022" w:type="dxa"/>
            <w:vAlign w:val="center"/>
          </w:tcPr>
          <w:p w14:paraId="1E3E326F">
            <w:pPr>
              <w:pStyle w:val="46"/>
              <w:snapToGrid w:val="0"/>
              <w:spacing w:line="240" w:lineRule="auto"/>
              <w:ind w:left="0" w:leftChars="0" w:right="0" w:rightChars="0" w:firstLine="0" w:firstLineChars="0"/>
              <w:jc w:val="center"/>
              <w:rPr>
                <w:rFonts w:hint="eastAsia"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Cs w:val="21"/>
                <w:highlight w:val="none"/>
              </w:rPr>
              <w:t>企业基本服务能力</w:t>
            </w:r>
          </w:p>
        </w:tc>
        <w:tc>
          <w:tcPr>
            <w:tcW w:w="1853" w:type="dxa"/>
            <w:vAlign w:val="center"/>
          </w:tcPr>
          <w:p w14:paraId="07700E2F">
            <w:pPr>
              <w:pStyle w:val="46"/>
              <w:snapToGrid w:val="0"/>
              <w:spacing w:line="240" w:lineRule="auto"/>
              <w:ind w:left="0" w:leftChars="0" w:right="0" w:rightChars="0" w:firstLine="0" w:firstLineChars="0"/>
              <w:jc w:val="center"/>
              <w:rPr>
                <w:rFonts w:hint="default" w:ascii="宋体" w:hAnsi="宋体" w:eastAsia="宋体" w:cs="宋体"/>
                <w:b/>
                <w:bCs w:val="0"/>
                <w:color w:val="auto"/>
                <w:sz w:val="21"/>
                <w:szCs w:val="21"/>
                <w:highlight w:val="none"/>
                <w:vertAlign w:val="baseline"/>
                <w:lang w:val="en-US" w:eastAsia="zh-CN" w:bidi="ar-SA"/>
              </w:rPr>
            </w:pPr>
            <w:r>
              <w:rPr>
                <w:rFonts w:hint="eastAsia" w:ascii="宋体" w:hAnsi="宋体" w:eastAsia="宋体" w:cs="宋体"/>
                <w:b/>
                <w:bCs w:val="0"/>
                <w:color w:val="auto"/>
                <w:sz w:val="21"/>
                <w:szCs w:val="21"/>
                <w:highlight w:val="none"/>
                <w:vertAlign w:val="baseline"/>
                <w:lang w:val="en-US" w:eastAsia="zh-CN" w:bidi="ar-SA"/>
              </w:rPr>
              <w:t>16分</w:t>
            </w:r>
          </w:p>
        </w:tc>
      </w:tr>
    </w:tbl>
    <w:p w14:paraId="4CF05A95">
      <w:pPr>
        <w:keepNext w:val="0"/>
        <w:keepLines w:val="0"/>
        <w:pageBreakBefore w:val="0"/>
        <w:widowControl w:val="0"/>
        <w:tabs>
          <w:tab w:val="left" w:pos="720"/>
        </w:tabs>
        <w:kinsoku/>
        <w:wordWrap/>
        <w:overflowPunct/>
        <w:topLinePunct w:val="0"/>
        <w:autoSpaceDE/>
        <w:autoSpaceDN/>
        <w:bidi w:val="0"/>
        <w:adjustRightInd/>
        <w:snapToGrid w:val="0"/>
        <w:spacing w:line="360" w:lineRule="auto"/>
        <w:ind w:firstLine="422" w:firstLineChars="0"/>
        <w:jc w:val="left"/>
        <w:textAlignment w:val="auto"/>
        <w:outlineLvl w:val="2"/>
        <w:rPr>
          <w:rFonts w:hint="default" w:ascii="宋体" w:hAnsi="宋体" w:eastAsia="宋体" w:cs="宋体"/>
          <w:b w:val="0"/>
          <w:bCs w:val="0"/>
          <w:color w:val="auto"/>
          <w:szCs w:val="21"/>
          <w:highlight w:val="none"/>
          <w:lang w:val="en-US" w:eastAsia="zh-CN"/>
        </w:rPr>
      </w:pPr>
      <w:bookmarkStart w:id="73" w:name="_Toc1582"/>
      <w:r>
        <w:rPr>
          <w:rFonts w:hint="eastAsia" w:ascii="宋体" w:hAnsi="宋体" w:eastAsia="宋体" w:cs="宋体"/>
          <w:b w:val="0"/>
          <w:bCs w:val="0"/>
          <w:color w:val="auto"/>
          <w:szCs w:val="21"/>
          <w:highlight w:val="none"/>
          <w:lang w:val="en-US" w:eastAsia="zh-CN"/>
        </w:rPr>
        <w:t>具体要求如下：</w:t>
      </w:r>
    </w:p>
    <w:bookmarkEnd w:id="73"/>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1358"/>
        <w:gridCol w:w="617"/>
        <w:gridCol w:w="6861"/>
      </w:tblGrid>
      <w:tr w14:paraId="78F1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4"/>
            <w:shd w:val="clear" w:color="auto" w:fill="auto"/>
            <w:vAlign w:val="center"/>
          </w:tcPr>
          <w:p w14:paraId="30D4D47C">
            <w:pPr>
              <w:keepNext w:val="0"/>
              <w:keepLines w:val="0"/>
              <w:pageBreakBefore w:val="0"/>
              <w:widowControl w:val="0"/>
              <w:tabs>
                <w:tab w:val="left" w:pos="720"/>
              </w:tabs>
              <w:kinsoku/>
              <w:wordWrap/>
              <w:overflowPunct/>
              <w:topLinePunct w:val="0"/>
              <w:autoSpaceDE/>
              <w:autoSpaceDN/>
              <w:bidi w:val="0"/>
              <w:adjustRightInd/>
              <w:snapToGrid w:val="0"/>
              <w:spacing w:line="360" w:lineRule="auto"/>
              <w:ind w:firstLine="422" w:firstLineChars="0"/>
              <w:jc w:val="center"/>
              <w:textAlignment w:val="auto"/>
              <w:outlineLvl w:val="2"/>
              <w:rPr>
                <w:rFonts w:hint="eastAsia" w:ascii="宋体" w:hAnsi="宋体" w:eastAsia="宋体" w:cs="宋体"/>
                <w:b/>
                <w:bCs/>
                <w:sz w:val="20"/>
                <w:szCs w:val="20"/>
                <w:highlight w:val="none"/>
                <w:vertAlign w:val="baseline"/>
              </w:rPr>
            </w:pPr>
            <w:r>
              <w:rPr>
                <w:rFonts w:hint="eastAsia" w:ascii="宋体" w:hAnsi="宋体" w:eastAsia="宋体" w:cs="宋体"/>
                <w:b/>
                <w:bCs/>
                <w:color w:val="auto"/>
                <w:sz w:val="24"/>
                <w:szCs w:val="24"/>
                <w:highlight w:val="none"/>
              </w:rPr>
              <w:t>（一）服务方案 （</w:t>
            </w:r>
            <w:r>
              <w:rPr>
                <w:rFonts w:hint="eastAsia" w:ascii="宋体" w:hAnsi="宋体" w:eastAsia="宋体" w:cs="宋体"/>
                <w:b/>
                <w:bCs/>
                <w:color w:val="auto"/>
                <w:sz w:val="24"/>
                <w:szCs w:val="24"/>
                <w:highlight w:val="none"/>
                <w:lang w:val="en-US" w:eastAsia="zh-CN"/>
              </w:rPr>
              <w:t>38</w:t>
            </w:r>
            <w:r>
              <w:rPr>
                <w:rFonts w:hint="eastAsia" w:ascii="宋体" w:hAnsi="宋体" w:eastAsia="宋体" w:cs="宋体"/>
                <w:b/>
                <w:bCs/>
                <w:color w:val="auto"/>
                <w:sz w:val="24"/>
                <w:szCs w:val="24"/>
                <w:highlight w:val="none"/>
              </w:rPr>
              <w:t>分）（适用于一、二标段）</w:t>
            </w:r>
          </w:p>
        </w:tc>
      </w:tr>
      <w:tr w14:paraId="5D7B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shd w:val="clear" w:color="auto" w:fill="auto"/>
            <w:vAlign w:val="center"/>
          </w:tcPr>
          <w:p w14:paraId="72AEC7C0">
            <w:pPr>
              <w:jc w:val="center"/>
              <w:rPr>
                <w:rFonts w:hint="default" w:ascii="宋体" w:hAnsi="宋体" w:eastAsia="宋体" w:cs="宋体"/>
                <w:b w:val="0"/>
                <w:bCs w:val="0"/>
                <w:kern w:val="2"/>
                <w:sz w:val="20"/>
                <w:szCs w:val="20"/>
                <w:highlight w:val="none"/>
                <w:lang w:val="en-US" w:eastAsia="zh-CN" w:bidi="ar-SA"/>
              </w:rPr>
            </w:pPr>
            <w:r>
              <w:rPr>
                <w:rFonts w:hint="eastAsia" w:ascii="宋体" w:hAnsi="宋体" w:eastAsia="宋体" w:cs="宋体"/>
                <w:b w:val="0"/>
                <w:bCs w:val="0"/>
                <w:sz w:val="20"/>
                <w:szCs w:val="20"/>
                <w:highlight w:val="none"/>
                <w:lang w:val="en-US" w:eastAsia="zh-CN"/>
              </w:rPr>
              <w:t>一级指标</w:t>
            </w:r>
          </w:p>
        </w:tc>
        <w:tc>
          <w:tcPr>
            <w:tcW w:w="697" w:type="pct"/>
            <w:shd w:val="clear" w:color="auto" w:fill="auto"/>
            <w:vAlign w:val="center"/>
          </w:tcPr>
          <w:p w14:paraId="2BF51605">
            <w:pPr>
              <w:jc w:val="center"/>
              <w:rPr>
                <w:rFonts w:hint="default" w:ascii="宋体" w:hAnsi="宋体" w:eastAsia="宋体" w:cs="宋体"/>
                <w:b w:val="0"/>
                <w:bCs w:val="0"/>
                <w:kern w:val="2"/>
                <w:sz w:val="20"/>
                <w:szCs w:val="20"/>
                <w:highlight w:val="none"/>
                <w:lang w:val="en-US" w:eastAsia="zh-CN" w:bidi="ar-SA"/>
              </w:rPr>
            </w:pPr>
            <w:r>
              <w:rPr>
                <w:rFonts w:hint="eastAsia" w:ascii="宋体" w:hAnsi="宋体" w:eastAsia="宋体" w:cs="宋体"/>
                <w:b w:val="0"/>
                <w:bCs w:val="0"/>
                <w:sz w:val="20"/>
                <w:szCs w:val="20"/>
                <w:highlight w:val="none"/>
                <w:lang w:val="en-US" w:eastAsia="zh-CN"/>
              </w:rPr>
              <w:t>二级指标</w:t>
            </w:r>
          </w:p>
        </w:tc>
        <w:tc>
          <w:tcPr>
            <w:tcW w:w="317" w:type="pct"/>
            <w:shd w:val="clear" w:color="auto" w:fill="auto"/>
            <w:vAlign w:val="center"/>
          </w:tcPr>
          <w:p w14:paraId="172E16E3">
            <w:pPr>
              <w:jc w:val="center"/>
              <w:rPr>
                <w:rFonts w:hint="eastAsia" w:ascii="宋体" w:hAnsi="宋体" w:eastAsia="宋体" w:cs="宋体"/>
                <w:b w:val="0"/>
                <w:bCs w:val="0"/>
                <w:kern w:val="2"/>
                <w:sz w:val="20"/>
                <w:szCs w:val="20"/>
                <w:highlight w:val="none"/>
                <w:lang w:val="en-US" w:eastAsia="zh-CN" w:bidi="ar-SA"/>
              </w:rPr>
            </w:pPr>
            <w:r>
              <w:rPr>
                <w:rFonts w:hint="eastAsia" w:ascii="宋体" w:hAnsi="宋体" w:eastAsia="宋体" w:cs="宋体"/>
                <w:b w:val="0"/>
                <w:bCs w:val="0"/>
                <w:sz w:val="20"/>
                <w:szCs w:val="20"/>
                <w:highlight w:val="none"/>
              </w:rPr>
              <w:t>分值</w:t>
            </w:r>
          </w:p>
        </w:tc>
        <w:tc>
          <w:tcPr>
            <w:tcW w:w="3524" w:type="pct"/>
            <w:shd w:val="clear" w:color="auto" w:fill="auto"/>
            <w:vAlign w:val="center"/>
          </w:tcPr>
          <w:p w14:paraId="0FE8E6DF">
            <w:pPr>
              <w:jc w:val="center"/>
              <w:rPr>
                <w:rFonts w:hint="eastAsia" w:ascii="宋体" w:hAnsi="宋体" w:eastAsia="宋体" w:cs="宋体"/>
                <w:b w:val="0"/>
                <w:bCs w:val="0"/>
                <w:kern w:val="2"/>
                <w:sz w:val="20"/>
                <w:szCs w:val="20"/>
                <w:highlight w:val="none"/>
                <w:lang w:val="en-US" w:eastAsia="zh-CN" w:bidi="ar-SA"/>
              </w:rPr>
            </w:pPr>
            <w:r>
              <w:rPr>
                <w:rFonts w:hint="eastAsia" w:ascii="宋体" w:hAnsi="宋体" w:eastAsia="宋体" w:cs="宋体"/>
                <w:b w:val="0"/>
                <w:bCs w:val="0"/>
                <w:sz w:val="20"/>
                <w:szCs w:val="20"/>
                <w:highlight w:val="none"/>
              </w:rPr>
              <w:t>评分标准</w:t>
            </w:r>
          </w:p>
        </w:tc>
      </w:tr>
      <w:tr w14:paraId="78F85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0" w:type="pct"/>
            <w:vMerge w:val="restart"/>
            <w:vAlign w:val="center"/>
          </w:tcPr>
          <w:p w14:paraId="0940B4F5">
            <w:pPr>
              <w:numPr>
                <w:ilvl w:val="0"/>
                <w:numId w:val="0"/>
              </w:numPr>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1.进度管理及控制措施</w:t>
            </w:r>
          </w:p>
          <w:p w14:paraId="4455804C">
            <w:pPr>
              <w:numPr>
                <w:ilvl w:val="0"/>
                <w:numId w:val="0"/>
              </w:numPr>
              <w:jc w:val="center"/>
              <w:rPr>
                <w:rFonts w:hint="default" w:ascii="宋体" w:hAnsi="宋体" w:eastAsia="宋体" w:cs="宋体"/>
                <w:b/>
                <w:bCs/>
                <w:sz w:val="20"/>
                <w:szCs w:val="20"/>
                <w:highlight w:val="none"/>
                <w:vertAlign w:val="baseline"/>
                <w:lang w:val="en-US" w:eastAsia="zh-CN"/>
              </w:rPr>
            </w:pPr>
            <w:r>
              <w:rPr>
                <w:rFonts w:hint="eastAsia" w:ascii="宋体" w:hAnsi="宋体" w:eastAsia="宋体" w:cs="宋体"/>
                <w:b/>
                <w:bCs/>
                <w:color w:val="auto"/>
                <w:sz w:val="21"/>
                <w:szCs w:val="21"/>
                <w:highlight w:val="none"/>
                <w:lang w:val="en-US" w:eastAsia="zh-CN" w:bidi="ar-SA"/>
              </w:rPr>
              <w:t>6分</w:t>
            </w:r>
          </w:p>
        </w:tc>
        <w:tc>
          <w:tcPr>
            <w:tcW w:w="697" w:type="pct"/>
            <w:vAlign w:val="center"/>
          </w:tcPr>
          <w:p w14:paraId="1E949E04">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b w:val="0"/>
                <w:bCs w:val="0"/>
                <w:sz w:val="20"/>
                <w:szCs w:val="20"/>
                <w:highlight w:val="none"/>
                <w:vertAlign w:val="baseline"/>
              </w:rPr>
            </w:pPr>
            <w:r>
              <w:rPr>
                <w:rFonts w:hint="eastAsia" w:ascii="宋体" w:hAnsi="宋体" w:eastAsia="宋体" w:cs="宋体"/>
                <w:b w:val="0"/>
                <w:bCs w:val="0"/>
                <w:sz w:val="20"/>
                <w:szCs w:val="20"/>
                <w:highlight w:val="none"/>
                <w:vertAlign w:val="baseline"/>
                <w:lang w:val="en-US" w:eastAsia="zh-CN"/>
              </w:rPr>
              <w:t>1.1</w:t>
            </w:r>
            <w:r>
              <w:rPr>
                <w:rFonts w:hint="eastAsia" w:ascii="宋体" w:hAnsi="宋体" w:eastAsia="宋体" w:cs="宋体"/>
                <w:color w:val="auto"/>
                <w:sz w:val="20"/>
                <w:szCs w:val="20"/>
                <w:highlight w:val="none"/>
                <w:lang w:val="en-US" w:eastAsia="zh-CN" w:bidi="ar-SA"/>
              </w:rPr>
              <w:t>进度管理及控制措施（包括但不限于进度计划、进度控制要点、进度控制办法、进度考核办法）</w:t>
            </w:r>
          </w:p>
        </w:tc>
        <w:tc>
          <w:tcPr>
            <w:tcW w:w="317" w:type="pct"/>
            <w:vAlign w:val="center"/>
          </w:tcPr>
          <w:p w14:paraId="262A62F9">
            <w:pPr>
              <w:jc w:val="center"/>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3</w:t>
            </w:r>
          </w:p>
        </w:tc>
        <w:tc>
          <w:tcPr>
            <w:tcW w:w="3524" w:type="pct"/>
          </w:tcPr>
          <w:p w14:paraId="7562D174">
            <w:pPr>
              <w:pStyle w:val="17"/>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进度计划（开工日期、交付、结算等）安排合理，控制要点（资源配置、关键节点）详细，进度考核办法（奖罚措施等）操作可行，内容描述详细的得3分；</w:t>
            </w:r>
          </w:p>
          <w:p w14:paraId="73F8A26D">
            <w:pPr>
              <w:pStyle w:val="17"/>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进度计划（开工日期、交付、结算等）安排较合理，控制要点（资源配置、关键节点）较详细，进度考核办法（奖罚措施等）操作基本可行，内容描述较详细的得2分；</w:t>
            </w:r>
          </w:p>
          <w:p w14:paraId="4B57C298">
            <w:pPr>
              <w:pStyle w:val="17"/>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进度计划（开工日期、交付、结算等），控制要点（资源配置、关键节点），进度考核办法（奖罚措施等），内容描述简单、疏漏、合理性不够的得1分；</w:t>
            </w:r>
          </w:p>
          <w:p w14:paraId="06C58226">
            <w:pPr>
              <w:pStyle w:val="17"/>
              <w:rPr>
                <w:rFonts w:hint="eastAsia"/>
                <w:highlight w:val="none"/>
              </w:rPr>
            </w:pPr>
            <w:r>
              <w:rPr>
                <w:rFonts w:hint="eastAsia" w:ascii="宋体" w:hAnsi="宋体" w:eastAsia="宋体" w:cs="宋体"/>
                <w:color w:val="auto"/>
                <w:sz w:val="20"/>
                <w:szCs w:val="20"/>
                <w:highlight w:val="none"/>
                <w:lang w:val="en-US" w:eastAsia="zh-CN" w:bidi="ar-SA"/>
              </w:rPr>
              <w:t>未提供相应方案的不得分。</w:t>
            </w:r>
          </w:p>
        </w:tc>
      </w:tr>
      <w:tr w14:paraId="40DB2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75747C0A">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659C7607">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1.2过程中如何关注建设管理情况</w:t>
            </w:r>
          </w:p>
          <w:p w14:paraId="5A75EA6D">
            <w:pPr>
              <w:jc w:val="left"/>
              <w:rPr>
                <w:rFonts w:hint="eastAsia" w:ascii="宋体" w:hAnsi="宋体" w:eastAsia="宋体" w:cs="宋体"/>
                <w:b w:val="0"/>
                <w:bCs w:val="0"/>
                <w:sz w:val="20"/>
                <w:szCs w:val="20"/>
                <w:highlight w:val="none"/>
                <w:vertAlign w:val="baseline"/>
              </w:rPr>
            </w:pPr>
          </w:p>
        </w:tc>
        <w:tc>
          <w:tcPr>
            <w:tcW w:w="317" w:type="pct"/>
            <w:vAlign w:val="center"/>
          </w:tcPr>
          <w:p w14:paraId="1AE74081">
            <w:pPr>
              <w:jc w:val="center"/>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3</w:t>
            </w:r>
          </w:p>
        </w:tc>
        <w:tc>
          <w:tcPr>
            <w:tcW w:w="3524" w:type="pct"/>
          </w:tcPr>
          <w:p w14:paraId="43255BEF">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针对建设管理中的质量、安全、投资等核心领域</w:t>
            </w:r>
            <w:r>
              <w:rPr>
                <w:rFonts w:hint="eastAsia" w:ascii="宋体" w:hAnsi="宋体" w:eastAsia="宋体" w:cs="宋体"/>
                <w:color w:val="auto"/>
                <w:szCs w:val="21"/>
                <w:highlight w:val="none"/>
              </w:rPr>
              <w:t>分析全面</w:t>
            </w:r>
            <w:r>
              <w:rPr>
                <w:rFonts w:hint="eastAsia" w:ascii="宋体" w:hAnsi="宋体" w:eastAsia="宋体" w:cs="宋体"/>
                <w:color w:val="auto"/>
                <w:sz w:val="20"/>
                <w:szCs w:val="20"/>
                <w:highlight w:val="none"/>
                <w:lang w:val="en-US" w:eastAsia="zh-CN" w:bidi="ar-SA"/>
              </w:rPr>
              <w:t>，每周/每月定期巡检频率安排合理；风险应对措施详细的得3分。</w:t>
            </w:r>
          </w:p>
          <w:p w14:paraId="107D8D05">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针对建设管理中的质量、安全、投资等核心领域</w:t>
            </w:r>
            <w:r>
              <w:rPr>
                <w:rFonts w:hint="eastAsia" w:ascii="宋体" w:hAnsi="宋体" w:eastAsia="宋体" w:cs="宋体"/>
                <w:color w:val="auto"/>
                <w:szCs w:val="21"/>
                <w:highlight w:val="none"/>
              </w:rPr>
              <w:t>分析</w:t>
            </w:r>
            <w:r>
              <w:rPr>
                <w:rFonts w:hint="eastAsia" w:ascii="宋体" w:hAnsi="宋体" w:eastAsia="宋体" w:cs="宋体"/>
                <w:color w:val="auto"/>
                <w:szCs w:val="21"/>
                <w:highlight w:val="none"/>
                <w:lang w:val="en-US" w:eastAsia="zh-CN"/>
              </w:rPr>
              <w:t>较</w:t>
            </w:r>
            <w:r>
              <w:rPr>
                <w:rFonts w:hint="eastAsia" w:ascii="宋体" w:hAnsi="宋体" w:eastAsia="宋体" w:cs="宋体"/>
                <w:color w:val="auto"/>
                <w:szCs w:val="21"/>
                <w:highlight w:val="none"/>
              </w:rPr>
              <w:t>全面</w:t>
            </w:r>
            <w:r>
              <w:rPr>
                <w:rFonts w:hint="eastAsia" w:ascii="宋体" w:hAnsi="宋体" w:eastAsia="宋体" w:cs="宋体"/>
                <w:color w:val="auto"/>
                <w:sz w:val="20"/>
                <w:szCs w:val="20"/>
                <w:highlight w:val="none"/>
                <w:lang w:val="en-US" w:eastAsia="zh-CN" w:bidi="ar-SA"/>
              </w:rPr>
              <w:t>，每周/每月定期巡检频率安排较合理；风险应对措施较详细的得2分。</w:t>
            </w:r>
          </w:p>
          <w:p w14:paraId="643F3FB9">
            <w:pPr>
              <w:pStyle w:val="46"/>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针对建设管理中的质量、安全、投资等核心领域，每周/每月定期巡检频率，风险应对措施，内容描述简单、疏漏、合理性不够的得1分。</w:t>
            </w:r>
          </w:p>
          <w:p w14:paraId="5B0585F0">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zh-CN" w:eastAsia="zh-CN" w:bidi="ar-SA"/>
              </w:rPr>
            </w:pPr>
            <w:r>
              <w:rPr>
                <w:rFonts w:hint="eastAsia" w:ascii="宋体" w:hAnsi="宋体" w:eastAsia="宋体" w:cs="宋体"/>
                <w:color w:val="auto"/>
                <w:sz w:val="20"/>
                <w:szCs w:val="20"/>
                <w:highlight w:val="none"/>
                <w:lang w:val="en-US" w:eastAsia="zh-CN" w:bidi="ar-SA"/>
              </w:rPr>
              <w:t>未提供</w:t>
            </w:r>
            <w:r>
              <w:rPr>
                <w:rFonts w:hint="eastAsia" w:ascii="宋体" w:hAnsi="宋体" w:eastAsia="宋体" w:cs="宋体"/>
                <w:color w:val="auto"/>
                <w:sz w:val="20"/>
                <w:szCs w:val="20"/>
                <w:highlight w:val="none"/>
                <w:lang w:val="zh-CN" w:eastAsia="zh-CN" w:bidi="ar-SA"/>
              </w:rPr>
              <w:t>不得分。</w:t>
            </w:r>
          </w:p>
        </w:tc>
      </w:tr>
      <w:tr w14:paraId="3B17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restart"/>
            <w:vAlign w:val="center"/>
          </w:tcPr>
          <w:p w14:paraId="1A62448A">
            <w:pPr>
              <w:numPr>
                <w:ilvl w:val="0"/>
                <w:numId w:val="0"/>
              </w:numPr>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w:t>
            </w:r>
            <w:r>
              <w:rPr>
                <w:rFonts w:hint="eastAsia" w:ascii="宋体" w:hAnsi="宋体" w:eastAsia="宋体" w:cs="宋体"/>
                <w:b/>
                <w:bCs/>
                <w:color w:val="auto"/>
                <w:sz w:val="21"/>
                <w:szCs w:val="21"/>
                <w:highlight w:val="none"/>
                <w:lang w:val="zh-CN" w:eastAsia="zh-CN" w:bidi="ar-SA"/>
              </w:rPr>
              <w:t>企业内部管理制度（包括但不限于质量控制制度、廉洁制度、保密制度及档案管理制度等）</w:t>
            </w:r>
            <w:r>
              <w:rPr>
                <w:rFonts w:hint="eastAsia" w:ascii="宋体" w:hAnsi="宋体" w:eastAsia="宋体" w:cs="宋体"/>
                <w:b/>
                <w:bCs/>
                <w:color w:val="auto"/>
                <w:sz w:val="21"/>
                <w:szCs w:val="21"/>
                <w:highlight w:val="none"/>
                <w:lang w:val="en-US" w:eastAsia="zh-CN" w:bidi="ar-SA"/>
              </w:rPr>
              <w:t>11分</w:t>
            </w:r>
          </w:p>
        </w:tc>
        <w:tc>
          <w:tcPr>
            <w:tcW w:w="697" w:type="pct"/>
            <w:vAlign w:val="center"/>
          </w:tcPr>
          <w:p w14:paraId="2862A00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rPr>
            </w:pPr>
            <w:r>
              <w:rPr>
                <w:rFonts w:hint="eastAsia" w:ascii="宋体" w:hAnsi="宋体" w:eastAsia="宋体" w:cs="宋体"/>
                <w:color w:val="auto"/>
                <w:sz w:val="20"/>
                <w:szCs w:val="20"/>
                <w:highlight w:val="none"/>
                <w:lang w:val="en-US" w:eastAsia="zh-CN" w:bidi="ar-SA"/>
              </w:rPr>
              <w:t>2.1质量控制制度</w:t>
            </w:r>
          </w:p>
        </w:tc>
        <w:tc>
          <w:tcPr>
            <w:tcW w:w="317" w:type="pct"/>
            <w:vAlign w:val="center"/>
          </w:tcPr>
          <w:p w14:paraId="15815133">
            <w:pPr>
              <w:jc w:val="center"/>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3</w:t>
            </w:r>
          </w:p>
        </w:tc>
        <w:tc>
          <w:tcPr>
            <w:tcW w:w="3524" w:type="pct"/>
          </w:tcPr>
          <w:p w14:paraId="76A70DFD">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t>质量手册及程序文件</w:t>
            </w:r>
            <w:r>
              <w:rPr>
                <w:rFonts w:hint="eastAsia" w:ascii="宋体" w:hAnsi="宋体" w:eastAsia="宋体" w:cs="宋体"/>
                <w:color w:val="auto"/>
                <w:sz w:val="20"/>
                <w:szCs w:val="20"/>
                <w:highlight w:val="none"/>
                <w:lang w:val="en-US" w:eastAsia="zh-CN" w:bidi="ar-SA"/>
              </w:rPr>
              <w:t>完整、</w:t>
            </w:r>
            <w:r>
              <w:rPr>
                <w:rFonts w:hint="default" w:ascii="宋体" w:hAnsi="宋体" w:eastAsia="宋体" w:cs="宋体"/>
                <w:color w:val="auto"/>
                <w:sz w:val="20"/>
                <w:szCs w:val="20"/>
                <w:highlight w:val="none"/>
                <w:lang w:val="en-US" w:eastAsia="zh-CN" w:bidi="ar-SA"/>
              </w:rPr>
              <w:t>三级审核机制（编制、复核、审定）</w:t>
            </w:r>
            <w:r>
              <w:rPr>
                <w:rFonts w:hint="eastAsia" w:ascii="宋体" w:hAnsi="宋体" w:eastAsia="宋体" w:cs="宋体"/>
                <w:color w:val="auto"/>
                <w:sz w:val="20"/>
                <w:szCs w:val="20"/>
                <w:highlight w:val="none"/>
                <w:lang w:val="en-US" w:eastAsia="zh-CN" w:bidi="ar-SA"/>
              </w:rPr>
              <w:t>安排合理</w:t>
            </w:r>
            <w:r>
              <w:rPr>
                <w:rFonts w:hint="default" w:ascii="宋体" w:hAnsi="宋体" w:eastAsia="宋体" w:cs="宋体"/>
                <w:color w:val="auto"/>
                <w:sz w:val="20"/>
                <w:szCs w:val="20"/>
                <w:highlight w:val="none"/>
                <w:lang w:val="en-US" w:eastAsia="zh-CN" w:bidi="ar-SA"/>
              </w:rPr>
              <w:t>；各岗位质量责任制</w:t>
            </w:r>
            <w:r>
              <w:rPr>
                <w:rFonts w:hint="eastAsia" w:ascii="宋体" w:hAnsi="宋体" w:eastAsia="宋体" w:cs="宋体"/>
                <w:color w:val="auto"/>
                <w:sz w:val="20"/>
                <w:szCs w:val="20"/>
                <w:highlight w:val="none"/>
                <w:lang w:val="en-US" w:eastAsia="zh-CN" w:bidi="ar-SA"/>
              </w:rPr>
              <w:t>详细的得3分；</w:t>
            </w:r>
          </w:p>
          <w:p w14:paraId="61B25C97">
            <w:pPr>
              <w:pStyle w:val="46"/>
              <w:rPr>
                <w:rFonts w:hint="eastAsia"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t>质量手册及程序文件</w:t>
            </w:r>
            <w:r>
              <w:rPr>
                <w:rFonts w:hint="eastAsia" w:ascii="宋体" w:hAnsi="宋体" w:eastAsia="宋体" w:cs="宋体"/>
                <w:color w:val="auto"/>
                <w:sz w:val="20"/>
                <w:szCs w:val="20"/>
                <w:highlight w:val="none"/>
                <w:lang w:val="en-US" w:eastAsia="zh-CN" w:bidi="ar-SA"/>
              </w:rPr>
              <w:t>较完整</w:t>
            </w:r>
            <w:r>
              <w:rPr>
                <w:rFonts w:hint="default" w:ascii="宋体" w:hAnsi="宋体" w:eastAsia="宋体" w:cs="宋体"/>
                <w:color w:val="auto"/>
                <w:sz w:val="20"/>
                <w:szCs w:val="20"/>
                <w:highlight w:val="none"/>
                <w:lang w:val="en-US" w:eastAsia="zh-CN" w:bidi="ar-SA"/>
              </w:rPr>
              <w:t>；三级审核机制（编制、复核、审定）</w:t>
            </w:r>
            <w:r>
              <w:rPr>
                <w:rFonts w:hint="eastAsia" w:ascii="宋体" w:hAnsi="宋体" w:eastAsia="宋体" w:cs="宋体"/>
                <w:color w:val="auto"/>
                <w:sz w:val="20"/>
                <w:szCs w:val="20"/>
                <w:highlight w:val="none"/>
                <w:lang w:val="en-US" w:eastAsia="zh-CN" w:bidi="ar-SA"/>
              </w:rPr>
              <w:t>安排较合理</w:t>
            </w:r>
            <w:r>
              <w:rPr>
                <w:rFonts w:hint="default" w:ascii="宋体" w:hAnsi="宋体" w:eastAsia="宋体" w:cs="宋体"/>
                <w:color w:val="auto"/>
                <w:sz w:val="20"/>
                <w:szCs w:val="20"/>
                <w:highlight w:val="none"/>
                <w:lang w:val="en-US" w:eastAsia="zh-CN" w:bidi="ar-SA"/>
              </w:rPr>
              <w:t>；各岗位质量责任制</w:t>
            </w:r>
            <w:r>
              <w:rPr>
                <w:rFonts w:hint="eastAsia" w:ascii="宋体" w:hAnsi="宋体" w:eastAsia="宋体" w:cs="宋体"/>
                <w:color w:val="auto"/>
                <w:sz w:val="20"/>
                <w:szCs w:val="20"/>
                <w:highlight w:val="none"/>
                <w:lang w:val="en-US" w:eastAsia="zh-CN" w:bidi="ar-SA"/>
              </w:rPr>
              <w:t>较详细的得2分；</w:t>
            </w:r>
          </w:p>
          <w:p w14:paraId="592F1223">
            <w:pPr>
              <w:pStyle w:val="46"/>
              <w:rPr>
                <w:rFonts w:hint="default"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t>质量手册及程序文件</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三级审核机制（编制、复核、审定）</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各岗位质量责任制</w:t>
            </w:r>
            <w:r>
              <w:rPr>
                <w:rFonts w:hint="eastAsia" w:ascii="宋体" w:hAnsi="宋体" w:eastAsia="宋体" w:cs="宋体"/>
                <w:color w:val="auto"/>
                <w:sz w:val="20"/>
                <w:szCs w:val="20"/>
                <w:highlight w:val="none"/>
                <w:lang w:val="en-US" w:eastAsia="zh-CN" w:bidi="ar-SA"/>
              </w:rPr>
              <w:t>，内容描述简单、疏漏、合理性不够的得1分。</w:t>
            </w:r>
          </w:p>
          <w:p w14:paraId="4B8192C9">
            <w:pPr>
              <w:keepNext w:val="0"/>
              <w:keepLines w:val="0"/>
              <w:pageBreakBefore w:val="0"/>
              <w:widowControl w:val="0"/>
              <w:kinsoku/>
              <w:wordWrap/>
              <w:overflowPunct/>
              <w:topLinePunct w:val="0"/>
              <w:autoSpaceDE/>
              <w:autoSpaceDN/>
              <w:bidi w:val="0"/>
              <w:adjustRightInd/>
              <w:spacing w:line="360" w:lineRule="auto"/>
              <w:ind w:left="420" w:leftChars="200" w:firstLine="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未提供的不得分。</w:t>
            </w:r>
          </w:p>
        </w:tc>
      </w:tr>
      <w:tr w14:paraId="5A689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7F9E858F">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793D27A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2.2廉洁制度</w:t>
            </w:r>
          </w:p>
        </w:tc>
        <w:tc>
          <w:tcPr>
            <w:tcW w:w="317" w:type="pct"/>
            <w:vAlign w:val="center"/>
          </w:tcPr>
          <w:p w14:paraId="2662E16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2</w:t>
            </w:r>
          </w:p>
        </w:tc>
        <w:tc>
          <w:tcPr>
            <w:tcW w:w="3524" w:type="pct"/>
          </w:tcPr>
          <w:p w14:paraId="2CBF8893">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t>有独立的廉洁管理办法</w:t>
            </w:r>
            <w:r>
              <w:rPr>
                <w:rFonts w:hint="eastAsia" w:ascii="宋体" w:hAnsi="宋体" w:eastAsia="宋体" w:cs="宋体"/>
                <w:color w:val="auto"/>
                <w:sz w:val="20"/>
                <w:szCs w:val="20"/>
                <w:highlight w:val="none"/>
                <w:lang w:val="en-US" w:eastAsia="zh-CN" w:bidi="ar-SA"/>
              </w:rPr>
              <w:t>，如</w:t>
            </w:r>
            <w:r>
              <w:rPr>
                <w:rFonts w:hint="default" w:ascii="宋体" w:hAnsi="宋体" w:eastAsia="宋体" w:cs="宋体"/>
                <w:color w:val="auto"/>
                <w:sz w:val="20"/>
                <w:szCs w:val="20"/>
                <w:highlight w:val="none"/>
                <w:lang w:val="en-US" w:eastAsia="zh-CN" w:bidi="ar-SA"/>
              </w:rPr>
              <w:t>外部举报途径（电话/邮箱）及内部审计频率</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合同附件中</w:t>
            </w:r>
            <w:r>
              <w:rPr>
                <w:rFonts w:hint="eastAsia" w:ascii="宋体" w:hAnsi="宋体" w:eastAsia="宋体" w:cs="宋体"/>
                <w:color w:val="auto"/>
                <w:sz w:val="20"/>
                <w:szCs w:val="20"/>
                <w:highlight w:val="none"/>
                <w:lang w:val="en-US" w:eastAsia="zh-CN" w:bidi="ar-SA"/>
              </w:rPr>
              <w:t>有</w:t>
            </w:r>
            <w:r>
              <w:rPr>
                <w:rFonts w:hint="default" w:ascii="宋体" w:hAnsi="宋体" w:eastAsia="宋体" w:cs="宋体"/>
                <w:color w:val="auto"/>
                <w:sz w:val="20"/>
                <w:szCs w:val="20"/>
                <w:highlight w:val="none"/>
                <w:lang w:val="en-US" w:eastAsia="zh-CN" w:bidi="ar-SA"/>
              </w:rPr>
              <w:t>《廉洁承诺书》标准模板</w:t>
            </w:r>
            <w:r>
              <w:rPr>
                <w:rFonts w:hint="eastAsia" w:ascii="宋体" w:hAnsi="宋体" w:eastAsia="宋体" w:cs="宋体"/>
                <w:color w:val="auto"/>
                <w:sz w:val="20"/>
                <w:szCs w:val="20"/>
                <w:highlight w:val="none"/>
                <w:lang w:val="en-US" w:eastAsia="zh-CN" w:bidi="ar-SA"/>
              </w:rPr>
              <w:t>等细则考虑周全，描述详细的2分；</w:t>
            </w:r>
          </w:p>
          <w:p w14:paraId="0BD03002">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default"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t>有独立的廉洁管理办法</w:t>
            </w:r>
            <w:r>
              <w:rPr>
                <w:rFonts w:hint="eastAsia" w:ascii="宋体" w:hAnsi="宋体" w:eastAsia="宋体" w:cs="宋体"/>
                <w:color w:val="auto"/>
                <w:sz w:val="20"/>
                <w:szCs w:val="20"/>
                <w:highlight w:val="none"/>
                <w:lang w:val="en-US" w:eastAsia="zh-CN" w:bidi="ar-SA"/>
              </w:rPr>
              <w:t>，如</w:t>
            </w:r>
            <w:r>
              <w:rPr>
                <w:rFonts w:hint="default" w:ascii="宋体" w:hAnsi="宋体" w:eastAsia="宋体" w:cs="宋体"/>
                <w:color w:val="auto"/>
                <w:sz w:val="20"/>
                <w:szCs w:val="20"/>
                <w:highlight w:val="none"/>
                <w:lang w:val="en-US" w:eastAsia="zh-CN" w:bidi="ar-SA"/>
              </w:rPr>
              <w:t>外部举报途径（电话/邮箱）及内部审计频率</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合同附件中</w:t>
            </w:r>
            <w:r>
              <w:rPr>
                <w:rFonts w:hint="eastAsia" w:ascii="宋体" w:hAnsi="宋体" w:eastAsia="宋体" w:cs="宋体"/>
                <w:color w:val="auto"/>
                <w:sz w:val="20"/>
                <w:szCs w:val="20"/>
                <w:highlight w:val="none"/>
                <w:lang w:val="en-US" w:eastAsia="zh-CN" w:bidi="ar-SA"/>
              </w:rPr>
              <w:t>有</w:t>
            </w:r>
            <w:r>
              <w:rPr>
                <w:rFonts w:hint="default" w:ascii="宋体" w:hAnsi="宋体" w:eastAsia="宋体" w:cs="宋体"/>
                <w:color w:val="auto"/>
                <w:sz w:val="20"/>
                <w:szCs w:val="20"/>
                <w:highlight w:val="none"/>
                <w:lang w:val="en-US" w:eastAsia="zh-CN" w:bidi="ar-SA"/>
              </w:rPr>
              <w:t>《廉洁承诺书》标准模板</w:t>
            </w:r>
            <w:r>
              <w:rPr>
                <w:rFonts w:hint="eastAsia" w:ascii="宋体" w:hAnsi="宋体" w:eastAsia="宋体" w:cs="宋体"/>
                <w:color w:val="auto"/>
                <w:sz w:val="20"/>
                <w:szCs w:val="20"/>
                <w:highlight w:val="none"/>
                <w:lang w:val="en-US" w:eastAsia="zh-CN" w:bidi="ar-SA"/>
              </w:rPr>
              <w:t>等细则，描述较详细的1.5分；</w:t>
            </w:r>
          </w:p>
          <w:p w14:paraId="208027D0">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default" w:ascii="宋体" w:hAnsi="宋体" w:eastAsia="宋体" w:cs="宋体"/>
                <w:color w:val="auto"/>
                <w:sz w:val="20"/>
                <w:szCs w:val="20"/>
                <w:highlight w:val="none"/>
                <w:lang w:val="en-US" w:eastAsia="zh-CN" w:bidi="ar-SA"/>
              </w:rPr>
            </w:pPr>
            <w:r>
              <w:rPr>
                <w:rFonts w:hint="default" w:ascii="宋体" w:hAnsi="宋体" w:eastAsia="宋体" w:cs="宋体"/>
                <w:color w:val="auto"/>
                <w:sz w:val="20"/>
                <w:szCs w:val="20"/>
                <w:highlight w:val="none"/>
                <w:lang w:val="en-US" w:eastAsia="zh-CN" w:bidi="ar-SA"/>
              </w:rPr>
              <w:t>有独立的廉洁管理办法</w:t>
            </w:r>
            <w:r>
              <w:rPr>
                <w:rFonts w:hint="eastAsia" w:ascii="宋体" w:hAnsi="宋体" w:eastAsia="宋体" w:cs="宋体"/>
                <w:color w:val="auto"/>
                <w:sz w:val="20"/>
                <w:szCs w:val="20"/>
                <w:highlight w:val="none"/>
                <w:lang w:val="en-US" w:eastAsia="zh-CN" w:bidi="ar-SA"/>
              </w:rPr>
              <w:t>，如</w:t>
            </w:r>
            <w:r>
              <w:rPr>
                <w:rFonts w:hint="default" w:ascii="宋体" w:hAnsi="宋体" w:eastAsia="宋体" w:cs="宋体"/>
                <w:color w:val="auto"/>
                <w:sz w:val="20"/>
                <w:szCs w:val="20"/>
                <w:highlight w:val="none"/>
                <w:lang w:val="en-US" w:eastAsia="zh-CN" w:bidi="ar-SA"/>
              </w:rPr>
              <w:t>外部举报途径（电话/邮箱）及内部审计频率</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合同附件中</w:t>
            </w:r>
            <w:r>
              <w:rPr>
                <w:rFonts w:hint="eastAsia" w:ascii="宋体" w:hAnsi="宋体" w:eastAsia="宋体" w:cs="宋体"/>
                <w:color w:val="auto"/>
                <w:sz w:val="20"/>
                <w:szCs w:val="20"/>
                <w:highlight w:val="none"/>
                <w:lang w:val="en-US" w:eastAsia="zh-CN" w:bidi="ar-SA"/>
              </w:rPr>
              <w:t>有</w:t>
            </w:r>
            <w:r>
              <w:rPr>
                <w:rFonts w:hint="default" w:ascii="宋体" w:hAnsi="宋体" w:eastAsia="宋体" w:cs="宋体"/>
                <w:color w:val="auto"/>
                <w:sz w:val="20"/>
                <w:szCs w:val="20"/>
                <w:highlight w:val="none"/>
                <w:lang w:val="en-US" w:eastAsia="zh-CN" w:bidi="ar-SA"/>
              </w:rPr>
              <w:t>《廉洁承诺书》标准模板</w:t>
            </w:r>
            <w:r>
              <w:rPr>
                <w:rFonts w:hint="eastAsia" w:ascii="宋体" w:hAnsi="宋体" w:eastAsia="宋体" w:cs="宋体"/>
                <w:color w:val="auto"/>
                <w:sz w:val="20"/>
                <w:szCs w:val="20"/>
                <w:highlight w:val="none"/>
                <w:lang w:val="en-US" w:eastAsia="zh-CN" w:bidi="ar-SA"/>
              </w:rPr>
              <w:t>等细则，内容描述简单、疏漏、合理性不够的得1分</w:t>
            </w:r>
            <w:r>
              <w:rPr>
                <w:rFonts w:hint="default" w:ascii="宋体" w:hAnsi="宋体" w:eastAsia="宋体" w:cs="宋体"/>
                <w:color w:val="auto"/>
                <w:sz w:val="20"/>
                <w:szCs w:val="20"/>
                <w:highlight w:val="none"/>
                <w:lang w:val="en-US" w:eastAsia="zh-CN" w:bidi="ar-SA"/>
              </w:rPr>
              <w:t>。</w:t>
            </w:r>
          </w:p>
          <w:p w14:paraId="4DB6F088">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未提供的不得分。</w:t>
            </w:r>
          </w:p>
        </w:tc>
      </w:tr>
      <w:tr w14:paraId="0FE9D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5C26B21C">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7FFE7F0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2.3保密制度</w:t>
            </w:r>
          </w:p>
        </w:tc>
        <w:tc>
          <w:tcPr>
            <w:tcW w:w="317" w:type="pct"/>
            <w:vAlign w:val="center"/>
          </w:tcPr>
          <w:p w14:paraId="30AE280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3</w:t>
            </w:r>
          </w:p>
        </w:tc>
        <w:tc>
          <w:tcPr>
            <w:tcW w:w="3524" w:type="pct"/>
          </w:tcPr>
          <w:p w14:paraId="2087F3DE">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保密制度</w:t>
            </w:r>
            <w:r>
              <w:rPr>
                <w:rFonts w:hint="default" w:ascii="宋体" w:hAnsi="宋体" w:eastAsia="宋体" w:cs="宋体"/>
                <w:color w:val="auto"/>
                <w:sz w:val="20"/>
                <w:szCs w:val="20"/>
                <w:highlight w:val="none"/>
                <w:lang w:val="en-US" w:eastAsia="zh-CN" w:bidi="ar-SA"/>
              </w:rPr>
              <w:t>明确涉密等级划分（如绝密、机密、秘密）</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有物理/软件防泄密措施（如专用加密电脑或U盘）</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员工入职全员签署《保密协议》</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项目退出后的资料销毁/归还流程</w:t>
            </w:r>
            <w:r>
              <w:rPr>
                <w:rFonts w:hint="eastAsia" w:ascii="宋体" w:hAnsi="宋体" w:eastAsia="宋体" w:cs="宋体"/>
                <w:color w:val="auto"/>
                <w:sz w:val="20"/>
                <w:szCs w:val="20"/>
                <w:highlight w:val="none"/>
                <w:lang w:val="en-US" w:eastAsia="zh-CN" w:bidi="ar-SA"/>
              </w:rPr>
              <w:t>等内容描述详细的得3分；</w:t>
            </w:r>
          </w:p>
          <w:p w14:paraId="5D82E9B6">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保密制度</w:t>
            </w:r>
            <w:r>
              <w:rPr>
                <w:rFonts w:hint="default" w:ascii="宋体" w:hAnsi="宋体" w:eastAsia="宋体" w:cs="宋体"/>
                <w:color w:val="auto"/>
                <w:sz w:val="20"/>
                <w:szCs w:val="20"/>
                <w:highlight w:val="none"/>
                <w:lang w:val="en-US" w:eastAsia="zh-CN" w:bidi="ar-SA"/>
              </w:rPr>
              <w:t>明确涉密等级划分（如绝密、机密、秘密）</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有物理/软件防泄密措施（如专用加密电脑或U盘）</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员工入职全员签署《保密协议》</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项目退出后的资料销毁/归还流程</w:t>
            </w:r>
            <w:r>
              <w:rPr>
                <w:rFonts w:hint="eastAsia" w:ascii="宋体" w:hAnsi="宋体" w:eastAsia="宋体" w:cs="宋体"/>
                <w:color w:val="auto"/>
                <w:sz w:val="20"/>
                <w:szCs w:val="20"/>
                <w:highlight w:val="none"/>
                <w:lang w:val="en-US" w:eastAsia="zh-CN" w:bidi="ar-SA"/>
              </w:rPr>
              <w:t>等内容描述较为详细的得2分；</w:t>
            </w:r>
          </w:p>
          <w:p w14:paraId="141DD8AC">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保密制度</w:t>
            </w:r>
            <w:r>
              <w:rPr>
                <w:rFonts w:hint="default" w:ascii="宋体" w:hAnsi="宋体" w:eastAsia="宋体" w:cs="宋体"/>
                <w:color w:val="auto"/>
                <w:sz w:val="20"/>
                <w:szCs w:val="20"/>
                <w:highlight w:val="none"/>
                <w:lang w:val="en-US" w:eastAsia="zh-CN" w:bidi="ar-SA"/>
              </w:rPr>
              <w:t>明确涉密等级划分（如绝密、机密、秘密）</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有物理/软件防泄密措施（如专用加密电脑或U盘）</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员工入职全员签署《保密协议》</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项目退出后的资料销毁/归还流程</w:t>
            </w:r>
            <w:r>
              <w:rPr>
                <w:rFonts w:hint="eastAsia" w:ascii="宋体" w:hAnsi="宋体" w:eastAsia="宋体" w:cs="宋体"/>
                <w:color w:val="auto"/>
                <w:sz w:val="20"/>
                <w:szCs w:val="20"/>
                <w:highlight w:val="none"/>
                <w:lang w:val="en-US" w:eastAsia="zh-CN" w:bidi="ar-SA"/>
              </w:rPr>
              <w:t>等，内容描述简单、疏漏、合理性不够的得1分。</w:t>
            </w:r>
          </w:p>
          <w:p w14:paraId="4AE4FD23">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未提供的不得分。</w:t>
            </w:r>
          </w:p>
        </w:tc>
      </w:tr>
      <w:tr w14:paraId="7AFB9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0" w:type="pct"/>
            <w:vMerge w:val="continue"/>
          </w:tcPr>
          <w:p w14:paraId="78A1D7B8">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054AFB1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2.4档案管理</w:t>
            </w:r>
            <w:r>
              <w:rPr>
                <w:rFonts w:hint="eastAsia" w:ascii="宋体" w:hAnsi="宋体" w:eastAsia="宋体" w:cs="宋体"/>
                <w:color w:val="auto"/>
                <w:sz w:val="20"/>
                <w:szCs w:val="20"/>
                <w:highlight w:val="none"/>
                <w:lang w:val="zh-CN" w:eastAsia="zh-CN" w:bidi="ar-SA"/>
              </w:rPr>
              <w:t>制度</w:t>
            </w:r>
          </w:p>
        </w:tc>
        <w:tc>
          <w:tcPr>
            <w:tcW w:w="317" w:type="pct"/>
            <w:vAlign w:val="center"/>
          </w:tcPr>
          <w:p w14:paraId="549BB8A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3</w:t>
            </w:r>
          </w:p>
        </w:tc>
        <w:tc>
          <w:tcPr>
            <w:tcW w:w="3524" w:type="pct"/>
          </w:tcPr>
          <w:p w14:paraId="64091B64">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档案管理</w:t>
            </w:r>
            <w:r>
              <w:rPr>
                <w:rFonts w:hint="eastAsia" w:ascii="宋体" w:hAnsi="宋体" w:eastAsia="宋体" w:cs="宋体"/>
                <w:color w:val="auto"/>
                <w:sz w:val="20"/>
                <w:szCs w:val="20"/>
                <w:highlight w:val="none"/>
                <w:lang w:val="zh-CN" w:eastAsia="zh-CN" w:bidi="ar-SA"/>
              </w:rPr>
              <w:t>制度</w:t>
            </w:r>
            <w:r>
              <w:rPr>
                <w:rFonts w:hint="eastAsia" w:ascii="宋体" w:hAnsi="宋体" w:eastAsia="宋体" w:cs="宋体"/>
                <w:color w:val="auto"/>
                <w:sz w:val="20"/>
                <w:szCs w:val="20"/>
                <w:highlight w:val="none"/>
                <w:lang w:val="en-US" w:eastAsia="zh-CN" w:bidi="ar-SA"/>
              </w:rPr>
              <w:t>如</w:t>
            </w:r>
            <w:r>
              <w:rPr>
                <w:rFonts w:hint="default" w:ascii="宋体" w:hAnsi="宋体" w:eastAsia="宋体" w:cs="宋体"/>
                <w:color w:val="auto"/>
                <w:sz w:val="20"/>
                <w:szCs w:val="20"/>
                <w:highlight w:val="none"/>
                <w:lang w:val="en-US" w:eastAsia="zh-CN" w:bidi="ar-SA"/>
              </w:rPr>
              <w:t>有专职或兼职档案员</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具备符合要求的存放空间或云存储系统</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建立档案借阅/销毁登记台账</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明确纸质与电子档案同步备份机制</w:t>
            </w:r>
            <w:r>
              <w:rPr>
                <w:rFonts w:hint="eastAsia" w:ascii="宋体" w:hAnsi="宋体" w:eastAsia="宋体" w:cs="宋体"/>
                <w:color w:val="auto"/>
                <w:sz w:val="20"/>
                <w:szCs w:val="20"/>
                <w:highlight w:val="none"/>
                <w:lang w:val="en-US" w:eastAsia="zh-CN" w:bidi="ar-SA"/>
              </w:rPr>
              <w:t>等，方案详细的得3分；</w:t>
            </w:r>
          </w:p>
          <w:p w14:paraId="71ABB24A">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档案管理</w:t>
            </w:r>
            <w:r>
              <w:rPr>
                <w:rFonts w:hint="eastAsia" w:ascii="宋体" w:hAnsi="宋体" w:eastAsia="宋体" w:cs="宋体"/>
                <w:color w:val="auto"/>
                <w:sz w:val="20"/>
                <w:szCs w:val="20"/>
                <w:highlight w:val="none"/>
                <w:lang w:val="zh-CN" w:eastAsia="zh-CN" w:bidi="ar-SA"/>
              </w:rPr>
              <w:t>制度</w:t>
            </w:r>
            <w:r>
              <w:rPr>
                <w:rFonts w:hint="eastAsia" w:ascii="宋体" w:hAnsi="宋体" w:eastAsia="宋体" w:cs="宋体"/>
                <w:color w:val="auto"/>
                <w:sz w:val="20"/>
                <w:szCs w:val="20"/>
                <w:highlight w:val="none"/>
                <w:lang w:val="en-US" w:eastAsia="zh-CN" w:bidi="ar-SA"/>
              </w:rPr>
              <w:t>如</w:t>
            </w:r>
            <w:r>
              <w:rPr>
                <w:rFonts w:hint="default" w:ascii="宋体" w:hAnsi="宋体" w:eastAsia="宋体" w:cs="宋体"/>
                <w:color w:val="auto"/>
                <w:sz w:val="20"/>
                <w:szCs w:val="20"/>
                <w:highlight w:val="none"/>
                <w:lang w:val="en-US" w:eastAsia="zh-CN" w:bidi="ar-SA"/>
              </w:rPr>
              <w:t>有专职或兼职档案员</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具备符合要求的存放空间或云存储系统</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建立档案借阅/销毁登记台账</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明确纸质与电子档案同步备份机制</w:t>
            </w:r>
            <w:r>
              <w:rPr>
                <w:rFonts w:hint="eastAsia" w:ascii="宋体" w:hAnsi="宋体" w:eastAsia="宋体" w:cs="宋体"/>
                <w:color w:val="auto"/>
                <w:sz w:val="20"/>
                <w:szCs w:val="20"/>
                <w:highlight w:val="none"/>
                <w:lang w:val="en-US" w:eastAsia="zh-CN" w:bidi="ar-SA"/>
              </w:rPr>
              <w:t>等，方案较详细的得2分。</w:t>
            </w:r>
          </w:p>
          <w:p w14:paraId="02179511">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档案管理</w:t>
            </w:r>
            <w:r>
              <w:rPr>
                <w:rFonts w:hint="eastAsia" w:ascii="宋体" w:hAnsi="宋体" w:eastAsia="宋体" w:cs="宋体"/>
                <w:color w:val="auto"/>
                <w:sz w:val="20"/>
                <w:szCs w:val="20"/>
                <w:highlight w:val="none"/>
                <w:lang w:val="zh-CN" w:eastAsia="zh-CN" w:bidi="ar-SA"/>
              </w:rPr>
              <w:t>制度</w:t>
            </w:r>
            <w:r>
              <w:rPr>
                <w:rFonts w:hint="eastAsia" w:ascii="宋体" w:hAnsi="宋体" w:eastAsia="宋体" w:cs="宋体"/>
                <w:color w:val="auto"/>
                <w:sz w:val="20"/>
                <w:szCs w:val="20"/>
                <w:highlight w:val="none"/>
                <w:lang w:val="en-US" w:eastAsia="zh-CN" w:bidi="ar-SA"/>
              </w:rPr>
              <w:t>如</w:t>
            </w:r>
            <w:r>
              <w:rPr>
                <w:rFonts w:hint="default" w:ascii="宋体" w:hAnsi="宋体" w:eastAsia="宋体" w:cs="宋体"/>
                <w:color w:val="auto"/>
                <w:sz w:val="20"/>
                <w:szCs w:val="20"/>
                <w:highlight w:val="none"/>
                <w:lang w:val="en-US" w:eastAsia="zh-CN" w:bidi="ar-SA"/>
              </w:rPr>
              <w:t>有专职或兼职档案员</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具备符合要求的存放空间或云存储系统</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建立档案借阅/销毁登记台账</w:t>
            </w:r>
            <w:r>
              <w:rPr>
                <w:rFonts w:hint="eastAsia" w:ascii="宋体" w:hAnsi="宋体" w:eastAsia="宋体" w:cs="宋体"/>
                <w:color w:val="auto"/>
                <w:sz w:val="20"/>
                <w:szCs w:val="20"/>
                <w:highlight w:val="none"/>
                <w:lang w:val="en-US" w:eastAsia="zh-CN" w:bidi="ar-SA"/>
              </w:rPr>
              <w:t>、</w:t>
            </w:r>
            <w:r>
              <w:rPr>
                <w:rFonts w:hint="default" w:ascii="宋体" w:hAnsi="宋体" w:eastAsia="宋体" w:cs="宋体"/>
                <w:color w:val="auto"/>
                <w:sz w:val="20"/>
                <w:szCs w:val="20"/>
                <w:highlight w:val="none"/>
                <w:lang w:val="en-US" w:eastAsia="zh-CN" w:bidi="ar-SA"/>
              </w:rPr>
              <w:t>明确纸质与电子档案同步备份机制</w:t>
            </w:r>
            <w:r>
              <w:rPr>
                <w:rFonts w:hint="eastAsia" w:ascii="宋体" w:hAnsi="宋体" w:eastAsia="宋体" w:cs="宋体"/>
                <w:color w:val="auto"/>
                <w:sz w:val="20"/>
                <w:szCs w:val="20"/>
                <w:highlight w:val="none"/>
                <w:lang w:val="en-US" w:eastAsia="zh-CN" w:bidi="ar-SA"/>
              </w:rPr>
              <w:t>等，内容描述简单、疏漏、合理性不够的得1分。</w:t>
            </w:r>
          </w:p>
          <w:p w14:paraId="19CDE924">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未提供的不得分。</w:t>
            </w:r>
          </w:p>
        </w:tc>
      </w:tr>
      <w:tr w14:paraId="6128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pct"/>
            <w:gridSpan w:val="2"/>
            <w:vAlign w:val="center"/>
          </w:tcPr>
          <w:p w14:paraId="0A7D8363">
            <w:pPr>
              <w:numPr>
                <w:ilvl w:val="0"/>
                <w:numId w:val="0"/>
              </w:numPr>
              <w:ind w:left="0" w:leftChars="0" w:firstLine="0" w:firstLineChars="0"/>
              <w:jc w:val="both"/>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3.</w:t>
            </w:r>
            <w:r>
              <w:rPr>
                <w:rFonts w:hint="eastAsia" w:ascii="宋体" w:hAnsi="宋体" w:eastAsia="宋体" w:cs="宋体"/>
                <w:b/>
                <w:bCs/>
                <w:color w:val="auto"/>
                <w:sz w:val="21"/>
                <w:szCs w:val="21"/>
                <w:highlight w:val="none"/>
                <w:lang w:val="zh-CN" w:eastAsia="zh-CN" w:bidi="ar-SA"/>
              </w:rPr>
              <w:t>针对该项目交通保障、服务响应能力措施方案（包括但不限于交通保障方案、服务响应能力保障方案的承诺等内容。方案中必须载明服务响应时间，并与服务响应承诺书中保持一致）</w:t>
            </w:r>
          </w:p>
          <w:p w14:paraId="4318E285">
            <w:pPr>
              <w:numPr>
                <w:ilvl w:val="0"/>
                <w:numId w:val="0"/>
              </w:numPr>
              <w:ind w:leftChars="0"/>
              <w:jc w:val="both"/>
              <w:rPr>
                <w:rFonts w:hint="default" w:ascii="宋体" w:hAnsi="宋体" w:eastAsia="宋体" w:cs="宋体"/>
                <w:color w:val="auto"/>
                <w:sz w:val="20"/>
                <w:szCs w:val="20"/>
                <w:highlight w:val="none"/>
                <w:lang w:val="en-US" w:eastAsia="zh-CN" w:bidi="ar-SA"/>
              </w:rPr>
            </w:pPr>
          </w:p>
        </w:tc>
        <w:tc>
          <w:tcPr>
            <w:tcW w:w="317" w:type="pct"/>
            <w:vAlign w:val="center"/>
          </w:tcPr>
          <w:p w14:paraId="6274036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6</w:t>
            </w:r>
          </w:p>
        </w:tc>
        <w:tc>
          <w:tcPr>
            <w:tcW w:w="3524" w:type="pct"/>
          </w:tcPr>
          <w:p w14:paraId="08C76B81">
            <w:pPr>
              <w:keepNext w:val="0"/>
              <w:keepLines w:val="0"/>
              <w:pageBreakBefore w:val="0"/>
              <w:widowControl w:val="0"/>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t>交通保障方案完善，合理可行，快速到项目地点，且服务质量响应能力保障方案内容全面、组织有力、措施完善合理，提供完善齐全的服务承诺，相应的服务措施合理且可行的得6分；</w:t>
            </w:r>
          </w:p>
          <w:p w14:paraId="65DF9AA7">
            <w:pPr>
              <w:keepNext w:val="0"/>
              <w:keepLines w:val="0"/>
              <w:pageBreakBefore w:val="0"/>
              <w:widowControl w:val="0"/>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t>交通保障方案较完善，较合理，较快速到项目地点，且服务响应能力保障方案内容基本齐全、组织和措施较完善，提供的服务承诺比较齐全、比较完整，相应的措施比较合理、比较可行得4分；</w:t>
            </w:r>
          </w:p>
          <w:p w14:paraId="60A1BECD">
            <w:pPr>
              <w:keepNext w:val="0"/>
              <w:keepLines w:val="0"/>
              <w:pageBreakBefore w:val="0"/>
              <w:widowControl w:val="0"/>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t>交通保障方案内容缺漏，合理性不够，到项目地点速度慢，服务质量响应能力保障方案内容缺失、组织和措施合理性不够，提供的服务承诺不够齐全、完整，相应的服务措施基本满足要求的得2分；</w:t>
            </w:r>
          </w:p>
          <w:p w14:paraId="0F874981">
            <w:pPr>
              <w:keepNext w:val="0"/>
              <w:keepLines w:val="0"/>
              <w:pageBreakBefore w:val="0"/>
              <w:widowControl w:val="0"/>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bidi="ar-SA"/>
              </w:rPr>
              <w:t>未提供相应方案的不得分。</w:t>
            </w:r>
          </w:p>
        </w:tc>
      </w:tr>
      <w:tr w14:paraId="73E9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pct"/>
            <w:gridSpan w:val="2"/>
            <w:vAlign w:val="center"/>
          </w:tcPr>
          <w:p w14:paraId="32FE86E5">
            <w:pPr>
              <w:numPr>
                <w:ilvl w:val="0"/>
                <w:numId w:val="0"/>
              </w:numPr>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4.</w:t>
            </w:r>
            <w:r>
              <w:rPr>
                <w:rFonts w:hint="eastAsia" w:ascii="宋体" w:hAnsi="宋体" w:eastAsia="宋体" w:cs="宋体"/>
                <w:b/>
                <w:bCs/>
                <w:color w:val="auto"/>
                <w:sz w:val="21"/>
                <w:szCs w:val="21"/>
                <w:highlight w:val="none"/>
                <w:lang w:val="zh-CN" w:eastAsia="zh-CN" w:bidi="ar-SA"/>
              </w:rPr>
              <w:t>结算跟踪审计</w:t>
            </w:r>
            <w:r>
              <w:rPr>
                <w:rFonts w:hint="eastAsia" w:ascii="宋体" w:hAnsi="宋体" w:eastAsia="宋体" w:cs="宋体"/>
                <w:b/>
                <w:bCs/>
                <w:color w:val="auto"/>
                <w:sz w:val="21"/>
                <w:szCs w:val="21"/>
                <w:highlight w:val="none"/>
                <w:lang w:val="en-US" w:eastAsia="zh-CN" w:bidi="ar-SA"/>
              </w:rPr>
              <w:t>工作难点分析及具体应对措施</w:t>
            </w:r>
          </w:p>
          <w:p w14:paraId="1A55872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0"/>
                <w:szCs w:val="20"/>
                <w:highlight w:val="none"/>
                <w:lang w:val="en-US" w:eastAsia="zh-CN" w:bidi="ar-SA"/>
              </w:rPr>
            </w:pPr>
          </w:p>
        </w:tc>
        <w:tc>
          <w:tcPr>
            <w:tcW w:w="317" w:type="pct"/>
            <w:vAlign w:val="center"/>
          </w:tcPr>
          <w:p w14:paraId="39628CF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4</w:t>
            </w:r>
          </w:p>
        </w:tc>
        <w:tc>
          <w:tcPr>
            <w:tcW w:w="3524" w:type="pct"/>
          </w:tcPr>
          <w:p w14:paraId="79062EEF">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对项目特有的隐蔽工程、材料差价、复杂设计变更等关键痛点描述详细；事前预警、事中动态监控及事后核减复核方案可行性强；提供同类型项目纠偏案例作为支撑方案等落地性强的得4分。</w:t>
            </w:r>
          </w:p>
          <w:p w14:paraId="5F03C10D">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对项目特有的隐蔽工程、材料差价、复杂设计变更等关键痛点描述较详细；事前预警、事中动态监控及事后核减复核方案可行性较强；提供同类型项目纠偏案例作为支撑方案等落地性较强的得3分。</w:t>
            </w:r>
          </w:p>
          <w:p w14:paraId="454D03AB">
            <w:pPr>
              <w:pStyle w:val="46"/>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对项目特有的隐蔽工程、材料差价、复杂设计变更等关键痛点描述一般；事前预警、事中动态监控及事后核减复核方案可行性一般；提供同类型项目纠偏案例作为支撑方案等落地性一般的得2分。</w:t>
            </w:r>
          </w:p>
          <w:p w14:paraId="4F26A39A">
            <w:pPr>
              <w:pStyle w:val="46"/>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对项目特有的隐蔽工程、材料差价、复杂设计变更等关键痛点，事前预警、事中动态监控及事后核减复核方案，提供同类型项目纠偏案例作为支撑方案等，内容描述简单、疏漏、合理性不够的得1分。</w:t>
            </w:r>
          </w:p>
          <w:p w14:paraId="0D885BC1">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zh-CN" w:eastAsia="zh-CN" w:bidi="ar-SA"/>
              </w:rPr>
              <w:t>未提供相应方案的不得分。</w:t>
            </w:r>
          </w:p>
        </w:tc>
      </w:tr>
      <w:tr w14:paraId="06D07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pct"/>
            <w:gridSpan w:val="2"/>
            <w:vAlign w:val="center"/>
          </w:tcPr>
          <w:p w14:paraId="50DCD752">
            <w:pPr>
              <w:numPr>
                <w:ilvl w:val="0"/>
                <w:numId w:val="0"/>
              </w:numPr>
              <w:jc w:val="center"/>
              <w:rPr>
                <w:rFonts w:hint="eastAsia" w:ascii="宋体" w:hAnsi="宋体" w:eastAsia="宋体" w:cs="宋体"/>
                <w:b/>
                <w:bCs/>
                <w:color w:val="auto"/>
                <w:sz w:val="21"/>
                <w:szCs w:val="21"/>
                <w:highlight w:val="none"/>
                <w:lang w:val="en-US" w:eastAsia="zh-CN" w:bidi="ar-SA"/>
              </w:rPr>
            </w:pPr>
            <w:bookmarkStart w:id="74" w:name="_Toc26092"/>
            <w:r>
              <w:rPr>
                <w:rFonts w:hint="eastAsia" w:ascii="宋体" w:hAnsi="宋体" w:eastAsia="宋体" w:cs="宋体"/>
                <w:b/>
                <w:bCs/>
                <w:color w:val="auto"/>
                <w:sz w:val="21"/>
                <w:szCs w:val="21"/>
                <w:highlight w:val="none"/>
                <w:lang w:val="en-US" w:eastAsia="zh-CN" w:bidi="ar-SA"/>
              </w:rPr>
              <w:t>5.</w:t>
            </w:r>
            <w:r>
              <w:rPr>
                <w:rFonts w:hint="eastAsia" w:ascii="宋体" w:hAnsi="宋体" w:eastAsia="宋体" w:cs="宋体"/>
                <w:b/>
                <w:bCs/>
                <w:color w:val="auto"/>
                <w:sz w:val="21"/>
                <w:szCs w:val="21"/>
                <w:highlight w:val="none"/>
                <w:lang w:val="zh-CN" w:eastAsia="zh-CN" w:bidi="ar-SA"/>
              </w:rPr>
              <w:t>跟踪审计成果报告方案</w:t>
            </w:r>
          </w:p>
        </w:tc>
        <w:tc>
          <w:tcPr>
            <w:tcW w:w="317" w:type="pct"/>
            <w:vAlign w:val="center"/>
          </w:tcPr>
          <w:p w14:paraId="1F2F5D6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4</w:t>
            </w:r>
          </w:p>
        </w:tc>
        <w:tc>
          <w:tcPr>
            <w:tcW w:w="3524" w:type="pct"/>
          </w:tcPr>
          <w:p w14:paraId="2D40C45F">
            <w:pPr>
              <w:widowControl/>
              <w:spacing w:line="360" w:lineRule="auto"/>
              <w:ind w:firstLine="400" w:firstLineChars="200"/>
              <w:textAlignment w:val="baseline"/>
              <w:rPr>
                <w:rStyle w:val="374"/>
                <w:rFonts w:hint="default" w:ascii="宋体" w:hAnsi="宋体" w:cs="宋体"/>
                <w:color w:val="auto"/>
                <w:sz w:val="20"/>
                <w:szCs w:val="20"/>
                <w:highlight w:val="none"/>
              </w:rPr>
            </w:pPr>
            <w:r>
              <w:rPr>
                <w:rStyle w:val="374"/>
                <w:rFonts w:hint="eastAsia" w:ascii="宋体" w:hAnsi="宋体" w:cs="宋体"/>
                <w:color w:val="auto"/>
                <w:sz w:val="20"/>
                <w:szCs w:val="20"/>
                <w:highlight w:val="none"/>
              </w:rPr>
              <w:t>报告覆盖审计概况、量价明细、问题溯源、整改清单、风险预警</w:t>
            </w:r>
            <w:r>
              <w:rPr>
                <w:rStyle w:val="374"/>
                <w:rFonts w:hint="eastAsia" w:ascii="宋体" w:hAnsi="宋体" w:eastAsia="宋体" w:cs="宋体"/>
                <w:color w:val="auto"/>
                <w:sz w:val="20"/>
                <w:szCs w:val="20"/>
                <w:highlight w:val="none"/>
                <w:lang w:val="en-US" w:eastAsia="zh-CN"/>
              </w:rPr>
              <w:t>等方案条理清晰；</w:t>
            </w:r>
            <w:r>
              <w:rPr>
                <w:rStyle w:val="374"/>
                <w:rFonts w:hint="default" w:ascii="宋体" w:hAnsi="宋体" w:cs="宋体"/>
                <w:color w:val="auto"/>
                <w:sz w:val="20"/>
                <w:szCs w:val="20"/>
                <w:highlight w:val="none"/>
              </w:rPr>
              <w:t>核算数据与底稿、合同、现场记录匹配度</w:t>
            </w:r>
            <w:r>
              <w:rPr>
                <w:rStyle w:val="374"/>
                <w:rFonts w:hint="eastAsia" w:ascii="宋体" w:hAnsi="宋体" w:eastAsia="宋体" w:cs="宋体"/>
                <w:color w:val="auto"/>
                <w:sz w:val="20"/>
                <w:szCs w:val="20"/>
                <w:highlight w:val="none"/>
                <w:lang w:val="en-US" w:eastAsia="zh-CN"/>
              </w:rPr>
              <w:t>方案详细</w:t>
            </w:r>
            <w:r>
              <w:rPr>
                <w:rStyle w:val="374"/>
                <w:rFonts w:hint="default" w:ascii="宋体" w:hAnsi="宋体" w:cs="宋体"/>
                <w:color w:val="auto"/>
                <w:sz w:val="20"/>
                <w:szCs w:val="20"/>
                <w:highlight w:val="none"/>
              </w:rPr>
              <w:t>， 整改要求明确责任、时限、验收标准</w:t>
            </w:r>
            <w:r>
              <w:rPr>
                <w:rStyle w:val="374"/>
                <w:rFonts w:hint="eastAsia" w:ascii="宋体" w:hAnsi="宋体" w:eastAsia="宋体" w:cs="宋体"/>
                <w:color w:val="auto"/>
                <w:sz w:val="20"/>
                <w:szCs w:val="20"/>
                <w:highlight w:val="none"/>
                <w:lang w:val="en-US" w:eastAsia="zh-CN"/>
              </w:rPr>
              <w:t>等方案全面的得4分</w:t>
            </w:r>
            <w:r>
              <w:rPr>
                <w:rStyle w:val="374"/>
                <w:rFonts w:hint="default" w:ascii="宋体" w:hAnsi="宋体" w:cs="宋体"/>
                <w:color w:val="auto"/>
                <w:sz w:val="20"/>
                <w:szCs w:val="20"/>
                <w:highlight w:val="none"/>
              </w:rPr>
              <w:t>。</w:t>
            </w:r>
          </w:p>
          <w:p w14:paraId="03A1DEAE">
            <w:pPr>
              <w:widowControl/>
              <w:spacing w:line="360" w:lineRule="auto"/>
              <w:ind w:firstLine="400" w:firstLineChars="200"/>
              <w:textAlignment w:val="baseline"/>
              <w:rPr>
                <w:rStyle w:val="374"/>
                <w:rFonts w:hint="default" w:ascii="宋体" w:hAnsi="宋体" w:cs="宋体"/>
                <w:color w:val="auto"/>
                <w:sz w:val="20"/>
                <w:szCs w:val="20"/>
                <w:highlight w:val="none"/>
              </w:rPr>
            </w:pPr>
            <w:r>
              <w:rPr>
                <w:rStyle w:val="374"/>
                <w:rFonts w:hint="eastAsia" w:ascii="宋体" w:hAnsi="宋体" w:cs="宋体"/>
                <w:color w:val="auto"/>
                <w:sz w:val="20"/>
                <w:szCs w:val="20"/>
                <w:highlight w:val="none"/>
              </w:rPr>
              <w:t>报告覆盖审计概况、量价明细、问题溯源、整改清单、风险预警</w:t>
            </w:r>
            <w:r>
              <w:rPr>
                <w:rStyle w:val="374"/>
                <w:rFonts w:hint="eastAsia" w:ascii="宋体" w:hAnsi="宋体" w:eastAsia="宋体" w:cs="宋体"/>
                <w:color w:val="auto"/>
                <w:sz w:val="20"/>
                <w:szCs w:val="20"/>
                <w:highlight w:val="none"/>
                <w:lang w:val="en-US" w:eastAsia="zh-CN"/>
              </w:rPr>
              <w:t>等方案条理较清晰；</w:t>
            </w:r>
            <w:r>
              <w:rPr>
                <w:rStyle w:val="374"/>
                <w:rFonts w:hint="default" w:ascii="宋体" w:hAnsi="宋体" w:cs="宋体"/>
                <w:color w:val="auto"/>
                <w:sz w:val="20"/>
                <w:szCs w:val="20"/>
                <w:highlight w:val="none"/>
              </w:rPr>
              <w:t>核算数据与底稿、合同、现场记录匹配度</w:t>
            </w:r>
            <w:r>
              <w:rPr>
                <w:rStyle w:val="374"/>
                <w:rFonts w:hint="eastAsia" w:ascii="宋体" w:hAnsi="宋体" w:eastAsia="宋体" w:cs="宋体"/>
                <w:color w:val="auto"/>
                <w:sz w:val="20"/>
                <w:szCs w:val="20"/>
                <w:highlight w:val="none"/>
                <w:lang w:val="en-US" w:eastAsia="zh-CN"/>
              </w:rPr>
              <w:t>方案较详细</w:t>
            </w:r>
            <w:r>
              <w:rPr>
                <w:rStyle w:val="374"/>
                <w:rFonts w:hint="default" w:ascii="宋体" w:hAnsi="宋体" w:cs="宋体"/>
                <w:color w:val="auto"/>
                <w:sz w:val="20"/>
                <w:szCs w:val="20"/>
                <w:highlight w:val="none"/>
              </w:rPr>
              <w:t>， 整改要求明确责任、时限、验收标准</w:t>
            </w:r>
            <w:r>
              <w:rPr>
                <w:rStyle w:val="374"/>
                <w:rFonts w:hint="eastAsia" w:ascii="宋体" w:hAnsi="宋体" w:eastAsia="宋体" w:cs="宋体"/>
                <w:color w:val="auto"/>
                <w:sz w:val="20"/>
                <w:szCs w:val="20"/>
                <w:highlight w:val="none"/>
                <w:lang w:val="en-US" w:eastAsia="zh-CN"/>
              </w:rPr>
              <w:t>等方案较全面的得3分</w:t>
            </w:r>
            <w:r>
              <w:rPr>
                <w:rStyle w:val="374"/>
                <w:rFonts w:hint="default" w:ascii="宋体" w:hAnsi="宋体" w:cs="宋体"/>
                <w:color w:val="auto"/>
                <w:sz w:val="20"/>
                <w:szCs w:val="20"/>
                <w:highlight w:val="none"/>
              </w:rPr>
              <w:t>。</w:t>
            </w:r>
          </w:p>
          <w:p w14:paraId="79A82413">
            <w:pPr>
              <w:widowControl/>
              <w:spacing w:line="360" w:lineRule="auto"/>
              <w:ind w:firstLine="400" w:firstLineChars="200"/>
              <w:textAlignment w:val="baseline"/>
              <w:rPr>
                <w:rStyle w:val="374"/>
                <w:rFonts w:hint="default" w:ascii="宋体" w:hAnsi="宋体" w:cs="宋体"/>
                <w:color w:val="auto"/>
                <w:sz w:val="20"/>
                <w:szCs w:val="20"/>
                <w:highlight w:val="none"/>
              </w:rPr>
            </w:pPr>
            <w:r>
              <w:rPr>
                <w:rStyle w:val="374"/>
                <w:rFonts w:hint="eastAsia" w:ascii="宋体" w:hAnsi="宋体" w:cs="宋体"/>
                <w:color w:val="auto"/>
                <w:sz w:val="20"/>
                <w:szCs w:val="20"/>
                <w:highlight w:val="none"/>
              </w:rPr>
              <w:t>报告覆盖审计概况、量价明细、问题溯源、整改清单、风险预警</w:t>
            </w:r>
            <w:r>
              <w:rPr>
                <w:rStyle w:val="374"/>
                <w:rFonts w:hint="eastAsia" w:ascii="宋体" w:hAnsi="宋体" w:eastAsia="宋体" w:cs="宋体"/>
                <w:color w:val="auto"/>
                <w:sz w:val="20"/>
                <w:szCs w:val="20"/>
                <w:highlight w:val="none"/>
                <w:lang w:val="en-US" w:eastAsia="zh-CN"/>
              </w:rPr>
              <w:t>等方案一般；</w:t>
            </w:r>
            <w:r>
              <w:rPr>
                <w:rStyle w:val="374"/>
                <w:rFonts w:hint="default" w:ascii="宋体" w:hAnsi="宋体" w:cs="宋体"/>
                <w:color w:val="auto"/>
                <w:sz w:val="20"/>
                <w:szCs w:val="20"/>
                <w:highlight w:val="none"/>
              </w:rPr>
              <w:t>核算数据与底稿、合同、现场记录匹配度</w:t>
            </w:r>
            <w:r>
              <w:rPr>
                <w:rStyle w:val="374"/>
                <w:rFonts w:hint="eastAsia" w:ascii="宋体" w:hAnsi="宋体" w:eastAsia="宋体" w:cs="宋体"/>
                <w:color w:val="auto"/>
                <w:sz w:val="20"/>
                <w:szCs w:val="20"/>
                <w:highlight w:val="none"/>
                <w:lang w:val="en-US" w:eastAsia="zh-CN"/>
              </w:rPr>
              <w:t>方案一般</w:t>
            </w:r>
            <w:r>
              <w:rPr>
                <w:rStyle w:val="374"/>
                <w:rFonts w:hint="default" w:ascii="宋体" w:hAnsi="宋体" w:cs="宋体"/>
                <w:color w:val="auto"/>
                <w:sz w:val="20"/>
                <w:szCs w:val="20"/>
                <w:highlight w:val="none"/>
              </w:rPr>
              <w:t>， 整改要求明确责任、时限、验收标准</w:t>
            </w:r>
            <w:r>
              <w:rPr>
                <w:rStyle w:val="374"/>
                <w:rFonts w:hint="eastAsia" w:ascii="宋体" w:hAnsi="宋体" w:eastAsia="宋体" w:cs="宋体"/>
                <w:color w:val="auto"/>
                <w:sz w:val="20"/>
                <w:szCs w:val="20"/>
                <w:highlight w:val="none"/>
                <w:lang w:val="en-US" w:eastAsia="zh-CN"/>
              </w:rPr>
              <w:t>等方案一般得2分</w:t>
            </w:r>
            <w:r>
              <w:rPr>
                <w:rStyle w:val="374"/>
                <w:rFonts w:hint="default" w:ascii="宋体" w:hAnsi="宋体" w:cs="宋体"/>
                <w:color w:val="auto"/>
                <w:sz w:val="20"/>
                <w:szCs w:val="20"/>
                <w:highlight w:val="none"/>
              </w:rPr>
              <w:t>。</w:t>
            </w:r>
          </w:p>
          <w:p w14:paraId="7D2A1330">
            <w:pPr>
              <w:widowControl/>
              <w:spacing w:line="360" w:lineRule="auto"/>
              <w:ind w:firstLine="400" w:firstLineChars="200"/>
              <w:textAlignment w:val="baseline"/>
              <w:rPr>
                <w:rStyle w:val="374"/>
                <w:rFonts w:hint="default" w:ascii="宋体" w:hAnsi="宋体" w:cs="宋体"/>
                <w:color w:val="auto"/>
                <w:sz w:val="20"/>
                <w:szCs w:val="20"/>
                <w:highlight w:val="none"/>
              </w:rPr>
            </w:pPr>
            <w:r>
              <w:rPr>
                <w:rStyle w:val="374"/>
                <w:rFonts w:hint="eastAsia" w:ascii="宋体" w:hAnsi="宋体" w:cs="宋体"/>
                <w:color w:val="auto"/>
                <w:sz w:val="20"/>
                <w:szCs w:val="20"/>
                <w:highlight w:val="none"/>
              </w:rPr>
              <w:t>报告覆盖审计概况、量价明细、问题溯源、整改清单、风险预警</w:t>
            </w:r>
            <w:r>
              <w:rPr>
                <w:rStyle w:val="374"/>
                <w:rFonts w:hint="eastAsia" w:ascii="宋体" w:hAnsi="宋体" w:eastAsia="宋体" w:cs="宋体"/>
                <w:color w:val="auto"/>
                <w:sz w:val="20"/>
                <w:szCs w:val="20"/>
                <w:highlight w:val="none"/>
                <w:lang w:val="en-US" w:eastAsia="zh-CN"/>
              </w:rPr>
              <w:t>等方案，</w:t>
            </w:r>
            <w:r>
              <w:rPr>
                <w:rStyle w:val="374"/>
                <w:rFonts w:hint="default" w:ascii="宋体" w:hAnsi="宋体" w:cs="宋体"/>
                <w:color w:val="auto"/>
                <w:sz w:val="20"/>
                <w:szCs w:val="20"/>
                <w:highlight w:val="none"/>
              </w:rPr>
              <w:t>核算数据与底稿、合同、现场记录匹配度</w:t>
            </w:r>
            <w:r>
              <w:rPr>
                <w:rStyle w:val="374"/>
                <w:rFonts w:hint="eastAsia" w:ascii="宋体" w:hAnsi="宋体" w:eastAsia="宋体" w:cs="宋体"/>
                <w:color w:val="auto"/>
                <w:sz w:val="20"/>
                <w:szCs w:val="20"/>
                <w:highlight w:val="none"/>
                <w:lang w:val="en-US" w:eastAsia="zh-CN"/>
              </w:rPr>
              <w:t>差</w:t>
            </w:r>
            <w:r>
              <w:rPr>
                <w:rStyle w:val="374"/>
                <w:rFonts w:hint="default" w:ascii="宋体" w:hAnsi="宋体" w:cs="宋体"/>
                <w:color w:val="auto"/>
                <w:sz w:val="20"/>
                <w:szCs w:val="20"/>
                <w:highlight w:val="none"/>
              </w:rPr>
              <w:t>， 整改要求明确责任、时限、验收标准</w:t>
            </w:r>
            <w:r>
              <w:rPr>
                <w:rStyle w:val="374"/>
                <w:rFonts w:hint="eastAsia" w:ascii="宋体" w:hAnsi="宋体" w:eastAsia="宋体" w:cs="宋体"/>
                <w:color w:val="auto"/>
                <w:sz w:val="20"/>
                <w:szCs w:val="20"/>
                <w:highlight w:val="none"/>
                <w:lang w:val="en-US" w:eastAsia="zh-CN"/>
              </w:rPr>
              <w:t>等方案，</w:t>
            </w:r>
            <w:r>
              <w:rPr>
                <w:rFonts w:hint="eastAsia" w:ascii="宋体" w:hAnsi="宋体" w:eastAsia="宋体" w:cs="宋体"/>
                <w:color w:val="auto"/>
                <w:sz w:val="20"/>
                <w:szCs w:val="20"/>
                <w:highlight w:val="none"/>
                <w:lang w:val="en-US" w:eastAsia="zh-CN" w:bidi="ar-SA"/>
              </w:rPr>
              <w:t>内容描述简单、疏漏、合理性不够的</w:t>
            </w:r>
            <w:r>
              <w:rPr>
                <w:rStyle w:val="374"/>
                <w:rFonts w:hint="eastAsia" w:ascii="宋体" w:hAnsi="宋体" w:eastAsia="宋体" w:cs="宋体"/>
                <w:color w:val="auto"/>
                <w:sz w:val="20"/>
                <w:szCs w:val="20"/>
                <w:highlight w:val="none"/>
                <w:lang w:val="en-US" w:eastAsia="zh-CN"/>
              </w:rPr>
              <w:t>得1分</w:t>
            </w:r>
            <w:r>
              <w:rPr>
                <w:rStyle w:val="374"/>
                <w:rFonts w:hint="default" w:ascii="宋体" w:hAnsi="宋体" w:cs="宋体"/>
                <w:color w:val="auto"/>
                <w:sz w:val="20"/>
                <w:szCs w:val="20"/>
                <w:highlight w:val="none"/>
              </w:rPr>
              <w:t>。</w:t>
            </w:r>
          </w:p>
          <w:p w14:paraId="62118E46">
            <w:pPr>
              <w:widowControl/>
              <w:spacing w:line="360" w:lineRule="auto"/>
              <w:ind w:firstLine="400" w:firstLineChars="200"/>
              <w:textAlignment w:val="baseline"/>
              <w:rPr>
                <w:rStyle w:val="374"/>
                <w:rFonts w:hint="default" w:ascii="宋体" w:hAnsi="宋体" w:cs="宋体"/>
                <w:color w:val="auto"/>
                <w:sz w:val="20"/>
                <w:szCs w:val="20"/>
                <w:highlight w:val="none"/>
                <w:lang w:val="en-US" w:eastAsia="zh-CN"/>
              </w:rPr>
            </w:pPr>
            <w:r>
              <w:rPr>
                <w:rFonts w:hint="eastAsia" w:ascii="宋体" w:hAnsi="宋体" w:eastAsia="宋体" w:cs="宋体"/>
                <w:b w:val="0"/>
                <w:bCs w:val="0"/>
                <w:color w:val="auto"/>
                <w:sz w:val="20"/>
                <w:szCs w:val="20"/>
                <w:highlight w:val="none"/>
                <w:lang w:val="zh-CN" w:eastAsia="zh-CN" w:bidi="ar-SA"/>
              </w:rPr>
              <w:t>未提供相应方案的不得分。</w:t>
            </w:r>
          </w:p>
        </w:tc>
      </w:tr>
      <w:tr w14:paraId="2D42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8" w:type="pct"/>
            <w:gridSpan w:val="2"/>
            <w:vAlign w:val="center"/>
          </w:tcPr>
          <w:p w14:paraId="53EE9EEE">
            <w:pPr>
              <w:numPr>
                <w:ilvl w:val="0"/>
                <w:numId w:val="0"/>
              </w:numPr>
              <w:jc w:val="center"/>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6.</w:t>
            </w:r>
            <w:r>
              <w:rPr>
                <w:rFonts w:hint="eastAsia" w:ascii="宋体" w:hAnsi="宋体" w:eastAsia="宋体" w:cs="宋体"/>
                <w:b/>
                <w:bCs/>
                <w:color w:val="auto"/>
                <w:sz w:val="21"/>
                <w:szCs w:val="21"/>
                <w:highlight w:val="none"/>
                <w:lang w:val="zh-CN" w:eastAsia="zh-CN" w:bidi="ar-SA"/>
              </w:rPr>
              <w:t>组织协调方案</w:t>
            </w:r>
          </w:p>
          <w:p w14:paraId="11FF532F">
            <w:pPr>
              <w:numPr>
                <w:ilvl w:val="0"/>
                <w:numId w:val="0"/>
              </w:numPr>
              <w:jc w:val="center"/>
              <w:rPr>
                <w:rFonts w:hint="default" w:ascii="宋体" w:hAnsi="宋体" w:eastAsia="宋体" w:cs="宋体"/>
                <w:b/>
                <w:bCs/>
                <w:color w:val="auto"/>
                <w:sz w:val="21"/>
                <w:szCs w:val="21"/>
                <w:highlight w:val="none"/>
                <w:lang w:val="en-US" w:eastAsia="zh-CN" w:bidi="ar-SA"/>
              </w:rPr>
            </w:pPr>
          </w:p>
        </w:tc>
        <w:tc>
          <w:tcPr>
            <w:tcW w:w="317" w:type="pct"/>
            <w:vAlign w:val="center"/>
          </w:tcPr>
          <w:p w14:paraId="14BDC8A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4</w:t>
            </w:r>
          </w:p>
        </w:tc>
        <w:tc>
          <w:tcPr>
            <w:tcW w:w="3524" w:type="pct"/>
          </w:tcPr>
          <w:p w14:paraId="674E41CB">
            <w:pPr>
              <w:widowControl/>
              <w:spacing w:line="360" w:lineRule="auto"/>
              <w:ind w:firstLine="400" w:firstLineChars="200"/>
              <w:textAlignment w:val="baseline"/>
              <w:rPr>
                <w:rFonts w:hint="default" w:ascii="宋体" w:hAnsi="宋体" w:eastAsia="宋体" w:cs="宋体"/>
                <w:b w:val="0"/>
                <w:bCs w:val="0"/>
                <w:color w:val="auto"/>
                <w:sz w:val="20"/>
                <w:szCs w:val="20"/>
                <w:highlight w:val="none"/>
                <w:lang w:val="zh-CN" w:eastAsia="zh-CN" w:bidi="ar-SA"/>
              </w:rPr>
            </w:pPr>
            <w:r>
              <w:rPr>
                <w:rFonts w:hint="eastAsia" w:ascii="宋体" w:hAnsi="宋体" w:eastAsia="宋体" w:cs="宋体"/>
                <w:b w:val="0"/>
                <w:bCs w:val="0"/>
                <w:color w:val="auto"/>
                <w:sz w:val="20"/>
                <w:szCs w:val="20"/>
                <w:highlight w:val="none"/>
                <w:lang w:val="zh-CN" w:eastAsia="zh-CN" w:bidi="ar-SA"/>
              </w:rPr>
              <w:t>协调对象</w:t>
            </w:r>
            <w:r>
              <w:rPr>
                <w:rFonts w:hint="eastAsia" w:ascii="宋体" w:hAnsi="宋体" w:eastAsia="宋体" w:cs="宋体"/>
                <w:b w:val="0"/>
                <w:bCs w:val="0"/>
                <w:color w:val="auto"/>
                <w:sz w:val="20"/>
                <w:szCs w:val="20"/>
                <w:highlight w:val="none"/>
                <w:lang w:val="en-US" w:eastAsia="zh-CN" w:bidi="ar-SA"/>
              </w:rPr>
              <w:t>如</w:t>
            </w:r>
            <w:r>
              <w:rPr>
                <w:rFonts w:hint="eastAsia" w:ascii="宋体" w:hAnsi="宋体" w:eastAsia="宋体" w:cs="宋体"/>
                <w:b w:val="0"/>
                <w:bCs w:val="0"/>
                <w:color w:val="auto"/>
                <w:sz w:val="20"/>
                <w:szCs w:val="20"/>
                <w:highlight w:val="none"/>
                <w:lang w:val="zh-CN" w:eastAsia="zh-CN" w:bidi="ar-SA"/>
              </w:rPr>
              <w:t>覆盖建设单位、施工方、监理、设计、造价咨询等</w:t>
            </w:r>
            <w:r>
              <w:rPr>
                <w:rFonts w:hint="default" w:ascii="宋体" w:hAnsi="宋体" w:eastAsia="宋体" w:cs="宋体"/>
                <w:b w:val="0"/>
                <w:bCs w:val="0"/>
                <w:color w:val="auto"/>
                <w:sz w:val="20"/>
                <w:szCs w:val="20"/>
                <w:highlight w:val="none"/>
                <w:lang w:val="zh-CN" w:eastAsia="zh-CN" w:bidi="ar-SA"/>
              </w:rPr>
              <w:t>单位</w:t>
            </w:r>
            <w:r>
              <w:rPr>
                <w:rFonts w:hint="eastAsia" w:ascii="宋体" w:hAnsi="宋体" w:eastAsia="宋体" w:cs="宋体"/>
                <w:b w:val="0"/>
                <w:bCs w:val="0"/>
                <w:color w:val="auto"/>
                <w:sz w:val="20"/>
                <w:szCs w:val="20"/>
                <w:highlight w:val="none"/>
                <w:lang w:val="en-US" w:eastAsia="zh-CN" w:bidi="ar-SA"/>
              </w:rPr>
              <w:t>方案操作性强；</w:t>
            </w:r>
            <w:r>
              <w:rPr>
                <w:rFonts w:hint="default" w:ascii="宋体" w:hAnsi="宋体" w:eastAsia="宋体" w:cs="宋体"/>
                <w:b w:val="0"/>
                <w:bCs w:val="0"/>
                <w:color w:val="auto"/>
                <w:sz w:val="20"/>
                <w:szCs w:val="20"/>
                <w:highlight w:val="none"/>
                <w:lang w:val="zh-CN" w:eastAsia="zh-CN" w:bidi="ar-SA"/>
              </w:rPr>
              <w:t>对接事项如施工方进度款审核、监理签证复核等具体场景</w:t>
            </w:r>
            <w:r>
              <w:rPr>
                <w:rFonts w:hint="eastAsia" w:ascii="宋体" w:hAnsi="宋体" w:eastAsia="宋体" w:cs="宋体"/>
                <w:b w:val="0"/>
                <w:bCs w:val="0"/>
                <w:color w:val="auto"/>
                <w:sz w:val="20"/>
                <w:szCs w:val="20"/>
                <w:highlight w:val="none"/>
                <w:lang w:val="en-US" w:eastAsia="zh-CN" w:bidi="ar-SA"/>
              </w:rPr>
              <w:t>等安排合理</w:t>
            </w:r>
            <w:r>
              <w:rPr>
                <w:rFonts w:hint="default" w:ascii="宋体" w:hAnsi="宋体" w:eastAsia="宋体" w:cs="宋体"/>
                <w:b w:val="0"/>
                <w:bCs w:val="0"/>
                <w:color w:val="auto"/>
                <w:sz w:val="20"/>
                <w:szCs w:val="20"/>
                <w:highlight w:val="none"/>
                <w:lang w:val="zh-CN" w:eastAsia="zh-CN" w:bidi="ar-SA"/>
              </w:rPr>
              <w:t>；处理流程</w:t>
            </w:r>
            <w:r>
              <w:rPr>
                <w:rFonts w:hint="eastAsia" w:ascii="宋体" w:hAnsi="宋体" w:eastAsia="宋体" w:cs="宋体"/>
                <w:b w:val="0"/>
                <w:bCs w:val="0"/>
                <w:color w:val="auto"/>
                <w:sz w:val="20"/>
                <w:szCs w:val="20"/>
                <w:highlight w:val="none"/>
                <w:lang w:val="en-US" w:eastAsia="zh-CN" w:bidi="ar-SA"/>
              </w:rPr>
              <w:t>如</w:t>
            </w:r>
            <w:r>
              <w:rPr>
                <w:rFonts w:hint="default" w:ascii="宋体" w:hAnsi="宋体" w:eastAsia="宋体" w:cs="宋体"/>
                <w:b w:val="0"/>
                <w:bCs w:val="0"/>
                <w:color w:val="auto"/>
                <w:sz w:val="20"/>
                <w:szCs w:val="20"/>
                <w:highlight w:val="none"/>
                <w:lang w:val="zh-CN" w:eastAsia="zh-CN" w:bidi="ar-SA"/>
              </w:rPr>
              <w:t>问题提报、多方会审、结果确认、闭环跟踪</w:t>
            </w:r>
            <w:r>
              <w:rPr>
                <w:rFonts w:hint="eastAsia" w:ascii="宋体" w:hAnsi="宋体" w:eastAsia="宋体" w:cs="宋体"/>
                <w:b w:val="0"/>
                <w:bCs w:val="0"/>
                <w:color w:val="auto"/>
                <w:sz w:val="20"/>
                <w:szCs w:val="20"/>
                <w:highlight w:val="none"/>
                <w:lang w:val="en-US" w:eastAsia="zh-CN" w:bidi="ar-SA"/>
              </w:rPr>
              <w:t>等描述详细；</w:t>
            </w:r>
            <w:r>
              <w:rPr>
                <w:rFonts w:hint="default" w:ascii="宋体" w:hAnsi="宋体" w:eastAsia="宋体" w:cs="宋体"/>
                <w:b w:val="0"/>
                <w:bCs w:val="0"/>
                <w:color w:val="auto"/>
                <w:sz w:val="20"/>
                <w:szCs w:val="20"/>
                <w:highlight w:val="none"/>
                <w:lang w:val="zh-CN" w:eastAsia="zh-CN" w:bidi="ar-SA"/>
              </w:rPr>
              <w:t>工作要点</w:t>
            </w:r>
            <w:r>
              <w:rPr>
                <w:rFonts w:hint="eastAsia" w:ascii="宋体" w:hAnsi="宋体" w:eastAsia="宋体" w:cs="宋体"/>
                <w:b w:val="0"/>
                <w:bCs w:val="0"/>
                <w:color w:val="auto"/>
                <w:sz w:val="20"/>
                <w:szCs w:val="20"/>
                <w:highlight w:val="none"/>
                <w:lang w:val="en-US" w:eastAsia="zh-CN" w:bidi="ar-SA"/>
              </w:rPr>
              <w:t>如</w:t>
            </w:r>
            <w:r>
              <w:rPr>
                <w:rFonts w:hint="default" w:ascii="宋体" w:hAnsi="宋体" w:eastAsia="宋体" w:cs="宋体"/>
                <w:b w:val="0"/>
                <w:bCs w:val="0"/>
                <w:color w:val="auto"/>
                <w:sz w:val="20"/>
                <w:szCs w:val="20"/>
                <w:highlight w:val="none"/>
                <w:lang w:val="zh-CN" w:eastAsia="zh-CN" w:bidi="ar-SA"/>
              </w:rPr>
              <w:t>明确责任分工、争议解决机制（如专家论证）、资料流转标准</w:t>
            </w:r>
            <w:r>
              <w:rPr>
                <w:rFonts w:hint="eastAsia" w:ascii="宋体" w:hAnsi="宋体" w:eastAsia="宋体" w:cs="宋体"/>
                <w:b w:val="0"/>
                <w:bCs w:val="0"/>
                <w:color w:val="auto"/>
                <w:sz w:val="20"/>
                <w:szCs w:val="20"/>
                <w:highlight w:val="none"/>
                <w:lang w:val="en-US" w:eastAsia="zh-CN" w:bidi="ar-SA"/>
              </w:rPr>
              <w:t>等安排合理的得4分</w:t>
            </w:r>
            <w:r>
              <w:rPr>
                <w:rFonts w:hint="default" w:ascii="宋体" w:hAnsi="宋体" w:eastAsia="宋体" w:cs="宋体"/>
                <w:b w:val="0"/>
                <w:bCs w:val="0"/>
                <w:color w:val="auto"/>
                <w:sz w:val="20"/>
                <w:szCs w:val="20"/>
                <w:highlight w:val="none"/>
                <w:lang w:val="zh-CN" w:eastAsia="zh-CN" w:bidi="ar-SA"/>
              </w:rPr>
              <w:t>。</w:t>
            </w:r>
          </w:p>
          <w:p w14:paraId="5456FBB8">
            <w:pPr>
              <w:widowControl/>
              <w:spacing w:line="360" w:lineRule="auto"/>
              <w:ind w:firstLine="400" w:firstLineChars="200"/>
              <w:textAlignment w:val="baseline"/>
              <w:rPr>
                <w:rFonts w:hint="default" w:ascii="宋体" w:hAnsi="宋体" w:eastAsia="宋体" w:cs="宋体"/>
                <w:b w:val="0"/>
                <w:bCs w:val="0"/>
                <w:color w:val="auto"/>
                <w:sz w:val="20"/>
                <w:szCs w:val="20"/>
                <w:highlight w:val="none"/>
                <w:lang w:val="zh-CN" w:eastAsia="zh-CN" w:bidi="ar-SA"/>
              </w:rPr>
            </w:pPr>
            <w:r>
              <w:rPr>
                <w:rFonts w:hint="eastAsia" w:ascii="宋体" w:hAnsi="宋体" w:eastAsia="宋体" w:cs="宋体"/>
                <w:b w:val="0"/>
                <w:bCs w:val="0"/>
                <w:color w:val="auto"/>
                <w:sz w:val="20"/>
                <w:szCs w:val="20"/>
                <w:highlight w:val="none"/>
                <w:lang w:val="zh-CN" w:eastAsia="zh-CN" w:bidi="ar-SA"/>
              </w:rPr>
              <w:t>协调对象</w:t>
            </w:r>
            <w:r>
              <w:rPr>
                <w:rFonts w:hint="eastAsia" w:ascii="宋体" w:hAnsi="宋体" w:eastAsia="宋体" w:cs="宋体"/>
                <w:b w:val="0"/>
                <w:bCs w:val="0"/>
                <w:color w:val="auto"/>
                <w:sz w:val="20"/>
                <w:szCs w:val="20"/>
                <w:highlight w:val="none"/>
                <w:lang w:val="en-US" w:eastAsia="zh-CN" w:bidi="ar-SA"/>
              </w:rPr>
              <w:t>如</w:t>
            </w:r>
            <w:r>
              <w:rPr>
                <w:rFonts w:hint="eastAsia" w:ascii="宋体" w:hAnsi="宋体" w:eastAsia="宋体" w:cs="宋体"/>
                <w:b w:val="0"/>
                <w:bCs w:val="0"/>
                <w:color w:val="auto"/>
                <w:sz w:val="20"/>
                <w:szCs w:val="20"/>
                <w:highlight w:val="none"/>
                <w:lang w:val="zh-CN" w:eastAsia="zh-CN" w:bidi="ar-SA"/>
              </w:rPr>
              <w:t>覆盖建设单位、施工方、监理、设计、造价咨询等</w:t>
            </w:r>
            <w:r>
              <w:rPr>
                <w:rFonts w:hint="default" w:ascii="宋体" w:hAnsi="宋体" w:eastAsia="宋体" w:cs="宋体"/>
                <w:b w:val="0"/>
                <w:bCs w:val="0"/>
                <w:color w:val="auto"/>
                <w:sz w:val="20"/>
                <w:szCs w:val="20"/>
                <w:highlight w:val="none"/>
                <w:lang w:val="zh-CN" w:eastAsia="zh-CN" w:bidi="ar-SA"/>
              </w:rPr>
              <w:t>单位</w:t>
            </w:r>
            <w:r>
              <w:rPr>
                <w:rFonts w:hint="eastAsia" w:ascii="宋体" w:hAnsi="宋体" w:eastAsia="宋体" w:cs="宋体"/>
                <w:b w:val="0"/>
                <w:bCs w:val="0"/>
                <w:color w:val="auto"/>
                <w:sz w:val="20"/>
                <w:szCs w:val="20"/>
                <w:highlight w:val="none"/>
                <w:lang w:val="en-US" w:eastAsia="zh-CN" w:bidi="ar-SA"/>
              </w:rPr>
              <w:t>方案操作性较强；</w:t>
            </w:r>
            <w:r>
              <w:rPr>
                <w:rFonts w:hint="default" w:ascii="宋体" w:hAnsi="宋体" w:eastAsia="宋体" w:cs="宋体"/>
                <w:b w:val="0"/>
                <w:bCs w:val="0"/>
                <w:color w:val="auto"/>
                <w:sz w:val="20"/>
                <w:szCs w:val="20"/>
                <w:highlight w:val="none"/>
                <w:lang w:val="zh-CN" w:eastAsia="zh-CN" w:bidi="ar-SA"/>
              </w:rPr>
              <w:t>对接事项如施工方进度款审核、监理签证复核等具体场景</w:t>
            </w:r>
            <w:r>
              <w:rPr>
                <w:rFonts w:hint="eastAsia" w:ascii="宋体" w:hAnsi="宋体" w:eastAsia="宋体" w:cs="宋体"/>
                <w:b w:val="0"/>
                <w:bCs w:val="0"/>
                <w:color w:val="auto"/>
                <w:sz w:val="20"/>
                <w:szCs w:val="20"/>
                <w:highlight w:val="none"/>
                <w:lang w:val="en-US" w:eastAsia="zh-CN" w:bidi="ar-SA"/>
              </w:rPr>
              <w:t>等安排较合理</w:t>
            </w:r>
            <w:r>
              <w:rPr>
                <w:rFonts w:hint="default" w:ascii="宋体" w:hAnsi="宋体" w:eastAsia="宋体" w:cs="宋体"/>
                <w:b w:val="0"/>
                <w:bCs w:val="0"/>
                <w:color w:val="auto"/>
                <w:sz w:val="20"/>
                <w:szCs w:val="20"/>
                <w:highlight w:val="none"/>
                <w:lang w:val="zh-CN" w:eastAsia="zh-CN" w:bidi="ar-SA"/>
              </w:rPr>
              <w:t>；处理流程</w:t>
            </w:r>
            <w:r>
              <w:rPr>
                <w:rFonts w:hint="eastAsia" w:ascii="宋体" w:hAnsi="宋体" w:eastAsia="宋体" w:cs="宋体"/>
                <w:b w:val="0"/>
                <w:bCs w:val="0"/>
                <w:color w:val="auto"/>
                <w:sz w:val="20"/>
                <w:szCs w:val="20"/>
                <w:highlight w:val="none"/>
                <w:lang w:val="en-US" w:eastAsia="zh-CN" w:bidi="ar-SA"/>
              </w:rPr>
              <w:t>如</w:t>
            </w:r>
            <w:r>
              <w:rPr>
                <w:rFonts w:hint="default" w:ascii="宋体" w:hAnsi="宋体" w:eastAsia="宋体" w:cs="宋体"/>
                <w:b w:val="0"/>
                <w:bCs w:val="0"/>
                <w:color w:val="auto"/>
                <w:sz w:val="20"/>
                <w:szCs w:val="20"/>
                <w:highlight w:val="none"/>
                <w:lang w:val="zh-CN" w:eastAsia="zh-CN" w:bidi="ar-SA"/>
              </w:rPr>
              <w:t>问题提报、多方会审、结果确认、闭环跟踪</w:t>
            </w:r>
            <w:r>
              <w:rPr>
                <w:rFonts w:hint="eastAsia" w:ascii="宋体" w:hAnsi="宋体" w:eastAsia="宋体" w:cs="宋体"/>
                <w:b w:val="0"/>
                <w:bCs w:val="0"/>
                <w:color w:val="auto"/>
                <w:sz w:val="20"/>
                <w:szCs w:val="20"/>
                <w:highlight w:val="none"/>
                <w:lang w:val="en-US" w:eastAsia="zh-CN" w:bidi="ar-SA"/>
              </w:rPr>
              <w:t>等描述较详细；</w:t>
            </w:r>
            <w:r>
              <w:rPr>
                <w:rFonts w:hint="default" w:ascii="宋体" w:hAnsi="宋体" w:eastAsia="宋体" w:cs="宋体"/>
                <w:b w:val="0"/>
                <w:bCs w:val="0"/>
                <w:color w:val="auto"/>
                <w:sz w:val="20"/>
                <w:szCs w:val="20"/>
                <w:highlight w:val="none"/>
                <w:lang w:val="zh-CN" w:eastAsia="zh-CN" w:bidi="ar-SA"/>
              </w:rPr>
              <w:t>工作要点</w:t>
            </w:r>
            <w:r>
              <w:rPr>
                <w:rFonts w:hint="eastAsia" w:ascii="宋体" w:hAnsi="宋体" w:eastAsia="宋体" w:cs="宋体"/>
                <w:b w:val="0"/>
                <w:bCs w:val="0"/>
                <w:color w:val="auto"/>
                <w:sz w:val="20"/>
                <w:szCs w:val="20"/>
                <w:highlight w:val="none"/>
                <w:lang w:val="en-US" w:eastAsia="zh-CN" w:bidi="ar-SA"/>
              </w:rPr>
              <w:t>如</w:t>
            </w:r>
            <w:r>
              <w:rPr>
                <w:rFonts w:hint="default" w:ascii="宋体" w:hAnsi="宋体" w:eastAsia="宋体" w:cs="宋体"/>
                <w:b w:val="0"/>
                <w:bCs w:val="0"/>
                <w:color w:val="auto"/>
                <w:sz w:val="20"/>
                <w:szCs w:val="20"/>
                <w:highlight w:val="none"/>
                <w:lang w:val="zh-CN" w:eastAsia="zh-CN" w:bidi="ar-SA"/>
              </w:rPr>
              <w:t>明确责任分工、争议解决机制（如专家论证）、资料流转标准</w:t>
            </w:r>
            <w:r>
              <w:rPr>
                <w:rFonts w:hint="eastAsia" w:ascii="宋体" w:hAnsi="宋体" w:eastAsia="宋体" w:cs="宋体"/>
                <w:b w:val="0"/>
                <w:bCs w:val="0"/>
                <w:color w:val="auto"/>
                <w:sz w:val="20"/>
                <w:szCs w:val="20"/>
                <w:highlight w:val="none"/>
                <w:lang w:val="en-US" w:eastAsia="zh-CN" w:bidi="ar-SA"/>
              </w:rPr>
              <w:t>等安排较合理的得2分</w:t>
            </w:r>
            <w:r>
              <w:rPr>
                <w:rFonts w:hint="default" w:ascii="宋体" w:hAnsi="宋体" w:eastAsia="宋体" w:cs="宋体"/>
                <w:b w:val="0"/>
                <w:bCs w:val="0"/>
                <w:color w:val="auto"/>
                <w:sz w:val="20"/>
                <w:szCs w:val="20"/>
                <w:highlight w:val="none"/>
                <w:lang w:val="zh-CN" w:eastAsia="zh-CN" w:bidi="ar-SA"/>
              </w:rPr>
              <w:t>。</w:t>
            </w:r>
          </w:p>
          <w:p w14:paraId="32237DAD">
            <w:pPr>
              <w:widowControl/>
              <w:spacing w:line="360" w:lineRule="auto"/>
              <w:ind w:firstLine="400" w:firstLineChars="200"/>
              <w:textAlignment w:val="baseline"/>
              <w:rPr>
                <w:rFonts w:hint="default" w:ascii="宋体" w:hAnsi="宋体" w:eastAsia="宋体" w:cs="宋体"/>
                <w:b w:val="0"/>
                <w:bCs w:val="0"/>
                <w:color w:val="auto"/>
                <w:sz w:val="20"/>
                <w:szCs w:val="20"/>
                <w:highlight w:val="none"/>
                <w:lang w:val="zh-CN" w:eastAsia="zh-CN" w:bidi="ar-SA"/>
              </w:rPr>
            </w:pPr>
            <w:r>
              <w:rPr>
                <w:rFonts w:hint="eastAsia" w:ascii="宋体" w:hAnsi="宋体" w:eastAsia="宋体" w:cs="宋体"/>
                <w:b w:val="0"/>
                <w:bCs w:val="0"/>
                <w:color w:val="auto"/>
                <w:sz w:val="20"/>
                <w:szCs w:val="20"/>
                <w:highlight w:val="none"/>
                <w:lang w:val="zh-CN" w:eastAsia="zh-CN" w:bidi="ar-SA"/>
              </w:rPr>
              <w:t>协调对象</w:t>
            </w:r>
            <w:r>
              <w:rPr>
                <w:rFonts w:hint="eastAsia" w:ascii="宋体" w:hAnsi="宋体" w:eastAsia="宋体" w:cs="宋体"/>
                <w:b w:val="0"/>
                <w:bCs w:val="0"/>
                <w:color w:val="auto"/>
                <w:sz w:val="20"/>
                <w:szCs w:val="20"/>
                <w:highlight w:val="none"/>
                <w:lang w:val="en-US" w:eastAsia="zh-CN" w:bidi="ar-SA"/>
              </w:rPr>
              <w:t>如</w:t>
            </w:r>
            <w:r>
              <w:rPr>
                <w:rFonts w:hint="eastAsia" w:ascii="宋体" w:hAnsi="宋体" w:eastAsia="宋体" w:cs="宋体"/>
                <w:b w:val="0"/>
                <w:bCs w:val="0"/>
                <w:color w:val="auto"/>
                <w:sz w:val="20"/>
                <w:szCs w:val="20"/>
                <w:highlight w:val="none"/>
                <w:lang w:val="zh-CN" w:eastAsia="zh-CN" w:bidi="ar-SA"/>
              </w:rPr>
              <w:t>覆盖建设单位、施工方、监理、设计、造价咨询等</w:t>
            </w:r>
            <w:r>
              <w:rPr>
                <w:rFonts w:hint="default" w:ascii="宋体" w:hAnsi="宋体" w:eastAsia="宋体" w:cs="宋体"/>
                <w:b w:val="0"/>
                <w:bCs w:val="0"/>
                <w:color w:val="auto"/>
                <w:sz w:val="20"/>
                <w:szCs w:val="20"/>
                <w:highlight w:val="none"/>
                <w:lang w:val="zh-CN" w:eastAsia="zh-CN" w:bidi="ar-SA"/>
              </w:rPr>
              <w:t>单位</w:t>
            </w:r>
            <w:r>
              <w:rPr>
                <w:rFonts w:hint="eastAsia" w:ascii="宋体" w:hAnsi="宋体" w:eastAsia="宋体" w:cs="宋体"/>
                <w:b w:val="0"/>
                <w:bCs w:val="0"/>
                <w:color w:val="auto"/>
                <w:sz w:val="20"/>
                <w:szCs w:val="20"/>
                <w:highlight w:val="none"/>
                <w:lang w:val="en-US" w:eastAsia="zh-CN" w:bidi="ar-SA"/>
              </w:rPr>
              <w:t>方案，</w:t>
            </w:r>
            <w:r>
              <w:rPr>
                <w:rFonts w:hint="default" w:ascii="宋体" w:hAnsi="宋体" w:eastAsia="宋体" w:cs="宋体"/>
                <w:b w:val="0"/>
                <w:bCs w:val="0"/>
                <w:color w:val="auto"/>
                <w:sz w:val="20"/>
                <w:szCs w:val="20"/>
                <w:highlight w:val="none"/>
                <w:lang w:val="zh-CN" w:eastAsia="zh-CN" w:bidi="ar-SA"/>
              </w:rPr>
              <w:t>对接事项如施工方进度款审核、监理签证复核等具体场景</w:t>
            </w:r>
            <w:r>
              <w:rPr>
                <w:rFonts w:hint="eastAsia" w:ascii="宋体" w:hAnsi="宋体" w:eastAsia="宋体" w:cs="宋体"/>
                <w:b w:val="0"/>
                <w:bCs w:val="0"/>
                <w:color w:val="auto"/>
                <w:sz w:val="20"/>
                <w:szCs w:val="20"/>
                <w:highlight w:val="none"/>
                <w:lang w:val="en-US" w:eastAsia="zh-CN" w:bidi="ar-SA"/>
              </w:rPr>
              <w:t>等</w:t>
            </w:r>
            <w:r>
              <w:rPr>
                <w:rFonts w:hint="eastAsia" w:ascii="宋体" w:hAnsi="宋体" w:eastAsia="宋体" w:cs="宋体"/>
                <w:b w:val="0"/>
                <w:bCs w:val="0"/>
                <w:color w:val="auto"/>
                <w:sz w:val="20"/>
                <w:szCs w:val="20"/>
                <w:highlight w:val="none"/>
                <w:lang w:val="zh-CN" w:eastAsia="zh-CN" w:bidi="ar-SA"/>
              </w:rPr>
              <w:t>，</w:t>
            </w:r>
            <w:r>
              <w:rPr>
                <w:rFonts w:hint="default" w:ascii="宋体" w:hAnsi="宋体" w:eastAsia="宋体" w:cs="宋体"/>
                <w:b w:val="0"/>
                <w:bCs w:val="0"/>
                <w:color w:val="auto"/>
                <w:sz w:val="20"/>
                <w:szCs w:val="20"/>
                <w:highlight w:val="none"/>
                <w:lang w:val="zh-CN" w:eastAsia="zh-CN" w:bidi="ar-SA"/>
              </w:rPr>
              <w:t>处理流程</w:t>
            </w:r>
            <w:r>
              <w:rPr>
                <w:rFonts w:hint="eastAsia" w:ascii="宋体" w:hAnsi="宋体" w:eastAsia="宋体" w:cs="宋体"/>
                <w:b w:val="0"/>
                <w:bCs w:val="0"/>
                <w:color w:val="auto"/>
                <w:sz w:val="20"/>
                <w:szCs w:val="20"/>
                <w:highlight w:val="none"/>
                <w:lang w:val="en-US" w:eastAsia="zh-CN" w:bidi="ar-SA"/>
              </w:rPr>
              <w:t>如</w:t>
            </w:r>
            <w:r>
              <w:rPr>
                <w:rFonts w:hint="default" w:ascii="宋体" w:hAnsi="宋体" w:eastAsia="宋体" w:cs="宋体"/>
                <w:b w:val="0"/>
                <w:bCs w:val="0"/>
                <w:color w:val="auto"/>
                <w:sz w:val="20"/>
                <w:szCs w:val="20"/>
                <w:highlight w:val="none"/>
                <w:lang w:val="zh-CN" w:eastAsia="zh-CN" w:bidi="ar-SA"/>
              </w:rPr>
              <w:t>问题提报、多方会审、结果确认、闭环跟踪</w:t>
            </w:r>
            <w:r>
              <w:rPr>
                <w:rFonts w:hint="eastAsia" w:ascii="宋体" w:hAnsi="宋体" w:eastAsia="宋体" w:cs="宋体"/>
                <w:b w:val="0"/>
                <w:bCs w:val="0"/>
                <w:color w:val="auto"/>
                <w:sz w:val="20"/>
                <w:szCs w:val="20"/>
                <w:highlight w:val="none"/>
                <w:lang w:val="en-US" w:eastAsia="zh-CN" w:bidi="ar-SA"/>
              </w:rPr>
              <w:t>等，</w:t>
            </w:r>
            <w:r>
              <w:rPr>
                <w:rFonts w:hint="default" w:ascii="宋体" w:hAnsi="宋体" w:eastAsia="宋体" w:cs="宋体"/>
                <w:b w:val="0"/>
                <w:bCs w:val="0"/>
                <w:color w:val="auto"/>
                <w:sz w:val="20"/>
                <w:szCs w:val="20"/>
                <w:highlight w:val="none"/>
                <w:lang w:val="zh-CN" w:eastAsia="zh-CN" w:bidi="ar-SA"/>
              </w:rPr>
              <w:t>工作要点</w:t>
            </w:r>
            <w:r>
              <w:rPr>
                <w:rFonts w:hint="eastAsia" w:ascii="宋体" w:hAnsi="宋体" w:eastAsia="宋体" w:cs="宋体"/>
                <w:b w:val="0"/>
                <w:bCs w:val="0"/>
                <w:color w:val="auto"/>
                <w:sz w:val="20"/>
                <w:szCs w:val="20"/>
                <w:highlight w:val="none"/>
                <w:lang w:val="en-US" w:eastAsia="zh-CN" w:bidi="ar-SA"/>
              </w:rPr>
              <w:t>如</w:t>
            </w:r>
            <w:r>
              <w:rPr>
                <w:rFonts w:hint="default" w:ascii="宋体" w:hAnsi="宋体" w:eastAsia="宋体" w:cs="宋体"/>
                <w:b w:val="0"/>
                <w:bCs w:val="0"/>
                <w:color w:val="auto"/>
                <w:sz w:val="20"/>
                <w:szCs w:val="20"/>
                <w:highlight w:val="none"/>
                <w:lang w:val="zh-CN" w:eastAsia="zh-CN" w:bidi="ar-SA"/>
              </w:rPr>
              <w:t>明确责任分工、争议解决机制（如专家论证）、资料流转标准</w:t>
            </w:r>
            <w:r>
              <w:rPr>
                <w:rFonts w:hint="eastAsia" w:ascii="宋体" w:hAnsi="宋体" w:eastAsia="宋体" w:cs="宋体"/>
                <w:b w:val="0"/>
                <w:bCs w:val="0"/>
                <w:color w:val="auto"/>
                <w:sz w:val="20"/>
                <w:szCs w:val="20"/>
                <w:highlight w:val="none"/>
                <w:lang w:val="en-US" w:eastAsia="zh-CN" w:bidi="ar-SA"/>
              </w:rPr>
              <w:t>等，</w:t>
            </w:r>
            <w:r>
              <w:rPr>
                <w:rFonts w:hint="eastAsia" w:ascii="宋体" w:hAnsi="宋体" w:eastAsia="宋体" w:cs="宋体"/>
                <w:color w:val="auto"/>
                <w:sz w:val="20"/>
                <w:szCs w:val="20"/>
                <w:highlight w:val="none"/>
                <w:lang w:val="en-US" w:eastAsia="zh-CN" w:bidi="ar-SA"/>
              </w:rPr>
              <w:t>内容描述简单、疏漏、合理性不够</w:t>
            </w:r>
            <w:r>
              <w:rPr>
                <w:rFonts w:hint="eastAsia" w:ascii="宋体" w:hAnsi="宋体" w:eastAsia="宋体" w:cs="宋体"/>
                <w:b w:val="0"/>
                <w:bCs w:val="0"/>
                <w:color w:val="auto"/>
                <w:sz w:val="20"/>
                <w:szCs w:val="20"/>
                <w:highlight w:val="none"/>
                <w:lang w:val="en-US" w:eastAsia="zh-CN" w:bidi="ar-SA"/>
              </w:rPr>
              <w:t>的得1分</w:t>
            </w:r>
            <w:r>
              <w:rPr>
                <w:rFonts w:hint="default" w:ascii="宋体" w:hAnsi="宋体" w:eastAsia="宋体" w:cs="宋体"/>
                <w:b w:val="0"/>
                <w:bCs w:val="0"/>
                <w:color w:val="auto"/>
                <w:sz w:val="20"/>
                <w:szCs w:val="20"/>
                <w:highlight w:val="none"/>
                <w:lang w:val="zh-CN" w:eastAsia="zh-CN" w:bidi="ar-SA"/>
              </w:rPr>
              <w:t>。</w:t>
            </w:r>
          </w:p>
          <w:p w14:paraId="1C3DC5C4">
            <w:pPr>
              <w:widowControl/>
              <w:spacing w:line="360" w:lineRule="auto"/>
              <w:ind w:firstLine="400" w:firstLineChars="200"/>
              <w:textAlignment w:val="baseline"/>
              <w:rPr>
                <w:rFonts w:hint="default"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lang w:val="zh-CN" w:eastAsia="zh-CN" w:bidi="ar-SA"/>
              </w:rPr>
              <w:t>未提供相应方案的不得分。</w:t>
            </w:r>
          </w:p>
        </w:tc>
      </w:tr>
      <w:tr w14:paraId="36844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8" w:type="pct"/>
            <w:gridSpan w:val="2"/>
            <w:vAlign w:val="center"/>
          </w:tcPr>
          <w:p w14:paraId="07CD66C3">
            <w:pPr>
              <w:numPr>
                <w:ilvl w:val="0"/>
                <w:numId w:val="0"/>
              </w:numPr>
              <w:jc w:val="center"/>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7企业服务优势</w:t>
            </w:r>
          </w:p>
        </w:tc>
        <w:tc>
          <w:tcPr>
            <w:tcW w:w="317" w:type="pct"/>
            <w:vAlign w:val="center"/>
          </w:tcPr>
          <w:p w14:paraId="5CD6318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3</w:t>
            </w:r>
          </w:p>
        </w:tc>
        <w:tc>
          <w:tcPr>
            <w:tcW w:w="3524" w:type="pct"/>
          </w:tcPr>
          <w:p w14:paraId="144AD6F7">
            <w:pPr>
              <w:widowControl/>
              <w:spacing w:line="360" w:lineRule="auto"/>
              <w:ind w:firstLine="400" w:firstLineChars="200"/>
              <w:textAlignment w:val="baseline"/>
              <w:rPr>
                <w:rStyle w:val="374"/>
                <w:rFonts w:hint="eastAsia" w:ascii="宋体" w:hAnsi="宋体" w:eastAsia="宋体" w:cs="宋体"/>
                <w:color w:val="auto"/>
                <w:sz w:val="20"/>
                <w:szCs w:val="20"/>
                <w:highlight w:val="none"/>
                <w:lang w:eastAsia="zh-CN"/>
              </w:rPr>
            </w:pPr>
            <w:r>
              <w:rPr>
                <w:rFonts w:hint="eastAsia" w:ascii="宋体" w:hAnsi="宋体" w:eastAsia="宋体" w:cs="宋体"/>
                <w:b w:val="0"/>
                <w:bCs w:val="0"/>
                <w:color w:val="auto"/>
                <w:sz w:val="20"/>
                <w:szCs w:val="20"/>
                <w:highlight w:val="none"/>
                <w:lang w:val="en-US" w:eastAsia="zh-CN" w:bidi="ar-SA"/>
              </w:rPr>
              <w:t>企业服务优势</w:t>
            </w:r>
            <w:r>
              <w:rPr>
                <w:rFonts w:hint="default" w:ascii="宋体" w:hAnsi="宋体" w:eastAsia="宋体" w:cs="宋体"/>
                <w:b w:val="0"/>
                <w:bCs w:val="0"/>
                <w:color w:val="auto"/>
                <w:sz w:val="20"/>
                <w:szCs w:val="20"/>
                <w:highlight w:val="none"/>
                <w:lang w:val="zh-CN" w:eastAsia="zh-CN" w:bidi="ar-SA"/>
              </w:rPr>
              <w:t>如数字化审计平台、全过程动态监控系统、团队</w:t>
            </w:r>
            <w:r>
              <w:rPr>
                <w:rFonts w:hint="eastAsia" w:ascii="宋体" w:hAnsi="宋体" w:eastAsia="宋体" w:cs="宋体"/>
                <w:b w:val="0"/>
                <w:bCs w:val="0"/>
                <w:color w:val="auto"/>
                <w:sz w:val="20"/>
                <w:szCs w:val="20"/>
                <w:highlight w:val="none"/>
                <w:lang w:val="en-US" w:eastAsia="zh-CN" w:bidi="ar-SA"/>
              </w:rPr>
              <w:t>资质、</w:t>
            </w:r>
            <w:r>
              <w:rPr>
                <w:rFonts w:hint="default" w:ascii="宋体" w:hAnsi="宋体" w:eastAsia="宋体" w:cs="宋体"/>
                <w:b w:val="0"/>
                <w:bCs w:val="0"/>
                <w:color w:val="auto"/>
                <w:sz w:val="20"/>
                <w:szCs w:val="20"/>
                <w:highlight w:val="none"/>
                <w:lang w:val="zh-CN" w:eastAsia="zh-CN" w:bidi="ar-SA"/>
              </w:rPr>
              <w:t>项目经验</w:t>
            </w:r>
            <w:r>
              <w:rPr>
                <w:rFonts w:hint="eastAsia" w:ascii="宋体" w:hAnsi="宋体" w:eastAsia="宋体" w:cs="宋体"/>
                <w:b w:val="0"/>
                <w:bCs w:val="0"/>
                <w:color w:val="auto"/>
                <w:sz w:val="20"/>
                <w:szCs w:val="20"/>
                <w:highlight w:val="none"/>
                <w:lang w:val="en-US" w:eastAsia="zh-CN" w:bidi="ar-SA"/>
              </w:rPr>
              <w:t>等</w:t>
            </w:r>
            <w:r>
              <w:rPr>
                <w:rStyle w:val="374"/>
                <w:rFonts w:hint="eastAsia" w:ascii="宋体" w:hAnsi="宋体" w:cs="宋体"/>
                <w:color w:val="auto"/>
                <w:sz w:val="20"/>
                <w:szCs w:val="20"/>
                <w:highlight w:val="none"/>
              </w:rPr>
              <w:t>内容全面完整，可行性高的得</w:t>
            </w:r>
            <w:r>
              <w:rPr>
                <w:rStyle w:val="374"/>
                <w:rFonts w:hint="eastAsia" w:ascii="宋体" w:hAnsi="宋体" w:cs="宋体"/>
                <w:color w:val="auto"/>
                <w:sz w:val="20"/>
                <w:szCs w:val="20"/>
                <w:highlight w:val="none"/>
                <w:lang w:val="en-US" w:eastAsia="zh-CN"/>
              </w:rPr>
              <w:t>3</w:t>
            </w:r>
            <w:r>
              <w:rPr>
                <w:rStyle w:val="374"/>
                <w:rFonts w:hint="eastAsia" w:ascii="宋体" w:hAnsi="宋体" w:cs="宋体"/>
                <w:color w:val="auto"/>
                <w:sz w:val="20"/>
                <w:szCs w:val="20"/>
                <w:highlight w:val="none"/>
              </w:rPr>
              <w:t>分</w:t>
            </w:r>
            <w:r>
              <w:rPr>
                <w:rStyle w:val="374"/>
                <w:rFonts w:hint="eastAsia" w:ascii="宋体" w:hAnsi="宋体" w:eastAsia="宋体" w:cs="宋体"/>
                <w:color w:val="auto"/>
                <w:sz w:val="20"/>
                <w:szCs w:val="20"/>
                <w:highlight w:val="none"/>
                <w:lang w:eastAsia="zh-CN"/>
              </w:rPr>
              <w:t>。</w:t>
            </w:r>
          </w:p>
          <w:p w14:paraId="4125D4C1">
            <w:pPr>
              <w:pStyle w:val="46"/>
              <w:rPr>
                <w:rFonts w:hint="eastAsia"/>
                <w:highlight w:val="none"/>
                <w:lang w:val="en-US" w:eastAsia="zh-CN"/>
              </w:rPr>
            </w:pPr>
            <w:r>
              <w:rPr>
                <w:rFonts w:hint="eastAsia" w:ascii="宋体" w:hAnsi="宋体" w:eastAsia="宋体" w:cs="宋体"/>
                <w:b w:val="0"/>
                <w:bCs w:val="0"/>
                <w:color w:val="auto"/>
                <w:sz w:val="20"/>
                <w:szCs w:val="20"/>
                <w:highlight w:val="none"/>
                <w:lang w:val="en-US" w:eastAsia="zh-CN" w:bidi="ar-SA"/>
              </w:rPr>
              <w:t>企业服务优势</w:t>
            </w:r>
            <w:r>
              <w:rPr>
                <w:rFonts w:hint="default" w:ascii="宋体" w:hAnsi="宋体" w:eastAsia="宋体" w:cs="宋体"/>
                <w:b w:val="0"/>
                <w:bCs w:val="0"/>
                <w:color w:val="auto"/>
                <w:sz w:val="20"/>
                <w:szCs w:val="20"/>
                <w:highlight w:val="none"/>
                <w:lang w:val="zh-CN" w:eastAsia="zh-CN" w:bidi="ar-SA"/>
              </w:rPr>
              <w:t>如数字化审计平台、全过程动态监控系统、团队</w:t>
            </w:r>
            <w:r>
              <w:rPr>
                <w:rFonts w:hint="eastAsia" w:ascii="宋体" w:hAnsi="宋体" w:eastAsia="宋体" w:cs="宋体"/>
                <w:b w:val="0"/>
                <w:bCs w:val="0"/>
                <w:color w:val="auto"/>
                <w:sz w:val="20"/>
                <w:szCs w:val="20"/>
                <w:highlight w:val="none"/>
                <w:lang w:val="en-US" w:eastAsia="zh-CN" w:bidi="ar-SA"/>
              </w:rPr>
              <w:t>资质、</w:t>
            </w:r>
            <w:r>
              <w:rPr>
                <w:rFonts w:hint="default" w:ascii="宋体" w:hAnsi="宋体" w:eastAsia="宋体" w:cs="宋体"/>
                <w:b w:val="0"/>
                <w:bCs w:val="0"/>
                <w:color w:val="auto"/>
                <w:sz w:val="20"/>
                <w:szCs w:val="20"/>
                <w:highlight w:val="none"/>
                <w:lang w:val="zh-CN" w:eastAsia="zh-CN" w:bidi="ar-SA"/>
              </w:rPr>
              <w:t>项目经验</w:t>
            </w:r>
            <w:r>
              <w:rPr>
                <w:rFonts w:hint="eastAsia" w:ascii="宋体" w:hAnsi="宋体" w:eastAsia="宋体" w:cs="宋体"/>
                <w:b w:val="0"/>
                <w:bCs w:val="0"/>
                <w:color w:val="auto"/>
                <w:sz w:val="20"/>
                <w:szCs w:val="20"/>
                <w:highlight w:val="none"/>
                <w:lang w:val="en-US" w:eastAsia="zh-CN" w:bidi="ar-SA"/>
              </w:rPr>
              <w:t>等</w:t>
            </w:r>
            <w:r>
              <w:rPr>
                <w:rStyle w:val="374"/>
                <w:rFonts w:hint="eastAsia" w:ascii="宋体" w:hAnsi="宋体" w:cs="宋体"/>
                <w:color w:val="auto"/>
                <w:sz w:val="20"/>
                <w:szCs w:val="20"/>
                <w:highlight w:val="none"/>
              </w:rPr>
              <w:t>内容</w:t>
            </w:r>
            <w:r>
              <w:rPr>
                <w:rStyle w:val="374"/>
                <w:rFonts w:hint="eastAsia" w:ascii="宋体" w:hAnsi="宋体" w:eastAsia="宋体" w:cs="宋体"/>
                <w:color w:val="auto"/>
                <w:sz w:val="20"/>
                <w:szCs w:val="20"/>
                <w:highlight w:val="none"/>
                <w:lang w:val="en-US" w:eastAsia="zh-CN"/>
              </w:rPr>
              <w:t>较为</w:t>
            </w:r>
            <w:r>
              <w:rPr>
                <w:rStyle w:val="374"/>
                <w:rFonts w:hint="eastAsia" w:ascii="宋体" w:hAnsi="宋体" w:cs="宋体"/>
                <w:color w:val="auto"/>
                <w:sz w:val="20"/>
                <w:szCs w:val="20"/>
                <w:highlight w:val="none"/>
              </w:rPr>
              <w:t>全面完整，可行性</w:t>
            </w:r>
            <w:r>
              <w:rPr>
                <w:rStyle w:val="374"/>
                <w:rFonts w:hint="eastAsia" w:ascii="宋体" w:hAnsi="宋体" w:eastAsia="宋体" w:cs="宋体"/>
                <w:color w:val="auto"/>
                <w:sz w:val="20"/>
                <w:szCs w:val="20"/>
                <w:highlight w:val="none"/>
                <w:lang w:val="en-US" w:eastAsia="zh-CN"/>
              </w:rPr>
              <w:t>较</w:t>
            </w:r>
            <w:r>
              <w:rPr>
                <w:rStyle w:val="374"/>
                <w:rFonts w:hint="eastAsia" w:ascii="宋体" w:hAnsi="宋体" w:cs="宋体"/>
                <w:color w:val="auto"/>
                <w:sz w:val="20"/>
                <w:szCs w:val="20"/>
                <w:highlight w:val="none"/>
              </w:rPr>
              <w:t>高的得</w:t>
            </w:r>
            <w:r>
              <w:rPr>
                <w:rStyle w:val="374"/>
                <w:rFonts w:hint="eastAsia" w:ascii="宋体" w:hAnsi="宋体" w:eastAsia="宋体" w:cs="宋体"/>
                <w:color w:val="auto"/>
                <w:sz w:val="20"/>
                <w:szCs w:val="20"/>
                <w:highlight w:val="none"/>
                <w:lang w:val="en-US" w:eastAsia="zh-CN"/>
              </w:rPr>
              <w:t>3</w:t>
            </w:r>
            <w:r>
              <w:rPr>
                <w:rStyle w:val="374"/>
                <w:rFonts w:hint="eastAsia" w:ascii="宋体" w:hAnsi="宋体" w:cs="宋体"/>
                <w:color w:val="auto"/>
                <w:sz w:val="20"/>
                <w:szCs w:val="20"/>
                <w:highlight w:val="none"/>
              </w:rPr>
              <w:t>分</w:t>
            </w:r>
            <w:r>
              <w:rPr>
                <w:rStyle w:val="374"/>
                <w:rFonts w:hint="eastAsia" w:ascii="宋体" w:hAnsi="宋体" w:eastAsia="宋体" w:cs="宋体"/>
                <w:color w:val="auto"/>
                <w:sz w:val="20"/>
                <w:szCs w:val="20"/>
                <w:highlight w:val="none"/>
                <w:lang w:eastAsia="zh-CN"/>
              </w:rPr>
              <w:t>。</w:t>
            </w:r>
          </w:p>
          <w:p w14:paraId="11A3219F">
            <w:pPr>
              <w:pStyle w:val="46"/>
              <w:rPr>
                <w:rFonts w:hint="eastAsia" w:ascii="宋体" w:hAnsi="宋体" w:eastAsia="宋体" w:cs="宋体"/>
                <w:b w:val="0"/>
                <w:bCs w:val="0"/>
                <w:color w:val="auto"/>
                <w:sz w:val="20"/>
                <w:szCs w:val="20"/>
                <w:highlight w:val="none"/>
                <w:lang w:val="zh-CN" w:eastAsia="zh-CN" w:bidi="ar-SA"/>
              </w:rPr>
            </w:pPr>
            <w:r>
              <w:rPr>
                <w:rFonts w:hint="eastAsia" w:ascii="宋体" w:hAnsi="宋体" w:eastAsia="宋体" w:cs="宋体"/>
                <w:b w:val="0"/>
                <w:bCs w:val="0"/>
                <w:color w:val="auto"/>
                <w:sz w:val="20"/>
                <w:szCs w:val="20"/>
                <w:highlight w:val="none"/>
                <w:lang w:val="en-US" w:eastAsia="zh-CN" w:bidi="ar-SA"/>
              </w:rPr>
              <w:t>企业服务优势</w:t>
            </w:r>
            <w:r>
              <w:rPr>
                <w:rFonts w:hint="default" w:ascii="宋体" w:hAnsi="宋体" w:eastAsia="宋体" w:cs="宋体"/>
                <w:b w:val="0"/>
                <w:bCs w:val="0"/>
                <w:color w:val="auto"/>
                <w:sz w:val="20"/>
                <w:szCs w:val="20"/>
                <w:highlight w:val="none"/>
                <w:lang w:val="zh-CN" w:eastAsia="zh-CN" w:bidi="ar-SA"/>
              </w:rPr>
              <w:t>如数字化审计平台、全过程动态监控系统、团队</w:t>
            </w:r>
            <w:r>
              <w:rPr>
                <w:rFonts w:hint="eastAsia" w:ascii="宋体" w:hAnsi="宋体" w:eastAsia="宋体" w:cs="宋体"/>
                <w:b w:val="0"/>
                <w:bCs w:val="0"/>
                <w:color w:val="auto"/>
                <w:sz w:val="20"/>
                <w:szCs w:val="20"/>
                <w:highlight w:val="none"/>
                <w:lang w:val="en-US" w:eastAsia="zh-CN" w:bidi="ar-SA"/>
              </w:rPr>
              <w:t>资质、</w:t>
            </w:r>
            <w:r>
              <w:rPr>
                <w:rFonts w:hint="default" w:ascii="宋体" w:hAnsi="宋体" w:eastAsia="宋体" w:cs="宋体"/>
                <w:b w:val="0"/>
                <w:bCs w:val="0"/>
                <w:color w:val="auto"/>
                <w:sz w:val="20"/>
                <w:szCs w:val="20"/>
                <w:highlight w:val="none"/>
                <w:lang w:val="zh-CN" w:eastAsia="zh-CN" w:bidi="ar-SA"/>
              </w:rPr>
              <w:t>项目经验</w:t>
            </w:r>
            <w:r>
              <w:rPr>
                <w:rFonts w:hint="eastAsia" w:ascii="宋体" w:hAnsi="宋体" w:eastAsia="宋体" w:cs="宋体"/>
                <w:b w:val="0"/>
                <w:bCs w:val="0"/>
                <w:color w:val="auto"/>
                <w:sz w:val="20"/>
                <w:szCs w:val="20"/>
                <w:highlight w:val="none"/>
                <w:lang w:val="en-US" w:eastAsia="zh-CN" w:bidi="ar-SA"/>
              </w:rPr>
              <w:t>等，</w:t>
            </w:r>
            <w:r>
              <w:rPr>
                <w:rFonts w:hint="eastAsia" w:ascii="宋体" w:hAnsi="宋体" w:eastAsia="宋体" w:cs="宋体"/>
                <w:color w:val="auto"/>
                <w:sz w:val="20"/>
                <w:szCs w:val="20"/>
                <w:highlight w:val="none"/>
                <w:lang w:val="en-US" w:eastAsia="zh-CN" w:bidi="ar-SA"/>
              </w:rPr>
              <w:t>内容描述简单、疏漏、合理性不够的</w:t>
            </w:r>
            <w:r>
              <w:rPr>
                <w:rStyle w:val="374"/>
                <w:rFonts w:hint="eastAsia" w:ascii="宋体" w:hAnsi="宋体" w:cs="宋体"/>
                <w:color w:val="auto"/>
                <w:sz w:val="20"/>
                <w:szCs w:val="20"/>
                <w:highlight w:val="none"/>
              </w:rPr>
              <w:t>得</w:t>
            </w:r>
            <w:r>
              <w:rPr>
                <w:rStyle w:val="374"/>
                <w:rFonts w:hint="eastAsia" w:ascii="宋体" w:hAnsi="宋体" w:eastAsia="宋体" w:cs="宋体"/>
                <w:color w:val="auto"/>
                <w:sz w:val="20"/>
                <w:szCs w:val="20"/>
                <w:highlight w:val="none"/>
                <w:lang w:val="en-US" w:eastAsia="zh-CN"/>
              </w:rPr>
              <w:t>3</w:t>
            </w:r>
            <w:r>
              <w:rPr>
                <w:rStyle w:val="374"/>
                <w:rFonts w:hint="eastAsia" w:ascii="宋体" w:hAnsi="宋体" w:cs="宋体"/>
                <w:color w:val="auto"/>
                <w:sz w:val="20"/>
                <w:szCs w:val="20"/>
                <w:highlight w:val="none"/>
              </w:rPr>
              <w:t>分</w:t>
            </w:r>
            <w:r>
              <w:rPr>
                <w:rStyle w:val="374"/>
                <w:rFonts w:hint="eastAsia" w:ascii="宋体" w:hAnsi="宋体" w:eastAsia="宋体" w:cs="宋体"/>
                <w:color w:val="auto"/>
                <w:sz w:val="20"/>
                <w:szCs w:val="20"/>
                <w:highlight w:val="none"/>
                <w:lang w:eastAsia="zh-CN"/>
              </w:rPr>
              <w:t>。</w:t>
            </w:r>
          </w:p>
          <w:p w14:paraId="4EFE0659">
            <w:pPr>
              <w:widowControl/>
              <w:spacing w:line="360" w:lineRule="auto"/>
              <w:ind w:firstLine="400" w:firstLineChars="200"/>
              <w:textAlignment w:val="baseline"/>
              <w:rPr>
                <w:rFonts w:hint="eastAsia" w:ascii="宋体" w:hAnsi="宋体" w:eastAsia="宋体" w:cs="宋体"/>
                <w:b w:val="0"/>
                <w:bCs w:val="0"/>
                <w:color w:val="auto"/>
                <w:sz w:val="20"/>
                <w:szCs w:val="20"/>
                <w:highlight w:val="none"/>
                <w:lang w:val="zh-CN" w:eastAsia="zh-CN" w:bidi="ar-SA"/>
              </w:rPr>
            </w:pPr>
            <w:r>
              <w:rPr>
                <w:rFonts w:hint="eastAsia" w:ascii="宋体" w:hAnsi="宋体" w:eastAsia="宋体" w:cs="宋体"/>
                <w:b w:val="0"/>
                <w:bCs w:val="0"/>
                <w:color w:val="auto"/>
                <w:sz w:val="20"/>
                <w:szCs w:val="20"/>
                <w:highlight w:val="none"/>
                <w:lang w:val="zh-CN" w:eastAsia="zh-CN" w:bidi="ar-SA"/>
              </w:rPr>
              <w:t>未提供相应方案的不得分。</w:t>
            </w:r>
          </w:p>
        </w:tc>
      </w:tr>
      <w:tr w14:paraId="7376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000" w:type="pct"/>
            <w:gridSpan w:val="4"/>
            <w:vAlign w:val="center"/>
          </w:tcPr>
          <w:p w14:paraId="6A8B05CA">
            <w:pPr>
              <w:keepNext w:val="0"/>
              <w:keepLines w:val="0"/>
              <w:pageBreakBefore w:val="0"/>
              <w:widowControl w:val="0"/>
              <w:kinsoku/>
              <w:wordWrap/>
              <w:overflowPunct/>
              <w:topLinePunct w:val="0"/>
              <w:autoSpaceDE/>
              <w:autoSpaceDN/>
              <w:bidi w:val="0"/>
              <w:adjustRightInd/>
              <w:spacing w:line="360" w:lineRule="auto"/>
              <w:ind w:firstLine="42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b/>
                <w:color w:val="auto"/>
                <w:sz w:val="24"/>
                <w:szCs w:val="24"/>
                <w:highlight w:val="none"/>
                <w:lang w:val="en-US" w:eastAsia="zh-CN" w:bidi="ar-SA"/>
              </w:rPr>
              <w:t>（二）</w:t>
            </w:r>
            <w:r>
              <w:rPr>
                <w:rFonts w:hint="eastAsia" w:ascii="宋体" w:hAnsi="宋体" w:eastAsia="宋体" w:cs="宋体"/>
                <w:b/>
                <w:color w:val="auto"/>
                <w:sz w:val="24"/>
                <w:szCs w:val="24"/>
                <w:highlight w:val="none"/>
              </w:rPr>
              <w:t>企业资信情</w:t>
            </w:r>
            <w:r>
              <w:rPr>
                <w:rFonts w:hint="eastAsia" w:ascii="宋体" w:hAnsi="宋体" w:eastAsia="宋体" w:cs="宋体"/>
                <w:b/>
                <w:bCs w:val="0"/>
                <w:color w:val="auto"/>
                <w:sz w:val="24"/>
                <w:szCs w:val="24"/>
                <w:highlight w:val="none"/>
              </w:rPr>
              <w:t>况（</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分）</w:t>
            </w:r>
            <w:r>
              <w:rPr>
                <w:rFonts w:hint="eastAsia" w:ascii="宋体" w:hAnsi="宋体" w:eastAsia="宋体" w:cs="宋体"/>
                <w:b/>
                <w:bCs/>
                <w:color w:val="auto"/>
                <w:sz w:val="24"/>
                <w:szCs w:val="24"/>
                <w:highlight w:val="none"/>
              </w:rPr>
              <w:t>（适用于一、二标段）</w:t>
            </w:r>
            <w:bookmarkEnd w:id="74"/>
          </w:p>
        </w:tc>
      </w:tr>
      <w:tr w14:paraId="592F3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8" w:type="pct"/>
            <w:gridSpan w:val="2"/>
            <w:vAlign w:val="center"/>
          </w:tcPr>
          <w:p w14:paraId="79ED1F9C">
            <w:pPr>
              <w:jc w:val="center"/>
              <w:rPr>
                <w:rFonts w:hint="eastAsia" w:ascii="宋体" w:hAnsi="宋体" w:eastAsia="宋体" w:cs="宋体"/>
                <w:b w:val="0"/>
                <w:bCs/>
                <w:color w:val="auto"/>
                <w:sz w:val="20"/>
                <w:szCs w:val="20"/>
                <w:highlight w:val="none"/>
                <w:lang w:val="en-US" w:eastAsia="zh-CN" w:bidi="ar-SA"/>
              </w:rPr>
            </w:pPr>
            <w:r>
              <w:rPr>
                <w:rFonts w:hint="eastAsia" w:ascii="宋体" w:hAnsi="宋体" w:eastAsia="宋体" w:cs="宋体"/>
                <w:b/>
                <w:bCs/>
                <w:sz w:val="20"/>
                <w:szCs w:val="20"/>
                <w:highlight w:val="none"/>
                <w:vertAlign w:val="baseline"/>
                <w:lang w:val="en-US" w:eastAsia="zh-CN"/>
              </w:rPr>
              <w:t>1.</w:t>
            </w:r>
            <w:r>
              <w:rPr>
                <w:rFonts w:hint="eastAsia" w:ascii="宋体" w:hAnsi="宋体" w:eastAsia="宋体" w:cs="宋体"/>
                <w:b/>
                <w:bCs/>
                <w:color w:val="auto"/>
                <w:sz w:val="20"/>
                <w:szCs w:val="20"/>
                <w:highlight w:val="none"/>
              </w:rPr>
              <w:t>企业资信情况</w:t>
            </w:r>
          </w:p>
        </w:tc>
        <w:tc>
          <w:tcPr>
            <w:tcW w:w="317" w:type="pct"/>
            <w:vAlign w:val="center"/>
          </w:tcPr>
          <w:p w14:paraId="0F0A6A7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6</w:t>
            </w:r>
          </w:p>
        </w:tc>
        <w:tc>
          <w:tcPr>
            <w:tcW w:w="3524" w:type="pct"/>
          </w:tcPr>
          <w:p w14:paraId="4737E8BF">
            <w:pPr>
              <w:keepNext w:val="0"/>
              <w:keepLines w:val="0"/>
              <w:pageBreakBefore w:val="0"/>
              <w:widowControl w:val="0"/>
              <w:numPr>
                <w:ilvl w:val="0"/>
                <w:numId w:val="0"/>
              </w:numPr>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国家级工程造价咨询企业信用评价结果；省级（直辖市）工程造价咨询企业信用评价等级；地、市级（直辖市下属区、县）工程造价咨询企业考评结果；取高值计分不重复叠加（有效期内）。</w:t>
            </w:r>
          </w:p>
          <w:p w14:paraId="37433521">
            <w:pPr>
              <w:keepNext w:val="0"/>
              <w:keepLines w:val="0"/>
              <w:pageBreakBefore w:val="0"/>
              <w:widowControl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国家级：</w:t>
            </w:r>
          </w:p>
          <w:p w14:paraId="1FB5F065">
            <w:pPr>
              <w:keepNext w:val="0"/>
              <w:keepLines w:val="0"/>
              <w:pageBreakBefore w:val="0"/>
              <w:widowControl w:val="0"/>
              <w:numPr>
                <w:ilvl w:val="0"/>
                <w:numId w:val="0"/>
              </w:numPr>
              <w:kinsoku/>
              <w:wordWrap/>
              <w:overflowPunct/>
              <w:topLinePunct w:val="0"/>
              <w:autoSpaceDE/>
              <w:autoSpaceDN/>
              <w:bidi w:val="0"/>
              <w:adjustRightInd/>
              <w:spacing w:line="360" w:lineRule="auto"/>
              <w:ind w:firstLine="400" w:firstLineChars="200"/>
              <w:jc w:val="left"/>
              <w:textAlignment w:val="auto"/>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AAA：6分，               AA：5分，          A：4分；</w:t>
            </w:r>
          </w:p>
          <w:p w14:paraId="4D2ADC8A">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省级：</w:t>
            </w:r>
          </w:p>
          <w:p w14:paraId="2C1CE32B">
            <w:pPr>
              <w:keepNext w:val="0"/>
              <w:keepLines w:val="0"/>
              <w:pageBreakBefore w:val="0"/>
              <w:widowControl w:val="0"/>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AAAAA：6分，  AAAA：5分，  AAA：4分，  AA：3分，  A：2分；</w:t>
            </w:r>
          </w:p>
          <w:p w14:paraId="197458A9">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地、市级（直辖市下属区、县）：</w:t>
            </w:r>
          </w:p>
          <w:p w14:paraId="0E8BCAF8">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A：3分，              B： 2分 ，        C：1分。  </w:t>
            </w:r>
          </w:p>
          <w:p w14:paraId="26242A05">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未提供不得分。</w:t>
            </w:r>
          </w:p>
        </w:tc>
      </w:tr>
      <w:tr w14:paraId="545F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5EEA05B6">
            <w:pPr>
              <w:keepNext w:val="0"/>
              <w:keepLines w:val="0"/>
              <w:pageBreakBefore w:val="0"/>
              <w:widowControl w:val="0"/>
              <w:kinsoku/>
              <w:wordWrap/>
              <w:overflowPunct/>
              <w:topLinePunct w:val="0"/>
              <w:autoSpaceDE/>
              <w:autoSpaceDN/>
              <w:bidi w:val="0"/>
              <w:adjustRightInd/>
              <w:spacing w:line="360" w:lineRule="auto"/>
              <w:ind w:firstLine="42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b/>
                <w:color w:val="auto"/>
                <w:sz w:val="24"/>
                <w:szCs w:val="24"/>
                <w:highlight w:val="none"/>
                <w:lang w:val="en-US" w:eastAsia="zh-CN" w:bidi="ar-SA"/>
              </w:rPr>
              <w:t>（三）</w:t>
            </w:r>
            <w:r>
              <w:rPr>
                <w:rFonts w:hint="eastAsia" w:ascii="宋体" w:hAnsi="宋体" w:eastAsia="宋体" w:cs="宋体"/>
                <w:b/>
                <w:color w:val="auto"/>
                <w:sz w:val="24"/>
                <w:szCs w:val="24"/>
                <w:highlight w:val="none"/>
              </w:rPr>
              <w:t>拟投入人员的综合素质水平（</w:t>
            </w:r>
            <w:r>
              <w:rPr>
                <w:rFonts w:hint="eastAsia" w:ascii="宋体" w:hAnsi="宋体" w:eastAsia="宋体" w:cs="宋体"/>
                <w:b/>
                <w:color w:val="auto"/>
                <w:sz w:val="24"/>
                <w:szCs w:val="24"/>
                <w:highlight w:val="none"/>
                <w:lang w:val="en-US" w:eastAsia="zh-CN"/>
              </w:rPr>
              <w:t>40</w:t>
            </w:r>
            <w:r>
              <w:rPr>
                <w:rFonts w:hint="eastAsia" w:ascii="宋体" w:hAnsi="宋体" w:eastAsia="宋体" w:cs="宋体"/>
                <w:b/>
                <w:color w:val="auto"/>
                <w:sz w:val="24"/>
                <w:szCs w:val="24"/>
                <w:highlight w:val="none"/>
              </w:rPr>
              <w:t>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适用于一、二标段</w:t>
            </w:r>
            <w:r>
              <w:rPr>
                <w:rFonts w:hint="eastAsia" w:ascii="宋体" w:hAnsi="宋体" w:eastAsia="宋体" w:cs="宋体"/>
                <w:b/>
                <w:color w:val="auto"/>
                <w:sz w:val="24"/>
                <w:szCs w:val="24"/>
                <w:highlight w:val="none"/>
                <w:lang w:eastAsia="zh-CN"/>
              </w:rPr>
              <w:t>）</w:t>
            </w:r>
          </w:p>
        </w:tc>
      </w:tr>
      <w:tr w14:paraId="41AB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restart"/>
            <w:vAlign w:val="center"/>
          </w:tcPr>
          <w:p w14:paraId="42E078D7">
            <w:pPr>
              <w:numPr>
                <w:ilvl w:val="0"/>
                <w:numId w:val="7"/>
              </w:numPr>
              <w:jc w:val="center"/>
              <w:rPr>
                <w:rFonts w:hint="eastAsia" w:ascii="宋体" w:hAnsi="宋体" w:eastAsia="宋体" w:cs="宋体"/>
                <w:b/>
                <w:color w:val="auto"/>
                <w:sz w:val="20"/>
                <w:szCs w:val="20"/>
                <w:highlight w:val="none"/>
                <w:lang w:val="zh-CN" w:eastAsia="zh-CN" w:bidi="ar-SA"/>
              </w:rPr>
            </w:pPr>
            <w:r>
              <w:rPr>
                <w:rFonts w:hint="eastAsia" w:ascii="宋体" w:hAnsi="宋体" w:eastAsia="宋体" w:cs="宋体"/>
                <w:b/>
                <w:color w:val="auto"/>
                <w:sz w:val="20"/>
                <w:szCs w:val="20"/>
                <w:highlight w:val="none"/>
                <w:lang w:val="zh-CN" w:eastAsia="zh-CN" w:bidi="ar-SA"/>
              </w:rPr>
              <w:t>人员要求</w:t>
            </w:r>
          </w:p>
          <w:p w14:paraId="31AA8344">
            <w:pPr>
              <w:numPr>
                <w:ilvl w:val="0"/>
                <w:numId w:val="0"/>
              </w:numPr>
              <w:ind w:firstLine="201" w:firstLineChars="100"/>
              <w:jc w:val="both"/>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color w:val="auto"/>
                <w:sz w:val="20"/>
                <w:szCs w:val="20"/>
                <w:highlight w:val="none"/>
                <w:lang w:val="en-US" w:eastAsia="zh-CN" w:bidi="ar-SA"/>
              </w:rPr>
              <w:t>14</w:t>
            </w:r>
            <w:r>
              <w:rPr>
                <w:rFonts w:hint="eastAsia" w:ascii="宋体" w:hAnsi="宋体" w:eastAsia="宋体" w:cs="宋体"/>
                <w:b/>
                <w:color w:val="auto"/>
                <w:sz w:val="20"/>
                <w:szCs w:val="20"/>
                <w:highlight w:val="none"/>
                <w:lang w:val="zh-CN" w:eastAsia="zh-CN" w:bidi="ar-SA"/>
              </w:rPr>
              <w:t>分</w:t>
            </w:r>
          </w:p>
        </w:tc>
        <w:tc>
          <w:tcPr>
            <w:tcW w:w="697" w:type="pct"/>
            <w:vAlign w:val="center"/>
          </w:tcPr>
          <w:p w14:paraId="688E066E">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val="en-US" w:eastAsia="zh-CN" w:bidi="ar-SA"/>
              </w:rPr>
              <w:t>1.1项目负责人要求</w:t>
            </w:r>
          </w:p>
        </w:tc>
        <w:tc>
          <w:tcPr>
            <w:tcW w:w="317" w:type="pct"/>
            <w:vAlign w:val="center"/>
          </w:tcPr>
          <w:p w14:paraId="3E772C3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6</w:t>
            </w:r>
          </w:p>
        </w:tc>
        <w:tc>
          <w:tcPr>
            <w:tcW w:w="3524" w:type="pct"/>
          </w:tcPr>
          <w:p w14:paraId="0EB33772">
            <w:pPr>
              <w:keepNext w:val="0"/>
              <w:keepLines w:val="0"/>
              <w:pageBreakBefore w:val="0"/>
              <w:widowControl w:val="0"/>
              <w:kinsoku/>
              <w:wordWrap/>
              <w:overflowPunct/>
              <w:topLinePunct w:val="0"/>
              <w:autoSpaceDE/>
              <w:autoSpaceDN/>
              <w:bidi w:val="0"/>
              <w:adjustRightInd/>
              <w:snapToGrid w:val="0"/>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（1）具有一级注册造价师（土建专业）同时具有高级（含副高）及以上职称，得6分；</w:t>
            </w:r>
          </w:p>
          <w:p w14:paraId="5C928769">
            <w:pPr>
              <w:keepNext w:val="0"/>
              <w:keepLines w:val="0"/>
              <w:pageBreakBefore w:val="0"/>
              <w:widowControl w:val="0"/>
              <w:kinsoku/>
              <w:wordWrap/>
              <w:overflowPunct/>
              <w:topLinePunct w:val="0"/>
              <w:autoSpaceDE/>
              <w:autoSpaceDN/>
              <w:bidi w:val="0"/>
              <w:adjustRightInd/>
              <w:snapToGrid w:val="0"/>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（2）具有一级注册造价师（土建专业）同时具有中级职称，得3分。</w:t>
            </w:r>
          </w:p>
          <w:p w14:paraId="0647D45D">
            <w:pPr>
              <w:keepNext w:val="0"/>
              <w:keepLines w:val="0"/>
              <w:pageBreakBefore w:val="0"/>
              <w:widowControl w:val="0"/>
              <w:kinsoku/>
              <w:wordWrap/>
              <w:overflowPunct/>
              <w:topLinePunct w:val="0"/>
              <w:autoSpaceDE/>
              <w:autoSpaceDN/>
              <w:bidi w:val="0"/>
              <w:adjustRightInd/>
              <w:snapToGrid w:val="0"/>
              <w:spacing w:line="360" w:lineRule="auto"/>
              <w:ind w:leftChars="0" w:firstLine="420" w:firstLineChars="0"/>
              <w:jc w:val="left"/>
              <w:textAlignment w:val="auto"/>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本项最高得6分。</w:t>
            </w:r>
          </w:p>
        </w:tc>
      </w:tr>
      <w:tr w14:paraId="2538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vAlign w:val="center"/>
          </w:tcPr>
          <w:p w14:paraId="7854F7AD">
            <w:pPr>
              <w:jc w:val="cente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3B0FC885">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val="en-US" w:eastAsia="zh-CN" w:bidi="ar-SA"/>
              </w:rPr>
              <w:t>1.2项目组其他成员（不含项目负责人）</w:t>
            </w:r>
          </w:p>
        </w:tc>
        <w:tc>
          <w:tcPr>
            <w:tcW w:w="317" w:type="pct"/>
            <w:vAlign w:val="center"/>
          </w:tcPr>
          <w:p w14:paraId="196BC0A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color w:val="0000FF"/>
                <w:sz w:val="20"/>
                <w:szCs w:val="20"/>
                <w:highlight w:val="none"/>
                <w:vertAlign w:val="baseline"/>
                <w:lang w:val="en-US" w:eastAsia="zh-CN"/>
              </w:rPr>
            </w:pPr>
            <w:r>
              <w:rPr>
                <w:rFonts w:hint="eastAsia" w:ascii="宋体" w:hAnsi="宋体" w:eastAsia="宋体" w:cs="宋体"/>
                <w:b w:val="0"/>
                <w:bCs w:val="0"/>
                <w:color w:val="000000" w:themeColor="text1"/>
                <w:sz w:val="20"/>
                <w:szCs w:val="20"/>
                <w:highlight w:val="none"/>
                <w:vertAlign w:val="baseline"/>
                <w:lang w:val="en-US" w:eastAsia="zh-CN"/>
                <w14:textFill>
                  <w14:solidFill>
                    <w14:schemeClr w14:val="tx1"/>
                  </w14:solidFill>
                </w14:textFill>
              </w:rPr>
              <w:t>8</w:t>
            </w:r>
          </w:p>
        </w:tc>
        <w:tc>
          <w:tcPr>
            <w:tcW w:w="3524" w:type="pct"/>
          </w:tcPr>
          <w:p w14:paraId="0AC52489">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bidi="ar-SA"/>
              </w:rPr>
              <w:t>具有一级注册造价师（土建专业）同时具有高级（含副高）及以上职称，每提供1人得4分；</w:t>
            </w:r>
          </w:p>
          <w:p w14:paraId="62DDF552">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具有一级注册造价师（土建专业或安装专业）同时具有</w:t>
            </w:r>
            <w:r>
              <w:rPr>
                <w:rFonts w:hint="eastAsia" w:ascii="宋体" w:hAnsi="宋体" w:eastAsia="宋体" w:cs="宋体"/>
                <w:color w:val="auto"/>
                <w:sz w:val="20"/>
                <w:szCs w:val="20"/>
                <w:highlight w:val="none"/>
                <w:lang w:val="en-US" w:eastAsia="zh-CN"/>
              </w:rPr>
              <w:t>中级</w:t>
            </w:r>
            <w:r>
              <w:rPr>
                <w:rFonts w:hint="eastAsia" w:ascii="宋体" w:hAnsi="宋体" w:eastAsia="宋体" w:cs="宋体"/>
                <w:color w:val="auto"/>
                <w:sz w:val="20"/>
                <w:szCs w:val="20"/>
                <w:highlight w:val="none"/>
              </w:rPr>
              <w:t>职称，每提供1人得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eastAsia="zh-CN"/>
              </w:rPr>
              <w:t>。</w:t>
            </w:r>
          </w:p>
          <w:p w14:paraId="736168FF">
            <w:pPr>
              <w:pStyle w:val="46"/>
              <w:rPr>
                <w:rFonts w:hint="default"/>
                <w:highlight w:val="none"/>
                <w:lang w:val="en-US" w:eastAsia="zh-CN"/>
              </w:rPr>
            </w:pPr>
            <w:r>
              <w:rPr>
                <w:rFonts w:hint="eastAsia" w:asciiTheme="minorEastAsia" w:hAnsiTheme="minorEastAsia" w:eastAsiaTheme="minorEastAsia" w:cstheme="minorEastAsia"/>
                <w:sz w:val="20"/>
                <w:szCs w:val="20"/>
                <w:highlight w:val="none"/>
                <w:lang w:val="en-US" w:eastAsia="zh-CN"/>
              </w:rPr>
              <w:t>本项限评4人，最高得8分。</w:t>
            </w:r>
          </w:p>
        </w:tc>
      </w:tr>
      <w:tr w14:paraId="67EF5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restart"/>
            <w:vAlign w:val="center"/>
          </w:tcPr>
          <w:p w14:paraId="74EC3A39">
            <w:pPr>
              <w:jc w:val="center"/>
              <w:rPr>
                <w:rFonts w:hint="eastAsia" w:ascii="宋体" w:hAnsi="宋体" w:eastAsia="宋体" w:cs="宋体"/>
                <w:b/>
                <w:bCs/>
                <w:color w:val="auto"/>
                <w:sz w:val="20"/>
                <w:szCs w:val="20"/>
                <w:highlight w:val="none"/>
                <w:lang w:val="zh-CN" w:eastAsia="zh-CN" w:bidi="ar-SA"/>
              </w:rPr>
            </w:pPr>
            <w:r>
              <w:rPr>
                <w:rFonts w:hint="eastAsia" w:ascii="宋体" w:hAnsi="宋体" w:eastAsia="宋体" w:cs="宋体"/>
                <w:b/>
                <w:bCs/>
                <w:sz w:val="20"/>
                <w:szCs w:val="20"/>
                <w:highlight w:val="none"/>
                <w:vertAlign w:val="baseline"/>
                <w:lang w:val="en-US" w:eastAsia="zh-CN"/>
              </w:rPr>
              <w:t>2.</w:t>
            </w:r>
            <w:r>
              <w:rPr>
                <w:rFonts w:hint="eastAsia" w:ascii="宋体" w:hAnsi="宋体" w:eastAsia="宋体" w:cs="宋体"/>
                <w:b/>
                <w:bCs/>
                <w:color w:val="auto"/>
                <w:sz w:val="20"/>
                <w:szCs w:val="20"/>
                <w:highlight w:val="none"/>
                <w:lang w:val="zh-CN" w:eastAsia="zh-CN" w:bidi="ar-SA"/>
              </w:rPr>
              <w:t>人员业绩</w:t>
            </w:r>
          </w:p>
          <w:p w14:paraId="0C93EB06">
            <w:pPr>
              <w:jc w:val="center"/>
              <w:rPr>
                <w:rFonts w:hint="default" w:ascii="宋体" w:hAnsi="宋体" w:eastAsia="宋体" w:cs="宋体"/>
                <w:b w:val="0"/>
                <w:bCs w:val="0"/>
                <w:sz w:val="20"/>
                <w:szCs w:val="20"/>
                <w:highlight w:val="none"/>
                <w:vertAlign w:val="baseline"/>
                <w:lang w:val="en-US" w:eastAsia="zh-CN"/>
              </w:rPr>
            </w:pPr>
            <w:r>
              <w:rPr>
                <w:rFonts w:hint="eastAsia" w:ascii="宋体" w:hAnsi="宋体" w:eastAsia="宋体" w:cs="宋体"/>
                <w:b/>
                <w:bCs/>
                <w:color w:val="auto"/>
                <w:sz w:val="20"/>
                <w:szCs w:val="20"/>
                <w:highlight w:val="none"/>
                <w:lang w:val="en-US" w:eastAsia="zh-CN" w:bidi="ar-SA"/>
              </w:rPr>
              <w:t>26</w:t>
            </w:r>
            <w:r>
              <w:rPr>
                <w:rFonts w:hint="eastAsia" w:ascii="宋体" w:hAnsi="宋体" w:eastAsia="宋体" w:cs="宋体"/>
                <w:b/>
                <w:color w:val="auto"/>
                <w:sz w:val="20"/>
                <w:szCs w:val="20"/>
                <w:highlight w:val="none"/>
                <w:lang w:val="zh-CN" w:eastAsia="zh-CN" w:bidi="ar-SA"/>
              </w:rPr>
              <w:t>分</w:t>
            </w:r>
          </w:p>
        </w:tc>
        <w:tc>
          <w:tcPr>
            <w:tcW w:w="697" w:type="pct"/>
            <w:vAlign w:val="center"/>
          </w:tcPr>
          <w:p w14:paraId="7A0E2091">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val="en-US" w:eastAsia="zh-CN" w:bidi="ar-SA"/>
              </w:rPr>
              <w:t>2.1项目负责人业绩</w:t>
            </w:r>
          </w:p>
        </w:tc>
        <w:tc>
          <w:tcPr>
            <w:tcW w:w="317" w:type="pct"/>
            <w:vAlign w:val="center"/>
          </w:tcPr>
          <w:p w14:paraId="53A6906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7</w:t>
            </w:r>
          </w:p>
        </w:tc>
        <w:tc>
          <w:tcPr>
            <w:tcW w:w="3524" w:type="pct"/>
          </w:tcPr>
          <w:p w14:paraId="57AD4ED9">
            <w:pPr>
              <w:keepNext w:val="0"/>
              <w:keepLines w:val="0"/>
              <w:pageBreakBefore w:val="0"/>
              <w:widowControl w:val="0"/>
              <w:kinsoku/>
              <w:wordWrap/>
              <w:overflowPunct/>
              <w:topLinePunct w:val="0"/>
              <w:autoSpaceDE/>
              <w:autoSpaceDN/>
              <w:bidi w:val="0"/>
              <w:adjustRightInd/>
              <w:snapToGrid w:val="0"/>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自2021年至今累计完成的跟踪审计项目（国有资金投资市政类项目）且在该项目中担任项目负责人，金额在1亿元以下的（不含1亿元），不得分；1亿元得3分，在此基础上，每增加5000万元，得分增加1分；本项满分7分。</w:t>
            </w:r>
          </w:p>
        </w:tc>
      </w:tr>
      <w:tr w14:paraId="0470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557DF686">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3F128C32">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b w:val="0"/>
                <w:bCs/>
                <w:color w:val="auto"/>
                <w:sz w:val="20"/>
                <w:szCs w:val="20"/>
                <w:highlight w:val="none"/>
                <w:lang w:val="en-US"/>
              </w:rPr>
            </w:pPr>
            <w:r>
              <w:rPr>
                <w:rFonts w:hint="eastAsia" w:ascii="宋体" w:hAnsi="宋体" w:eastAsia="宋体" w:cs="宋体"/>
                <w:b w:val="0"/>
                <w:bCs/>
                <w:color w:val="auto"/>
                <w:sz w:val="20"/>
                <w:szCs w:val="20"/>
                <w:highlight w:val="none"/>
                <w:lang w:val="en-US" w:eastAsia="zh-CN" w:bidi="ar-SA"/>
              </w:rPr>
              <w:t>2.2项目负责人完成的跟踪审计项目个数</w:t>
            </w:r>
          </w:p>
        </w:tc>
        <w:tc>
          <w:tcPr>
            <w:tcW w:w="317" w:type="pct"/>
            <w:vAlign w:val="center"/>
          </w:tcPr>
          <w:p w14:paraId="790FB29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6</w:t>
            </w:r>
          </w:p>
        </w:tc>
        <w:tc>
          <w:tcPr>
            <w:tcW w:w="3524" w:type="pct"/>
          </w:tcPr>
          <w:p w14:paraId="1FC39AE5">
            <w:pPr>
              <w:keepNext w:val="0"/>
              <w:keepLines w:val="0"/>
              <w:pageBreakBefore w:val="0"/>
              <w:widowControl w:val="0"/>
              <w:kinsoku/>
              <w:wordWrap/>
              <w:overflowPunct/>
              <w:topLinePunct w:val="0"/>
              <w:autoSpaceDE/>
              <w:autoSpaceDN/>
              <w:bidi w:val="0"/>
              <w:adjustRightInd/>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自2021年至今累计完成的跟踪审计项目（国有资金投资市政类项目）个数，1个以下的，不得分；1个得2分，在此基础上，每增加1个，得分增加2分。本项满分6分。</w:t>
            </w:r>
          </w:p>
        </w:tc>
      </w:tr>
      <w:tr w14:paraId="772A6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28E2D926">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491046BE">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val="en-US" w:eastAsia="zh-CN" w:bidi="ar-SA"/>
              </w:rPr>
              <w:t>2.3项目组其他成员业绩</w:t>
            </w:r>
          </w:p>
        </w:tc>
        <w:tc>
          <w:tcPr>
            <w:tcW w:w="317" w:type="pct"/>
            <w:vAlign w:val="center"/>
          </w:tcPr>
          <w:p w14:paraId="5DE350F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7</w:t>
            </w:r>
          </w:p>
        </w:tc>
        <w:tc>
          <w:tcPr>
            <w:tcW w:w="3524" w:type="pct"/>
          </w:tcPr>
          <w:p w14:paraId="29F92FF6">
            <w:pPr>
              <w:keepNext w:val="0"/>
              <w:keepLines w:val="0"/>
              <w:pageBreakBefore w:val="0"/>
              <w:widowControl w:val="0"/>
              <w:kinsoku/>
              <w:wordWrap/>
              <w:overflowPunct/>
              <w:topLinePunct w:val="0"/>
              <w:autoSpaceDE/>
              <w:autoSpaceDN/>
              <w:bidi w:val="0"/>
              <w:adjustRightInd/>
              <w:snapToGrid w:val="0"/>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自2021年至今累计完成的跟踪审计项目（国有资金投资市政类项目）金额在1亿元以下的（不含1亿元），不得分；1亿元得3分，在此基础上，每增加5000万元，得分增加1分。本项满分7分。</w:t>
            </w:r>
          </w:p>
        </w:tc>
      </w:tr>
      <w:tr w14:paraId="30C3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265104A1">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397CAEA3">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val="en-US" w:eastAsia="zh-CN" w:bidi="ar-SA"/>
              </w:rPr>
              <w:t>2.4项目组其他成员的个数</w:t>
            </w:r>
          </w:p>
        </w:tc>
        <w:tc>
          <w:tcPr>
            <w:tcW w:w="317" w:type="pct"/>
            <w:vAlign w:val="center"/>
          </w:tcPr>
          <w:p w14:paraId="2C1C6F3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6</w:t>
            </w:r>
          </w:p>
        </w:tc>
        <w:tc>
          <w:tcPr>
            <w:tcW w:w="3524" w:type="pct"/>
          </w:tcPr>
          <w:p w14:paraId="465F62D8">
            <w:pPr>
              <w:tabs>
                <w:tab w:val="left" w:pos="2870"/>
              </w:tabs>
              <w:spacing w:line="360" w:lineRule="auto"/>
              <w:ind w:firstLine="420"/>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自2021年至今累计完成的跟踪审计项目（国有资金投资</w:t>
            </w:r>
            <w:r>
              <w:rPr>
                <w:rFonts w:hint="eastAsia" w:ascii="宋体" w:hAnsi="宋体" w:eastAsia="宋体" w:cs="宋体"/>
                <w:color w:val="auto"/>
                <w:sz w:val="20"/>
                <w:szCs w:val="20"/>
                <w:highlight w:val="none"/>
                <w:lang w:val="en-US" w:eastAsia="zh-CN"/>
              </w:rPr>
              <w:t>市政</w:t>
            </w:r>
            <w:r>
              <w:rPr>
                <w:rFonts w:hint="eastAsia" w:ascii="宋体" w:hAnsi="宋体" w:eastAsia="宋体" w:cs="宋体"/>
                <w:color w:val="auto"/>
                <w:sz w:val="20"/>
                <w:szCs w:val="20"/>
                <w:highlight w:val="none"/>
              </w:rPr>
              <w:t>类）个数在</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个以下的，不得分；</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个得</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分，在此基础上，每增加1个，得分增加</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分。本项满分</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分。</w:t>
            </w:r>
          </w:p>
        </w:tc>
      </w:tr>
      <w:tr w14:paraId="402F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639437D8">
            <w:pPr>
              <w:keepNext w:val="0"/>
              <w:keepLines w:val="0"/>
              <w:pageBreakBefore w:val="0"/>
              <w:widowControl w:val="0"/>
              <w:kinsoku/>
              <w:wordWrap/>
              <w:overflowPunct/>
              <w:topLinePunct w:val="0"/>
              <w:autoSpaceDE/>
              <w:autoSpaceDN/>
              <w:bidi w:val="0"/>
              <w:adjustRightInd/>
              <w:spacing w:line="360" w:lineRule="auto"/>
              <w:ind w:firstLine="42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rPr>
              <w:t>企业基本服务能力（</w:t>
            </w: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rPr>
              <w:t>分）</w:t>
            </w:r>
          </w:p>
        </w:tc>
      </w:tr>
      <w:tr w14:paraId="3C67D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restart"/>
            <w:vAlign w:val="center"/>
          </w:tcPr>
          <w:p w14:paraId="1DDE9F46">
            <w:pPr>
              <w:numPr>
                <w:ilvl w:val="0"/>
                <w:numId w:val="8"/>
              </w:numPr>
              <w:jc w:val="center"/>
              <w:rPr>
                <w:rFonts w:hint="eastAsia" w:ascii="宋体" w:hAnsi="宋体" w:eastAsia="宋体" w:cs="宋体"/>
                <w:b/>
                <w:color w:val="auto"/>
                <w:sz w:val="20"/>
                <w:szCs w:val="20"/>
                <w:highlight w:val="none"/>
                <w:lang w:val="zh-CN" w:eastAsia="zh-CN" w:bidi="ar-SA"/>
              </w:rPr>
            </w:pPr>
            <w:r>
              <w:rPr>
                <w:rFonts w:hint="eastAsia" w:ascii="宋体" w:hAnsi="宋体" w:eastAsia="宋体" w:cs="宋体"/>
                <w:b/>
                <w:color w:val="auto"/>
                <w:sz w:val="20"/>
                <w:szCs w:val="20"/>
                <w:highlight w:val="none"/>
                <w:lang w:val="zh-CN" w:eastAsia="zh-CN" w:bidi="ar-SA"/>
              </w:rPr>
              <w:t>企业人员</w:t>
            </w:r>
          </w:p>
          <w:p w14:paraId="20FB38C6">
            <w:pPr>
              <w:numPr>
                <w:ilvl w:val="0"/>
                <w:numId w:val="0"/>
              </w:numPr>
              <w:ind w:firstLine="201" w:firstLineChars="100"/>
              <w:jc w:val="both"/>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color w:val="auto"/>
                <w:sz w:val="20"/>
                <w:szCs w:val="20"/>
                <w:highlight w:val="none"/>
                <w:lang w:val="en-US" w:eastAsia="zh-CN" w:bidi="ar-SA"/>
              </w:rPr>
              <w:t>8分</w:t>
            </w:r>
          </w:p>
        </w:tc>
        <w:tc>
          <w:tcPr>
            <w:tcW w:w="697" w:type="pct"/>
            <w:vAlign w:val="center"/>
          </w:tcPr>
          <w:p w14:paraId="6816D5F3">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val="en-US" w:eastAsia="zh-CN" w:bidi="ar-SA"/>
              </w:rPr>
              <w:t>1.1</w:t>
            </w:r>
            <w:r>
              <w:rPr>
                <w:rFonts w:hint="eastAsia" w:ascii="宋体" w:hAnsi="宋体" w:eastAsia="宋体" w:cs="宋体"/>
                <w:b w:val="0"/>
                <w:bCs/>
                <w:color w:val="auto"/>
                <w:sz w:val="20"/>
                <w:szCs w:val="20"/>
                <w:highlight w:val="none"/>
                <w:lang w:val="zh-CN" w:eastAsia="zh-CN" w:bidi="ar-SA"/>
              </w:rPr>
              <w:t>企业人员</w:t>
            </w:r>
            <w:r>
              <w:rPr>
                <w:rFonts w:hint="eastAsia" w:ascii="宋体" w:hAnsi="宋体" w:eastAsia="宋体" w:cs="宋体"/>
                <w:b w:val="0"/>
                <w:bCs/>
                <w:color w:val="auto"/>
                <w:sz w:val="20"/>
                <w:szCs w:val="20"/>
                <w:highlight w:val="none"/>
                <w:lang w:val="en-US" w:eastAsia="zh-CN" w:bidi="ar-SA"/>
              </w:rPr>
              <w:t>中具有一级注册造价师的人数</w:t>
            </w:r>
          </w:p>
        </w:tc>
        <w:tc>
          <w:tcPr>
            <w:tcW w:w="317" w:type="pct"/>
            <w:vAlign w:val="center"/>
          </w:tcPr>
          <w:p w14:paraId="72BE710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4</w:t>
            </w:r>
          </w:p>
        </w:tc>
        <w:tc>
          <w:tcPr>
            <w:tcW w:w="3524" w:type="pct"/>
          </w:tcPr>
          <w:p w14:paraId="40AA7EE1">
            <w:pPr>
              <w:keepNext w:val="0"/>
              <w:keepLines w:val="0"/>
              <w:pageBreakBefore w:val="0"/>
              <w:widowControl w:val="0"/>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企业人员中具有一级注册造价师的人数，6人以下（不含6人）不得分；6人得0.6分，在此基础上，每增加1人，得分增加0.2分；本项满分4分。</w:t>
            </w:r>
          </w:p>
        </w:tc>
      </w:tr>
      <w:tr w14:paraId="7B84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2B38EBF1">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5CD129D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lang w:val="en-US" w:eastAsia="zh-CN" w:bidi="ar-SA"/>
              </w:rPr>
              <w:t>1.2企业人员中具有高级（含副高）及以上职称的人数</w:t>
            </w:r>
          </w:p>
        </w:tc>
        <w:tc>
          <w:tcPr>
            <w:tcW w:w="317" w:type="pct"/>
            <w:vAlign w:val="center"/>
          </w:tcPr>
          <w:p w14:paraId="6C2A932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4</w:t>
            </w:r>
          </w:p>
        </w:tc>
        <w:tc>
          <w:tcPr>
            <w:tcW w:w="3524" w:type="pct"/>
          </w:tcPr>
          <w:p w14:paraId="298D7D7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00" w:firstLineChars="200"/>
              <w:jc w:val="left"/>
              <w:textAlignment w:val="auto"/>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企业人员中具有高级（含副高）及以上职称的人数，5人以下（不含5人）不得分；5人得0.4分，在此基础上，每增加1人，得分增加0.4分；本项满分4分。</w:t>
            </w:r>
          </w:p>
        </w:tc>
      </w:tr>
      <w:tr w14:paraId="385C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restart"/>
            <w:vAlign w:val="center"/>
          </w:tcPr>
          <w:p w14:paraId="3467499B">
            <w:pPr>
              <w:numPr>
                <w:ilvl w:val="0"/>
                <w:numId w:val="8"/>
              </w:numPr>
              <w:ind w:left="0" w:leftChars="0" w:firstLine="0" w:firstLineChars="0"/>
              <w:jc w:val="center"/>
              <w:rPr>
                <w:rFonts w:hint="eastAsia" w:ascii="宋体" w:hAnsi="宋体" w:eastAsia="宋体" w:cs="宋体"/>
                <w:b/>
                <w:bCs/>
                <w:color w:val="auto"/>
                <w:sz w:val="20"/>
                <w:szCs w:val="20"/>
                <w:highlight w:val="none"/>
                <w:lang w:val="zh-CN" w:eastAsia="zh-CN" w:bidi="ar-SA"/>
              </w:rPr>
            </w:pPr>
            <w:r>
              <w:rPr>
                <w:rFonts w:hint="eastAsia" w:ascii="宋体" w:hAnsi="宋体" w:eastAsia="宋体" w:cs="宋体"/>
                <w:b/>
                <w:bCs/>
                <w:color w:val="auto"/>
                <w:sz w:val="20"/>
                <w:szCs w:val="20"/>
                <w:highlight w:val="none"/>
                <w:lang w:val="zh-CN" w:eastAsia="zh-CN" w:bidi="ar-SA"/>
              </w:rPr>
              <w:t>企业业绩</w:t>
            </w:r>
          </w:p>
          <w:p w14:paraId="448AA95C">
            <w:pPr>
              <w:numPr>
                <w:ilvl w:val="0"/>
                <w:numId w:val="0"/>
              </w:numPr>
              <w:ind w:leftChars="0" w:firstLine="201" w:firstLineChars="100"/>
              <w:jc w:val="both"/>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bCs/>
                <w:color w:val="auto"/>
                <w:sz w:val="20"/>
                <w:szCs w:val="20"/>
                <w:highlight w:val="none"/>
                <w:lang w:val="en-US" w:eastAsia="zh-CN" w:bidi="ar-SA"/>
              </w:rPr>
              <w:t>8</w:t>
            </w:r>
            <w:r>
              <w:rPr>
                <w:rFonts w:hint="eastAsia" w:ascii="宋体" w:hAnsi="宋体" w:eastAsia="宋体" w:cs="宋体"/>
                <w:b/>
                <w:bCs/>
                <w:color w:val="auto"/>
                <w:sz w:val="20"/>
                <w:szCs w:val="20"/>
                <w:highlight w:val="none"/>
                <w:lang w:val="zh-CN" w:eastAsia="zh-CN" w:bidi="ar-SA"/>
              </w:rPr>
              <w:t>分</w:t>
            </w:r>
          </w:p>
        </w:tc>
        <w:tc>
          <w:tcPr>
            <w:tcW w:w="697" w:type="pct"/>
            <w:vAlign w:val="center"/>
          </w:tcPr>
          <w:p w14:paraId="2C4D241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2.1企业完成业绩</w:t>
            </w:r>
          </w:p>
        </w:tc>
        <w:tc>
          <w:tcPr>
            <w:tcW w:w="317" w:type="pct"/>
            <w:vAlign w:val="center"/>
          </w:tcPr>
          <w:p w14:paraId="6576A01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4</w:t>
            </w:r>
          </w:p>
        </w:tc>
        <w:tc>
          <w:tcPr>
            <w:tcW w:w="3524" w:type="pct"/>
          </w:tcPr>
          <w:p w14:paraId="4B1DB75A">
            <w:pPr>
              <w:keepNext w:val="0"/>
              <w:keepLines w:val="0"/>
              <w:pageBreakBefore w:val="0"/>
              <w:widowControl w:val="0"/>
              <w:numPr>
                <w:ilvl w:val="0"/>
                <w:numId w:val="0"/>
              </w:numPr>
              <w:kinsoku/>
              <w:wordWrap/>
              <w:overflowPunct/>
              <w:topLinePunct w:val="0"/>
              <w:autoSpaceDE/>
              <w:autoSpaceDN/>
              <w:bidi w:val="0"/>
              <w:adjustRightInd/>
              <w:spacing w:line="360" w:lineRule="auto"/>
              <w:ind w:firstLine="400" w:firstLineChars="20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企业自2021年至今累计完成的跟踪审计项目（国有资金投资类项目）金额在1亿元以下的（不含1亿元），不得分；1亿元得0.8分，在此基础上，每增加5000万元，得分增加0.4分。本项满分4分。</w:t>
            </w:r>
          </w:p>
        </w:tc>
      </w:tr>
      <w:tr w14:paraId="1F2E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 w:type="pct"/>
            <w:vMerge w:val="continue"/>
          </w:tcPr>
          <w:p w14:paraId="24CB0E5E">
            <w:pPr>
              <w:rPr>
                <w:rFonts w:hint="eastAsia" w:ascii="宋体" w:hAnsi="宋体" w:eastAsia="宋体" w:cs="宋体"/>
                <w:b w:val="0"/>
                <w:bCs w:val="0"/>
                <w:sz w:val="20"/>
                <w:szCs w:val="20"/>
                <w:highlight w:val="none"/>
                <w:vertAlign w:val="baseline"/>
                <w:lang w:val="en-US" w:eastAsia="zh-CN"/>
              </w:rPr>
            </w:pPr>
          </w:p>
        </w:tc>
        <w:tc>
          <w:tcPr>
            <w:tcW w:w="697" w:type="pct"/>
            <w:vAlign w:val="center"/>
          </w:tcPr>
          <w:p w14:paraId="3C3E645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2.2企业完成项目个数</w:t>
            </w:r>
          </w:p>
        </w:tc>
        <w:tc>
          <w:tcPr>
            <w:tcW w:w="317" w:type="pct"/>
            <w:vAlign w:val="center"/>
          </w:tcPr>
          <w:p w14:paraId="23C57F4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4</w:t>
            </w:r>
          </w:p>
        </w:tc>
        <w:tc>
          <w:tcPr>
            <w:tcW w:w="3524" w:type="pct"/>
          </w:tcPr>
          <w:p w14:paraId="32C07C45">
            <w:pPr>
              <w:keepNext w:val="0"/>
              <w:keepLines w:val="0"/>
              <w:pageBreakBefore w:val="0"/>
              <w:widowControl w:val="0"/>
              <w:kinsoku/>
              <w:wordWrap/>
              <w:overflowPunct/>
              <w:topLinePunct w:val="0"/>
              <w:autoSpaceDE/>
              <w:autoSpaceDN/>
              <w:bidi w:val="0"/>
              <w:adjustRightInd/>
              <w:snapToGrid w:val="0"/>
              <w:spacing w:line="360" w:lineRule="auto"/>
              <w:ind w:leftChars="0" w:firstLine="420" w:firstLineChars="0"/>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企业自2021年至今累计完成的跟踪审计项目（国有资金投资类项目）个数在2个以下的（不含2个），不得分；2个得1分，在此基础上，每增加1个，得分增加1分。本项满分4分。</w:t>
            </w:r>
          </w:p>
        </w:tc>
      </w:tr>
    </w:tbl>
    <w:p w14:paraId="6052FE84">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说明：</w:t>
      </w:r>
    </w:p>
    <w:p w14:paraId="0C0F4E31">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1.人员证书提供说明：</w:t>
      </w:r>
      <w:r>
        <w:rPr>
          <w:rFonts w:hint="eastAsia" w:ascii="宋体" w:hAnsi="宋体" w:eastAsia="宋体" w:cs="宋体"/>
          <w:color w:val="auto"/>
          <w:szCs w:val="21"/>
          <w:highlight w:val="none"/>
        </w:rPr>
        <w:t>一级注册造价师须提供注册证书扫描件（注册证书单位名称与投标单位名称一致）及投标单位为其连续缴纳的近3个月及以上的社保证明，并加盖单位公章。职称证书提供证书扫描件，并加盖单位公章</w:t>
      </w:r>
      <w:r>
        <w:rPr>
          <w:rFonts w:hint="eastAsia" w:ascii="宋体" w:hAnsi="宋体" w:eastAsia="宋体" w:cs="宋体"/>
          <w:b/>
          <w:bCs/>
          <w:color w:val="auto"/>
          <w:szCs w:val="21"/>
          <w:highlight w:val="none"/>
        </w:rPr>
        <w:t>。不得使用退休人员（若使用退休人员，该人员的相应得分均不计取）。同一人只可提供一个专业的一级造价师注册证书。同一人只可提供一个专业一个等级的职称证书。项目组其他成员限评4人，如超出按顺序号取前面4人，超出的人员及相应业绩得分均不计取。</w:t>
      </w:r>
      <w:r>
        <w:rPr>
          <w:rFonts w:hint="eastAsia" w:ascii="宋体" w:hAnsi="宋体" w:eastAsia="宋体" w:cs="宋体"/>
          <w:color w:val="auto"/>
          <w:szCs w:val="21"/>
          <w:highlight w:val="none"/>
        </w:rPr>
        <w:t>材料缺失、不符或不提供者，对应项不得分。</w:t>
      </w:r>
    </w:p>
    <w:p w14:paraId="0976BF69">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2.业绩提供说明：</w:t>
      </w:r>
    </w:p>
    <w:p w14:paraId="603C1EB0">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（1）投标人须提供业绩目录汇总表。</w:t>
      </w:r>
    </w:p>
    <w:p w14:paraId="2C0078AB">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strike w:val="0"/>
          <w:dstrike w:val="0"/>
          <w:color w:val="auto"/>
          <w:szCs w:val="21"/>
          <w:highlight w:val="none"/>
          <w:lang w:val="en-US" w:eastAsia="zh-CN"/>
        </w:rPr>
      </w:pPr>
      <w:r>
        <w:rPr>
          <w:rFonts w:hint="eastAsia" w:ascii="宋体" w:hAnsi="宋体" w:eastAsia="宋体" w:cs="宋体"/>
          <w:color w:val="auto"/>
          <w:szCs w:val="21"/>
          <w:highlight w:val="none"/>
        </w:rPr>
        <w:t>（2）投标人须提供跟踪审计合同扫描件及</w:t>
      </w:r>
      <w:r>
        <w:rPr>
          <w:rFonts w:hint="eastAsia" w:ascii="宋体" w:hAnsi="宋体" w:eastAsia="宋体" w:cs="宋体"/>
          <w:color w:val="auto"/>
          <w:szCs w:val="21"/>
          <w:highlight w:val="none"/>
          <w:lang w:val="en-US" w:eastAsia="zh-CN"/>
        </w:rPr>
        <w:t>委托方出具的相应证明扫描件</w:t>
      </w:r>
      <w:r>
        <w:rPr>
          <w:rFonts w:hint="eastAsia" w:ascii="宋体" w:hAnsi="宋体" w:eastAsia="宋体" w:cs="宋体"/>
          <w:color w:val="auto"/>
          <w:szCs w:val="21"/>
          <w:highlight w:val="none"/>
        </w:rPr>
        <w:t>，并加盖公章。</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021年至今完成的跟踪审计项目是指：该项目下所有跟审标段全部</w:t>
      </w:r>
      <w:r>
        <w:rPr>
          <w:rFonts w:hint="eastAsia" w:ascii="宋体" w:hAnsi="宋体" w:eastAsia="宋体" w:cs="宋体"/>
          <w:color w:val="auto"/>
          <w:szCs w:val="21"/>
          <w:highlight w:val="none"/>
          <w:lang w:val="en-US" w:eastAsia="zh-CN"/>
        </w:rPr>
        <w:t>跟审完成</w:t>
      </w:r>
      <w:r>
        <w:rPr>
          <w:rFonts w:hint="eastAsia" w:ascii="宋体" w:hAnsi="宋体" w:eastAsia="宋体" w:cs="宋体"/>
          <w:color w:val="auto"/>
          <w:szCs w:val="21"/>
          <w:highlight w:val="none"/>
        </w:rPr>
        <w:t>，经委托方证明签字盖章后，视同认可跟踪审计完成。</w:t>
      </w:r>
    </w:p>
    <w:p w14:paraId="29FFCA6A">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（3）本采购文件中的国有资金投资项目是指国有资金占控股或者主导地位的项目。</w:t>
      </w:r>
    </w:p>
    <w:p w14:paraId="18A85690">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（4）项目负责人与项目组其他成员</w:t>
      </w:r>
      <w:r>
        <w:rPr>
          <w:rFonts w:hint="eastAsia" w:ascii="宋体" w:hAnsi="宋体" w:eastAsia="宋体" w:cs="宋体"/>
          <w:b/>
          <w:bCs/>
          <w:color w:val="auto"/>
          <w:szCs w:val="21"/>
          <w:highlight w:val="none"/>
          <w:lang w:val="zh-CN"/>
        </w:rPr>
        <w:t>业绩如为同一项目，得分可以兼得。</w:t>
      </w:r>
      <w:r>
        <w:rPr>
          <w:rFonts w:hint="eastAsia" w:ascii="宋体" w:hAnsi="宋体" w:eastAsia="宋体" w:cs="宋体"/>
          <w:b/>
          <w:bCs/>
          <w:color w:val="auto"/>
          <w:szCs w:val="21"/>
          <w:highlight w:val="none"/>
        </w:rPr>
        <w:t>项目组其他成员之间提供的</w:t>
      </w:r>
      <w:r>
        <w:rPr>
          <w:rFonts w:hint="eastAsia" w:ascii="宋体" w:hAnsi="宋体" w:eastAsia="宋体" w:cs="宋体"/>
          <w:b/>
          <w:bCs/>
          <w:color w:val="auto"/>
          <w:szCs w:val="21"/>
          <w:highlight w:val="none"/>
          <w:lang w:val="zh-CN"/>
        </w:rPr>
        <w:t>业绩如为同一项目，</w:t>
      </w:r>
      <w:r>
        <w:rPr>
          <w:rFonts w:hint="eastAsia" w:ascii="宋体" w:hAnsi="宋体" w:eastAsia="宋体" w:cs="宋体"/>
          <w:b/>
          <w:bCs/>
          <w:color w:val="auto"/>
          <w:szCs w:val="21"/>
          <w:highlight w:val="none"/>
        </w:rPr>
        <w:t>金额、个数均按一个项目计取，不重复累加</w:t>
      </w:r>
      <w:r>
        <w:rPr>
          <w:rFonts w:hint="eastAsia" w:ascii="宋体" w:hAnsi="宋体" w:eastAsia="宋体" w:cs="宋体"/>
          <w:b/>
          <w:bCs/>
          <w:color w:val="auto"/>
          <w:szCs w:val="21"/>
          <w:highlight w:val="none"/>
          <w:lang w:val="zh-CN"/>
        </w:rPr>
        <w:t>。</w:t>
      </w:r>
    </w:p>
    <w:p w14:paraId="4D0F984A">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（5）跟踪审计项目个数以提供的合同数量为准。</w:t>
      </w:r>
    </w:p>
    <w:p w14:paraId="21750D40">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（6）人员</w:t>
      </w:r>
      <w:r>
        <w:rPr>
          <w:rFonts w:hint="eastAsia" w:ascii="宋体" w:hAnsi="宋体" w:eastAsia="宋体" w:cs="宋体"/>
          <w:b/>
          <w:bCs/>
          <w:color w:val="auto"/>
          <w:szCs w:val="21"/>
          <w:highlight w:val="none"/>
          <w:lang w:val="zh-CN"/>
        </w:rPr>
        <w:t>业绩与企业业绩如为同一项目，得分可以兼得。</w:t>
      </w:r>
    </w:p>
    <w:p w14:paraId="31BCA149">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（7）委托方对资料的真实性承担连带法律责任。投标人对其提供的委托方证明负责，如发现弄虚作假，采购人将追究投标人的法律责任。</w:t>
      </w:r>
    </w:p>
    <w:p w14:paraId="5A9A1BAB">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zh-CN"/>
        </w:rPr>
        <w:t>投</w:t>
      </w:r>
      <w:r>
        <w:rPr>
          <w:rFonts w:hint="eastAsia" w:ascii="宋体" w:hAnsi="宋体" w:eastAsia="宋体" w:cs="宋体"/>
          <w:b/>
          <w:bCs/>
          <w:color w:val="auto"/>
          <w:szCs w:val="21"/>
          <w:highlight w:val="none"/>
        </w:rPr>
        <w:t>标人</w:t>
      </w:r>
      <w:r>
        <w:rPr>
          <w:rFonts w:hint="eastAsia" w:ascii="宋体" w:hAnsi="宋体" w:eastAsia="宋体" w:cs="宋体"/>
          <w:b/>
          <w:bCs/>
          <w:color w:val="auto"/>
          <w:szCs w:val="21"/>
          <w:highlight w:val="none"/>
          <w:lang w:val="zh-CN"/>
        </w:rPr>
        <w:t>信用等级</w:t>
      </w:r>
      <w:r>
        <w:rPr>
          <w:rFonts w:hint="eastAsia" w:ascii="宋体" w:hAnsi="宋体" w:eastAsia="宋体" w:cs="宋体"/>
          <w:b/>
          <w:bCs/>
          <w:color w:val="auto"/>
          <w:szCs w:val="21"/>
          <w:highlight w:val="none"/>
        </w:rPr>
        <w:t>得分不累加，按最高等级最高得分计（有文件通知信用评价等级等同于高等级的，按高等级得分计），未参加考核的不得分；工程造价咨询信用评价等级及考评结果以工程造价主管部门或工程造价行业协会或当地中介管理部门发布的文件为准。</w:t>
      </w:r>
    </w:p>
    <w:p w14:paraId="65DE099C">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4.付款步骤、服务期限如有负偏离的不得成交。</w:t>
      </w:r>
    </w:p>
    <w:p w14:paraId="0469D9F5">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5.针对评分标准中评分的每一条，投标人均应提供相关资料供评委评判并上传到相关对应链接中，对应链接中无相关资料的视为不具备该项得分的条件。</w:t>
      </w:r>
    </w:p>
    <w:p w14:paraId="1D97368D">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6.以上</w:t>
      </w:r>
      <w:r>
        <w:rPr>
          <w:rFonts w:hint="eastAsia" w:ascii="宋体" w:hAnsi="宋体" w:eastAsia="宋体" w:cs="宋体"/>
          <w:b/>
          <w:bCs/>
          <w:color w:val="auto"/>
          <w:szCs w:val="21"/>
          <w:highlight w:val="none"/>
          <w:lang w:eastAsia="zh-CN"/>
        </w:rPr>
        <w:t>需要</w:t>
      </w:r>
      <w:r>
        <w:rPr>
          <w:rFonts w:hint="eastAsia" w:ascii="宋体" w:hAnsi="宋体" w:eastAsia="宋体" w:cs="宋体"/>
          <w:b/>
          <w:bCs/>
          <w:color w:val="auto"/>
          <w:szCs w:val="21"/>
          <w:highlight w:val="none"/>
        </w:rPr>
        <w:t>递交的资</w:t>
      </w:r>
      <w:r>
        <w:rPr>
          <w:rFonts w:hint="eastAsia" w:ascii="宋体" w:hAnsi="宋体" w:eastAsia="宋体" w:cs="宋体"/>
          <w:b/>
          <w:bCs/>
          <w:color w:val="auto"/>
          <w:szCs w:val="21"/>
          <w:highlight w:val="none"/>
          <w:lang w:eastAsia="zh-CN"/>
        </w:rPr>
        <w:t>料在</w:t>
      </w:r>
      <w:r>
        <w:rPr>
          <w:rFonts w:hint="eastAsia" w:ascii="宋体" w:hAnsi="宋体" w:eastAsia="宋体" w:cs="宋体"/>
          <w:b/>
          <w:bCs/>
          <w:color w:val="auto"/>
          <w:szCs w:val="21"/>
          <w:highlight w:val="none"/>
        </w:rPr>
        <w:t>投标截止时间之前递交，逾时递交的资料将不作为评审依据。响应人提供资料必须真实有效，成交后采购人对相应证书等进行原件核查，如若提供虚假资料，将承担相应法律责任。采购人有权取消其成交资格。</w:t>
      </w:r>
    </w:p>
    <w:p w14:paraId="27D3E762">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7.投标响应文件中扫描件须清晰可辨，如因扫描件模糊，造成无法辨认，该项不得分。</w:t>
      </w:r>
    </w:p>
    <w:p w14:paraId="259CFC9B">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8.要求加盖公章的，电子投标文件中可用电子签章。</w:t>
      </w:r>
    </w:p>
    <w:p w14:paraId="485682BF">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p>
    <w:p w14:paraId="47C6F3CA">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p>
    <w:p w14:paraId="5C7E486B">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b/>
          <w:bCs/>
          <w:color w:val="auto"/>
          <w:szCs w:val="21"/>
          <w:highlight w:val="none"/>
        </w:rPr>
      </w:pPr>
    </w:p>
    <w:p w14:paraId="7CF13840">
      <w:pPr>
        <w:pStyle w:val="46"/>
        <w:rPr>
          <w:rFonts w:hint="eastAsia" w:ascii="宋体" w:hAnsi="宋体" w:eastAsia="宋体" w:cs="宋体"/>
          <w:b/>
          <w:bCs/>
          <w:color w:val="auto"/>
          <w:szCs w:val="21"/>
          <w:highlight w:val="none"/>
        </w:rPr>
      </w:pPr>
    </w:p>
    <w:p w14:paraId="2E28087B">
      <w:pPr>
        <w:pStyle w:val="46"/>
        <w:rPr>
          <w:rFonts w:hint="eastAsia" w:ascii="宋体" w:hAnsi="宋体" w:eastAsia="宋体" w:cs="宋体"/>
          <w:b/>
          <w:bCs/>
          <w:color w:val="auto"/>
          <w:szCs w:val="21"/>
          <w:highlight w:val="none"/>
        </w:rPr>
      </w:pPr>
    </w:p>
    <w:p w14:paraId="5BB59064">
      <w:pPr>
        <w:pStyle w:val="46"/>
        <w:rPr>
          <w:rFonts w:hint="eastAsia" w:ascii="宋体" w:hAnsi="宋体" w:eastAsia="宋体" w:cs="宋体"/>
          <w:b/>
          <w:bCs/>
          <w:color w:val="auto"/>
          <w:szCs w:val="21"/>
          <w:highlight w:val="none"/>
        </w:rPr>
      </w:pPr>
    </w:p>
    <w:p w14:paraId="27B64EB3">
      <w:pPr>
        <w:pStyle w:val="46"/>
        <w:rPr>
          <w:rFonts w:hint="eastAsia" w:ascii="宋体" w:hAnsi="宋体" w:eastAsia="宋体" w:cs="宋体"/>
          <w:b/>
          <w:bCs/>
          <w:color w:val="auto"/>
          <w:szCs w:val="21"/>
          <w:highlight w:val="none"/>
        </w:rPr>
      </w:pPr>
    </w:p>
    <w:p w14:paraId="426F2747">
      <w:pPr>
        <w:pStyle w:val="46"/>
        <w:rPr>
          <w:rFonts w:hint="eastAsia" w:ascii="宋体" w:hAnsi="宋体" w:eastAsia="宋体" w:cs="宋体"/>
          <w:b/>
          <w:bCs/>
          <w:color w:val="auto"/>
          <w:szCs w:val="21"/>
          <w:highlight w:val="none"/>
        </w:rPr>
      </w:pPr>
    </w:p>
    <w:p w14:paraId="34F131D7">
      <w:pPr>
        <w:pStyle w:val="46"/>
        <w:rPr>
          <w:rFonts w:hint="eastAsia" w:ascii="宋体" w:hAnsi="宋体" w:eastAsia="宋体" w:cs="宋体"/>
          <w:b/>
          <w:bCs/>
          <w:color w:val="auto"/>
          <w:szCs w:val="21"/>
          <w:highlight w:val="none"/>
        </w:rPr>
      </w:pPr>
    </w:p>
    <w:p w14:paraId="52994D3B">
      <w:pPr>
        <w:pStyle w:val="46"/>
        <w:rPr>
          <w:rFonts w:hint="eastAsia" w:ascii="宋体" w:hAnsi="宋体" w:eastAsia="宋体" w:cs="宋体"/>
          <w:b/>
          <w:bCs/>
          <w:color w:val="auto"/>
          <w:szCs w:val="21"/>
          <w:highlight w:val="none"/>
        </w:rPr>
      </w:pPr>
    </w:p>
    <w:p w14:paraId="5F3587E6">
      <w:pPr>
        <w:pStyle w:val="46"/>
        <w:rPr>
          <w:rFonts w:hint="eastAsia" w:ascii="宋体" w:hAnsi="宋体" w:eastAsia="宋体" w:cs="宋体"/>
          <w:b/>
          <w:bCs/>
          <w:color w:val="auto"/>
          <w:szCs w:val="21"/>
          <w:highlight w:val="none"/>
        </w:rPr>
      </w:pPr>
    </w:p>
    <w:p w14:paraId="3110CBC1">
      <w:pPr>
        <w:pStyle w:val="46"/>
        <w:rPr>
          <w:rFonts w:hint="eastAsia" w:ascii="宋体" w:hAnsi="宋体" w:eastAsia="宋体" w:cs="宋体"/>
          <w:b/>
          <w:bCs/>
          <w:color w:val="auto"/>
          <w:szCs w:val="21"/>
          <w:highlight w:val="none"/>
        </w:rPr>
      </w:pPr>
    </w:p>
    <w:p w14:paraId="42BE03F1">
      <w:pPr>
        <w:pStyle w:val="46"/>
        <w:rPr>
          <w:rFonts w:hint="eastAsia" w:ascii="宋体" w:hAnsi="宋体" w:eastAsia="宋体" w:cs="宋体"/>
          <w:b/>
          <w:bCs/>
          <w:color w:val="auto"/>
          <w:szCs w:val="21"/>
          <w:highlight w:val="none"/>
        </w:rPr>
      </w:pPr>
    </w:p>
    <w:p w14:paraId="646AB399">
      <w:pPr>
        <w:pStyle w:val="46"/>
        <w:rPr>
          <w:rFonts w:hint="eastAsia" w:ascii="宋体" w:hAnsi="宋体" w:eastAsia="宋体" w:cs="宋体"/>
          <w:b/>
          <w:bCs/>
          <w:color w:val="auto"/>
          <w:szCs w:val="21"/>
          <w:highlight w:val="none"/>
        </w:rPr>
      </w:pPr>
    </w:p>
    <w:p w14:paraId="61DAF4AF">
      <w:pPr>
        <w:pStyle w:val="46"/>
        <w:rPr>
          <w:rFonts w:hint="eastAsia" w:ascii="宋体" w:hAnsi="宋体" w:eastAsia="宋体" w:cs="宋体"/>
          <w:b/>
          <w:bCs/>
          <w:color w:val="auto"/>
          <w:szCs w:val="21"/>
          <w:highlight w:val="none"/>
        </w:rPr>
      </w:pPr>
    </w:p>
    <w:p w14:paraId="1EBBA63E">
      <w:pPr>
        <w:pStyle w:val="46"/>
        <w:rPr>
          <w:rFonts w:hint="eastAsia" w:ascii="宋体" w:hAnsi="宋体" w:eastAsia="宋体" w:cs="宋体"/>
          <w:b/>
          <w:bCs/>
          <w:color w:val="auto"/>
          <w:szCs w:val="21"/>
          <w:highlight w:val="none"/>
        </w:rPr>
      </w:pPr>
    </w:p>
    <w:p w14:paraId="79721844">
      <w:pPr>
        <w:pStyle w:val="46"/>
        <w:rPr>
          <w:rFonts w:hint="eastAsia" w:ascii="宋体" w:hAnsi="宋体" w:eastAsia="宋体" w:cs="宋体"/>
          <w:b/>
          <w:bCs/>
          <w:color w:val="auto"/>
          <w:szCs w:val="21"/>
          <w:highlight w:val="none"/>
        </w:rPr>
      </w:pPr>
    </w:p>
    <w:p w14:paraId="3873983D">
      <w:pPr>
        <w:pStyle w:val="46"/>
        <w:rPr>
          <w:rFonts w:hint="eastAsia" w:ascii="宋体" w:hAnsi="宋体" w:eastAsia="宋体" w:cs="宋体"/>
          <w:b/>
          <w:bCs/>
          <w:color w:val="auto"/>
          <w:szCs w:val="21"/>
          <w:highlight w:val="none"/>
        </w:rPr>
      </w:pPr>
    </w:p>
    <w:p w14:paraId="299AD5D9">
      <w:pPr>
        <w:pStyle w:val="46"/>
        <w:rPr>
          <w:rFonts w:hint="eastAsia" w:ascii="宋体" w:hAnsi="宋体" w:eastAsia="宋体" w:cs="宋体"/>
          <w:b/>
          <w:bCs/>
          <w:color w:val="auto"/>
          <w:szCs w:val="21"/>
          <w:highlight w:val="none"/>
        </w:rPr>
      </w:pPr>
    </w:p>
    <w:p w14:paraId="3163B7E2">
      <w:pPr>
        <w:pStyle w:val="46"/>
        <w:rPr>
          <w:rFonts w:hint="eastAsia" w:ascii="宋体" w:hAnsi="宋体" w:eastAsia="宋体" w:cs="宋体"/>
          <w:b/>
          <w:bCs/>
          <w:color w:val="auto"/>
          <w:szCs w:val="21"/>
          <w:highlight w:val="none"/>
        </w:rPr>
      </w:pPr>
    </w:p>
    <w:p w14:paraId="642A9813">
      <w:pPr>
        <w:pStyle w:val="46"/>
        <w:rPr>
          <w:rFonts w:hint="eastAsia" w:ascii="宋体" w:hAnsi="宋体" w:eastAsia="宋体" w:cs="宋体"/>
          <w:b/>
          <w:bCs/>
          <w:color w:val="auto"/>
          <w:szCs w:val="21"/>
          <w:highlight w:val="none"/>
        </w:rPr>
      </w:pPr>
    </w:p>
    <w:p w14:paraId="4A9A6050">
      <w:pPr>
        <w:pStyle w:val="46"/>
        <w:rPr>
          <w:rFonts w:hint="eastAsia" w:ascii="宋体" w:hAnsi="宋体" w:eastAsia="宋体" w:cs="宋体"/>
          <w:b/>
          <w:bCs/>
          <w:color w:val="auto"/>
          <w:szCs w:val="21"/>
          <w:highlight w:val="none"/>
        </w:rPr>
      </w:pPr>
    </w:p>
    <w:p w14:paraId="468CE3A8">
      <w:pPr>
        <w:pStyle w:val="46"/>
        <w:rPr>
          <w:rFonts w:hint="eastAsia" w:ascii="宋体" w:hAnsi="宋体" w:eastAsia="宋体" w:cs="宋体"/>
          <w:b/>
          <w:bCs/>
          <w:color w:val="auto"/>
          <w:szCs w:val="21"/>
          <w:highlight w:val="none"/>
        </w:rPr>
      </w:pPr>
    </w:p>
    <w:p w14:paraId="51AA732F">
      <w:pPr>
        <w:pStyle w:val="46"/>
        <w:rPr>
          <w:rFonts w:hint="eastAsia" w:ascii="宋体" w:hAnsi="宋体" w:eastAsia="宋体" w:cs="宋体"/>
          <w:b/>
          <w:bCs/>
          <w:color w:val="auto"/>
          <w:szCs w:val="21"/>
          <w:highlight w:val="none"/>
        </w:rPr>
      </w:pPr>
    </w:p>
    <w:p w14:paraId="402C0FE8">
      <w:pPr>
        <w:pStyle w:val="46"/>
        <w:rPr>
          <w:rFonts w:hint="eastAsia" w:ascii="宋体" w:hAnsi="宋体" w:eastAsia="宋体" w:cs="宋体"/>
          <w:b/>
          <w:bCs/>
          <w:color w:val="auto"/>
          <w:szCs w:val="21"/>
          <w:highlight w:val="none"/>
        </w:rPr>
      </w:pPr>
    </w:p>
    <w:p w14:paraId="395F4C59">
      <w:pPr>
        <w:pStyle w:val="46"/>
        <w:rPr>
          <w:rFonts w:hint="eastAsia" w:ascii="宋体" w:hAnsi="宋体" w:eastAsia="宋体" w:cs="宋体"/>
          <w:b/>
          <w:bCs/>
          <w:color w:val="auto"/>
          <w:szCs w:val="21"/>
          <w:highlight w:val="none"/>
        </w:rPr>
      </w:pPr>
    </w:p>
    <w:p w14:paraId="5EECC649">
      <w:pPr>
        <w:pStyle w:val="46"/>
        <w:rPr>
          <w:rFonts w:hint="eastAsia" w:ascii="宋体" w:hAnsi="宋体" w:eastAsia="宋体" w:cs="宋体"/>
          <w:b/>
          <w:bCs/>
          <w:color w:val="auto"/>
          <w:szCs w:val="21"/>
          <w:highlight w:val="none"/>
        </w:rPr>
      </w:pPr>
    </w:p>
    <w:p w14:paraId="004B605B">
      <w:pPr>
        <w:pStyle w:val="46"/>
        <w:rPr>
          <w:rFonts w:hint="eastAsia" w:ascii="宋体" w:hAnsi="宋体" w:eastAsia="宋体" w:cs="宋体"/>
          <w:b/>
          <w:bCs/>
          <w:color w:val="auto"/>
          <w:szCs w:val="21"/>
          <w:highlight w:val="none"/>
        </w:rPr>
      </w:pPr>
    </w:p>
    <w:p w14:paraId="1F3E13C4">
      <w:pPr>
        <w:pStyle w:val="46"/>
        <w:rPr>
          <w:rFonts w:hint="eastAsia" w:ascii="宋体" w:hAnsi="宋体" w:eastAsia="宋体" w:cs="宋体"/>
          <w:b/>
          <w:bCs/>
          <w:color w:val="auto"/>
          <w:szCs w:val="21"/>
          <w:highlight w:val="none"/>
        </w:rPr>
      </w:pPr>
    </w:p>
    <w:p w14:paraId="2054BFB3">
      <w:pPr>
        <w:pStyle w:val="46"/>
        <w:rPr>
          <w:rFonts w:hint="eastAsia" w:ascii="宋体" w:hAnsi="宋体" w:eastAsia="宋体" w:cs="宋体"/>
          <w:b/>
          <w:bCs/>
          <w:color w:val="auto"/>
          <w:szCs w:val="21"/>
          <w:highlight w:val="none"/>
        </w:rPr>
      </w:pPr>
    </w:p>
    <w:p w14:paraId="763356B5">
      <w:pPr>
        <w:pStyle w:val="46"/>
        <w:rPr>
          <w:rFonts w:hint="eastAsia" w:ascii="宋体" w:hAnsi="宋体" w:eastAsia="宋体" w:cs="宋体"/>
          <w:b/>
          <w:bCs/>
          <w:color w:val="auto"/>
          <w:szCs w:val="21"/>
          <w:highlight w:val="none"/>
        </w:rPr>
      </w:pPr>
    </w:p>
    <w:p w14:paraId="335D96FF">
      <w:pPr>
        <w:spacing w:line="360" w:lineRule="auto"/>
        <w:ind w:left="3403" w:leftChars="0"/>
        <w:outlineLvl w:val="0"/>
        <w:rPr>
          <w:rFonts w:hint="eastAsia" w:ascii="宋体" w:hAnsi="宋体" w:eastAsia="宋体" w:cs="宋体"/>
          <w:b/>
          <w:bCs/>
          <w:color w:val="auto"/>
          <w:sz w:val="32"/>
          <w:szCs w:val="32"/>
          <w:highlight w:val="none"/>
        </w:rPr>
      </w:pPr>
      <w:bookmarkStart w:id="75" w:name="_Toc101"/>
      <w:r>
        <w:rPr>
          <w:rFonts w:hint="eastAsia" w:ascii="宋体" w:hAnsi="宋体" w:eastAsia="宋体" w:cs="宋体"/>
          <w:b/>
          <w:color w:val="auto"/>
          <w:sz w:val="32"/>
          <w:szCs w:val="32"/>
          <w:highlight w:val="none"/>
        </w:rPr>
        <w:t>第四章 合同主要条款</w:t>
      </w:r>
      <w:bookmarkEnd w:id="75"/>
    </w:p>
    <w:tbl>
      <w:tblPr>
        <w:tblStyle w:val="38"/>
        <w:tblW w:w="8625"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90"/>
        <w:gridCol w:w="4335"/>
      </w:tblGrid>
      <w:tr w14:paraId="4CCE4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4290" w:type="dxa"/>
            <w:noWrap w:val="0"/>
            <w:vAlign w:val="center"/>
          </w:tcPr>
          <w:p w14:paraId="1914A7F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p>
        </w:tc>
        <w:tc>
          <w:tcPr>
            <w:tcW w:w="4335" w:type="dxa"/>
            <w:noWrap w:val="0"/>
            <w:vAlign w:val="center"/>
          </w:tcPr>
          <w:p w14:paraId="710895B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乙方（供应商）：</w:t>
            </w:r>
          </w:p>
        </w:tc>
      </w:tr>
      <w:tr w14:paraId="755E0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4290" w:type="dxa"/>
            <w:noWrap w:val="0"/>
            <w:vAlign w:val="center"/>
          </w:tcPr>
          <w:p w14:paraId="730FED4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c>
          <w:tcPr>
            <w:tcW w:w="4335" w:type="dxa"/>
            <w:noWrap w:val="0"/>
            <w:vAlign w:val="center"/>
          </w:tcPr>
          <w:p w14:paraId="24C0208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tr w14:paraId="1FDDA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4290" w:type="dxa"/>
            <w:noWrap w:val="0"/>
            <w:vAlign w:val="center"/>
          </w:tcPr>
          <w:p w14:paraId="0FD7D8D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4335" w:type="dxa"/>
            <w:noWrap w:val="0"/>
            <w:vAlign w:val="center"/>
          </w:tcPr>
          <w:p w14:paraId="18F0F51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r>
      <w:tr w14:paraId="47108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4290" w:type="dxa"/>
            <w:noWrap w:val="0"/>
            <w:vAlign w:val="center"/>
          </w:tcPr>
          <w:p w14:paraId="6D6E360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4335" w:type="dxa"/>
            <w:noWrap w:val="0"/>
            <w:vAlign w:val="center"/>
          </w:tcPr>
          <w:p w14:paraId="33EB754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r>
    </w:tbl>
    <w:p w14:paraId="6AC95B48">
      <w:pPr>
        <w:pStyle w:val="277"/>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根据甲方申请并经</w:t>
      </w:r>
      <w:r>
        <w:rPr>
          <w:rFonts w:hint="eastAsia" w:ascii="宋体" w:hAnsi="宋体" w:eastAsia="宋体" w:cs="宋体"/>
          <w:color w:val="auto"/>
          <w:sz w:val="21"/>
          <w:szCs w:val="21"/>
          <w:highlight w:val="none"/>
          <w:u w:val="single"/>
        </w:rPr>
        <w:t>苏州市吴江区财政局</w:t>
      </w:r>
      <w:r>
        <w:rPr>
          <w:rFonts w:hint="eastAsia" w:ascii="宋体" w:hAnsi="宋体" w:eastAsia="宋体" w:cs="宋体"/>
          <w:color w:val="auto"/>
          <w:sz w:val="21"/>
          <w:szCs w:val="21"/>
          <w:highlight w:val="none"/>
        </w:rPr>
        <w:t>核准</w:t>
      </w:r>
      <w:r>
        <w:rPr>
          <w:rFonts w:hint="eastAsia" w:ascii="宋体" w:hAnsi="宋体" w:eastAsia="宋体" w:cs="宋体"/>
          <w:color w:val="auto"/>
          <w:sz w:val="21"/>
          <w:szCs w:val="21"/>
          <w:highlight w:val="none"/>
          <w:u w:val="single"/>
          <w:lang w:eastAsia="zh-CN"/>
        </w:rPr>
        <w:t>2026年度吴江区政府投资项目跟踪审计服务</w:t>
      </w:r>
      <w:r>
        <w:rPr>
          <w:rFonts w:hint="eastAsia" w:ascii="宋体" w:hAnsi="宋体" w:eastAsia="宋体" w:cs="宋体"/>
          <w:color w:val="auto"/>
          <w:sz w:val="21"/>
          <w:szCs w:val="21"/>
          <w:highlight w:val="none"/>
        </w:rPr>
        <w:t>政府采购计划，依据甲方委托</w:t>
      </w:r>
      <w:r>
        <w:rPr>
          <w:rFonts w:hint="eastAsia" w:ascii="宋体" w:hAnsi="宋体" w:eastAsia="宋体" w:cs="宋体"/>
          <w:color w:val="auto"/>
          <w:sz w:val="21"/>
          <w:szCs w:val="21"/>
          <w:highlight w:val="none"/>
          <w:u w:val="single"/>
          <w:lang w:eastAsia="zh-CN"/>
        </w:rPr>
        <w:t>苏州达仁建设工程咨询有限公司</w:t>
      </w:r>
      <w:r>
        <w:rPr>
          <w:rFonts w:hint="eastAsia" w:ascii="宋体" w:hAnsi="宋体" w:eastAsia="宋体" w:cs="宋体"/>
          <w:color w:val="auto"/>
          <w:sz w:val="21"/>
          <w:szCs w:val="21"/>
          <w:highlight w:val="none"/>
        </w:rPr>
        <w:t>进行本项目政府采购</w:t>
      </w:r>
      <w:r>
        <w:rPr>
          <w:rFonts w:hint="eastAsia" w:ascii="宋体" w:hAnsi="宋体" w:eastAsia="宋体" w:cs="宋体"/>
          <w:color w:val="auto"/>
          <w:sz w:val="21"/>
          <w:szCs w:val="21"/>
          <w:highlight w:val="none"/>
          <w:lang w:val="en-US" w:eastAsia="zh-CN"/>
        </w:rPr>
        <w:t>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zh-CN" w:eastAsia="zh-CN"/>
        </w:rPr>
        <w:t>JSZC-320509-SZDR-C2026-0007</w:t>
      </w:r>
      <w:r>
        <w:rPr>
          <w:rFonts w:hint="eastAsia" w:ascii="宋体" w:hAnsi="宋体" w:eastAsia="宋体" w:cs="宋体"/>
          <w:color w:val="auto"/>
          <w:sz w:val="21"/>
          <w:szCs w:val="21"/>
          <w:highlight w:val="none"/>
        </w:rPr>
        <w:t>的招标结果，确定乙方为本次成交单位，现依照磋商采购文件、乙方的响应文件及相关文件的内容，签订本合同书。</w:t>
      </w:r>
    </w:p>
    <w:p w14:paraId="4271D2CC">
      <w:pPr>
        <w:keepNext w:val="0"/>
        <w:keepLines w:val="0"/>
        <w:pageBreakBefore w:val="0"/>
        <w:kinsoku/>
        <w:wordWrap/>
        <w:overflowPunct/>
        <w:topLinePunct w:val="0"/>
        <w:autoSpaceDE/>
        <w:autoSpaceDN/>
        <w:bidi w:val="0"/>
        <w:adjustRightInd/>
        <w:snapToGrid w:val="0"/>
        <w:spacing w:line="360" w:lineRule="auto"/>
        <w:ind w:firstLine="422" w:firstLineChars="0"/>
        <w:textAlignment w:val="auto"/>
        <w:outlineLvl w:val="1"/>
        <w:rPr>
          <w:rFonts w:hint="eastAsia" w:ascii="宋体" w:hAnsi="宋体" w:eastAsia="宋体" w:cs="宋体"/>
          <w:b/>
          <w:bCs/>
          <w:color w:val="auto"/>
          <w:sz w:val="21"/>
          <w:szCs w:val="21"/>
          <w:highlight w:val="none"/>
        </w:rPr>
      </w:pPr>
      <w:bookmarkStart w:id="76" w:name="_Toc32634"/>
      <w:r>
        <w:rPr>
          <w:rFonts w:hint="eastAsia" w:ascii="宋体" w:hAnsi="宋体" w:eastAsia="宋体" w:cs="宋体"/>
          <w:b/>
          <w:bCs/>
          <w:color w:val="auto"/>
          <w:sz w:val="21"/>
          <w:szCs w:val="21"/>
          <w:highlight w:val="none"/>
        </w:rPr>
        <w:t>一、甲方聘请乙方提供</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服务。</w:t>
      </w:r>
      <w:bookmarkEnd w:id="76"/>
    </w:p>
    <w:p w14:paraId="00A8F9CC">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77" w:name="_Toc23298"/>
      <w:r>
        <w:rPr>
          <w:rFonts w:hint="eastAsia" w:ascii="宋体" w:hAnsi="宋体" w:eastAsia="宋体" w:cs="宋体"/>
          <w:b/>
          <w:bCs/>
          <w:color w:val="auto"/>
          <w:sz w:val="21"/>
          <w:szCs w:val="21"/>
          <w:highlight w:val="none"/>
        </w:rPr>
        <w:t>二、合同有效期为：</w:t>
      </w:r>
      <w:r>
        <w:rPr>
          <w:rFonts w:hint="eastAsia" w:ascii="宋体" w:hAnsi="宋体" w:eastAsia="宋体" w:cs="宋体"/>
          <w:color w:val="auto"/>
          <w:sz w:val="21"/>
          <w:szCs w:val="21"/>
          <w:highlight w:val="none"/>
        </w:rPr>
        <w:t>自合同签订之日起至中标整个标段所有审计项目完成之日止。</w:t>
      </w:r>
      <w:bookmarkEnd w:id="77"/>
    </w:p>
    <w:p w14:paraId="663D58E4">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78" w:name="_Toc14022"/>
      <w:r>
        <w:rPr>
          <w:rFonts w:hint="eastAsia" w:ascii="宋体" w:hAnsi="宋体" w:eastAsia="宋体" w:cs="宋体"/>
          <w:b/>
          <w:bCs/>
          <w:color w:val="auto"/>
          <w:sz w:val="21"/>
          <w:szCs w:val="21"/>
          <w:highlight w:val="none"/>
        </w:rPr>
        <w:t>三、跟踪审计经费和支付办法</w:t>
      </w:r>
      <w:bookmarkEnd w:id="78"/>
      <w:r>
        <w:rPr>
          <w:rFonts w:hint="eastAsia" w:ascii="宋体" w:hAnsi="宋体" w:eastAsia="宋体" w:cs="宋体"/>
          <w:b/>
          <w:bCs/>
          <w:color w:val="auto"/>
          <w:sz w:val="21"/>
          <w:szCs w:val="21"/>
          <w:highlight w:val="none"/>
        </w:rPr>
        <w:t xml:space="preserve"> </w:t>
      </w:r>
    </w:p>
    <w:p w14:paraId="66CC9703">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2"/>
        <w:rPr>
          <w:rFonts w:hint="eastAsia" w:ascii="宋体" w:hAnsi="宋体" w:eastAsia="宋体" w:cs="宋体"/>
          <w:b/>
          <w:bCs/>
          <w:color w:val="auto"/>
          <w:sz w:val="21"/>
          <w:szCs w:val="21"/>
          <w:highlight w:val="none"/>
        </w:rPr>
      </w:pPr>
      <w:bookmarkStart w:id="79" w:name="_Toc11859"/>
      <w:r>
        <w:rPr>
          <w:rFonts w:hint="eastAsia" w:ascii="宋体" w:hAnsi="宋体" w:eastAsia="宋体" w:cs="宋体"/>
          <w:b/>
          <w:bCs/>
          <w:color w:val="auto"/>
          <w:sz w:val="21"/>
          <w:szCs w:val="21"/>
          <w:highlight w:val="none"/>
        </w:rPr>
        <w:t>（一）跟踪审计经费</w:t>
      </w:r>
      <w:bookmarkEnd w:id="79"/>
    </w:p>
    <w:p w14:paraId="0A4246C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firstLineChars="0"/>
        <w:textAlignment w:val="auto"/>
        <w:outlineLvl w:val="3"/>
        <w:rPr>
          <w:rFonts w:hint="eastAsia" w:ascii="宋体" w:hAnsi="宋体" w:eastAsia="宋体" w:cs="宋体"/>
          <w:b/>
          <w:bCs/>
          <w:color w:val="auto"/>
          <w:sz w:val="21"/>
          <w:szCs w:val="21"/>
          <w:highlight w:val="none"/>
        </w:rPr>
      </w:pPr>
      <w:bookmarkStart w:id="80" w:name="_Toc25936"/>
      <w:r>
        <w:rPr>
          <w:rFonts w:hint="eastAsia" w:ascii="宋体" w:hAnsi="宋体" w:eastAsia="宋体" w:cs="宋体"/>
          <w:b/>
          <w:bCs/>
          <w:color w:val="auto"/>
          <w:sz w:val="21"/>
          <w:szCs w:val="21"/>
          <w:highlight w:val="none"/>
        </w:rPr>
        <w:t>1.审计费率标准：</w:t>
      </w:r>
      <w:bookmarkEnd w:id="80"/>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4"/>
        <w:gridCol w:w="1027"/>
        <w:gridCol w:w="1027"/>
        <w:gridCol w:w="1027"/>
        <w:gridCol w:w="1027"/>
        <w:gridCol w:w="1027"/>
        <w:gridCol w:w="1031"/>
        <w:gridCol w:w="681"/>
      </w:tblGrid>
      <w:tr w14:paraId="0A8E8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2884" w:type="dxa"/>
            <w:vMerge w:val="restart"/>
            <w:noWrap w:val="0"/>
          </w:tcPr>
          <w:p w14:paraId="33164F7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6166" w:type="dxa"/>
            <w:gridSpan w:val="6"/>
            <w:noWrap w:val="0"/>
          </w:tcPr>
          <w:p w14:paraId="62C1AB86">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付费标准</w:t>
            </w:r>
          </w:p>
        </w:tc>
        <w:tc>
          <w:tcPr>
            <w:tcW w:w="681" w:type="dxa"/>
            <w:noWrap w:val="0"/>
          </w:tcPr>
          <w:p w14:paraId="262BAA2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1804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4" w:type="dxa"/>
            <w:vMerge w:val="continue"/>
            <w:noWrap w:val="0"/>
          </w:tcPr>
          <w:p w14:paraId="07474324">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tc>
        <w:tc>
          <w:tcPr>
            <w:tcW w:w="1027" w:type="dxa"/>
            <w:noWrap w:val="0"/>
          </w:tcPr>
          <w:p w14:paraId="1AFBEF5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≤500万元</w:t>
            </w:r>
          </w:p>
        </w:tc>
        <w:tc>
          <w:tcPr>
            <w:tcW w:w="1027" w:type="dxa"/>
            <w:noWrap w:val="0"/>
          </w:tcPr>
          <w:p w14:paraId="7763F12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≤1000万元</w:t>
            </w:r>
          </w:p>
        </w:tc>
        <w:tc>
          <w:tcPr>
            <w:tcW w:w="1027" w:type="dxa"/>
            <w:noWrap w:val="0"/>
          </w:tcPr>
          <w:p w14:paraId="60FF547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≤5000万元</w:t>
            </w:r>
          </w:p>
        </w:tc>
        <w:tc>
          <w:tcPr>
            <w:tcW w:w="1027" w:type="dxa"/>
            <w:noWrap w:val="0"/>
          </w:tcPr>
          <w:p w14:paraId="22E4969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≤1亿元</w:t>
            </w:r>
          </w:p>
        </w:tc>
        <w:tc>
          <w:tcPr>
            <w:tcW w:w="1027" w:type="dxa"/>
            <w:noWrap w:val="0"/>
          </w:tcPr>
          <w:p w14:paraId="1237344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≤5亿元</w:t>
            </w:r>
          </w:p>
        </w:tc>
        <w:tc>
          <w:tcPr>
            <w:tcW w:w="1031" w:type="dxa"/>
            <w:noWrap w:val="0"/>
          </w:tcPr>
          <w:p w14:paraId="71046CF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＞5亿</w:t>
            </w:r>
          </w:p>
        </w:tc>
        <w:tc>
          <w:tcPr>
            <w:tcW w:w="681" w:type="dxa"/>
            <w:noWrap w:val="0"/>
          </w:tcPr>
          <w:p w14:paraId="5D84B394">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tc>
      </w:tr>
      <w:tr w14:paraId="73BB6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884" w:type="dxa"/>
            <w:noWrap w:val="0"/>
          </w:tcPr>
          <w:p w14:paraId="2136189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跟审服务费费率（‰）</w:t>
            </w:r>
          </w:p>
        </w:tc>
        <w:tc>
          <w:tcPr>
            <w:tcW w:w="1027" w:type="dxa"/>
            <w:noWrap w:val="0"/>
          </w:tcPr>
          <w:p w14:paraId="79C6C6C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w:t>
            </w:r>
          </w:p>
        </w:tc>
        <w:tc>
          <w:tcPr>
            <w:tcW w:w="1027" w:type="dxa"/>
            <w:noWrap w:val="0"/>
          </w:tcPr>
          <w:p w14:paraId="0021B89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027" w:type="dxa"/>
            <w:noWrap w:val="0"/>
          </w:tcPr>
          <w:p w14:paraId="36E00AD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027" w:type="dxa"/>
            <w:noWrap w:val="0"/>
          </w:tcPr>
          <w:p w14:paraId="4DF7233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1027" w:type="dxa"/>
            <w:noWrap w:val="0"/>
          </w:tcPr>
          <w:p w14:paraId="293F366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1.75</w:t>
            </w:r>
          </w:p>
        </w:tc>
        <w:tc>
          <w:tcPr>
            <w:tcW w:w="1031" w:type="dxa"/>
            <w:noWrap w:val="0"/>
          </w:tcPr>
          <w:p w14:paraId="745BB14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681" w:type="dxa"/>
            <w:noWrap w:val="0"/>
          </w:tcPr>
          <w:p w14:paraId="4659E11F">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tc>
      </w:tr>
      <w:tr w14:paraId="4A4D7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1" w:type="dxa"/>
            <w:gridSpan w:val="8"/>
            <w:noWrap w:val="0"/>
          </w:tcPr>
          <w:p w14:paraId="50CE1AE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扣费：根据《苏州市吴江区审计局组织中介机构实施政府投资项目跟踪审计管理办法（试行）》及《苏州市吴江区审计局组织中介机构参与跟踪审计考核打分表》（详见附件），最终考核得分大于等于90分，不扣跟踪审计协审费用；最终考核得分大于等于80分小于90分，扣减10%跟踪审计协审费用；最终考核得分大于等于70分小于80分，扣减20%跟踪审计协审费用；最终考核得分大于等于60分小于70分，扣减30%跟踪审计协审费用；最终考核得分小于60分，扣</w:t>
            </w:r>
            <w:r>
              <w:rPr>
                <w:rFonts w:hint="eastAsia" w:ascii="宋体" w:hAnsi="宋体" w:eastAsia="宋体" w:cs="宋体"/>
                <w:color w:val="auto"/>
                <w:sz w:val="21"/>
                <w:szCs w:val="21"/>
                <w:highlight w:val="none"/>
                <w:lang w:val="en-US" w:eastAsia="zh-CN"/>
              </w:rPr>
              <w:t>减4</w:t>
            </w:r>
            <w:r>
              <w:rPr>
                <w:rFonts w:hint="eastAsia" w:ascii="宋体" w:hAnsi="宋体" w:eastAsia="宋体" w:cs="宋体"/>
                <w:color w:val="auto"/>
                <w:sz w:val="21"/>
                <w:szCs w:val="21"/>
                <w:highlight w:val="none"/>
              </w:rPr>
              <w:t>0%跟踪审计协审费用</w:t>
            </w:r>
            <w:r>
              <w:rPr>
                <w:rFonts w:hint="eastAsia" w:ascii="宋体" w:hAnsi="宋体" w:eastAsia="宋体" w:cs="宋体"/>
                <w:color w:val="auto"/>
                <w:sz w:val="21"/>
                <w:szCs w:val="21"/>
                <w:highlight w:val="none"/>
                <w:lang w:eastAsia="zh-CN"/>
              </w:rPr>
              <w:t>。（如跟审过程中累计分值已低于60分，采购人有权暂停支付后续进度款，待服务周期结束进行最终考核后，再依据最终考核得分结果进行结算。）</w:t>
            </w:r>
          </w:p>
        </w:tc>
      </w:tr>
    </w:tbl>
    <w:p w14:paraId="308DD99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最终跟踪审计协审费用=送审建安工程造价*跟审服务费费率（分档累进）-考核扣费，且最终跟踪审计协审费用不得超过预算金额。</w:t>
      </w:r>
    </w:p>
    <w:p w14:paraId="3FF6BE15">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bookmarkStart w:id="81" w:name="_Toc27872"/>
      <w:r>
        <w:rPr>
          <w:rFonts w:hint="eastAsia" w:ascii="宋体" w:hAnsi="宋体" w:eastAsia="宋体" w:cs="宋体"/>
          <w:b/>
          <w:bCs/>
          <w:color w:val="auto"/>
          <w:sz w:val="21"/>
          <w:szCs w:val="21"/>
          <w:highlight w:val="none"/>
        </w:rPr>
        <w:t>（二）费用支付办法</w:t>
      </w:r>
      <w:bookmarkEnd w:id="81"/>
    </w:p>
    <w:p w14:paraId="784FFF5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本次跟踪审计服务费支付方式：中介协审人员进驻现场、项目正常开始后，审计局于每个季度末，根据项目的形象进度支付中介机构跟踪审计进度款，进度款累计支付金额为：施工合同金额*跟踪审计合同约定的跟审服务费费率*累计完成平均比例*60%，累计支付金额达到跟踪审计协审中标合同价的60%后，进度款暂停支付。待工程竣工结算全部送审，相关审计费计算完毕后，支付乙方跟踪审计尾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尾款的测算基础为送审建安工程造价。</w:t>
      </w:r>
    </w:p>
    <w:p w14:paraId="21831F8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注：累计完成平均比例=累计已计量产值/施工合同金额。</w:t>
      </w:r>
    </w:p>
    <w:p w14:paraId="0CE28EDA">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2" w:name="_Toc71"/>
      <w:r>
        <w:rPr>
          <w:rFonts w:hint="eastAsia" w:ascii="宋体" w:hAnsi="宋体" w:eastAsia="宋体" w:cs="宋体"/>
          <w:b/>
          <w:bCs/>
          <w:color w:val="auto"/>
          <w:sz w:val="21"/>
          <w:szCs w:val="21"/>
          <w:highlight w:val="none"/>
        </w:rPr>
        <w:t>四、协审范围和内容</w:t>
      </w:r>
      <w:bookmarkEnd w:id="82"/>
    </w:p>
    <w:p w14:paraId="2F2686E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国家和省、市建设行政主管部门的有关全过程造价控制的规定以及审计局的要求，完成对上述工程项目自立项起至竣工验收期间的建设情况审计监督任务，并注意发现和反映项目建设管理中存在的问题，提出审计意见和建议。</w:t>
      </w:r>
    </w:p>
    <w:p w14:paraId="5F947AB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具体协审内容主要应包括以下方面：（包括但不限于以下内容） </w:t>
      </w:r>
    </w:p>
    <w:p w14:paraId="6FB805A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1.监督建设单位是否严格按照规定的基本建设程序操作；</w:t>
      </w:r>
    </w:p>
    <w:p w14:paraId="2E980CB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2.对各个标段的招标控制价、施工方投标报价进行审计； </w:t>
      </w:r>
    </w:p>
    <w:p w14:paraId="2B76214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3.参加由建设单位组织召开的技术交底、图纸会审（含变更图纸）、工程例会等会议；参与工程设计变更、施工变更、工程签证会办及交工验收等事项； </w:t>
      </w:r>
    </w:p>
    <w:p w14:paraId="79C9DA43">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4.对承、发包双方已走好必要流程的拟签订的补充协议进行审计； </w:t>
      </w:r>
    </w:p>
    <w:p w14:paraId="5373372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5.对工程变更、工程进度款支付申请进行审计； </w:t>
      </w:r>
    </w:p>
    <w:p w14:paraId="0D720D6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6.全面监督隐蔽工程的验收工作，对所有隐蔽工程记录、隐蔽工程量进行复测审核； </w:t>
      </w:r>
    </w:p>
    <w:p w14:paraId="55EF6CB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7.对进场主要材料的品牌与规格，进行材料报验情况抽查，查看是否与招标文件要求的材料一致； </w:t>
      </w:r>
    </w:p>
    <w:p w14:paraId="3670A653">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8.对工程变更，督促建设单位及时做好变更及备案，对造成建设单位损失的情况，督促建设单位办理反索赔手续； </w:t>
      </w:r>
    </w:p>
    <w:p w14:paraId="47793D9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9.对金额重大变更，或者与建设、监理、施工等单位出现重大意见分歧，或者遇有重大突发事件，及时汇报； </w:t>
      </w:r>
    </w:p>
    <w:p w14:paraId="4819662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10.负责审核竣工结算资料的真实性、完整性（重点审查经监理确认后的竣工图是否准确）；</w:t>
      </w:r>
    </w:p>
    <w:p w14:paraId="39A5153D">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11.建设过程中有优化建议、发现建设、施工、监理等履职不到位等情况，以《跟踪审计建议单》形式反馈给审计局； </w:t>
      </w:r>
    </w:p>
    <w:p w14:paraId="140D471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.《苏州市吴江区审计局组织中介机构实施政府投资项目跟踪审计管理办法（试行）》中规定的其他事项。</w:t>
      </w:r>
    </w:p>
    <w:p w14:paraId="50D74DC5">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3" w:name="_Toc30908"/>
      <w:r>
        <w:rPr>
          <w:rFonts w:hint="eastAsia" w:ascii="宋体" w:hAnsi="宋体" w:eastAsia="宋体" w:cs="宋体"/>
          <w:b/>
          <w:bCs/>
          <w:color w:val="auto"/>
          <w:sz w:val="21"/>
          <w:szCs w:val="21"/>
          <w:highlight w:val="none"/>
        </w:rPr>
        <w:t>五、协审工作要求</w:t>
      </w:r>
      <w:bookmarkEnd w:id="83"/>
      <w:r>
        <w:rPr>
          <w:rFonts w:hint="eastAsia" w:ascii="宋体" w:hAnsi="宋体" w:eastAsia="宋体" w:cs="宋体"/>
          <w:b/>
          <w:bCs/>
          <w:color w:val="auto"/>
          <w:sz w:val="21"/>
          <w:szCs w:val="21"/>
          <w:highlight w:val="none"/>
        </w:rPr>
        <w:t xml:space="preserve"> </w:t>
      </w:r>
    </w:p>
    <w:p w14:paraId="539E353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协审中介应加强对协审工作的组织管理，委派符合国家审计要求的工程技术人员参与审计，并在人员稳定、审计工具设备配置等方面给予有力保障。委派的协审人员不得随意更换，根据项目建设情况，需每周两个工作日到现场，准时参加建设单位和监理单位组织的工地会议，如遇特殊情况（工地现场需求、项目进度要求、个人原因等）在征得项目主审同意后可作相应调整。</w:t>
      </w:r>
    </w:p>
    <w:p w14:paraId="0279F19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2.协审中介进驻现场开展工作后应根据项目的实际情况和上述审计内容及时制定跟踪审计协审的实施方案，确定控制目标；建立跟踪审计</w:t>
      </w:r>
      <w:r>
        <w:rPr>
          <w:rFonts w:hint="eastAsia" w:ascii="宋体" w:hAnsi="宋体" w:eastAsia="宋体" w:cs="宋体"/>
          <w:color w:val="auto"/>
          <w:sz w:val="21"/>
          <w:szCs w:val="21"/>
          <w:highlight w:val="none"/>
          <w:lang w:eastAsia="zh-CN"/>
        </w:rPr>
        <w:t>台账资料</w:t>
      </w:r>
      <w:r>
        <w:rPr>
          <w:rFonts w:hint="eastAsia" w:ascii="宋体" w:hAnsi="宋体" w:eastAsia="宋体" w:cs="宋体"/>
          <w:color w:val="auto"/>
          <w:sz w:val="21"/>
          <w:szCs w:val="21"/>
          <w:highlight w:val="none"/>
        </w:rPr>
        <w:t>、撰写上传审计日记；建立造价跟踪审计工作月报制度，每月月底前对项目进展情况、存在的问题及处理意见等汇总，于下月10日前上传至项目审计管理系统；每年12月底，总结项目在本年度的跟踪审计成果，形成跟踪审计年报，并上传至项目审计管理系统。</w:t>
      </w:r>
    </w:p>
    <w:p w14:paraId="3166286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3.协审中介应严格遵守国家审计的相关法律法规、规章制度及行业执业规范，严格按国家审计机关规定的作业程序进行操作，严把审计质量关。 派驻现场的协审人员开展工作时应与建设单位、施工单位、监理单位等项目参建各方多沟通、多协商，及时收集资料，高效的处理各类审计事项，完成现场各项审计工作。遇重大事项或问题应事先及时地向委托方（审计机关）报告，不得单方面作出处理意见。</w:t>
      </w:r>
    </w:p>
    <w:p w14:paraId="78DBA06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4.跟踪协审过程中的工作内容及协审成果提交参见《苏州市吴江区审计局组织中介机构实施政府投资项目跟踪审计管理办法（试行）》中规定。</w:t>
      </w:r>
    </w:p>
    <w:p w14:paraId="7849583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5.协审中介除上述要求外，还应提出协审项目在建设管理中的倾向性和苗头性问题、项目投资效益等方面存在的问题，提出有针对性的审计意见和建议。</w:t>
      </w:r>
    </w:p>
    <w:p w14:paraId="4895D93A">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4" w:name="_Toc9359"/>
      <w:r>
        <w:rPr>
          <w:rFonts w:hint="eastAsia" w:ascii="宋体" w:hAnsi="宋体" w:eastAsia="宋体" w:cs="宋体"/>
          <w:b/>
          <w:bCs/>
          <w:color w:val="auto"/>
          <w:sz w:val="21"/>
          <w:szCs w:val="21"/>
          <w:highlight w:val="none"/>
        </w:rPr>
        <w:t>六、违约责任</w:t>
      </w:r>
      <w:bookmarkEnd w:id="84"/>
    </w:p>
    <w:p w14:paraId="3DB0949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1.甲方对本合同规定的义务未履行或履行不力的，乙方可依法向甲方要求经济赔偿。</w:t>
      </w:r>
    </w:p>
    <w:p w14:paraId="510699A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对本合同规定的义务未履行或履行不力的，甲方可按相关法律、法规和磋商文件中约定的文件的规定进行处罚，可以采取警告、扣减协审费用、终止委托协审服务项目合同等处罚措施。情节严重的，将通报行业主管部门、政府采购监督管理部门或其他相关部门进行处理。</w:t>
      </w:r>
    </w:p>
    <w:p w14:paraId="0FB076A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3.甲方、乙方可就违反协审服务合同规定或违纪事项向相关部门投诉。</w:t>
      </w:r>
    </w:p>
    <w:p w14:paraId="552838A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4.经甲方及相关部门联合核查，如情况属实则投诉有效，将作为有效投诉记录在案。</w:t>
      </w:r>
    </w:p>
    <w:p w14:paraId="0BBAF5A6">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5" w:name="_Toc6637"/>
      <w:r>
        <w:rPr>
          <w:rFonts w:hint="eastAsia" w:ascii="宋体" w:hAnsi="宋体" w:eastAsia="宋体" w:cs="宋体"/>
          <w:b/>
          <w:bCs/>
          <w:color w:val="auto"/>
          <w:sz w:val="21"/>
          <w:szCs w:val="21"/>
          <w:highlight w:val="none"/>
        </w:rPr>
        <w:t>七、不可抗力</w:t>
      </w:r>
      <w:bookmarkEnd w:id="85"/>
    </w:p>
    <w:p w14:paraId="28BD9C0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1.甲、乙双方如果因不可抗力而导致合同义务的延误或不能履行，不承担没收履约保证金、误期赔偿或终止合同的责任。</w:t>
      </w:r>
    </w:p>
    <w:p w14:paraId="78C66204">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2.本条所述的“不可抗力”系指下列甲、乙双方无法控制、不可预见的事件，但不包括甲、乙双方的违约或疏忽。这些事件包括：战争、严重火灾、洪水、台风、地震以及其他甲方和乙方商定的事件。</w:t>
      </w:r>
    </w:p>
    <w:p w14:paraId="297576D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协审服务义务的协议。</w:t>
      </w:r>
    </w:p>
    <w:p w14:paraId="37D5CD5F">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6" w:name="_Toc26112"/>
      <w:r>
        <w:rPr>
          <w:rFonts w:hint="eastAsia" w:ascii="宋体" w:hAnsi="宋体" w:eastAsia="宋体" w:cs="宋体"/>
          <w:b/>
          <w:bCs/>
          <w:color w:val="auto"/>
          <w:sz w:val="21"/>
          <w:szCs w:val="21"/>
          <w:highlight w:val="none"/>
        </w:rPr>
        <w:t>八、合同的解除：</w:t>
      </w:r>
      <w:bookmarkEnd w:id="86"/>
    </w:p>
    <w:p w14:paraId="3A00165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1.甲方和乙方协商一致，可以解除合同。</w:t>
      </w:r>
    </w:p>
    <w:p w14:paraId="64DC6D8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权解除合同的一方，应当在违约事实或不可抗力发生之后三十天内书面通知对方提出解除合同，合同在书面通知到达对方时解除。乙方违约后，甲方未在三十天内提出解除合同的，不视为甲方放弃单方解除权，甲方仍有权向乙方主张违约责任。</w:t>
      </w:r>
    </w:p>
    <w:p w14:paraId="28C955F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3.合同的部分和全部都不得擅自转让。</w:t>
      </w:r>
    </w:p>
    <w:p w14:paraId="179B9B84">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4.乙方出现下列情况之一的，甲方有权解除合同，除第（13）项以外，乙方应向甲方支付合同总价款的20%作为违约金：</w:t>
      </w:r>
    </w:p>
    <w:p w14:paraId="109B302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（1）经查实乙方存在行贿或有收受、索要建设单位、施工单位提供的各种财物和免费服务</w:t>
      </w:r>
      <w:r>
        <w:rPr>
          <w:rFonts w:hint="eastAsia" w:ascii="宋体" w:hAnsi="宋体" w:eastAsia="宋体" w:cs="宋体"/>
          <w:color w:val="auto"/>
          <w:sz w:val="21"/>
          <w:szCs w:val="21"/>
          <w:highlight w:val="none"/>
        </w:rPr>
        <w:t>等违反国家法律法规、行业规定、甲乙双方签署的廉政合同以及行业规范的行为</w:t>
      </w:r>
      <w:r>
        <w:rPr>
          <w:rFonts w:hint="eastAsia" w:ascii="宋体" w:hAnsi="宋体" w:eastAsia="宋体" w:cs="宋体"/>
          <w:color w:val="auto"/>
          <w:sz w:val="21"/>
          <w:szCs w:val="21"/>
          <w:highlight w:val="none"/>
          <w:lang w:val="zh-CN"/>
        </w:rPr>
        <w:t xml:space="preserve">的； </w:t>
      </w:r>
    </w:p>
    <w:p w14:paraId="63957EB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（2）在合同有效期内，被行业主管部门取消经营资格的；</w:t>
      </w:r>
    </w:p>
    <w:p w14:paraId="56D0DA1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（3）在合同有效期内，乙方擅自变更、转让、租借协审服务商资格的，</w:t>
      </w:r>
      <w:r>
        <w:rPr>
          <w:rFonts w:hint="eastAsia" w:ascii="宋体" w:hAnsi="宋体" w:eastAsia="宋体" w:cs="宋体"/>
          <w:color w:val="auto"/>
          <w:sz w:val="21"/>
          <w:szCs w:val="21"/>
          <w:highlight w:val="none"/>
        </w:rPr>
        <w:t>或擅自将本合同项下全部或部分义务和责任转让给他人的</w:t>
      </w:r>
      <w:r>
        <w:rPr>
          <w:rFonts w:hint="eastAsia" w:ascii="宋体" w:hAnsi="宋体" w:eastAsia="宋体" w:cs="宋体"/>
          <w:color w:val="auto"/>
          <w:sz w:val="21"/>
          <w:szCs w:val="21"/>
          <w:highlight w:val="none"/>
          <w:lang w:val="zh-CN"/>
        </w:rPr>
        <w:t>；</w:t>
      </w:r>
    </w:p>
    <w:p w14:paraId="1C0E6A8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zh-CN"/>
        </w:rPr>
        <w:t>不如实反映情况，提供虚假材料的；</w:t>
      </w:r>
    </w:p>
    <w:p w14:paraId="4AF91B5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zh-CN"/>
        </w:rPr>
        <w:t>未按磋商文件约定的价格提供服务的；</w:t>
      </w:r>
    </w:p>
    <w:p w14:paraId="36D777B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乙方不同意参加考核的或乙方考核得分低于50分的；</w:t>
      </w:r>
    </w:p>
    <w:p w14:paraId="59F9AEA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7）乙方未按承诺响应服务时间提供服务的；</w:t>
      </w:r>
    </w:p>
    <w:p w14:paraId="271E4D5A">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（8）乙方未按承诺投入相应协审人员并备案的，或投入协审人员考勤合格率不达标被警告三次的；</w:t>
      </w:r>
    </w:p>
    <w:p w14:paraId="6045CAD4">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zh-CN"/>
        </w:rPr>
        <w:t>乙方发生消极工作导致评审进度缓慢</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val="zh-CN"/>
        </w:rPr>
        <w:t>次的；</w:t>
      </w:r>
    </w:p>
    <w:p w14:paraId="672945B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乙方不同意接入苏州市吴江区项目审计管理系统的；</w:t>
      </w:r>
    </w:p>
    <w:p w14:paraId="3C4BA2D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zh-CN"/>
        </w:rPr>
        <w:t>）乙方在造价咨询服务中，在工作质量、工作要求、工作效率及服务质量、</w:t>
      </w:r>
      <w:r>
        <w:rPr>
          <w:rFonts w:hint="eastAsia" w:ascii="宋体" w:hAnsi="宋体" w:eastAsia="宋体" w:cs="宋体"/>
          <w:color w:val="auto"/>
          <w:sz w:val="21"/>
          <w:szCs w:val="21"/>
          <w:highlight w:val="none"/>
        </w:rPr>
        <w:t>系统运用等</w:t>
      </w:r>
      <w:r>
        <w:rPr>
          <w:rFonts w:hint="eastAsia" w:ascii="宋体" w:hAnsi="宋体" w:eastAsia="宋体" w:cs="宋体"/>
          <w:color w:val="auto"/>
          <w:sz w:val="21"/>
          <w:szCs w:val="21"/>
          <w:highlight w:val="none"/>
          <w:lang w:val="zh-CN"/>
        </w:rPr>
        <w:t>出现差错，</w:t>
      </w:r>
      <w:r>
        <w:rPr>
          <w:rFonts w:hint="eastAsia" w:ascii="宋体" w:hAnsi="宋体" w:eastAsia="宋体" w:cs="宋体"/>
          <w:color w:val="auto"/>
          <w:sz w:val="21"/>
          <w:szCs w:val="21"/>
          <w:highlight w:val="none"/>
        </w:rPr>
        <w:t>累计警告三次的；</w:t>
      </w:r>
    </w:p>
    <w:p w14:paraId="6E17204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有效投诉记录累计满三次的；</w:t>
      </w:r>
    </w:p>
    <w:p w14:paraId="4AE4651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（13）受政策影响导致合同无法履行的；</w:t>
      </w:r>
    </w:p>
    <w:p w14:paraId="483EBEFD">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乙方具有其他违约事项，经甲方提出后三日内未整改到位的；</w:t>
      </w:r>
    </w:p>
    <w:p w14:paraId="204C3CA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15）其他未尽情况以本磋商文件及其附件约定为准。</w:t>
      </w:r>
    </w:p>
    <w:p w14:paraId="340815F4">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履行协审公务活动中，涉嫌一般职务违法的问题，甲方有权立即解除合同，并移送相关纪检监察部门按程序处置，乙方应向甲方支付合同总价款的20%作为违约金。触犯法律的，甲方将移交有关部门追究协审单位和相关责任人的法律责任。</w:t>
      </w:r>
    </w:p>
    <w:p w14:paraId="1DEAE25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如果乙方破产、解散、清算、停业以及其他原因无法提供服务的，或发现多家成交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协审服务商资格并解除合同，乙方应向甲方支付合同总价款的20%作为违约金。该行为将不损害或影响甲方已经采取和将要采取的任何行动和补救措施的权利。</w:t>
      </w:r>
    </w:p>
    <w:p w14:paraId="1F5FDFE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7.协审服务合同解除后，已完成的协审工作，按合同约定支付费用；未完成的协审工作由甲方另行安排，协审费用不予计取。</w:t>
      </w:r>
    </w:p>
    <w:p w14:paraId="48F8E99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本合同项下乙方应向甲方支付的违约金不足以弥补甲方所遭受的损失的，乙方予以补足。本合同项下乙方应向甲方支付的违约金及赔偿款等各类款项，甲方有权在应付乙方的任何款项中予以扣除，不足部分，乙方予以补足。</w:t>
      </w:r>
    </w:p>
    <w:p w14:paraId="1531E69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9.甲方因乙方的违约行为向乙方或者第三方主张任何权益，或者遭受第三方主张任何权益所支出的全部费用（包括但不限于诉讼费、律师费、调查费、举证费、差旅费等）均由乙方承担。</w:t>
      </w:r>
    </w:p>
    <w:p w14:paraId="3CD85BAD">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7" w:name="_Toc31020"/>
      <w:r>
        <w:rPr>
          <w:rFonts w:hint="eastAsia" w:ascii="宋体" w:hAnsi="宋体" w:eastAsia="宋体" w:cs="宋体"/>
          <w:b/>
          <w:bCs/>
          <w:color w:val="auto"/>
          <w:sz w:val="21"/>
          <w:szCs w:val="21"/>
          <w:highlight w:val="none"/>
        </w:rPr>
        <w:t>九、争议处置</w:t>
      </w:r>
      <w:bookmarkEnd w:id="87"/>
    </w:p>
    <w:p w14:paraId="2D3E949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在执行本合同中所发生的一切争议，各方（甲方、乙方）应通过友好协商的办法进行解决，如协商不能解决的，有关当事方应提请甲方所在地人民法院进行裁决。</w:t>
      </w:r>
    </w:p>
    <w:p w14:paraId="31079492">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8" w:name="_Toc9641"/>
      <w:r>
        <w:rPr>
          <w:rFonts w:hint="eastAsia" w:ascii="宋体" w:hAnsi="宋体" w:eastAsia="宋体" w:cs="宋体"/>
          <w:b/>
          <w:bCs/>
          <w:color w:val="auto"/>
          <w:sz w:val="21"/>
          <w:szCs w:val="21"/>
          <w:highlight w:val="none"/>
        </w:rPr>
        <w:t>十、合同生效及其它</w:t>
      </w:r>
      <w:bookmarkEnd w:id="88"/>
    </w:p>
    <w:p w14:paraId="75F2E42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1.本合同经甲乙双方签字并加盖公章生效并经网上系统备案。</w:t>
      </w:r>
    </w:p>
    <w:p w14:paraId="7B8016C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2.合同在执行过程中出现的未尽事宜，双方在不违背本合同的原则下协商解决，协商结果以书面形式记录在案，作为本合同附件，与本合同具有同等法律效力。</w:t>
      </w:r>
    </w:p>
    <w:p w14:paraId="32F54F5D">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3.本合同项下乙方提供的联系方式系其接收涉讼文书（如有）以及甲方向其发送的书面文件（包括但不限于催告函、通知函等）的真实有效联系方式，如有变更，应立即通知甲方，否则，自行承担不利后果。</w:t>
      </w:r>
    </w:p>
    <w:p w14:paraId="00701DDB">
      <w:pPr>
        <w:keepNext w:val="0"/>
        <w:keepLines w:val="0"/>
        <w:pageBreakBefore w:val="0"/>
        <w:kinsoku/>
        <w:wordWrap/>
        <w:overflowPunct/>
        <w:topLinePunct w:val="0"/>
        <w:autoSpaceDE/>
        <w:autoSpaceDN/>
        <w:bidi w:val="0"/>
        <w:adjustRightInd/>
        <w:snapToGrid w:val="0"/>
        <w:spacing w:line="360" w:lineRule="auto"/>
        <w:ind w:firstLine="420" w:firstLineChars="0"/>
        <w:textAlignment w:val="auto"/>
        <w:outlineLvl w:val="1"/>
        <w:rPr>
          <w:rFonts w:hint="eastAsia" w:ascii="宋体" w:hAnsi="宋体" w:eastAsia="宋体" w:cs="宋体"/>
          <w:b/>
          <w:bCs/>
          <w:color w:val="auto"/>
          <w:sz w:val="21"/>
          <w:szCs w:val="21"/>
          <w:highlight w:val="none"/>
        </w:rPr>
      </w:pPr>
      <w:bookmarkStart w:id="89" w:name="_Toc18851"/>
      <w:r>
        <w:rPr>
          <w:rFonts w:hint="eastAsia" w:ascii="宋体" w:hAnsi="宋体" w:eastAsia="宋体" w:cs="宋体"/>
          <w:b/>
          <w:bCs/>
          <w:color w:val="auto"/>
          <w:sz w:val="21"/>
          <w:szCs w:val="21"/>
          <w:highlight w:val="none"/>
        </w:rPr>
        <w:t>十一、本合同一式肆份，甲乙双方各执贰份，具有同等法律效力。</w:t>
      </w:r>
      <w:bookmarkEnd w:id="89"/>
    </w:p>
    <w:p w14:paraId="22F25E14">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附件一：《苏州市吴江区审计局组织中介机构参与跟踪审计考核打分表》</w:t>
      </w:r>
    </w:p>
    <w:p w14:paraId="1705A0CF">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附件二：《廉政合同》</w:t>
      </w:r>
    </w:p>
    <w:p w14:paraId="65437917">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附件三：《项目组成员一览表》</w:t>
      </w:r>
    </w:p>
    <w:p w14:paraId="279FE50A">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附件四：《履约验收方案》</w:t>
      </w:r>
    </w:p>
    <w:p w14:paraId="49B525A2">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附件五：《政府采购履约验收通知单》</w:t>
      </w:r>
    </w:p>
    <w:p w14:paraId="3CBC66A8">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附件六：《政府采购履约验收书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958EFA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p>
    <w:p w14:paraId="230AC4E3">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p>
    <w:p w14:paraId="4FADCC36">
      <w:pPr>
        <w:keepNext w:val="0"/>
        <w:keepLines w:val="0"/>
        <w:pageBreakBefore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lang w:val="zh-CN"/>
        </w:rPr>
      </w:pPr>
    </w:p>
    <w:tbl>
      <w:tblPr>
        <w:tblStyle w:val="38"/>
        <w:tblW w:w="0" w:type="auto"/>
        <w:tblInd w:w="0" w:type="dxa"/>
        <w:tblLayout w:type="fixed"/>
        <w:tblCellMar>
          <w:top w:w="0" w:type="dxa"/>
          <w:left w:w="108" w:type="dxa"/>
          <w:bottom w:w="0" w:type="dxa"/>
          <w:right w:w="108" w:type="dxa"/>
        </w:tblCellMar>
      </w:tblPr>
      <w:tblGrid>
        <w:gridCol w:w="4867"/>
        <w:gridCol w:w="4812"/>
      </w:tblGrid>
      <w:tr w14:paraId="639E9C87">
        <w:tblPrEx>
          <w:tblCellMar>
            <w:top w:w="0" w:type="dxa"/>
            <w:left w:w="108" w:type="dxa"/>
            <w:bottom w:w="0" w:type="dxa"/>
            <w:right w:w="108" w:type="dxa"/>
          </w:tblCellMar>
        </w:tblPrEx>
        <w:trPr>
          <w:trHeight w:val="90" w:hRule="atLeast"/>
        </w:trPr>
        <w:tc>
          <w:tcPr>
            <w:tcW w:w="4867" w:type="dxa"/>
            <w:noWrap w:val="0"/>
            <w:vAlign w:val="center"/>
          </w:tcPr>
          <w:p w14:paraId="0782E413">
            <w:pPr>
              <w:keepNext w:val="0"/>
              <w:keepLines w:val="0"/>
              <w:pageBreakBefore w:val="0"/>
              <w:kinsoku/>
              <w:wordWrap/>
              <w:overflowPunct/>
              <w:topLinePunct w:val="0"/>
              <w:autoSpaceDE/>
              <w:autoSpaceDN/>
              <w:bidi w:val="0"/>
              <w:adjustRightInd/>
              <w:snapToGrid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甲方（盖章）：</w:t>
            </w:r>
          </w:p>
        </w:tc>
        <w:tc>
          <w:tcPr>
            <w:tcW w:w="4812" w:type="dxa"/>
            <w:noWrap w:val="0"/>
            <w:vAlign w:val="center"/>
          </w:tcPr>
          <w:p w14:paraId="3F89424C">
            <w:pPr>
              <w:keepNext w:val="0"/>
              <w:keepLines w:val="0"/>
              <w:pageBreakBefore w:val="0"/>
              <w:kinsoku/>
              <w:wordWrap/>
              <w:overflowPunct/>
              <w:topLinePunct w:val="0"/>
              <w:autoSpaceDE/>
              <w:autoSpaceDN/>
              <w:bidi w:val="0"/>
              <w:adjustRightInd/>
              <w:snapToGrid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乙方（盖章）：</w:t>
            </w:r>
          </w:p>
        </w:tc>
      </w:tr>
      <w:tr w14:paraId="6DE2DCF2">
        <w:tblPrEx>
          <w:tblCellMar>
            <w:top w:w="0" w:type="dxa"/>
            <w:left w:w="108" w:type="dxa"/>
            <w:bottom w:w="0" w:type="dxa"/>
            <w:right w:w="108" w:type="dxa"/>
          </w:tblCellMar>
        </w:tblPrEx>
        <w:trPr>
          <w:trHeight w:val="90" w:hRule="atLeast"/>
        </w:trPr>
        <w:tc>
          <w:tcPr>
            <w:tcW w:w="4867" w:type="dxa"/>
            <w:noWrap w:val="0"/>
            <w:vAlign w:val="center"/>
          </w:tcPr>
          <w:p w14:paraId="629D2E86">
            <w:pPr>
              <w:keepNext w:val="0"/>
              <w:keepLines w:val="0"/>
              <w:pageBreakBefore w:val="0"/>
              <w:kinsoku/>
              <w:wordWrap/>
              <w:overflowPunct/>
              <w:topLinePunct w:val="0"/>
              <w:autoSpaceDE/>
              <w:autoSpaceDN/>
              <w:bidi w:val="0"/>
              <w:adjustRightInd/>
              <w:snapToGrid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法定代表人（授权代表）</w:t>
            </w:r>
            <w:r>
              <w:rPr>
                <w:rFonts w:hint="eastAsia" w:ascii="宋体" w:hAnsi="宋体" w:eastAsia="宋体" w:cs="宋体"/>
                <w:color w:val="auto"/>
                <w:sz w:val="21"/>
                <w:szCs w:val="21"/>
                <w:highlight w:val="none"/>
              </w:rPr>
              <w:t>（签字或盖章）：</w:t>
            </w:r>
          </w:p>
        </w:tc>
        <w:tc>
          <w:tcPr>
            <w:tcW w:w="4812" w:type="dxa"/>
            <w:noWrap w:val="0"/>
            <w:vAlign w:val="center"/>
          </w:tcPr>
          <w:p w14:paraId="43EDA570">
            <w:pPr>
              <w:keepNext w:val="0"/>
              <w:keepLines w:val="0"/>
              <w:pageBreakBefore w:val="0"/>
              <w:kinsoku/>
              <w:wordWrap/>
              <w:overflowPunct/>
              <w:topLinePunct w:val="0"/>
              <w:autoSpaceDE/>
              <w:autoSpaceDN/>
              <w:bidi w:val="0"/>
              <w:adjustRightInd/>
              <w:snapToGrid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法定代表人（授权代表）</w:t>
            </w:r>
            <w:r>
              <w:rPr>
                <w:rFonts w:hint="eastAsia" w:ascii="宋体" w:hAnsi="宋体" w:eastAsia="宋体" w:cs="宋体"/>
                <w:color w:val="auto"/>
                <w:sz w:val="21"/>
                <w:szCs w:val="21"/>
                <w:highlight w:val="none"/>
              </w:rPr>
              <w:t>（签字或盖章）：</w:t>
            </w:r>
          </w:p>
        </w:tc>
      </w:tr>
      <w:tr w14:paraId="4B8EE48A">
        <w:tblPrEx>
          <w:tblCellMar>
            <w:top w:w="0" w:type="dxa"/>
            <w:left w:w="108" w:type="dxa"/>
            <w:bottom w:w="0" w:type="dxa"/>
            <w:right w:w="108" w:type="dxa"/>
          </w:tblCellMar>
        </w:tblPrEx>
        <w:trPr>
          <w:trHeight w:val="90" w:hRule="atLeast"/>
        </w:trPr>
        <w:tc>
          <w:tcPr>
            <w:tcW w:w="4867" w:type="dxa"/>
            <w:noWrap w:val="0"/>
            <w:vAlign w:val="center"/>
          </w:tcPr>
          <w:p w14:paraId="139AE84E">
            <w:pPr>
              <w:keepNext w:val="0"/>
              <w:keepLines w:val="0"/>
              <w:pageBreakBefore w:val="0"/>
              <w:kinsoku/>
              <w:wordWrap/>
              <w:overflowPunct/>
              <w:topLinePunct w:val="0"/>
              <w:autoSpaceDE/>
              <w:autoSpaceDN/>
              <w:bidi w:val="0"/>
              <w:adjustRightInd/>
              <w:snapToGrid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w:t>
            </w:r>
          </w:p>
          <w:p w14:paraId="474123DA">
            <w:pPr>
              <w:keepNext w:val="0"/>
              <w:keepLines w:val="0"/>
              <w:pageBreakBefore w:val="0"/>
              <w:kinsoku/>
              <w:wordWrap/>
              <w:overflowPunct/>
              <w:topLinePunct w:val="0"/>
              <w:autoSpaceDE/>
              <w:autoSpaceDN/>
              <w:bidi w:val="0"/>
              <w:adjustRightInd/>
              <w:snapToGrid w:val="0"/>
              <w:spacing w:line="360" w:lineRule="auto"/>
              <w:ind w:firstLine="425"/>
              <w:textAlignment w:val="auto"/>
              <w:rPr>
                <w:rFonts w:hint="eastAsia" w:ascii="宋体" w:hAnsi="宋体" w:eastAsia="宋体" w:cs="宋体"/>
                <w:color w:val="auto"/>
                <w:sz w:val="21"/>
                <w:szCs w:val="21"/>
                <w:highlight w:val="none"/>
              </w:rPr>
            </w:pPr>
          </w:p>
        </w:tc>
        <w:tc>
          <w:tcPr>
            <w:tcW w:w="4812" w:type="dxa"/>
            <w:noWrap w:val="0"/>
            <w:vAlign w:val="center"/>
          </w:tcPr>
          <w:p w14:paraId="36C53AD4">
            <w:pPr>
              <w:keepNext w:val="0"/>
              <w:keepLines w:val="0"/>
              <w:pageBreakBefore w:val="0"/>
              <w:kinsoku/>
              <w:wordWrap/>
              <w:overflowPunct/>
              <w:topLinePunct w:val="0"/>
              <w:autoSpaceDE/>
              <w:autoSpaceDN/>
              <w:bidi w:val="0"/>
              <w:adjustRightInd/>
              <w:snapToGrid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w:t>
            </w:r>
          </w:p>
          <w:p w14:paraId="4C88ECA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bl>
    <w:p w14:paraId="19727DFF">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11E97342">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6C3E16F2">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2B6FD9D2">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1A136541">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71A13415">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2ECB9806">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4C89EF17">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50F3DFD8">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0538AD5C">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4EABDC43">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07D8911D">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393A645E">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09939E69">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2C2D5F53">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31BB3937">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298CA21F">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4DFFF9DC">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07F2198A">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71CAA60A">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1C1A260A">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3F2726B3">
      <w:pPr>
        <w:pStyle w:val="331"/>
        <w:keepNext w:val="0"/>
        <w:keepLines w:val="0"/>
        <w:pageBreakBefore w:val="0"/>
        <w:kinsoku/>
        <w:wordWrap/>
        <w:overflowPunct/>
        <w:topLinePunct w:val="0"/>
        <w:autoSpaceDE/>
        <w:autoSpaceDN/>
        <w:bidi w:val="0"/>
        <w:adjustRightInd/>
        <w:snapToGrid w:val="0"/>
        <w:spacing w:line="360" w:lineRule="auto"/>
        <w:ind w:firstLine="0"/>
        <w:jc w:val="both"/>
        <w:textAlignment w:val="auto"/>
        <w:rPr>
          <w:rFonts w:hint="eastAsia" w:ascii="宋体" w:hAnsi="宋体" w:eastAsia="宋体" w:cs="宋体"/>
          <w:color w:val="auto"/>
          <w:sz w:val="21"/>
          <w:szCs w:val="21"/>
          <w:highlight w:val="none"/>
          <w:lang w:val="en-US" w:eastAsia="zh-CN" w:bidi="ar-SA"/>
        </w:rPr>
      </w:pPr>
    </w:p>
    <w:p w14:paraId="5B04D69F">
      <w:pPr>
        <w:pStyle w:val="331"/>
        <w:keepNext w:val="0"/>
        <w:keepLines w:val="0"/>
        <w:pageBreakBefore w:val="0"/>
        <w:kinsoku/>
        <w:wordWrap/>
        <w:overflowPunct/>
        <w:topLinePunct w:val="0"/>
        <w:autoSpaceDE/>
        <w:autoSpaceDN/>
        <w:bidi w:val="0"/>
        <w:adjustRightInd/>
        <w:snapToGrid w:val="0"/>
        <w:spacing w:line="360" w:lineRule="auto"/>
        <w:ind w:firstLine="0" w:firstLineChars="0"/>
        <w:textAlignment w:val="auto"/>
        <w:outlineLvl w:val="1"/>
        <w:rPr>
          <w:rFonts w:hint="eastAsia" w:ascii="宋体" w:hAnsi="宋体" w:eastAsia="宋体" w:cs="宋体"/>
          <w:b/>
          <w:bCs/>
          <w:color w:val="auto"/>
          <w:sz w:val="21"/>
          <w:szCs w:val="21"/>
          <w:highlight w:val="none"/>
        </w:rPr>
      </w:pPr>
      <w:bookmarkStart w:id="90" w:name="_Toc3861"/>
      <w:r>
        <w:rPr>
          <w:rFonts w:hint="eastAsia" w:ascii="宋体" w:hAnsi="宋体" w:eastAsia="宋体" w:cs="宋体"/>
          <w:b/>
          <w:bCs/>
          <w:color w:val="auto"/>
          <w:sz w:val="21"/>
          <w:szCs w:val="21"/>
          <w:highlight w:val="none"/>
          <w:lang w:val="en-US"/>
        </w:rPr>
        <w:t>附件一：</w:t>
      </w:r>
      <w:bookmarkEnd w:id="90"/>
    </w:p>
    <w:tbl>
      <w:tblPr>
        <w:tblStyle w:val="38"/>
        <w:tblW w:w="5000" w:type="pct"/>
        <w:tblInd w:w="0" w:type="dxa"/>
        <w:tblLayout w:type="autofit"/>
        <w:tblCellMar>
          <w:top w:w="0" w:type="dxa"/>
          <w:left w:w="108" w:type="dxa"/>
          <w:bottom w:w="0" w:type="dxa"/>
          <w:right w:w="108" w:type="dxa"/>
        </w:tblCellMar>
      </w:tblPr>
      <w:tblGrid>
        <w:gridCol w:w="638"/>
        <w:gridCol w:w="3515"/>
        <w:gridCol w:w="846"/>
        <w:gridCol w:w="3327"/>
        <w:gridCol w:w="744"/>
        <w:gridCol w:w="661"/>
      </w:tblGrid>
      <w:tr w14:paraId="2AE4A5C7">
        <w:tblPrEx>
          <w:tblCellMar>
            <w:top w:w="0" w:type="dxa"/>
            <w:left w:w="108" w:type="dxa"/>
            <w:bottom w:w="0" w:type="dxa"/>
            <w:right w:w="108" w:type="dxa"/>
          </w:tblCellMar>
        </w:tblPrEx>
        <w:trPr>
          <w:trHeight w:val="630" w:hRule="atLeast"/>
        </w:trPr>
        <w:tc>
          <w:tcPr>
            <w:tcW w:w="5000" w:type="pct"/>
            <w:gridSpan w:val="6"/>
            <w:tcBorders>
              <w:top w:val="nil"/>
              <w:left w:val="nil"/>
              <w:bottom w:val="nil"/>
              <w:right w:val="nil"/>
            </w:tcBorders>
            <w:shd w:val="clear" w:color="auto" w:fill="auto"/>
            <w:noWrap w:val="0"/>
            <w:vAlign w:val="bottom"/>
          </w:tcPr>
          <w:p w14:paraId="011BEAB4">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苏州市吴江区审计局组织中介机构参与跟踪审计考核打分表</w:t>
            </w:r>
          </w:p>
        </w:tc>
      </w:tr>
      <w:tr w14:paraId="09EA1674">
        <w:tblPrEx>
          <w:tblCellMar>
            <w:top w:w="0" w:type="dxa"/>
            <w:left w:w="108" w:type="dxa"/>
            <w:bottom w:w="0" w:type="dxa"/>
            <w:right w:w="108" w:type="dxa"/>
          </w:tblCellMar>
        </w:tblPrEx>
        <w:trPr>
          <w:trHeight w:val="282" w:hRule="atLeast"/>
        </w:trPr>
        <w:tc>
          <w:tcPr>
            <w:tcW w:w="327" w:type="pct"/>
            <w:tcBorders>
              <w:top w:val="nil"/>
              <w:left w:val="nil"/>
              <w:bottom w:val="nil"/>
              <w:right w:val="nil"/>
            </w:tcBorders>
            <w:shd w:val="clear" w:color="auto" w:fill="auto"/>
            <w:noWrap w:val="0"/>
            <w:vAlign w:val="bottom"/>
          </w:tcPr>
          <w:p w14:paraId="115FA5A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951" w:type="pct"/>
            <w:gridSpan w:val="3"/>
            <w:tcBorders>
              <w:top w:val="nil"/>
              <w:left w:val="nil"/>
              <w:bottom w:val="nil"/>
              <w:right w:val="nil"/>
            </w:tcBorders>
            <w:shd w:val="clear" w:color="auto" w:fill="auto"/>
            <w:noWrap w:val="0"/>
            <w:vAlign w:val="bottom"/>
          </w:tcPr>
          <w:p w14:paraId="5F2C737A">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工程名称： </w:t>
            </w:r>
          </w:p>
        </w:tc>
        <w:tc>
          <w:tcPr>
            <w:tcW w:w="720" w:type="pct"/>
            <w:gridSpan w:val="2"/>
            <w:tcBorders>
              <w:top w:val="nil"/>
              <w:left w:val="nil"/>
              <w:bottom w:val="nil"/>
              <w:right w:val="nil"/>
            </w:tcBorders>
            <w:shd w:val="clear" w:color="auto" w:fill="auto"/>
            <w:noWrap w:val="0"/>
          </w:tcPr>
          <w:p w14:paraId="6A9AD1E3">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项目金额</w:t>
            </w:r>
            <w:r>
              <w:rPr>
                <w:rFonts w:hint="eastAsia" w:ascii="宋体" w:hAnsi="宋体" w:eastAsia="宋体" w:cs="宋体"/>
                <w:b/>
                <w:bCs/>
                <w:color w:val="auto"/>
                <w:sz w:val="21"/>
                <w:szCs w:val="21"/>
                <w:highlight w:val="none"/>
                <w:lang w:eastAsia="zh-CN"/>
              </w:rPr>
              <w:t>：</w:t>
            </w:r>
          </w:p>
        </w:tc>
      </w:tr>
      <w:tr w14:paraId="1B0F1AEC">
        <w:tblPrEx>
          <w:tblCellMar>
            <w:top w:w="0" w:type="dxa"/>
            <w:left w:w="108" w:type="dxa"/>
            <w:bottom w:w="0" w:type="dxa"/>
            <w:right w:w="108" w:type="dxa"/>
          </w:tblCellMar>
        </w:tblPrEx>
        <w:trPr>
          <w:trHeight w:val="300" w:hRule="atLeast"/>
        </w:trPr>
        <w:tc>
          <w:tcPr>
            <w:tcW w:w="327" w:type="pct"/>
            <w:tcBorders>
              <w:top w:val="nil"/>
              <w:left w:val="nil"/>
              <w:bottom w:val="nil"/>
              <w:right w:val="nil"/>
            </w:tcBorders>
            <w:shd w:val="clear" w:color="auto" w:fill="auto"/>
            <w:noWrap w:val="0"/>
            <w:vAlign w:val="bottom"/>
          </w:tcPr>
          <w:p w14:paraId="377B81C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951" w:type="pct"/>
            <w:gridSpan w:val="3"/>
            <w:tcBorders>
              <w:top w:val="nil"/>
              <w:left w:val="nil"/>
              <w:bottom w:val="nil"/>
              <w:right w:val="nil"/>
            </w:tcBorders>
            <w:shd w:val="clear" w:color="auto" w:fill="auto"/>
            <w:noWrap w:val="0"/>
            <w:vAlign w:val="bottom"/>
          </w:tcPr>
          <w:p w14:paraId="754D19DB">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协审中介名称： </w:t>
            </w:r>
          </w:p>
        </w:tc>
        <w:tc>
          <w:tcPr>
            <w:tcW w:w="720" w:type="pct"/>
            <w:gridSpan w:val="2"/>
            <w:tcBorders>
              <w:top w:val="nil"/>
              <w:left w:val="nil"/>
              <w:bottom w:val="nil"/>
              <w:right w:val="nil"/>
            </w:tcBorders>
            <w:shd w:val="clear" w:color="auto" w:fill="auto"/>
            <w:noWrap w:val="0"/>
            <w:vAlign w:val="bottom"/>
          </w:tcPr>
          <w:p w14:paraId="022469FF">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考核日期： </w:t>
            </w:r>
          </w:p>
        </w:tc>
      </w:tr>
      <w:tr w14:paraId="3A93EAEE">
        <w:tblPrEx>
          <w:tblCellMar>
            <w:top w:w="0" w:type="dxa"/>
            <w:left w:w="108" w:type="dxa"/>
            <w:bottom w:w="0" w:type="dxa"/>
            <w:right w:w="108" w:type="dxa"/>
          </w:tblCellMar>
        </w:tblPrEx>
        <w:trPr>
          <w:trHeight w:val="420" w:hRule="atLeast"/>
        </w:trPr>
        <w:tc>
          <w:tcPr>
            <w:tcW w:w="327"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0B851A38">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07"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4C6EA7D1">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考核内容</w:t>
            </w:r>
          </w:p>
        </w:tc>
        <w:tc>
          <w:tcPr>
            <w:tcW w:w="434"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4F77366B">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总</w:t>
            </w:r>
            <w:r>
              <w:rPr>
                <w:rFonts w:hint="eastAsia" w:ascii="宋体" w:hAnsi="宋体" w:eastAsia="宋体" w:cs="宋体"/>
                <w:b/>
                <w:bCs/>
                <w:color w:val="auto"/>
                <w:sz w:val="21"/>
                <w:szCs w:val="21"/>
                <w:highlight w:val="none"/>
              </w:rPr>
              <w:t>分90）</w:t>
            </w:r>
          </w:p>
        </w:tc>
        <w:tc>
          <w:tcPr>
            <w:tcW w:w="1709"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285F298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打分细则</w:t>
            </w:r>
          </w:p>
        </w:tc>
        <w:tc>
          <w:tcPr>
            <w:tcW w:w="382"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4DE178F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得分　</w:t>
            </w:r>
          </w:p>
        </w:tc>
        <w:tc>
          <w:tcPr>
            <w:tcW w:w="338" w:type="pct"/>
            <w:tcBorders>
              <w:top w:val="single" w:color="000000" w:sz="8" w:space="0"/>
              <w:left w:val="single" w:color="000000" w:sz="4" w:space="0"/>
              <w:bottom w:val="single" w:color="000000" w:sz="4" w:space="0"/>
              <w:right w:val="single" w:color="000000" w:sz="8" w:space="0"/>
            </w:tcBorders>
            <w:shd w:val="clear" w:color="auto" w:fill="auto"/>
            <w:noWrap/>
            <w:vAlign w:val="center"/>
          </w:tcPr>
          <w:p w14:paraId="4256E66C">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083B0117">
        <w:tblPrEx>
          <w:tblCellMar>
            <w:top w:w="0" w:type="dxa"/>
            <w:left w:w="108" w:type="dxa"/>
            <w:bottom w:w="0" w:type="dxa"/>
            <w:right w:w="108" w:type="dxa"/>
          </w:tblCellMar>
        </w:tblPrEx>
        <w:trPr>
          <w:trHeight w:val="282"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4A0FF8">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7282E">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协审纪律</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BE1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55C08">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B261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0EF4604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1C285FD4">
        <w:tblPrEx>
          <w:tblCellMar>
            <w:top w:w="0" w:type="dxa"/>
            <w:left w:w="108" w:type="dxa"/>
            <w:bottom w:w="0" w:type="dxa"/>
            <w:right w:w="108" w:type="dxa"/>
          </w:tblCellMar>
        </w:tblPrEx>
        <w:trPr>
          <w:trHeight w:val="919"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768BF9">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E857C">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诚实守信，确保现场协审人员按合同要求到位</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3D9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366E6">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合同约定的协审工程师如需更换，须由协审中介书面请示审计局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批准后方可更换。检查发现人员不到位或擅自更换人员，每一次扣10分。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644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6052C70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4051C38">
        <w:tblPrEx>
          <w:tblCellMar>
            <w:top w:w="0" w:type="dxa"/>
            <w:left w:w="108" w:type="dxa"/>
            <w:bottom w:w="0" w:type="dxa"/>
            <w:right w:w="108" w:type="dxa"/>
          </w:tblCellMar>
        </w:tblPrEx>
        <w:trPr>
          <w:trHeight w:val="687"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156BC9">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AE113">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承诺到达现场响应服务时间</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EDDB">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09F5CD">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检查承诺到达现场响应服务时间，每超一次，扣10分。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023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62B85F1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205BD48">
        <w:tblPrEx>
          <w:tblCellMar>
            <w:top w:w="0" w:type="dxa"/>
            <w:left w:w="108" w:type="dxa"/>
            <w:bottom w:w="0" w:type="dxa"/>
            <w:right w:w="108" w:type="dxa"/>
          </w:tblCellMar>
        </w:tblPrEx>
        <w:trPr>
          <w:trHeight w:val="315"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D5CDD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D071D">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勤恳敬业，协审过程中规定时间上班并按时打卡</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FA3AD">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1F585">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每漏打卡一次扣2分。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8FDB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FCDF6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222B78B6">
        <w:tblPrEx>
          <w:tblCellMar>
            <w:top w:w="0" w:type="dxa"/>
            <w:left w:w="108" w:type="dxa"/>
            <w:bottom w:w="0" w:type="dxa"/>
            <w:right w:w="108" w:type="dxa"/>
          </w:tblCellMar>
        </w:tblPrEx>
        <w:trPr>
          <w:trHeight w:val="420"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31D35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87672">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工作态度</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FE133">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2EA85">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工作马虎、粗糙、态度消极及不遵守审计局规定等，视情况扣5-15分。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556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71127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434B6E7">
        <w:tblPrEx>
          <w:tblCellMar>
            <w:top w:w="0" w:type="dxa"/>
            <w:left w:w="108" w:type="dxa"/>
            <w:bottom w:w="0" w:type="dxa"/>
            <w:right w:w="108" w:type="dxa"/>
          </w:tblCellMar>
        </w:tblPrEx>
        <w:trPr>
          <w:trHeight w:val="319"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A2DEF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38FED">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协审效率</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64A7E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80053">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7E4B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9AB99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CCA598C">
        <w:tblPrEx>
          <w:tblCellMar>
            <w:top w:w="0" w:type="dxa"/>
            <w:left w:w="108" w:type="dxa"/>
            <w:bottom w:w="0" w:type="dxa"/>
            <w:right w:w="108" w:type="dxa"/>
          </w:tblCellMar>
        </w:tblPrEx>
        <w:trPr>
          <w:trHeight w:val="840"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30C42C">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5BD12">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《跟踪审计协审方案》、《建设程序、招标程序履行情况报告》、《招标控制价、施工方投标报价分析报告》、《全过程跟踪审计协审全过程报告》、跟踪审计月报等资料按时报送上传</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C6B8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B1CF9">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每项每超一个工作日扣2分，单项扣10分封顶；逾期上报累计达3次，不满15分则扣15分；逾期上报累计达6次，不满30分则扣30分。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0E51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455744">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tc>
      </w:tr>
      <w:tr w14:paraId="591364EF">
        <w:tblPrEx>
          <w:tblCellMar>
            <w:top w:w="0" w:type="dxa"/>
            <w:left w:w="108" w:type="dxa"/>
            <w:bottom w:w="0" w:type="dxa"/>
            <w:right w:w="108" w:type="dxa"/>
          </w:tblCellMar>
        </w:tblPrEx>
        <w:trPr>
          <w:trHeight w:val="420"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84E820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559BB">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跟踪审计日记按时在审计项目管理系统中上传</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A1CC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9D82F">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每漏报一次扣2分。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4D1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947EC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6A6598E">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518330EB">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97708">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审核变更签证、月度工程计量或者工程付款申请，5个工作日完成</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D1781">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2E4BE2">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每超一个工作日扣2分。                                                                                             </w:t>
            </w:r>
          </w:p>
        </w:tc>
        <w:tc>
          <w:tcPr>
            <w:tcW w:w="3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16A58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302F934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A2A918B">
        <w:tblPrEx>
          <w:tblCellMar>
            <w:top w:w="0" w:type="dxa"/>
            <w:left w:w="108" w:type="dxa"/>
            <w:bottom w:w="0" w:type="dxa"/>
            <w:right w:w="108" w:type="dxa"/>
          </w:tblCellMar>
        </w:tblPrEx>
        <w:trPr>
          <w:trHeight w:val="420" w:hRule="atLeast"/>
        </w:trPr>
        <w:tc>
          <w:tcPr>
            <w:tcW w:w="327" w:type="pct"/>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6CF02FA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A8408">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重大变更、重大分歧、重大突发事项及时汇报</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13E8C3">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61C1F">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3个工作日内完成，每超过一天扣2分。</w:t>
            </w:r>
          </w:p>
        </w:tc>
        <w:tc>
          <w:tcPr>
            <w:tcW w:w="3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62C7C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FFFFFF"/>
            <w:noWrap/>
            <w:vAlign w:val="center"/>
          </w:tcPr>
          <w:p w14:paraId="5AB88CB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1018EEC6">
        <w:tblPrEx>
          <w:tblCellMar>
            <w:top w:w="0" w:type="dxa"/>
            <w:left w:w="108" w:type="dxa"/>
            <w:bottom w:w="0" w:type="dxa"/>
            <w:right w:w="108" w:type="dxa"/>
          </w:tblCellMar>
        </w:tblPrEx>
        <w:trPr>
          <w:trHeight w:val="319"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3CBFA76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3297B">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协审质量</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82B5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E2503">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C105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DF975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782F6E6">
        <w:tblPrEx>
          <w:tblCellMar>
            <w:top w:w="0" w:type="dxa"/>
            <w:left w:w="108" w:type="dxa"/>
            <w:bottom w:w="0" w:type="dxa"/>
            <w:right w:w="108" w:type="dxa"/>
          </w:tblCellMar>
        </w:tblPrEx>
        <w:trPr>
          <w:trHeight w:val="1080"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1BDCD3">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8EB23">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跟踪审计协审方案》、《建设程序、招标程序履行情况报告》、《招标控制价、施工方投标报价分析报告》、《全过程跟踪审计协审全过程报告》、跟踪审计月报及附表的质量进行检查。格式规范、内容正确，所附表格准确无误</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43F6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36DFC">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如有工程名称、标段情况、单位名称、金额、进度等有错误，每处扣2分；表格该填未填，每项扣5分。报告中有明显疏漏、该列未列事项，根据情节轻重每处扣5-10分。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6BC6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60C8F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4571D97">
        <w:tblPrEx>
          <w:tblCellMar>
            <w:top w:w="0" w:type="dxa"/>
            <w:left w:w="108" w:type="dxa"/>
            <w:bottom w:w="0" w:type="dxa"/>
            <w:right w:w="108" w:type="dxa"/>
          </w:tblCellMar>
        </w:tblPrEx>
        <w:trPr>
          <w:trHeight w:val="720" w:hRule="atLeast"/>
        </w:trPr>
        <w:tc>
          <w:tcPr>
            <w:tcW w:w="327" w:type="pct"/>
            <w:tcBorders>
              <w:top w:val="nil"/>
              <w:left w:val="single" w:color="000000" w:sz="8" w:space="0"/>
              <w:bottom w:val="single" w:color="000000" w:sz="4" w:space="0"/>
              <w:right w:val="single" w:color="000000" w:sz="4" w:space="0"/>
            </w:tcBorders>
            <w:shd w:val="clear" w:color="auto" w:fill="auto"/>
            <w:noWrap/>
            <w:vAlign w:val="center"/>
          </w:tcPr>
          <w:p w14:paraId="26BACE0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07" w:type="pct"/>
            <w:tcBorders>
              <w:top w:val="nil"/>
              <w:left w:val="single" w:color="000000" w:sz="4" w:space="0"/>
              <w:bottom w:val="single" w:color="000000" w:sz="4" w:space="0"/>
              <w:right w:val="single" w:color="000000" w:sz="4" w:space="0"/>
            </w:tcBorders>
            <w:shd w:val="clear" w:color="auto" w:fill="auto"/>
            <w:noWrap w:val="0"/>
            <w:vAlign w:val="center"/>
          </w:tcPr>
          <w:p w14:paraId="1E1D769C">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按照要求收集跟踪审计过程中批文、招标文件、合同、会议纪要、变更资料等必要的各种资料（书面或者电子档）</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19E0">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40F7B">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应收集未收集，每缺一项扣2分。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05B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C3EA0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0938E93A">
        <w:tblPrEx>
          <w:tblCellMar>
            <w:top w:w="0" w:type="dxa"/>
            <w:left w:w="108" w:type="dxa"/>
            <w:bottom w:w="0" w:type="dxa"/>
            <w:right w:w="108" w:type="dxa"/>
          </w:tblCellMar>
        </w:tblPrEx>
        <w:trPr>
          <w:trHeight w:val="522" w:hRule="atLeast"/>
        </w:trPr>
        <w:tc>
          <w:tcPr>
            <w:tcW w:w="327" w:type="pct"/>
            <w:tcBorders>
              <w:top w:val="nil"/>
              <w:left w:val="single" w:color="000000" w:sz="8" w:space="0"/>
              <w:bottom w:val="single" w:color="000000" w:sz="4" w:space="0"/>
              <w:right w:val="single" w:color="000000" w:sz="4" w:space="0"/>
            </w:tcBorders>
            <w:shd w:val="clear" w:color="auto" w:fill="auto"/>
            <w:noWrap/>
            <w:vAlign w:val="center"/>
          </w:tcPr>
          <w:p w14:paraId="3C068F7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807" w:type="pct"/>
            <w:tcBorders>
              <w:top w:val="nil"/>
              <w:left w:val="single" w:color="000000" w:sz="4" w:space="0"/>
              <w:bottom w:val="single" w:color="000000" w:sz="4" w:space="0"/>
              <w:right w:val="single" w:color="000000" w:sz="4" w:space="0"/>
            </w:tcBorders>
            <w:shd w:val="clear" w:color="auto" w:fill="auto"/>
            <w:noWrap w:val="0"/>
            <w:vAlign w:val="center"/>
          </w:tcPr>
          <w:p w14:paraId="7620BC34">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审核变更签证</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D6A3B">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04307">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核减率达每3%加1分，10分封顶。</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A48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2AF58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B539FDE">
        <w:tblPrEx>
          <w:tblCellMar>
            <w:top w:w="0" w:type="dxa"/>
            <w:left w:w="108" w:type="dxa"/>
            <w:bottom w:w="0" w:type="dxa"/>
            <w:right w:w="108" w:type="dxa"/>
          </w:tblCellMar>
        </w:tblPrEx>
        <w:trPr>
          <w:trHeight w:val="420" w:hRule="atLeast"/>
        </w:trPr>
        <w:tc>
          <w:tcPr>
            <w:tcW w:w="327" w:type="pct"/>
            <w:tcBorders>
              <w:top w:val="nil"/>
              <w:left w:val="single" w:color="000000" w:sz="8" w:space="0"/>
              <w:bottom w:val="single" w:color="000000" w:sz="4" w:space="0"/>
              <w:right w:val="single" w:color="000000" w:sz="4" w:space="0"/>
            </w:tcBorders>
            <w:shd w:val="clear" w:color="auto" w:fill="auto"/>
            <w:noWrap/>
            <w:vAlign w:val="center"/>
          </w:tcPr>
          <w:p w14:paraId="332AB301">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807" w:type="pct"/>
            <w:tcBorders>
              <w:top w:val="nil"/>
              <w:left w:val="single" w:color="000000" w:sz="4" w:space="0"/>
              <w:bottom w:val="single" w:color="000000" w:sz="4" w:space="0"/>
              <w:right w:val="single" w:color="000000" w:sz="4" w:space="0"/>
            </w:tcBorders>
            <w:shd w:val="clear" w:color="auto" w:fill="auto"/>
            <w:noWrap w:val="0"/>
            <w:vAlign w:val="center"/>
          </w:tcPr>
          <w:p w14:paraId="66834344">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审核工程进度款</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A3460">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3BA6D">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核减率达每1%加1分，10分封顶。</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664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D111B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B8698FC">
        <w:tblPrEx>
          <w:tblCellMar>
            <w:top w:w="0" w:type="dxa"/>
            <w:left w:w="108" w:type="dxa"/>
            <w:bottom w:w="0" w:type="dxa"/>
            <w:right w:w="108" w:type="dxa"/>
          </w:tblCellMar>
        </w:tblPrEx>
        <w:trPr>
          <w:trHeight w:val="840" w:hRule="atLeast"/>
        </w:trPr>
        <w:tc>
          <w:tcPr>
            <w:tcW w:w="327" w:type="pct"/>
            <w:tcBorders>
              <w:top w:val="nil"/>
              <w:left w:val="single" w:color="000000" w:sz="8" w:space="0"/>
              <w:bottom w:val="single" w:color="000000" w:sz="4" w:space="0"/>
              <w:right w:val="single" w:color="000000" w:sz="4" w:space="0"/>
            </w:tcBorders>
            <w:shd w:val="clear" w:color="auto" w:fill="auto"/>
            <w:noWrap/>
            <w:vAlign w:val="center"/>
          </w:tcPr>
          <w:p w14:paraId="07EF70F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807" w:type="pct"/>
            <w:tcBorders>
              <w:top w:val="nil"/>
              <w:left w:val="single" w:color="000000" w:sz="4" w:space="0"/>
              <w:bottom w:val="single" w:color="000000" w:sz="4" w:space="0"/>
              <w:right w:val="single" w:color="000000" w:sz="4" w:space="0"/>
            </w:tcBorders>
            <w:shd w:val="clear" w:color="auto" w:fill="auto"/>
            <w:noWrap w:val="0"/>
            <w:vAlign w:val="center"/>
          </w:tcPr>
          <w:p w14:paraId="3CF2B76A">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招标控制价审查</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126E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E62C1">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发现标底错误金额20万以上，加1分；错误金额50万以上，或者超过总价的2%，加3分；发现标底错误</w:t>
            </w:r>
            <w:r>
              <w:rPr>
                <w:rFonts w:hint="eastAsia" w:ascii="宋体" w:hAnsi="宋体" w:eastAsia="宋体" w:cs="宋体"/>
                <w:color w:val="auto"/>
                <w:sz w:val="21"/>
                <w:szCs w:val="21"/>
                <w:highlight w:val="none"/>
                <w:lang w:eastAsia="zh-CN"/>
              </w:rPr>
              <w:t>金额100万元</w:t>
            </w:r>
            <w:r>
              <w:rPr>
                <w:rFonts w:hint="eastAsia" w:ascii="宋体" w:hAnsi="宋体" w:eastAsia="宋体" w:cs="宋体"/>
                <w:color w:val="auto"/>
                <w:sz w:val="21"/>
                <w:szCs w:val="21"/>
                <w:highlight w:val="none"/>
              </w:rPr>
              <w:t>以上，或者超过总价的3%，加5分。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A47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28DB3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3139707">
        <w:tblPrEx>
          <w:tblCellMar>
            <w:top w:w="0" w:type="dxa"/>
            <w:left w:w="108" w:type="dxa"/>
            <w:bottom w:w="0" w:type="dxa"/>
            <w:right w:w="108" w:type="dxa"/>
          </w:tblCellMar>
        </w:tblPrEx>
        <w:trPr>
          <w:trHeight w:val="882"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CF8001">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4ED59">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提出跟踪协审建议</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3C32A">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790F9">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被采纳建议能挽回损失资金或者节约建设资金的，累计金额每10万元加1分；其他建议被审计局采纳的每条加1分。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C14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0C84FCB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4850E58">
        <w:tblPrEx>
          <w:tblCellMar>
            <w:top w:w="0" w:type="dxa"/>
            <w:left w:w="108" w:type="dxa"/>
            <w:bottom w:w="0" w:type="dxa"/>
            <w:right w:w="108" w:type="dxa"/>
          </w:tblCellMar>
        </w:tblPrEx>
        <w:trPr>
          <w:trHeight w:val="587" w:hRule="atLeast"/>
        </w:trPr>
        <w:tc>
          <w:tcPr>
            <w:tcW w:w="327"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1052C9">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8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ED614">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协审中介应注重审计成果转化，向审计局撰写的跟踪审计专报、审计宣传、信息等成果</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37D2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加分项</w:t>
            </w:r>
          </w:p>
        </w:tc>
        <w:tc>
          <w:tcPr>
            <w:tcW w:w="1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50A2F">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视采纳等级情况每条加1-5分。</w:t>
            </w: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532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4DC704C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07A9405">
        <w:tblPrEx>
          <w:tblCellMar>
            <w:top w:w="0" w:type="dxa"/>
            <w:left w:w="108" w:type="dxa"/>
            <w:bottom w:w="0" w:type="dxa"/>
            <w:right w:w="108" w:type="dxa"/>
          </w:tblCellMar>
        </w:tblPrEx>
        <w:trPr>
          <w:trHeight w:val="876" w:hRule="atLeast"/>
        </w:trPr>
        <w:tc>
          <w:tcPr>
            <w:tcW w:w="327" w:type="pct"/>
            <w:tcBorders>
              <w:top w:val="single" w:color="000000" w:sz="4" w:space="0"/>
              <w:left w:val="single" w:color="000000" w:sz="8" w:space="0"/>
              <w:bottom w:val="nil"/>
              <w:right w:val="single" w:color="000000" w:sz="4" w:space="0"/>
            </w:tcBorders>
            <w:shd w:val="clear" w:color="auto" w:fill="auto"/>
            <w:noWrap/>
            <w:vAlign w:val="center"/>
          </w:tcPr>
          <w:p w14:paraId="18B73F3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807" w:type="pct"/>
            <w:tcBorders>
              <w:top w:val="single" w:color="000000" w:sz="4" w:space="0"/>
              <w:left w:val="single" w:color="000000" w:sz="4" w:space="0"/>
              <w:bottom w:val="nil"/>
              <w:right w:val="single" w:color="000000" w:sz="4" w:space="0"/>
            </w:tcBorders>
            <w:shd w:val="clear" w:color="auto" w:fill="auto"/>
            <w:noWrap w:val="0"/>
            <w:vAlign w:val="center"/>
          </w:tcPr>
          <w:p w14:paraId="4D3FBDE3">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协审过程中提供审计线索，在反腐建设中有贡献</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2AD10">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加分项</w:t>
            </w:r>
          </w:p>
        </w:tc>
        <w:tc>
          <w:tcPr>
            <w:tcW w:w="1709" w:type="pct"/>
            <w:tcBorders>
              <w:top w:val="single" w:color="000000" w:sz="4" w:space="0"/>
              <w:left w:val="single" w:color="000000" w:sz="4" w:space="0"/>
              <w:bottom w:val="nil"/>
              <w:right w:val="single" w:color="000000" w:sz="4" w:space="0"/>
            </w:tcBorders>
            <w:shd w:val="clear" w:color="auto" w:fill="auto"/>
            <w:noWrap w:val="0"/>
            <w:vAlign w:val="center"/>
          </w:tcPr>
          <w:p w14:paraId="272E1833">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视贡献大小每条加5-15分。</w:t>
            </w:r>
          </w:p>
        </w:tc>
        <w:tc>
          <w:tcPr>
            <w:tcW w:w="382" w:type="pct"/>
            <w:tcBorders>
              <w:top w:val="single" w:color="000000" w:sz="4" w:space="0"/>
              <w:left w:val="single" w:color="000000" w:sz="4" w:space="0"/>
              <w:bottom w:val="nil"/>
              <w:right w:val="single" w:color="000000" w:sz="4" w:space="0"/>
            </w:tcBorders>
            <w:shd w:val="clear" w:color="auto" w:fill="auto"/>
            <w:noWrap/>
            <w:vAlign w:val="center"/>
          </w:tcPr>
          <w:p w14:paraId="5678E5E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single" w:color="000000" w:sz="4" w:space="0"/>
              <w:left w:val="single" w:color="000000" w:sz="4" w:space="0"/>
              <w:bottom w:val="nil"/>
              <w:right w:val="single" w:color="000000" w:sz="8" w:space="0"/>
            </w:tcBorders>
            <w:shd w:val="clear" w:color="auto" w:fill="auto"/>
            <w:noWrap/>
            <w:vAlign w:val="center"/>
          </w:tcPr>
          <w:p w14:paraId="60959F5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19BA8415">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6236964C">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706922E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跟审过程中发现的</w:t>
            </w:r>
            <w:r>
              <w:rPr>
                <w:rFonts w:hint="eastAsia" w:ascii="宋体" w:hAnsi="宋体" w:eastAsia="宋体" w:cs="宋体"/>
                <w:b w:val="0"/>
                <w:bCs w:val="0"/>
                <w:color w:val="auto"/>
                <w:sz w:val="21"/>
                <w:szCs w:val="21"/>
                <w:highlight w:val="none"/>
              </w:rPr>
              <w:t>问题</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521E67E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加分</w:t>
            </w:r>
            <w:r>
              <w:rPr>
                <w:rFonts w:hint="eastAsia" w:ascii="宋体" w:hAnsi="宋体" w:eastAsia="宋体" w:cs="宋体"/>
                <w:b w:val="0"/>
                <w:bCs w:val="0"/>
                <w:color w:val="auto"/>
                <w:sz w:val="21"/>
                <w:szCs w:val="21"/>
                <w:highlight w:val="none"/>
              </w:rPr>
              <w:t>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36D731D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发现系统性、机制性问题（如套取资金、重大违约风险）加5分；仅流于账面小额差错的，该项</w:t>
            </w:r>
            <w:r>
              <w:rPr>
                <w:rFonts w:hint="eastAsia" w:ascii="宋体" w:hAnsi="宋体" w:eastAsia="宋体" w:cs="宋体"/>
                <w:b w:val="0"/>
                <w:bCs w:val="0"/>
                <w:color w:val="auto"/>
                <w:sz w:val="21"/>
                <w:szCs w:val="21"/>
                <w:highlight w:val="none"/>
                <w:lang w:val="en-US" w:eastAsia="zh-CN"/>
              </w:rPr>
              <w:t>加2分</w:t>
            </w:r>
            <w:r>
              <w:rPr>
                <w:rFonts w:hint="eastAsia" w:ascii="宋体" w:hAnsi="宋体" w:eastAsia="宋体" w:cs="宋体"/>
                <w:b w:val="0"/>
                <w:bCs w:val="0"/>
                <w:color w:val="auto"/>
                <w:sz w:val="21"/>
                <w:szCs w:val="21"/>
                <w:highlight w:val="none"/>
              </w:rPr>
              <w:t>。</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1FDE68B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2245DDA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r>
      <w:tr w14:paraId="7ECB73D9">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038237D4">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1585E35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审计</w:t>
            </w:r>
            <w:r>
              <w:rPr>
                <w:rFonts w:hint="eastAsia" w:ascii="宋体" w:hAnsi="宋体" w:eastAsia="宋体" w:cs="宋体"/>
                <w:b w:val="0"/>
                <w:bCs w:val="0"/>
                <w:color w:val="auto"/>
                <w:sz w:val="21"/>
                <w:szCs w:val="21"/>
                <w:highlight w:val="none"/>
              </w:rPr>
              <w:t>准确性</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157B6C9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288981B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被审计单位提出合理异议并经</w:t>
            </w:r>
            <w:r>
              <w:rPr>
                <w:rFonts w:hint="eastAsia" w:ascii="宋体" w:hAnsi="宋体" w:eastAsia="宋体" w:cs="宋体"/>
                <w:b w:val="0"/>
                <w:bCs w:val="0"/>
                <w:color w:val="auto"/>
                <w:sz w:val="21"/>
                <w:szCs w:val="21"/>
                <w:highlight w:val="none"/>
                <w:lang w:val="en-US" w:eastAsia="zh-CN"/>
              </w:rPr>
              <w:t>复核后确认该质疑成立的</w:t>
            </w:r>
            <w:r>
              <w:rPr>
                <w:rFonts w:hint="eastAsia" w:ascii="宋体" w:hAnsi="宋体" w:eastAsia="宋体" w:cs="宋体"/>
                <w:b w:val="0"/>
                <w:bCs w:val="0"/>
                <w:color w:val="auto"/>
                <w:sz w:val="21"/>
                <w:szCs w:val="21"/>
                <w:highlight w:val="none"/>
              </w:rPr>
              <w:t>每项扣2分。</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32EA87C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7D527F1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r>
      <w:tr w14:paraId="3CD386CD">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789A0878">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41763CD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报告问题遗漏</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25FCCD3F">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4BB27F8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年度跟审报告未披露后续竣工结算审计发现的实质性问题，每遗漏1项一般问题扣5分，每遗漏1项重大问题（涉及金额≥50万元或存在合规性风险）扣20分；</w:t>
            </w:r>
          </w:p>
          <w:p w14:paraId="5D0E009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故意隐瞒问题线索、出具虚假不实结论的，直接记0分，扣除全部尾款</w:t>
            </w:r>
            <w:r>
              <w:rPr>
                <w:rFonts w:hint="eastAsia" w:ascii="宋体" w:hAnsi="宋体" w:eastAsia="宋体" w:cs="宋体"/>
                <w:b w:val="0"/>
                <w:bCs w:val="0"/>
                <w:color w:val="auto"/>
                <w:sz w:val="21"/>
                <w:szCs w:val="21"/>
                <w:highlight w:val="none"/>
                <w:lang w:eastAsia="zh-CN"/>
              </w:rPr>
              <w:t>。</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67B019B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1E51278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r>
      <w:tr w14:paraId="2CC9C60F">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524EA00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2D495C17">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整改进度</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5391E4C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17ED824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rPr>
              <w:t>重复报送往期已完成整改的问题，未及时更新整改进度的，每有1项扣3分。</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4CC0E27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1FA2EDE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lang w:val="en-US"/>
              </w:rPr>
            </w:pPr>
          </w:p>
        </w:tc>
      </w:tr>
      <w:tr w14:paraId="14F681E8">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1C8F53B0">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13</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70EB035A">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材料审核规范性</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6C9E0AF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105113A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考核整改证据链是否完整（是否有会议纪要、转账凭证、制度文件）。资料缺失、逻辑不通却予以验收通过的，扣</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分/项。</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61A645E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157B891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r>
      <w:tr w14:paraId="7774B74D">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073C93E4">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14</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533A81A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现场核实</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697E565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6C3E533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跟审单位必须对重大整改项进行100%现场核实。抽查发现未去现场即签认销号的，每项扣</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64ADBC4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10388E5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r>
      <w:tr w14:paraId="7D83F0B1">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4F0CE88B">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15</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7965B560">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虚假整改</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6FD97610">
            <w:pPr>
              <w:keepNext w:val="0"/>
              <w:keepLines w:val="0"/>
              <w:pageBreakBefore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70B894A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实施“双评价”机制 。后续审计或巡视发现已验收销号的问题依然存在（即“纸面整改”），</w:t>
            </w:r>
            <w:r>
              <w:rPr>
                <w:rFonts w:hint="eastAsia" w:ascii="宋体" w:hAnsi="宋体" w:eastAsia="宋体" w:cs="宋体"/>
                <w:b w:val="0"/>
                <w:bCs w:val="0"/>
                <w:color w:val="auto"/>
                <w:sz w:val="21"/>
                <w:szCs w:val="21"/>
                <w:highlight w:val="none"/>
                <w:lang w:val="en-US" w:eastAsia="zh-CN"/>
              </w:rPr>
              <w:t>扣除10分</w:t>
            </w:r>
            <w:r>
              <w:rPr>
                <w:rFonts w:hint="eastAsia" w:ascii="宋体" w:hAnsi="宋体" w:eastAsia="宋体" w:cs="宋体"/>
                <w:b w:val="0"/>
                <w:bCs w:val="0"/>
                <w:color w:val="auto"/>
                <w:sz w:val="21"/>
                <w:szCs w:val="21"/>
                <w:highlight w:val="none"/>
              </w:rPr>
              <w:t>，并视情况启动问责追究 。</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12E6DDA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540D562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val="0"/>
                <w:bCs w:val="0"/>
                <w:color w:val="auto"/>
                <w:sz w:val="21"/>
                <w:szCs w:val="21"/>
                <w:highlight w:val="none"/>
              </w:rPr>
            </w:pPr>
          </w:p>
        </w:tc>
      </w:tr>
      <w:tr w14:paraId="5EB5B239">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62AF7D23">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0F6AB0AD">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报告规范性</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5B5F2A8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47634E5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没有按照规定的报告格式出具正式报告、存在报告格式、文字表述等非实质性错误或报告内容不完整</w:t>
            </w:r>
            <w:r>
              <w:rPr>
                <w:rFonts w:hint="eastAsia" w:ascii="宋体" w:hAnsi="宋体" w:eastAsia="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rPr>
              <w:t>扣减2分</w:t>
            </w:r>
            <w:r>
              <w:rPr>
                <w:rFonts w:hint="eastAsia" w:ascii="宋体" w:hAnsi="宋体" w:eastAsia="宋体" w:cs="宋体"/>
                <w:b w:val="0"/>
                <w:bCs w:val="0"/>
                <w:color w:val="auto"/>
                <w:sz w:val="21"/>
                <w:szCs w:val="21"/>
                <w:highlight w:val="none"/>
                <w:lang w:eastAsia="zh-CN"/>
              </w:rPr>
              <w:t>。</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1EC17E0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575D0BD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2D000349">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25574925">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535FB1F6">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资料保管风险</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117F7008">
            <w:pPr>
              <w:keepNext w:val="0"/>
              <w:keepLines w:val="0"/>
              <w:pageBreakBefore w:val="0"/>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1CD44D57">
            <w:pPr>
              <w:keepNext w:val="0"/>
              <w:keepLines w:val="0"/>
              <w:pageBreakBefore w:val="0"/>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审计过程中，由于管理不当造成审计资料损坏或遗失</w:t>
            </w:r>
            <w:r>
              <w:rPr>
                <w:rFonts w:hint="eastAsia" w:ascii="宋体" w:hAnsi="宋体" w:eastAsia="宋体" w:cs="宋体"/>
                <w:b w:val="0"/>
                <w:bCs w:val="0"/>
                <w:color w:val="auto"/>
                <w:sz w:val="21"/>
                <w:szCs w:val="21"/>
                <w:highlight w:val="none"/>
                <w:lang w:val="en-US" w:eastAsia="zh-CN"/>
              </w:rPr>
              <w:t>一次扣3分，</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76BC5BE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5ACE311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2FCDAF3D">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53B7A430">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62EB96B6">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移交时效</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3BE1B2B7">
            <w:pPr>
              <w:keepNext w:val="0"/>
              <w:keepLines w:val="0"/>
              <w:pageBreakBefore w:val="0"/>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71044C12">
            <w:pPr>
              <w:keepNext w:val="0"/>
              <w:keepLines w:val="0"/>
              <w:pageBreakBefore w:val="0"/>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未在规定时间内移交审计资料</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电子＋纸质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扣3分。</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7219019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287C488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FC59C8D">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52DC2693">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3F792F0D">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归档规范性</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5BBDDB4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减分项</w:t>
            </w: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54D7D273">
            <w:pPr>
              <w:keepNext w:val="0"/>
              <w:keepLines w:val="0"/>
              <w:pageBreakBefore w:val="0"/>
              <w:kinsoku/>
              <w:wordWrap/>
              <w:overflowPunct/>
              <w:topLinePunct w:val="0"/>
              <w:autoSpaceDE/>
              <w:autoSpaceDN/>
              <w:bidi w:val="0"/>
              <w:adjustRightInd/>
              <w:snapToGrid w:val="0"/>
              <w:spacing w:line="360" w:lineRule="auto"/>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移交的资料不符合归档要求</w:t>
            </w:r>
            <w:r>
              <w:rPr>
                <w:rFonts w:hint="eastAsia" w:ascii="宋体" w:hAnsi="宋体" w:eastAsia="宋体" w:cs="宋体"/>
                <w:b w:val="0"/>
                <w:bCs w:val="0"/>
                <w:color w:val="auto"/>
                <w:sz w:val="21"/>
                <w:szCs w:val="21"/>
                <w:highlight w:val="none"/>
                <w:lang w:val="en-US" w:eastAsia="zh-CN"/>
              </w:rPr>
              <w:t>扣2分。</w:t>
            </w: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0DED9FC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37AE2C5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24814865">
        <w:tblPrEx>
          <w:tblCellMar>
            <w:top w:w="0" w:type="dxa"/>
            <w:left w:w="108" w:type="dxa"/>
            <w:bottom w:w="0" w:type="dxa"/>
            <w:right w:w="108" w:type="dxa"/>
          </w:tblCellMar>
        </w:tblPrEx>
        <w:trPr>
          <w:trHeight w:val="462" w:hRule="atLeast"/>
        </w:trPr>
        <w:tc>
          <w:tcPr>
            <w:tcW w:w="327" w:type="pct"/>
            <w:tcBorders>
              <w:top w:val="single" w:color="000000" w:sz="4" w:space="0"/>
              <w:left w:val="single" w:color="000000" w:sz="8" w:space="0"/>
              <w:bottom w:val="single" w:color="000000" w:sz="8" w:space="0"/>
              <w:right w:val="single" w:color="000000" w:sz="4" w:space="0"/>
            </w:tcBorders>
            <w:shd w:val="clear" w:color="auto" w:fill="auto"/>
            <w:noWrap/>
            <w:vAlign w:val="center"/>
          </w:tcPr>
          <w:p w14:paraId="430D32D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w:t>
            </w:r>
          </w:p>
        </w:tc>
        <w:tc>
          <w:tcPr>
            <w:tcW w:w="1807"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51A43E5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总   分</w:t>
            </w:r>
          </w:p>
        </w:tc>
        <w:tc>
          <w:tcPr>
            <w:tcW w:w="434"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6B35BEC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1709"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3E219DA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382" w:type="pct"/>
            <w:tcBorders>
              <w:top w:val="single" w:color="000000" w:sz="4" w:space="0"/>
              <w:left w:val="single" w:color="000000" w:sz="4" w:space="0"/>
              <w:bottom w:val="single" w:color="000000" w:sz="8" w:space="0"/>
              <w:right w:val="single" w:color="000000" w:sz="4" w:space="0"/>
            </w:tcBorders>
            <w:shd w:val="clear" w:color="auto" w:fill="auto"/>
            <w:noWrap/>
            <w:vAlign w:val="center"/>
          </w:tcPr>
          <w:p w14:paraId="53128CB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tc>
        <w:tc>
          <w:tcPr>
            <w:tcW w:w="338" w:type="pct"/>
            <w:tcBorders>
              <w:top w:val="single" w:color="000000" w:sz="4" w:space="0"/>
              <w:left w:val="single" w:color="000000" w:sz="4" w:space="0"/>
              <w:bottom w:val="single" w:color="000000" w:sz="8" w:space="0"/>
              <w:right w:val="single" w:color="000000" w:sz="8" w:space="0"/>
            </w:tcBorders>
            <w:shd w:val="clear" w:color="auto" w:fill="auto"/>
            <w:noWrap/>
            <w:vAlign w:val="center"/>
          </w:tcPr>
          <w:p w14:paraId="3D10C02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1E62E7E">
        <w:tblPrEx>
          <w:tblCellMar>
            <w:top w:w="0" w:type="dxa"/>
            <w:left w:w="108" w:type="dxa"/>
            <w:bottom w:w="0" w:type="dxa"/>
            <w:right w:w="108" w:type="dxa"/>
          </w:tblCellMar>
        </w:tblPrEx>
        <w:trPr>
          <w:trHeight w:val="702" w:hRule="atLeast"/>
        </w:trPr>
        <w:tc>
          <w:tcPr>
            <w:tcW w:w="327" w:type="pct"/>
            <w:tcBorders>
              <w:top w:val="nil"/>
              <w:left w:val="nil"/>
              <w:bottom w:val="nil"/>
              <w:right w:val="nil"/>
            </w:tcBorders>
            <w:shd w:val="clear" w:color="auto" w:fill="auto"/>
            <w:noWrap/>
            <w:vAlign w:val="bottom"/>
          </w:tcPr>
          <w:p w14:paraId="040CA72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7" w:type="pct"/>
            <w:tcBorders>
              <w:top w:val="nil"/>
              <w:left w:val="nil"/>
              <w:bottom w:val="nil"/>
              <w:right w:val="nil"/>
            </w:tcBorders>
            <w:shd w:val="clear" w:color="auto" w:fill="auto"/>
            <w:noWrap w:val="0"/>
            <w:vAlign w:val="bottom"/>
          </w:tcPr>
          <w:p w14:paraId="318A9687">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中介协审人员： </w:t>
            </w:r>
          </w:p>
        </w:tc>
        <w:tc>
          <w:tcPr>
            <w:tcW w:w="2865" w:type="pct"/>
            <w:gridSpan w:val="4"/>
            <w:tcBorders>
              <w:top w:val="nil"/>
              <w:left w:val="nil"/>
              <w:bottom w:val="nil"/>
              <w:right w:val="nil"/>
            </w:tcBorders>
            <w:shd w:val="clear" w:color="auto" w:fill="auto"/>
            <w:noWrap w:val="0"/>
            <w:vAlign w:val="bottom"/>
          </w:tcPr>
          <w:p w14:paraId="72451D4F">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审计局项目联系人： </w:t>
            </w:r>
          </w:p>
        </w:tc>
      </w:tr>
      <w:tr w14:paraId="32237059">
        <w:tblPrEx>
          <w:tblCellMar>
            <w:top w:w="0" w:type="dxa"/>
            <w:left w:w="108" w:type="dxa"/>
            <w:bottom w:w="0" w:type="dxa"/>
            <w:right w:w="108" w:type="dxa"/>
          </w:tblCellMar>
        </w:tblPrEx>
        <w:trPr>
          <w:trHeight w:val="225" w:hRule="atLeast"/>
        </w:trPr>
        <w:tc>
          <w:tcPr>
            <w:tcW w:w="327" w:type="pct"/>
            <w:tcBorders>
              <w:top w:val="nil"/>
              <w:left w:val="nil"/>
              <w:bottom w:val="nil"/>
              <w:right w:val="nil"/>
            </w:tcBorders>
            <w:shd w:val="clear" w:color="auto" w:fill="auto"/>
            <w:noWrap/>
            <w:vAlign w:val="bottom"/>
          </w:tcPr>
          <w:p w14:paraId="0CDF34F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7" w:type="pct"/>
            <w:tcBorders>
              <w:top w:val="nil"/>
              <w:left w:val="nil"/>
              <w:bottom w:val="nil"/>
              <w:right w:val="nil"/>
            </w:tcBorders>
            <w:shd w:val="clear" w:color="auto" w:fill="auto"/>
            <w:noWrap w:val="0"/>
            <w:vAlign w:val="bottom"/>
          </w:tcPr>
          <w:p w14:paraId="0339604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434" w:type="pct"/>
            <w:tcBorders>
              <w:top w:val="nil"/>
              <w:left w:val="nil"/>
              <w:bottom w:val="nil"/>
              <w:right w:val="nil"/>
            </w:tcBorders>
            <w:shd w:val="clear" w:color="auto" w:fill="auto"/>
            <w:noWrap/>
            <w:vAlign w:val="bottom"/>
          </w:tcPr>
          <w:p w14:paraId="0EB5EAD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09" w:type="pct"/>
            <w:tcBorders>
              <w:top w:val="nil"/>
              <w:left w:val="nil"/>
              <w:bottom w:val="nil"/>
              <w:right w:val="nil"/>
            </w:tcBorders>
            <w:shd w:val="clear" w:color="auto" w:fill="auto"/>
            <w:noWrap w:val="0"/>
            <w:vAlign w:val="bottom"/>
          </w:tcPr>
          <w:p w14:paraId="26C93D2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382" w:type="pct"/>
            <w:tcBorders>
              <w:top w:val="nil"/>
              <w:left w:val="nil"/>
              <w:bottom w:val="nil"/>
              <w:right w:val="nil"/>
            </w:tcBorders>
            <w:shd w:val="clear" w:color="auto" w:fill="auto"/>
            <w:noWrap/>
            <w:vAlign w:val="bottom"/>
          </w:tcPr>
          <w:p w14:paraId="344A68E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38" w:type="pct"/>
            <w:tcBorders>
              <w:top w:val="nil"/>
              <w:left w:val="nil"/>
              <w:bottom w:val="nil"/>
              <w:right w:val="nil"/>
            </w:tcBorders>
            <w:shd w:val="clear" w:color="auto" w:fill="auto"/>
            <w:noWrap/>
            <w:vAlign w:val="bottom"/>
          </w:tcPr>
          <w:p w14:paraId="18A85A8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bl>
    <w:p w14:paraId="010326FC">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7560253">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68C2B5C">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1547C33">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8BE110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16DC3742">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BED2FCE">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4383168">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32BE76C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4FF0FC85">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24D9B9F">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17A708D">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22F63D4E">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16CB556">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0510B79">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C2C516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008EA79">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5836BAD">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4C50AFA">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D62CF56">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91D59E2">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E848C63">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D46BAB7">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7885996">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45703B2">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6661560">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1C07A030">
      <w:pPr>
        <w:pStyle w:val="46"/>
        <w:rPr>
          <w:rFonts w:hint="eastAsia" w:ascii="宋体" w:hAnsi="宋体" w:eastAsia="宋体" w:cs="宋体"/>
          <w:b/>
          <w:bCs/>
          <w:color w:val="auto"/>
          <w:sz w:val="21"/>
          <w:szCs w:val="21"/>
          <w:highlight w:val="none"/>
        </w:rPr>
      </w:pPr>
    </w:p>
    <w:p w14:paraId="2831CF5D">
      <w:pPr>
        <w:pStyle w:val="46"/>
        <w:rPr>
          <w:rFonts w:hint="eastAsia" w:ascii="宋体" w:hAnsi="宋体" w:eastAsia="宋体" w:cs="宋体"/>
          <w:b/>
          <w:bCs/>
          <w:color w:val="auto"/>
          <w:sz w:val="21"/>
          <w:szCs w:val="21"/>
          <w:highlight w:val="none"/>
        </w:rPr>
      </w:pPr>
    </w:p>
    <w:p w14:paraId="1515C6A2">
      <w:pPr>
        <w:pStyle w:val="331"/>
        <w:keepNext w:val="0"/>
        <w:keepLines w:val="0"/>
        <w:pageBreakBefore w:val="0"/>
        <w:kinsoku/>
        <w:wordWrap/>
        <w:overflowPunct/>
        <w:topLinePunct w:val="0"/>
        <w:autoSpaceDE/>
        <w:autoSpaceDN/>
        <w:bidi w:val="0"/>
        <w:adjustRightInd/>
        <w:snapToGrid w:val="0"/>
        <w:spacing w:line="360" w:lineRule="auto"/>
        <w:ind w:firstLine="0" w:firstLineChars="0"/>
        <w:textAlignment w:val="auto"/>
        <w:outlineLvl w:val="1"/>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附件二：</w:t>
      </w:r>
    </w:p>
    <w:p w14:paraId="4B3FBD5A">
      <w:pPr>
        <w:pStyle w:val="36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廉政合同</w:t>
      </w:r>
    </w:p>
    <w:p w14:paraId="04EFEEA6">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甲方：</w:t>
      </w:r>
    </w:p>
    <w:p w14:paraId="7F62A5F3">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乙方：</w:t>
      </w:r>
    </w:p>
    <w:p w14:paraId="4698A899">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为贯彻落实党中央、国务院《关于实行党风廉政建设责任制的规定》，进一步加强工程建设中的党风廉政建设，保证建设优质、高效、有序地进行，经甲乙双方协商一致，自愿签订以下廉政合同。</w:t>
      </w:r>
    </w:p>
    <w:p w14:paraId="503BFBFA">
      <w:pPr>
        <w:pStyle w:val="370"/>
        <w:keepNext w:val="0"/>
        <w:keepLines w:val="0"/>
        <w:pageBreakBefore w:val="0"/>
        <w:kinsoku/>
        <w:wordWrap/>
        <w:overflowPunct/>
        <w:topLinePunct w:val="0"/>
        <w:autoSpaceDE/>
        <w:autoSpaceDN/>
        <w:bidi w:val="0"/>
        <w:adjustRightInd/>
        <w:snapToGrid w:val="0"/>
        <w:spacing w:line="360" w:lineRule="auto"/>
        <w:ind w:firstLine="56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第一条</w:t>
      </w:r>
      <w:r>
        <w:rPr>
          <w:rFonts w:hint="eastAsia" w:ascii="宋体" w:hAnsi="宋体" w:eastAsia="宋体" w:cs="宋体"/>
          <w:color w:val="auto"/>
          <w:sz w:val="21"/>
          <w:szCs w:val="21"/>
          <w:highlight w:val="none"/>
        </w:rPr>
        <w:t xml:space="preserve">  甲乙双方的权利和义务</w:t>
      </w:r>
    </w:p>
    <w:p w14:paraId="09278BB2">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（一）严格遵守党和国家有关法规及党风廉政建设各项规定。</w:t>
      </w:r>
    </w:p>
    <w:p w14:paraId="00D3D748">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（二）严格执行各项规定，自觉按合同办事。</w:t>
      </w:r>
    </w:p>
    <w:p w14:paraId="6F1C24D4">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（三）双方的业务活动坚持公开、公正、公平、诚信的原则（法律认定的商业秘密和合同文件另有规定除外），严禁损害国家和集体利益、违反工程建设管理规章制度。</w:t>
      </w:r>
    </w:p>
    <w:p w14:paraId="6EC9A37C">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（四）建立健全党风廉政建设各项制度，开展反腐倡廉宣传教育，加强对本方工作人员的监督检查。</w:t>
      </w:r>
    </w:p>
    <w:p w14:paraId="7F163816">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1238B3A7">
      <w:pPr>
        <w:pStyle w:val="370"/>
        <w:keepNext w:val="0"/>
        <w:keepLines w:val="0"/>
        <w:pageBreakBefore w:val="0"/>
        <w:kinsoku/>
        <w:wordWrap/>
        <w:overflowPunct/>
        <w:topLinePunct w:val="0"/>
        <w:autoSpaceDE/>
        <w:autoSpaceDN/>
        <w:bidi w:val="0"/>
        <w:adjustRightInd/>
        <w:snapToGrid w:val="0"/>
        <w:spacing w:line="360" w:lineRule="auto"/>
        <w:ind w:firstLine="56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第二条  </w:t>
      </w:r>
      <w:r>
        <w:rPr>
          <w:rFonts w:hint="eastAsia" w:ascii="宋体" w:hAnsi="宋体" w:eastAsia="宋体" w:cs="宋体"/>
          <w:color w:val="auto"/>
          <w:sz w:val="21"/>
          <w:szCs w:val="21"/>
          <w:highlight w:val="none"/>
        </w:rPr>
        <w:t>甲方在廉政建设方面的义务</w:t>
      </w:r>
    </w:p>
    <w:p w14:paraId="3BF74F77">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（一）甲方及其工作人员不准在乙方安插亲友，不得指定需购物资设备的销售单位或部门；不得挤占、截留、挪用合同款或超进度拨付合同款；严禁私设小金库。 </w:t>
      </w:r>
    </w:p>
    <w:p w14:paraId="656D334D">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（二）甲方及其工作人员不准利用职务之便索要或接受乙方的现金、有价证券、支付凭证及收受干股，或以赌博等交易形式非法收受乙方财物。</w:t>
      </w:r>
    </w:p>
    <w:p w14:paraId="337B4386">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（三）甲方及其工作人员不准让乙方报销应由甲方或个人支付的费用；不准利用职务便利为乙方谋取不当利益。</w:t>
      </w:r>
    </w:p>
    <w:p w14:paraId="0882C7F5">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（四）甲方工作人员不准要求或者接受乙方可能影响公正执行公务的宴请；不准要求乙方提供交通工具、通讯工具、高档办公用品等。</w:t>
      </w:r>
    </w:p>
    <w:p w14:paraId="58E9953C">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（五）甲方及其工作人员不准要求或者接受乙方为其住房装修、婚丧嫁娶、特定关系人（近亲属及其它共同利益关系的人）出国（境）旅游提供方便。</w:t>
      </w:r>
    </w:p>
    <w:p w14:paraId="49CF6658">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（六）甲方及其工作人员不准利用职务之便为乙方谋取利益之前或之后，约定在其离职后收受乙方财物，并在离职后收受。</w:t>
      </w:r>
    </w:p>
    <w:p w14:paraId="32DAB323">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（七）甲方及其工作人员不准要求或者收受乙方住房、汽车等物品，不准收受乙方为其以明显低于市场价购置住房或以劣换优、以借为名占用乙方住房。</w:t>
      </w:r>
    </w:p>
    <w:p w14:paraId="6F2F29B0">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（八）甲方及其工作人员不准要求或者接受乙方以给特定关系人安排工作为名，使特定关系人不实际工作却获取薪酬。</w:t>
      </w:r>
    </w:p>
    <w:p w14:paraId="1D002985">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（九）甲方及其工作人员不准在与乙方有直接利害关系的企事业单位兼职、兼职取酬、投资入股、经商办企业以及从事有偿中介活动。</w:t>
      </w:r>
    </w:p>
    <w:p w14:paraId="57B63BD2">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甲方或工作人员不得利用职务便利为乙方谋取利益，由乙方出资“合作”开办公司或进行其他合作投资，或委托乙方投资证券、期货或由其他委托理财名义，未实际出资并获取“收益”，或虽然出资，但获取“利益”明显高于出资应得收益；或授意乙方以本规定所列形式，将有关财物给特定关系人。</w:t>
      </w:r>
      <w:bookmarkStart w:id="114" w:name="_GoBack"/>
      <w:bookmarkEnd w:id="114"/>
    </w:p>
    <w:p w14:paraId="67536D43">
      <w:pPr>
        <w:pStyle w:val="370"/>
        <w:keepNext w:val="0"/>
        <w:keepLines w:val="0"/>
        <w:pageBreakBefore w:val="0"/>
        <w:kinsoku/>
        <w:wordWrap/>
        <w:overflowPunct/>
        <w:topLinePunct w:val="0"/>
        <w:autoSpaceDE/>
        <w:autoSpaceDN/>
        <w:bidi w:val="0"/>
        <w:adjustRightInd/>
        <w:snapToGrid w:val="0"/>
        <w:spacing w:line="360" w:lineRule="auto"/>
        <w:ind w:firstLine="56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w:t>
      </w:r>
      <w:r>
        <w:rPr>
          <w:rFonts w:hint="eastAsia" w:ascii="宋体" w:hAnsi="宋体" w:eastAsia="宋体" w:cs="宋体"/>
          <w:color w:val="auto"/>
          <w:sz w:val="21"/>
          <w:szCs w:val="21"/>
          <w:highlight w:val="none"/>
        </w:rPr>
        <w:t>乙方在廉政建设方面义务</w:t>
      </w:r>
    </w:p>
    <w:p w14:paraId="02F3C995">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（一）乙方及其工作人员不准以任何形式向甲方及其工作人员馈赠现金、有价证券、支付凭证及赠送干股，或以赌博等交易形式非法赠送甲方财物。</w:t>
      </w:r>
    </w:p>
    <w:p w14:paraId="32763863">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（二）乙方及其工作人员不准以任何名义为甲方及其工作人员报销应由甲方或个人支付的费用。</w:t>
      </w:r>
    </w:p>
    <w:p w14:paraId="2C4D096F">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（三）乙方及其工作人员不准以任何理由邀请甲方工作人员参加对项目有影响的宴请及娱乐活动；不准为其提供通讯工具、交通工具、高档办公用品等。</w:t>
      </w:r>
    </w:p>
    <w:p w14:paraId="3C11E3C8">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（四）乙方及其工作人员不准为甲方工作人员住房装修、婚丧嫁娶、特定关系人出国（境）旅游提供方便；不准为甲方工作人员的特定关系人以安排工作为名，使其不实际工作却获取薪酬。</w:t>
      </w:r>
    </w:p>
    <w:p w14:paraId="28100D7A">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（五）乙方及其工作人员不准赠送甲方工作人员住房、汽车等物品，不准为其以明显低于市场价购置住房或以劣换优、以借为名赠送住房。</w:t>
      </w:r>
    </w:p>
    <w:p w14:paraId="7082886C">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（六）乙方及其工作人员不准与该工程的监理单位、施工单位等串通，违反工程计量、资金支付、质量验评、竣工验收等有关规定和程序，损害甲方利益，影响工程质量、进度和安全。</w:t>
      </w:r>
    </w:p>
    <w:p w14:paraId="3F73BB0B">
      <w:pPr>
        <w:pStyle w:val="370"/>
        <w:keepNext w:val="0"/>
        <w:keepLines w:val="0"/>
        <w:pageBreakBefore w:val="0"/>
        <w:kinsoku/>
        <w:wordWrap/>
        <w:overflowPunct/>
        <w:topLinePunct w:val="0"/>
        <w:autoSpaceDE/>
        <w:autoSpaceDN/>
        <w:bidi w:val="0"/>
        <w:adjustRightInd/>
        <w:snapToGrid w:val="0"/>
        <w:spacing w:line="360" w:lineRule="auto"/>
        <w:ind w:firstLine="56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第四条</w:t>
      </w:r>
      <w:r>
        <w:rPr>
          <w:rFonts w:hint="eastAsia" w:ascii="宋体" w:hAnsi="宋体" w:eastAsia="宋体" w:cs="宋体"/>
          <w:color w:val="auto"/>
          <w:sz w:val="21"/>
          <w:szCs w:val="21"/>
          <w:highlight w:val="none"/>
        </w:rPr>
        <w:t xml:space="preserve">  违约责任</w:t>
      </w:r>
    </w:p>
    <w:p w14:paraId="35B75873">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（一）甲方若违反本《廉政合同》有关规定的，对违纪违规人员，由甲方主管部门依据有关规定查处，构成犯罪的移交司法机关处理，给乙方造成的损失，按有关规定予以赔偿。</w:t>
      </w:r>
    </w:p>
    <w:p w14:paraId="787D15B7">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若违反本《廉政合同》有关规定的，对违纪违规人员，由乙方主管部门或行业管理部门依据有关规定查处，构成犯罪的移交司法机关处理，给甲方造成的损失，按有关规定予以赔偿，并按江苏省工程建设项目招投标诚信管理相关办法予以处罚。</w:t>
      </w:r>
    </w:p>
    <w:p w14:paraId="7EF10DB5">
      <w:pPr>
        <w:pStyle w:val="370"/>
        <w:keepNext w:val="0"/>
        <w:keepLines w:val="0"/>
        <w:pageBreakBefore w:val="0"/>
        <w:kinsoku/>
        <w:wordWrap/>
        <w:overflowPunct/>
        <w:topLinePunct w:val="0"/>
        <w:autoSpaceDE/>
        <w:autoSpaceDN/>
        <w:bidi w:val="0"/>
        <w:adjustRightInd/>
        <w:snapToGrid w:val="0"/>
        <w:spacing w:line="360" w:lineRule="auto"/>
        <w:ind w:firstLine="56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第五条</w:t>
      </w:r>
      <w:r>
        <w:rPr>
          <w:rFonts w:hint="eastAsia" w:ascii="宋体" w:hAnsi="宋体" w:eastAsia="宋体" w:cs="宋体"/>
          <w:color w:val="auto"/>
          <w:sz w:val="21"/>
          <w:szCs w:val="21"/>
          <w:highlight w:val="none"/>
        </w:rPr>
        <w:t xml:space="preserve">  督查单位</w:t>
      </w:r>
    </w:p>
    <w:p w14:paraId="09C88AED">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双方约定：自愿接受</w:t>
      </w:r>
      <w:r>
        <w:rPr>
          <w:rFonts w:hint="eastAsia" w:ascii="宋体" w:hAnsi="宋体" w:eastAsia="宋体" w:cs="宋体"/>
          <w:color w:val="auto"/>
          <w:sz w:val="21"/>
          <w:szCs w:val="21"/>
          <w:highlight w:val="none"/>
          <w:u w:val="single"/>
        </w:rPr>
        <w:t>纪委</w:t>
      </w:r>
      <w:r>
        <w:rPr>
          <w:rFonts w:hint="eastAsia" w:ascii="宋体" w:hAnsi="宋体" w:eastAsia="宋体" w:cs="宋体"/>
          <w:color w:val="auto"/>
          <w:sz w:val="21"/>
          <w:szCs w:val="21"/>
          <w:highlight w:val="none"/>
        </w:rPr>
        <w:t>对合同执行情况的监督检查，双方应积极配合督查单位的检查，包括提供有关资料和财务账册凭证，接受本合同规定范围内的裁定意见。</w:t>
      </w:r>
    </w:p>
    <w:p w14:paraId="79199553">
      <w:pPr>
        <w:pStyle w:val="370"/>
        <w:keepNext w:val="0"/>
        <w:keepLines w:val="0"/>
        <w:pageBreakBefore w:val="0"/>
        <w:kinsoku/>
        <w:wordWrap/>
        <w:overflowPunct/>
        <w:topLinePunct w:val="0"/>
        <w:autoSpaceDE/>
        <w:autoSpaceDN/>
        <w:bidi w:val="0"/>
        <w:adjustRightInd/>
        <w:snapToGrid w:val="0"/>
        <w:spacing w:line="360" w:lineRule="auto"/>
        <w:ind w:firstLine="56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第六条</w:t>
      </w:r>
      <w:r>
        <w:rPr>
          <w:rFonts w:hint="eastAsia" w:ascii="宋体" w:hAnsi="宋体" w:eastAsia="宋体" w:cs="宋体"/>
          <w:color w:val="auto"/>
          <w:sz w:val="21"/>
          <w:szCs w:val="21"/>
          <w:highlight w:val="none"/>
        </w:rPr>
        <w:t xml:space="preserve">  检查方式</w:t>
      </w:r>
    </w:p>
    <w:p w14:paraId="35422774">
      <w:pPr>
        <w:pStyle w:val="370"/>
        <w:keepNext w:val="0"/>
        <w:keepLines w:val="0"/>
        <w:pageBreakBefore w:val="0"/>
        <w:kinsoku/>
        <w:wordWrap/>
        <w:overflowPunct/>
        <w:topLinePunct w:val="0"/>
        <w:autoSpaceDE/>
        <w:autoSpaceDN/>
        <w:bidi w:val="0"/>
        <w:adjustRightInd/>
        <w:snapToGrid w:val="0"/>
        <w:spacing w:line="360" w:lineRule="auto"/>
        <w:ind w:firstLine="5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p>
    <w:p w14:paraId="5A1CB241">
      <w:pPr>
        <w:pStyle w:val="370"/>
        <w:keepNext w:val="0"/>
        <w:keepLines w:val="0"/>
        <w:pageBreakBefore w:val="0"/>
        <w:kinsoku/>
        <w:wordWrap/>
        <w:overflowPunct/>
        <w:topLinePunct w:val="0"/>
        <w:autoSpaceDE/>
        <w:autoSpaceDN/>
        <w:bidi w:val="0"/>
        <w:adjustRightInd/>
        <w:snapToGrid w:val="0"/>
        <w:spacing w:line="360" w:lineRule="auto"/>
        <w:ind w:firstLine="56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第七条  </w:t>
      </w:r>
      <w:r>
        <w:rPr>
          <w:rFonts w:hint="eastAsia" w:ascii="宋体" w:hAnsi="宋体" w:eastAsia="宋体" w:cs="宋体"/>
          <w:color w:val="auto"/>
          <w:sz w:val="21"/>
          <w:szCs w:val="21"/>
          <w:highlight w:val="none"/>
        </w:rPr>
        <w:t>本合同有效期为甲乙双方之间的跟踪审计服务合同签订之日起至中标整个标段所有审计项目完成之日止</w:t>
      </w:r>
      <w:r>
        <w:rPr>
          <w:rFonts w:hint="eastAsia" w:ascii="宋体" w:hAnsi="宋体" w:eastAsia="宋体" w:cs="宋体"/>
          <w:b/>
          <w:color w:val="auto"/>
          <w:sz w:val="21"/>
          <w:szCs w:val="21"/>
          <w:highlight w:val="none"/>
        </w:rPr>
        <w:t>。</w:t>
      </w:r>
    </w:p>
    <w:p w14:paraId="2A1E449C">
      <w:pPr>
        <w:pStyle w:val="370"/>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      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盖章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乙      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盖章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05CF7399">
      <w:pPr>
        <w:pStyle w:val="370"/>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签名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法定代表人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签名</w:t>
      </w:r>
      <w:r>
        <w:rPr>
          <w:rFonts w:hint="eastAsia" w:ascii="宋体" w:hAnsi="宋体" w:cs="宋体"/>
          <w:color w:val="auto"/>
          <w:sz w:val="21"/>
          <w:szCs w:val="21"/>
          <w:highlight w:val="none"/>
          <w:lang w:eastAsia="zh-CN"/>
        </w:rPr>
        <w:t>）</w:t>
      </w:r>
    </w:p>
    <w:p w14:paraId="142D153A">
      <w:pPr>
        <w:pStyle w:val="370"/>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或授权代理人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签名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或授权代理人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签名</w:t>
      </w:r>
      <w:r>
        <w:rPr>
          <w:rFonts w:hint="eastAsia" w:ascii="宋体" w:hAnsi="宋体" w:cs="宋体"/>
          <w:color w:val="auto"/>
          <w:sz w:val="21"/>
          <w:szCs w:val="21"/>
          <w:highlight w:val="none"/>
          <w:lang w:eastAsia="zh-CN"/>
        </w:rPr>
        <w:t>）</w:t>
      </w:r>
    </w:p>
    <w:p w14:paraId="1D84C4F3">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 约 日 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签 约 日 期：</w:t>
      </w:r>
    </w:p>
    <w:p w14:paraId="664EF0D2">
      <w:pPr>
        <w:pStyle w:val="16"/>
        <w:keepNext w:val="0"/>
        <w:keepLines w:val="0"/>
        <w:pageBreakBefore w:val="0"/>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
          <w:bCs/>
          <w:color w:val="auto"/>
          <w:sz w:val="21"/>
          <w:szCs w:val="21"/>
          <w:highlight w:val="none"/>
          <w:lang w:bidi="zh-TW"/>
        </w:rPr>
      </w:pPr>
      <w:bookmarkStart w:id="91" w:name="_Toc24974"/>
      <w:r>
        <w:rPr>
          <w:rFonts w:hint="eastAsia" w:ascii="宋体" w:hAnsi="宋体" w:eastAsia="宋体" w:cs="宋体"/>
          <w:b/>
          <w:bCs/>
          <w:color w:val="auto"/>
          <w:sz w:val="21"/>
          <w:szCs w:val="21"/>
          <w:highlight w:val="none"/>
          <w:lang w:bidi="zh-TW"/>
        </w:rPr>
        <w:t>附件三：《项目组成员一览表》</w:t>
      </w:r>
      <w:bookmarkEnd w:id="91"/>
    </w:p>
    <w:p w14:paraId="6EA2014F">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lang w:bidi="zh-TW"/>
        </w:rPr>
      </w:pPr>
      <w:r>
        <w:rPr>
          <w:rFonts w:hint="eastAsia" w:ascii="宋体" w:hAnsi="宋体" w:eastAsia="宋体" w:cs="宋体"/>
          <w:b/>
          <w:bCs/>
          <w:color w:val="auto"/>
          <w:sz w:val="21"/>
          <w:szCs w:val="21"/>
          <w:highlight w:val="none"/>
          <w:lang w:bidi="zh-TW"/>
        </w:rPr>
        <w:t>《</w:t>
      </w:r>
      <w:r>
        <w:rPr>
          <w:rFonts w:hint="eastAsia" w:ascii="宋体" w:hAnsi="宋体" w:eastAsia="宋体" w:cs="宋体"/>
          <w:b/>
          <w:bCs/>
          <w:color w:val="auto"/>
          <w:sz w:val="21"/>
          <w:szCs w:val="21"/>
          <w:highlight w:val="none"/>
          <w:shd w:val="clear" w:color="FFFFFF" w:themeColor="background1" w:fill="FFFFFF" w:themeFill="background1"/>
          <w:lang w:bidi="zh-TW"/>
        </w:rPr>
        <w:t>项目组成员一览表</w:t>
      </w:r>
      <w:r>
        <w:rPr>
          <w:rFonts w:hint="eastAsia" w:ascii="宋体" w:hAnsi="宋体" w:eastAsia="宋体" w:cs="宋体"/>
          <w:b/>
          <w:bCs/>
          <w:color w:val="auto"/>
          <w:sz w:val="21"/>
          <w:szCs w:val="21"/>
          <w:highlight w:val="none"/>
          <w:lang w:bidi="zh-TW"/>
        </w:rPr>
        <w:t>》</w:t>
      </w:r>
    </w:p>
    <w:tbl>
      <w:tblPr>
        <w:tblStyle w:val="38"/>
        <w:tblW w:w="10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619"/>
        <w:gridCol w:w="1189"/>
        <w:gridCol w:w="797"/>
        <w:gridCol w:w="1134"/>
        <w:gridCol w:w="1173"/>
        <w:gridCol w:w="1710"/>
        <w:gridCol w:w="1317"/>
        <w:gridCol w:w="1004"/>
      </w:tblGrid>
      <w:tr w14:paraId="2D48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24" w:type="dxa"/>
            <w:tcBorders>
              <w:top w:val="single" w:color="auto" w:sz="4" w:space="0"/>
              <w:left w:val="single" w:color="auto" w:sz="4" w:space="0"/>
              <w:bottom w:val="single" w:color="auto" w:sz="4" w:space="0"/>
              <w:right w:val="single" w:color="auto" w:sz="4" w:space="0"/>
            </w:tcBorders>
            <w:noWrap w:val="0"/>
            <w:vAlign w:val="center"/>
          </w:tcPr>
          <w:p w14:paraId="389C8023">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序号</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12ABA93B">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岗位</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44A31163">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shd w:val="clear" w:color="FFFFFF" w:themeColor="background1" w:fill="FFFFFF" w:themeFill="background1"/>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姓名</w:t>
            </w:r>
          </w:p>
        </w:tc>
        <w:tc>
          <w:tcPr>
            <w:tcW w:w="797" w:type="dxa"/>
            <w:tcBorders>
              <w:top w:val="single" w:color="auto" w:sz="4" w:space="0"/>
              <w:left w:val="single" w:color="auto" w:sz="4" w:space="0"/>
              <w:bottom w:val="single" w:color="auto" w:sz="4" w:space="0"/>
              <w:right w:val="single" w:color="auto" w:sz="4" w:space="0"/>
            </w:tcBorders>
            <w:noWrap w:val="0"/>
            <w:vAlign w:val="center"/>
          </w:tcPr>
          <w:p w14:paraId="15756F1B">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shd w:val="clear" w:color="FFFFFF" w:themeColor="background1" w:fill="FFFFFF" w:themeFill="background1"/>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职责</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F00CD28">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shd w:val="clear" w:color="FFFFFF" w:themeColor="background1" w:fill="FFFFFF" w:themeFill="background1"/>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专业</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469BBCC5">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shd w:val="clear" w:color="FFFFFF" w:themeColor="background1" w:fill="FFFFFF" w:themeFill="background1"/>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执业资格</w:t>
            </w:r>
          </w:p>
        </w:tc>
        <w:tc>
          <w:tcPr>
            <w:tcW w:w="1710" w:type="dxa"/>
            <w:tcBorders>
              <w:top w:val="single" w:color="auto" w:sz="4" w:space="0"/>
              <w:left w:val="single" w:color="auto" w:sz="4" w:space="0"/>
              <w:right w:val="single" w:color="auto" w:sz="4" w:space="0"/>
            </w:tcBorders>
            <w:noWrap w:val="0"/>
            <w:vAlign w:val="center"/>
          </w:tcPr>
          <w:p w14:paraId="647F3BB0">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shd w:val="clear" w:color="FFFFFF" w:themeColor="background1" w:fill="FFFFFF" w:themeFill="background1"/>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职称</w:t>
            </w:r>
          </w:p>
        </w:tc>
        <w:tc>
          <w:tcPr>
            <w:tcW w:w="1317" w:type="dxa"/>
            <w:tcBorders>
              <w:top w:val="single" w:color="auto" w:sz="4" w:space="0"/>
              <w:left w:val="single" w:color="auto" w:sz="4" w:space="0"/>
              <w:right w:val="single" w:color="auto" w:sz="4" w:space="0"/>
            </w:tcBorders>
            <w:noWrap w:val="0"/>
            <w:vAlign w:val="center"/>
          </w:tcPr>
          <w:p w14:paraId="25D37071">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shd w:val="clear" w:color="FFFFFF" w:themeColor="background1" w:fill="FFFFFF" w:themeFill="background1"/>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联系电话</w:t>
            </w:r>
          </w:p>
        </w:tc>
        <w:tc>
          <w:tcPr>
            <w:tcW w:w="1004" w:type="dxa"/>
            <w:tcBorders>
              <w:top w:val="single" w:color="auto" w:sz="4" w:space="0"/>
              <w:left w:val="single" w:color="auto" w:sz="4" w:space="0"/>
              <w:right w:val="single" w:color="auto" w:sz="4" w:space="0"/>
            </w:tcBorders>
            <w:noWrap w:val="0"/>
            <w:vAlign w:val="center"/>
          </w:tcPr>
          <w:p w14:paraId="7A9AA564">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lang w:bidi="zh-TW"/>
              </w:rPr>
            </w:pPr>
            <w:r>
              <w:rPr>
                <w:rFonts w:hint="eastAsia" w:ascii="宋体" w:hAnsi="宋体" w:eastAsia="宋体" w:cs="宋体"/>
                <w:b/>
                <w:bCs/>
                <w:color w:val="auto"/>
                <w:sz w:val="21"/>
                <w:szCs w:val="21"/>
                <w:highlight w:val="none"/>
                <w:shd w:val="clear" w:color="FFFFFF" w:themeColor="background1" w:fill="FFFFFF" w:themeFill="background1"/>
                <w:lang w:bidi="zh-TW"/>
              </w:rPr>
              <w:t>备注</w:t>
            </w:r>
          </w:p>
        </w:tc>
      </w:tr>
      <w:tr w14:paraId="477E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24" w:type="dxa"/>
            <w:tcBorders>
              <w:top w:val="single" w:color="auto" w:sz="4" w:space="0"/>
              <w:left w:val="single" w:color="auto" w:sz="4" w:space="0"/>
              <w:bottom w:val="single" w:color="auto" w:sz="4" w:space="0"/>
              <w:right w:val="single" w:color="auto" w:sz="4" w:space="0"/>
            </w:tcBorders>
            <w:noWrap w:val="0"/>
            <w:vAlign w:val="center"/>
          </w:tcPr>
          <w:p w14:paraId="1475763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4843026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411752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C5D0B5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A0EC66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center"/>
          </w:tcPr>
          <w:p w14:paraId="4540B94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710" w:type="dxa"/>
            <w:tcBorders>
              <w:left w:val="single" w:color="auto" w:sz="4" w:space="0"/>
              <w:right w:val="single" w:color="auto" w:sz="4" w:space="0"/>
            </w:tcBorders>
            <w:noWrap w:val="0"/>
            <w:vAlign w:val="center"/>
          </w:tcPr>
          <w:p w14:paraId="0D07CC3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317" w:type="dxa"/>
            <w:tcBorders>
              <w:left w:val="single" w:color="auto" w:sz="4" w:space="0"/>
              <w:right w:val="single" w:color="auto" w:sz="4" w:space="0"/>
            </w:tcBorders>
            <w:noWrap w:val="0"/>
            <w:vAlign w:val="center"/>
          </w:tcPr>
          <w:p w14:paraId="5150AC7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dxa"/>
            <w:tcBorders>
              <w:left w:val="single" w:color="auto" w:sz="4" w:space="0"/>
              <w:right w:val="single" w:color="auto" w:sz="4" w:space="0"/>
            </w:tcBorders>
            <w:noWrap w:val="0"/>
            <w:vAlign w:val="center"/>
          </w:tcPr>
          <w:p w14:paraId="6ED0F21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6B72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tcBorders>
              <w:top w:val="single" w:color="auto" w:sz="4" w:space="0"/>
              <w:left w:val="single" w:color="auto" w:sz="4" w:space="0"/>
              <w:right w:val="single" w:color="auto" w:sz="4" w:space="0"/>
            </w:tcBorders>
            <w:noWrap w:val="0"/>
            <w:vAlign w:val="center"/>
          </w:tcPr>
          <w:p w14:paraId="18BA9B2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7C9C82F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8BAD73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E0E3D8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695FE4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center"/>
          </w:tcPr>
          <w:p w14:paraId="117E880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710" w:type="dxa"/>
            <w:tcBorders>
              <w:left w:val="single" w:color="auto" w:sz="4" w:space="0"/>
              <w:right w:val="single" w:color="auto" w:sz="4" w:space="0"/>
            </w:tcBorders>
            <w:noWrap w:val="0"/>
            <w:vAlign w:val="center"/>
          </w:tcPr>
          <w:p w14:paraId="15D4A6E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317" w:type="dxa"/>
            <w:tcBorders>
              <w:left w:val="single" w:color="auto" w:sz="4" w:space="0"/>
              <w:right w:val="single" w:color="auto" w:sz="4" w:space="0"/>
            </w:tcBorders>
            <w:noWrap w:val="0"/>
            <w:vAlign w:val="center"/>
          </w:tcPr>
          <w:p w14:paraId="4AC8A99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dxa"/>
            <w:tcBorders>
              <w:left w:val="single" w:color="auto" w:sz="4" w:space="0"/>
              <w:right w:val="single" w:color="auto" w:sz="4" w:space="0"/>
            </w:tcBorders>
            <w:noWrap w:val="0"/>
            <w:vAlign w:val="center"/>
          </w:tcPr>
          <w:p w14:paraId="6A8C5D6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A34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tcBorders>
              <w:top w:val="single" w:color="auto" w:sz="4" w:space="0"/>
              <w:left w:val="single" w:color="auto" w:sz="4" w:space="0"/>
              <w:right w:val="single" w:color="auto" w:sz="4" w:space="0"/>
            </w:tcBorders>
            <w:noWrap w:val="0"/>
            <w:vAlign w:val="center"/>
          </w:tcPr>
          <w:p w14:paraId="72E774F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418C2B8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3C97DC2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5F68339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D35053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center"/>
          </w:tcPr>
          <w:p w14:paraId="1F8A8D6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710" w:type="dxa"/>
            <w:tcBorders>
              <w:left w:val="single" w:color="auto" w:sz="4" w:space="0"/>
              <w:right w:val="single" w:color="auto" w:sz="4" w:space="0"/>
            </w:tcBorders>
            <w:noWrap w:val="0"/>
            <w:vAlign w:val="center"/>
          </w:tcPr>
          <w:p w14:paraId="48DE089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317" w:type="dxa"/>
            <w:tcBorders>
              <w:left w:val="single" w:color="auto" w:sz="4" w:space="0"/>
              <w:right w:val="single" w:color="auto" w:sz="4" w:space="0"/>
            </w:tcBorders>
            <w:noWrap w:val="0"/>
            <w:vAlign w:val="center"/>
          </w:tcPr>
          <w:p w14:paraId="3E34B6F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dxa"/>
            <w:tcBorders>
              <w:left w:val="single" w:color="auto" w:sz="4" w:space="0"/>
              <w:right w:val="single" w:color="auto" w:sz="4" w:space="0"/>
            </w:tcBorders>
            <w:noWrap w:val="0"/>
            <w:vAlign w:val="center"/>
          </w:tcPr>
          <w:p w14:paraId="24E5708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0393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tcBorders>
              <w:top w:val="single" w:color="auto" w:sz="4" w:space="0"/>
              <w:left w:val="single" w:color="auto" w:sz="4" w:space="0"/>
              <w:right w:val="single" w:color="auto" w:sz="4" w:space="0"/>
            </w:tcBorders>
            <w:noWrap w:val="0"/>
            <w:vAlign w:val="center"/>
          </w:tcPr>
          <w:p w14:paraId="67DD5B4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48C5525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39B6E93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76BB917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5DB30C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center"/>
          </w:tcPr>
          <w:p w14:paraId="69B63E5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710" w:type="dxa"/>
            <w:tcBorders>
              <w:left w:val="single" w:color="auto" w:sz="4" w:space="0"/>
              <w:right w:val="single" w:color="auto" w:sz="4" w:space="0"/>
            </w:tcBorders>
            <w:noWrap w:val="0"/>
            <w:vAlign w:val="center"/>
          </w:tcPr>
          <w:p w14:paraId="7CEAF29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317" w:type="dxa"/>
            <w:tcBorders>
              <w:left w:val="single" w:color="auto" w:sz="4" w:space="0"/>
              <w:right w:val="single" w:color="auto" w:sz="4" w:space="0"/>
            </w:tcBorders>
            <w:noWrap w:val="0"/>
            <w:vAlign w:val="center"/>
          </w:tcPr>
          <w:p w14:paraId="1ACFD41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dxa"/>
            <w:tcBorders>
              <w:left w:val="single" w:color="auto" w:sz="4" w:space="0"/>
              <w:right w:val="single" w:color="auto" w:sz="4" w:space="0"/>
            </w:tcBorders>
            <w:noWrap w:val="0"/>
            <w:vAlign w:val="center"/>
          </w:tcPr>
          <w:p w14:paraId="0FA1671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2286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tcBorders>
              <w:top w:val="single" w:color="auto" w:sz="4" w:space="0"/>
              <w:left w:val="single" w:color="auto" w:sz="4" w:space="0"/>
              <w:right w:val="single" w:color="auto" w:sz="4" w:space="0"/>
            </w:tcBorders>
            <w:noWrap w:val="0"/>
            <w:vAlign w:val="center"/>
          </w:tcPr>
          <w:p w14:paraId="4E5F603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7F95210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0999860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797" w:type="dxa"/>
            <w:tcBorders>
              <w:top w:val="single" w:color="auto" w:sz="4" w:space="0"/>
              <w:left w:val="single" w:color="auto" w:sz="4" w:space="0"/>
              <w:bottom w:val="single" w:color="auto" w:sz="4" w:space="0"/>
              <w:right w:val="single" w:color="auto" w:sz="4" w:space="0"/>
            </w:tcBorders>
            <w:noWrap w:val="0"/>
            <w:vAlign w:val="center"/>
          </w:tcPr>
          <w:p w14:paraId="626DDDF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2298BC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173" w:type="dxa"/>
            <w:tcBorders>
              <w:top w:val="single" w:color="auto" w:sz="4" w:space="0"/>
              <w:left w:val="single" w:color="auto" w:sz="4" w:space="0"/>
              <w:bottom w:val="single" w:color="auto" w:sz="4" w:space="0"/>
              <w:right w:val="single" w:color="auto" w:sz="4" w:space="0"/>
            </w:tcBorders>
            <w:noWrap w:val="0"/>
            <w:vAlign w:val="center"/>
          </w:tcPr>
          <w:p w14:paraId="7260392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10" w:type="dxa"/>
            <w:tcBorders>
              <w:left w:val="single" w:color="auto" w:sz="4" w:space="0"/>
              <w:right w:val="single" w:color="auto" w:sz="4" w:space="0"/>
            </w:tcBorders>
            <w:noWrap w:val="0"/>
            <w:vAlign w:val="center"/>
          </w:tcPr>
          <w:p w14:paraId="1C651E3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317" w:type="dxa"/>
            <w:tcBorders>
              <w:left w:val="single" w:color="auto" w:sz="4" w:space="0"/>
              <w:right w:val="single" w:color="auto" w:sz="4" w:space="0"/>
            </w:tcBorders>
            <w:noWrap w:val="0"/>
            <w:vAlign w:val="center"/>
          </w:tcPr>
          <w:p w14:paraId="62CB804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dxa"/>
            <w:tcBorders>
              <w:left w:val="single" w:color="auto" w:sz="4" w:space="0"/>
              <w:right w:val="single" w:color="auto" w:sz="4" w:space="0"/>
            </w:tcBorders>
            <w:noWrap w:val="0"/>
            <w:vAlign w:val="center"/>
          </w:tcPr>
          <w:p w14:paraId="082512D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bl>
    <w:p w14:paraId="267D8614">
      <w:pPr>
        <w:pStyle w:val="1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TW" w:eastAsia="zh-TW" w:bidi="zh-TW"/>
        </w:rPr>
      </w:pPr>
    </w:p>
    <w:p w14:paraId="173C47EA">
      <w:pPr>
        <w:pStyle w:val="1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TW" w:eastAsia="zh-TW" w:bidi="zh-TW"/>
        </w:rPr>
      </w:pPr>
    </w:p>
    <w:p w14:paraId="7127B52C">
      <w:pPr>
        <w:pStyle w:val="1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65EEAE3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29ACA290">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3C274DA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48A025C5">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6EF9ADF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11FF60C1">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744FD19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6394FA93">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7241604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4725E48A">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1F30240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470D16D1">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2D63A5E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26611FD4">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7566CDA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64E607ED">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6C5D70C0">
      <w:pPr>
        <w:rPr>
          <w:rFonts w:hint="eastAsia" w:ascii="宋体" w:hAnsi="宋体" w:eastAsia="宋体" w:cs="宋体"/>
          <w:color w:val="auto"/>
          <w:sz w:val="21"/>
          <w:szCs w:val="21"/>
          <w:highlight w:val="none"/>
          <w:lang w:bidi="zh-TW"/>
        </w:rPr>
      </w:pPr>
    </w:p>
    <w:p w14:paraId="4FE2A48D">
      <w:pPr>
        <w:rPr>
          <w:rFonts w:hint="eastAsia" w:ascii="宋体" w:hAnsi="宋体" w:eastAsia="宋体" w:cs="宋体"/>
          <w:color w:val="auto"/>
          <w:sz w:val="21"/>
          <w:szCs w:val="21"/>
          <w:highlight w:val="none"/>
          <w:lang w:bidi="zh-TW"/>
        </w:rPr>
      </w:pPr>
    </w:p>
    <w:p w14:paraId="4B4273E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bidi="zh-TW"/>
        </w:rPr>
      </w:pPr>
    </w:p>
    <w:p w14:paraId="5E242581">
      <w:pPr>
        <w:pStyle w:val="16"/>
        <w:keepNext w:val="0"/>
        <w:keepLines w:val="0"/>
        <w:pageBreakBefore w:val="0"/>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
          <w:bCs/>
          <w:color w:val="auto"/>
          <w:sz w:val="21"/>
          <w:szCs w:val="21"/>
          <w:highlight w:val="none"/>
          <w:lang w:bidi="zh-TW"/>
        </w:rPr>
      </w:pPr>
      <w:bookmarkStart w:id="92" w:name="_Toc7403"/>
      <w:r>
        <w:rPr>
          <w:rFonts w:hint="eastAsia" w:ascii="宋体" w:hAnsi="宋体" w:eastAsia="宋体" w:cs="宋体"/>
          <w:b/>
          <w:bCs/>
          <w:color w:val="auto"/>
          <w:sz w:val="21"/>
          <w:szCs w:val="21"/>
          <w:highlight w:val="none"/>
          <w:lang w:bidi="zh-TW"/>
        </w:rPr>
        <w:t>附件四</w:t>
      </w:r>
      <w:bookmarkEnd w:id="92"/>
    </w:p>
    <w:p w14:paraId="6D8A120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履约验收方案</w:t>
      </w:r>
    </w:p>
    <w:p w14:paraId="312D152C">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一、验收依据</w:t>
      </w:r>
    </w:p>
    <w:p w14:paraId="2660550E">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1.法律法规及政策文件</w:t>
      </w:r>
    </w:p>
    <w:p w14:paraId="42D6609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（1）《江苏省政府采购履约验收管理办法》（苏财规（2024）7号）</w:t>
      </w:r>
    </w:p>
    <w:p w14:paraId="0AA4962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（2）《中华人民共和国政府采购法》及其实施条例</w:t>
      </w:r>
    </w:p>
    <w:p w14:paraId="20D8280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国家相关行业标准。</w:t>
      </w:r>
    </w:p>
    <w:p w14:paraId="5D05B57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）苏州市吴江区审计局组织中介机构实施政府投资项目跟踪审计管理办法（试行）</w:t>
      </w:r>
    </w:p>
    <w:p w14:paraId="1CF8882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2.合同文件</w:t>
      </w:r>
    </w:p>
    <w:p w14:paraId="7341549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（1）本项目政府采购合同及补充协议</w:t>
      </w:r>
    </w:p>
    <w:p w14:paraId="246B97D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（2）响应文件及采购需求书</w:t>
      </w:r>
    </w:p>
    <w:p w14:paraId="574EDB4B">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二、验收主体及职责</w:t>
      </w:r>
    </w:p>
    <w:p w14:paraId="4154604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采购人：苏州市吴江区审计局为履约验收责任主体，负责组织验收并确认验收结果。</w:t>
      </w:r>
    </w:p>
    <w:p w14:paraId="3765DBD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2.验收小组：</w:t>
      </w:r>
    </w:p>
    <w:p w14:paraId="48CD4CB4">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组成：由采购人指定3名及以上单数工作人员组成，并确定一名负责人，参与本项目评审的采购人代表不能作为负责人，分期（分段）验收的负责人原则上应当保持一致，负责人不得无故更换。</w:t>
      </w:r>
    </w:p>
    <w:p w14:paraId="74ECF523">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职责：制定验收方案、实施验收、记录过程、出具验收意见。</w:t>
      </w:r>
    </w:p>
    <w:p w14:paraId="7AD42C5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3.第三方机构（供应商）：配合提供验收所需资料（检查记录、整改台账、影像证据等），并接受现场核查。</w:t>
      </w:r>
    </w:p>
    <w:p w14:paraId="14428C69">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三、验收工作起止时间</w:t>
      </w:r>
    </w:p>
    <w:p w14:paraId="6F4F474A">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1.分期验收安排</w:t>
      </w:r>
    </w:p>
    <w:p w14:paraId="5DE2566A">
      <w:pPr>
        <w:keepNext w:val="0"/>
        <w:keepLines w:val="0"/>
        <w:pageBreakBefore w:val="0"/>
        <w:widowControl/>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结合合同履行过程的日常监管工作开展分期验收工作。</w:t>
      </w:r>
    </w:p>
    <w:p w14:paraId="5BEB7720">
      <w:pPr>
        <w:keepNext w:val="0"/>
        <w:keepLines w:val="0"/>
        <w:pageBreakBefore w:val="0"/>
        <w:widowControl/>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（1）阶段性验收：采购人根据工作需要开展阶段性验收；</w:t>
      </w:r>
    </w:p>
    <w:p w14:paraId="71D53A12">
      <w:pPr>
        <w:keepNext w:val="0"/>
        <w:keepLines w:val="0"/>
        <w:pageBreakBefore w:val="0"/>
        <w:widowControl/>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（2）终期验收：跟踪审计工作全部完成之日起15个工作日内</w:t>
      </w:r>
      <w:r>
        <w:rPr>
          <w:rFonts w:hint="eastAsia" w:ascii="宋体" w:hAnsi="宋体" w:eastAsia="宋体" w:cs="宋体"/>
          <w:color w:val="auto"/>
          <w:sz w:val="21"/>
          <w:szCs w:val="21"/>
          <w:highlight w:val="none"/>
          <w:lang w:val="zh-CN"/>
        </w:rPr>
        <w:t>完成全面终期验收。</w:t>
      </w:r>
    </w:p>
    <w:p w14:paraId="0160BC0E">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四、验收内容及标准</w:t>
      </w:r>
    </w:p>
    <w:p w14:paraId="670FEFA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（一）服务范围</w:t>
      </w:r>
    </w:p>
    <w:p w14:paraId="74DDD0B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1.检查对象</w:t>
      </w:r>
    </w:p>
    <w:p w14:paraId="49FE92C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（1）核实是否覆盖合同约定完成</w:t>
      </w:r>
      <w:r>
        <w:rPr>
          <w:rFonts w:hint="eastAsia" w:ascii="宋体" w:hAnsi="宋体" w:eastAsia="宋体" w:cs="宋体"/>
          <w:color w:val="auto"/>
          <w:sz w:val="21"/>
          <w:szCs w:val="21"/>
          <w:highlight w:val="none"/>
          <w:lang w:eastAsia="zh-CN"/>
        </w:rPr>
        <w:t>2026年度吴江区政府投资项目跟踪审计服务</w:t>
      </w:r>
      <w:r>
        <w:rPr>
          <w:rFonts w:hint="eastAsia" w:ascii="宋体" w:hAnsi="宋体" w:eastAsia="宋体" w:cs="宋体"/>
          <w:color w:val="auto"/>
          <w:sz w:val="21"/>
          <w:szCs w:val="21"/>
          <w:highlight w:val="none"/>
        </w:rPr>
        <w:t>工作；</w:t>
      </w:r>
    </w:p>
    <w:p w14:paraId="17DDE73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核实是否覆盖采购人下发的工作任务。</w:t>
      </w:r>
    </w:p>
    <w:p w14:paraId="55841AF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（二）人员配备验收</w:t>
      </w:r>
    </w:p>
    <w:p w14:paraId="17B1FA6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1.人员管理</w:t>
      </w:r>
    </w:p>
    <w:p w14:paraId="0A9AFFDA">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（1）人员配备：核查项目负责人、项目组成员与合同约定的一致情况；特殊情况人员变更资料（如有）。</w:t>
      </w:r>
    </w:p>
    <w:p w14:paraId="1269E2DB">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核查服务人员注册证书、社保凭证等。</w:t>
      </w:r>
    </w:p>
    <w:p w14:paraId="222C8D6A">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（三）服务质量验收</w:t>
      </w:r>
    </w:p>
    <w:p w14:paraId="77B3497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1.问题发现</w:t>
      </w:r>
    </w:p>
    <w:p w14:paraId="670A33D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（1）抽查跟审日志中问题描述情况；</w:t>
      </w:r>
    </w:p>
    <w:p w14:paraId="31E34DA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（2）抽查跟审日志报送情况；</w:t>
      </w:r>
    </w:p>
    <w:p w14:paraId="006A9F5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（3）核查重大事故安全隐患报送及告知情况。</w:t>
      </w:r>
    </w:p>
    <w:p w14:paraId="44F67D9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2.信息保密与合规性</w:t>
      </w:r>
    </w:p>
    <w:p w14:paraId="1858E2F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核查台账管理制度及保密协议，确保跟审成果未违规泄露。</w:t>
      </w:r>
    </w:p>
    <w:p w14:paraId="6D8B4BF4">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五、验收程序</w:t>
      </w:r>
    </w:p>
    <w:p w14:paraId="1F27D99C">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1.启动验收</w:t>
      </w:r>
    </w:p>
    <w:p w14:paraId="6776A74A">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跟踪审计工作全部完成之日起5个工作日内，采购人向供应商发出《政府采购履约验收通知单》（附件五）。</w:t>
      </w:r>
    </w:p>
    <w:p w14:paraId="1E1246B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2.制定验收方案</w:t>
      </w:r>
    </w:p>
    <w:p w14:paraId="0D013F6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验收小组拟定《验收工作实施方案》，明确验收时间、抽样比例（不低于20%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、方式（资料审查+现场核查）。</w:t>
      </w:r>
    </w:p>
    <w:p w14:paraId="42BD5E1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3.实施验收</w:t>
      </w:r>
    </w:p>
    <w:p w14:paraId="4EC96C7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（1）资料审查：查验检查台账、影像记录、整改闭环文件等。</w:t>
      </w:r>
    </w:p>
    <w:p w14:paraId="5C821642">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（2）现场核查：随机抽查5%的项目，对比检查记录与实际整改措施。</w:t>
      </w:r>
    </w:p>
    <w:p w14:paraId="0EA05FC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4.形成验收意见</w:t>
      </w:r>
    </w:p>
    <w:p w14:paraId="4954FD5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（1）验收小组填写《政府采购履约验收书（服务类）》（附件六），列明各项验收结果及问题改进建议。</w:t>
      </w:r>
    </w:p>
    <w:p w14:paraId="7FEA2A4E">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（2）验收结论分为“合格”或“不合格”，小组成员签字确认。</w:t>
      </w:r>
    </w:p>
    <w:p w14:paraId="0B6A70B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5.合同支付</w:t>
      </w:r>
    </w:p>
    <w:p w14:paraId="294E841D">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按合同约定支付尾款并退还履约保证金（如有）。</w:t>
      </w:r>
    </w:p>
    <w:p w14:paraId="77D32110">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六、争议处理</w:t>
      </w:r>
    </w:p>
    <w:p w14:paraId="133CD53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1.供应商对验收结果有异议的，可提交补充材料申请复验。</w:t>
      </w:r>
    </w:p>
    <w:p w14:paraId="1EE94D4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2.争议无法协商解决的，按合同约定通过法律途径处理。</w:t>
      </w:r>
    </w:p>
    <w:p w14:paraId="216E691D">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七、档案管理</w:t>
      </w:r>
    </w:p>
    <w:p w14:paraId="0D1CF9BE">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1.验收小组将以下资料归档保存：</w:t>
      </w:r>
    </w:p>
    <w:p w14:paraId="320CFD8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（1）验收通知单、验收方案、原始记录、验收书。</w:t>
      </w:r>
    </w:p>
    <w:p w14:paraId="02A7E496">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（2）检查台账、影像证据等副本。</w:t>
      </w:r>
    </w:p>
    <w:p w14:paraId="19C3B604">
      <w:pPr>
        <w:pStyle w:val="16"/>
        <w:keepNext w:val="0"/>
        <w:keepLines w:val="0"/>
        <w:pageBreakBefore w:val="0"/>
        <w:kinsoku/>
        <w:wordWrap/>
        <w:overflowPunct/>
        <w:topLinePunct w:val="0"/>
        <w:autoSpaceDE/>
        <w:autoSpaceDN/>
        <w:bidi w:val="0"/>
        <w:adjustRightInd/>
        <w:snapToGrid w:val="0"/>
        <w:spacing w:before="234" w:line="360" w:lineRule="auto"/>
        <w:textAlignment w:val="auto"/>
        <w:rPr>
          <w:rFonts w:hint="eastAsia" w:ascii="宋体" w:hAnsi="宋体" w:eastAsia="宋体" w:cs="宋体"/>
          <w:color w:val="auto"/>
          <w:spacing w:val="-17"/>
          <w:sz w:val="21"/>
          <w:szCs w:val="21"/>
          <w:highlight w:val="none"/>
        </w:rPr>
      </w:pPr>
    </w:p>
    <w:p w14:paraId="609FF364">
      <w:pPr>
        <w:pStyle w:val="16"/>
        <w:keepNext w:val="0"/>
        <w:keepLines w:val="0"/>
        <w:pageBreakBefore w:val="0"/>
        <w:kinsoku/>
        <w:wordWrap/>
        <w:overflowPunct/>
        <w:topLinePunct w:val="0"/>
        <w:autoSpaceDE/>
        <w:autoSpaceDN/>
        <w:bidi w:val="0"/>
        <w:adjustRightInd/>
        <w:snapToGrid w:val="0"/>
        <w:spacing w:before="234" w:line="360" w:lineRule="auto"/>
        <w:textAlignment w:val="auto"/>
        <w:rPr>
          <w:rFonts w:hint="eastAsia" w:ascii="宋体" w:hAnsi="宋体" w:eastAsia="宋体" w:cs="宋体"/>
          <w:color w:val="auto"/>
          <w:spacing w:val="-17"/>
          <w:sz w:val="21"/>
          <w:szCs w:val="21"/>
          <w:highlight w:val="none"/>
        </w:rPr>
      </w:pPr>
    </w:p>
    <w:p w14:paraId="01E98343">
      <w:pPr>
        <w:pStyle w:val="16"/>
        <w:keepNext w:val="0"/>
        <w:keepLines w:val="0"/>
        <w:pageBreakBefore w:val="0"/>
        <w:kinsoku/>
        <w:wordWrap/>
        <w:overflowPunct/>
        <w:topLinePunct w:val="0"/>
        <w:autoSpaceDE/>
        <w:autoSpaceDN/>
        <w:bidi w:val="0"/>
        <w:adjustRightInd/>
        <w:snapToGrid w:val="0"/>
        <w:spacing w:before="234" w:line="360" w:lineRule="auto"/>
        <w:textAlignment w:val="auto"/>
        <w:rPr>
          <w:rFonts w:hint="eastAsia" w:ascii="宋体" w:hAnsi="宋体" w:eastAsia="宋体" w:cs="宋体"/>
          <w:color w:val="auto"/>
          <w:spacing w:val="-17"/>
          <w:sz w:val="21"/>
          <w:szCs w:val="21"/>
          <w:highlight w:val="none"/>
        </w:rPr>
      </w:pPr>
    </w:p>
    <w:p w14:paraId="5F816DBA">
      <w:pPr>
        <w:pStyle w:val="16"/>
        <w:keepNext w:val="0"/>
        <w:keepLines w:val="0"/>
        <w:pageBreakBefore w:val="0"/>
        <w:kinsoku/>
        <w:wordWrap/>
        <w:overflowPunct/>
        <w:topLinePunct w:val="0"/>
        <w:autoSpaceDE/>
        <w:autoSpaceDN/>
        <w:bidi w:val="0"/>
        <w:adjustRightInd/>
        <w:snapToGrid w:val="0"/>
        <w:spacing w:before="234" w:line="360" w:lineRule="auto"/>
        <w:textAlignment w:val="auto"/>
        <w:rPr>
          <w:rFonts w:hint="eastAsia" w:ascii="宋体" w:hAnsi="宋体" w:eastAsia="宋体" w:cs="宋体"/>
          <w:color w:val="auto"/>
          <w:spacing w:val="-17"/>
          <w:sz w:val="21"/>
          <w:szCs w:val="21"/>
          <w:highlight w:val="none"/>
        </w:rPr>
      </w:pPr>
    </w:p>
    <w:p w14:paraId="731F7D6E">
      <w:pPr>
        <w:pStyle w:val="16"/>
        <w:keepNext w:val="0"/>
        <w:keepLines w:val="0"/>
        <w:pageBreakBefore w:val="0"/>
        <w:kinsoku/>
        <w:wordWrap/>
        <w:overflowPunct/>
        <w:topLinePunct w:val="0"/>
        <w:autoSpaceDE/>
        <w:autoSpaceDN/>
        <w:bidi w:val="0"/>
        <w:adjustRightInd/>
        <w:snapToGrid w:val="0"/>
        <w:spacing w:before="234" w:line="360" w:lineRule="auto"/>
        <w:textAlignment w:val="auto"/>
        <w:outlineLvl w:val="1"/>
        <w:rPr>
          <w:rFonts w:hint="eastAsia" w:ascii="宋体" w:hAnsi="宋体" w:eastAsia="宋体" w:cs="宋体"/>
          <w:b/>
          <w:bCs/>
          <w:color w:val="auto"/>
          <w:sz w:val="21"/>
          <w:szCs w:val="21"/>
          <w:highlight w:val="none"/>
        </w:rPr>
      </w:pPr>
      <w:bookmarkStart w:id="93" w:name="_Toc16615"/>
      <w:r>
        <w:rPr>
          <w:rFonts w:hint="eastAsia" w:ascii="宋体" w:hAnsi="宋体" w:eastAsia="宋体" w:cs="宋体"/>
          <w:b/>
          <w:bCs/>
          <w:color w:val="auto"/>
          <w:spacing w:val="-17"/>
          <w:sz w:val="21"/>
          <w:szCs w:val="21"/>
          <w:highlight w:val="none"/>
        </w:rPr>
        <w:t xml:space="preserve">附件五   </w:t>
      </w:r>
      <w:r>
        <w:rPr>
          <w:rFonts w:hint="eastAsia" w:ascii="宋体" w:hAnsi="宋体" w:eastAsia="宋体" w:cs="宋体"/>
          <w:b/>
          <w:bCs/>
          <w:color w:val="auto"/>
          <w:spacing w:val="17"/>
          <w:sz w:val="21"/>
          <w:szCs w:val="21"/>
          <w:highlight w:val="none"/>
        </w:rPr>
        <w:t>政府采购履约验收通知单</w:t>
      </w:r>
      <w:bookmarkEnd w:id="93"/>
    </w:p>
    <w:p w14:paraId="56A6FDFF">
      <w:pPr>
        <w:keepNext w:val="0"/>
        <w:keepLines w:val="0"/>
        <w:pageBreakBefore w:val="0"/>
        <w:kinsoku/>
        <w:wordWrap/>
        <w:overflowPunct/>
        <w:topLinePunct w:val="0"/>
        <w:autoSpaceDE/>
        <w:autoSpaceDN/>
        <w:bidi w:val="0"/>
        <w:adjustRightInd/>
        <w:snapToGrid w:val="0"/>
        <w:spacing w:before="216" w:line="360" w:lineRule="auto"/>
        <w:ind w:left="85"/>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供应商：</w:t>
      </w:r>
    </w:p>
    <w:tbl>
      <w:tblPr>
        <w:tblStyle w:val="365"/>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40786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tcPr>
          <w:p w14:paraId="422F3065">
            <w:pPr>
              <w:keepNext w:val="0"/>
              <w:keepLines w:val="0"/>
              <w:pageBreakBefore w:val="0"/>
              <w:kinsoku/>
              <w:wordWrap/>
              <w:overflowPunct/>
              <w:topLinePunct w:val="0"/>
              <w:autoSpaceDE/>
              <w:autoSpaceDN/>
              <w:bidi w:val="0"/>
              <w:adjustRightInd/>
              <w:snapToGrid w:val="0"/>
              <w:spacing w:before="249" w:line="360" w:lineRule="auto"/>
              <w:ind w:left="961"/>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采购人</w:t>
            </w:r>
          </w:p>
        </w:tc>
        <w:tc>
          <w:tcPr>
            <w:tcW w:w="6708" w:type="dxa"/>
            <w:gridSpan w:val="3"/>
            <w:noWrap w:val="0"/>
          </w:tcPr>
          <w:p w14:paraId="7D0997B1">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390E21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2D08A2E9">
            <w:pPr>
              <w:keepNext w:val="0"/>
              <w:keepLines w:val="0"/>
              <w:pageBreakBefore w:val="0"/>
              <w:kinsoku/>
              <w:wordWrap/>
              <w:overflowPunct/>
              <w:topLinePunct w:val="0"/>
              <w:autoSpaceDE/>
              <w:autoSpaceDN/>
              <w:bidi w:val="0"/>
              <w:adjustRightInd/>
              <w:snapToGrid w:val="0"/>
              <w:spacing w:before="249" w:line="360" w:lineRule="auto"/>
              <w:ind w:left="841"/>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项目名称</w:t>
            </w:r>
          </w:p>
        </w:tc>
        <w:tc>
          <w:tcPr>
            <w:tcW w:w="6708" w:type="dxa"/>
            <w:gridSpan w:val="3"/>
            <w:noWrap w:val="0"/>
          </w:tcPr>
          <w:p w14:paraId="61E20B02">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6F50D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06C595AD">
            <w:pPr>
              <w:keepNext w:val="0"/>
              <w:keepLines w:val="0"/>
              <w:pageBreakBefore w:val="0"/>
              <w:kinsoku/>
              <w:wordWrap/>
              <w:overflowPunct/>
              <w:topLinePunct w:val="0"/>
              <w:autoSpaceDE/>
              <w:autoSpaceDN/>
              <w:bidi w:val="0"/>
              <w:adjustRightInd/>
              <w:snapToGrid w:val="0"/>
              <w:spacing w:before="247" w:line="360" w:lineRule="auto"/>
              <w:ind w:left="841"/>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合同名称</w:t>
            </w:r>
          </w:p>
        </w:tc>
        <w:tc>
          <w:tcPr>
            <w:tcW w:w="6708" w:type="dxa"/>
            <w:gridSpan w:val="3"/>
            <w:noWrap w:val="0"/>
          </w:tcPr>
          <w:p w14:paraId="5F1EBB89">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584B5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29BA89C4">
            <w:pPr>
              <w:keepNext w:val="0"/>
              <w:keepLines w:val="0"/>
              <w:pageBreakBefore w:val="0"/>
              <w:kinsoku/>
              <w:wordWrap/>
              <w:overflowPunct/>
              <w:topLinePunct w:val="0"/>
              <w:autoSpaceDE/>
              <w:autoSpaceDN/>
              <w:bidi w:val="0"/>
              <w:adjustRightInd/>
              <w:snapToGrid w:val="0"/>
              <w:spacing w:before="247" w:line="360" w:lineRule="auto"/>
              <w:ind w:left="841"/>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合同编号</w:t>
            </w:r>
          </w:p>
        </w:tc>
        <w:tc>
          <w:tcPr>
            <w:tcW w:w="1961" w:type="dxa"/>
            <w:noWrap w:val="0"/>
          </w:tcPr>
          <w:p w14:paraId="105CAF5E">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2139" w:type="dxa"/>
            <w:noWrap w:val="0"/>
          </w:tcPr>
          <w:p w14:paraId="530E64D6">
            <w:pPr>
              <w:keepNext w:val="0"/>
              <w:keepLines w:val="0"/>
              <w:pageBreakBefore w:val="0"/>
              <w:kinsoku/>
              <w:wordWrap/>
              <w:overflowPunct/>
              <w:topLinePunct w:val="0"/>
              <w:autoSpaceDE/>
              <w:autoSpaceDN/>
              <w:bidi w:val="0"/>
              <w:adjustRightInd/>
              <w:snapToGrid w:val="0"/>
              <w:spacing w:before="247" w:line="360" w:lineRule="auto"/>
              <w:ind w:left="607"/>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合同金额</w:t>
            </w:r>
          </w:p>
        </w:tc>
        <w:tc>
          <w:tcPr>
            <w:tcW w:w="2608" w:type="dxa"/>
            <w:noWrap w:val="0"/>
          </w:tcPr>
          <w:p w14:paraId="522EB38A">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231F6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31C59D2A">
            <w:pPr>
              <w:keepNext w:val="0"/>
              <w:keepLines w:val="0"/>
              <w:pageBreakBefore w:val="0"/>
              <w:kinsoku/>
              <w:wordWrap/>
              <w:overflowPunct/>
              <w:topLinePunct w:val="0"/>
              <w:autoSpaceDE/>
              <w:autoSpaceDN/>
              <w:bidi w:val="0"/>
              <w:adjustRightInd/>
              <w:snapToGrid w:val="0"/>
              <w:spacing w:before="248" w:line="360" w:lineRule="auto"/>
              <w:ind w:left="841"/>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验收时间</w:t>
            </w:r>
          </w:p>
        </w:tc>
        <w:tc>
          <w:tcPr>
            <w:tcW w:w="1961" w:type="dxa"/>
            <w:noWrap w:val="0"/>
          </w:tcPr>
          <w:p w14:paraId="085C8EB0">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2139" w:type="dxa"/>
            <w:noWrap w:val="0"/>
          </w:tcPr>
          <w:p w14:paraId="1BCBE77B">
            <w:pPr>
              <w:keepNext w:val="0"/>
              <w:keepLines w:val="0"/>
              <w:pageBreakBefore w:val="0"/>
              <w:kinsoku/>
              <w:wordWrap/>
              <w:overflowPunct/>
              <w:topLinePunct w:val="0"/>
              <w:autoSpaceDE/>
              <w:autoSpaceDN/>
              <w:bidi w:val="0"/>
              <w:adjustRightInd/>
              <w:snapToGrid w:val="0"/>
              <w:spacing w:before="248" w:line="360" w:lineRule="auto"/>
              <w:ind w:left="607"/>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验收地点</w:t>
            </w:r>
          </w:p>
        </w:tc>
        <w:tc>
          <w:tcPr>
            <w:tcW w:w="2608" w:type="dxa"/>
            <w:noWrap w:val="0"/>
          </w:tcPr>
          <w:p w14:paraId="156CE3C6">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077C7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2459A62F">
            <w:pPr>
              <w:keepNext w:val="0"/>
              <w:keepLines w:val="0"/>
              <w:pageBreakBefore w:val="0"/>
              <w:kinsoku/>
              <w:wordWrap/>
              <w:overflowPunct/>
              <w:topLinePunct w:val="0"/>
              <w:autoSpaceDE/>
              <w:autoSpaceDN/>
              <w:bidi w:val="0"/>
              <w:adjustRightInd/>
              <w:snapToGrid w:val="0"/>
              <w:spacing w:before="248" w:line="360" w:lineRule="auto"/>
              <w:ind w:left="96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联系人</w:t>
            </w:r>
          </w:p>
        </w:tc>
        <w:tc>
          <w:tcPr>
            <w:tcW w:w="1961" w:type="dxa"/>
            <w:noWrap w:val="0"/>
          </w:tcPr>
          <w:p w14:paraId="0BC9EA10">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2139" w:type="dxa"/>
            <w:noWrap w:val="0"/>
          </w:tcPr>
          <w:p w14:paraId="0024773D">
            <w:pPr>
              <w:keepNext w:val="0"/>
              <w:keepLines w:val="0"/>
              <w:pageBreakBefore w:val="0"/>
              <w:kinsoku/>
              <w:wordWrap/>
              <w:overflowPunct/>
              <w:topLinePunct w:val="0"/>
              <w:autoSpaceDE/>
              <w:autoSpaceDN/>
              <w:bidi w:val="0"/>
              <w:adjustRightInd/>
              <w:snapToGrid w:val="0"/>
              <w:spacing w:before="248" w:line="360" w:lineRule="auto"/>
              <w:ind w:left="605"/>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联系电话</w:t>
            </w:r>
          </w:p>
        </w:tc>
        <w:tc>
          <w:tcPr>
            <w:tcW w:w="2608" w:type="dxa"/>
            <w:noWrap w:val="0"/>
          </w:tcPr>
          <w:p w14:paraId="748B7400">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07091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tcPr>
          <w:p w14:paraId="29BE51DF">
            <w:pPr>
              <w:keepNext w:val="0"/>
              <w:keepLines w:val="0"/>
              <w:pageBreakBefore w:val="0"/>
              <w:kinsoku/>
              <w:wordWrap/>
              <w:overflowPunct/>
              <w:topLinePunct w:val="0"/>
              <w:autoSpaceDE/>
              <w:autoSpaceDN/>
              <w:bidi w:val="0"/>
              <w:adjustRightInd/>
              <w:snapToGrid w:val="0"/>
              <w:spacing w:before="250" w:line="360" w:lineRule="auto"/>
              <w:ind w:left="3353"/>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履约验收方案及工作要求</w:t>
            </w:r>
          </w:p>
        </w:tc>
      </w:tr>
      <w:tr w14:paraId="24713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 w:hRule="atLeast"/>
        </w:trPr>
        <w:tc>
          <w:tcPr>
            <w:tcW w:w="9318" w:type="dxa"/>
            <w:gridSpan w:val="4"/>
            <w:noWrap w:val="0"/>
          </w:tcPr>
          <w:p w14:paraId="087FE8D9">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7ED8A694">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4C2C3479">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0BDA3D86">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595762DE">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02339791">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3A584497">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1B1000EF">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790E66D1">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6DAE53B9">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6CA5757A">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70E64208">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6AF2D3EE">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23399336">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6EC711B2">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41641C62">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7FACD824">
            <w:pPr>
              <w:pStyle w:val="36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p>
          <w:p w14:paraId="506D15D2">
            <w:pPr>
              <w:keepNext w:val="0"/>
              <w:keepLines w:val="0"/>
              <w:pageBreakBefore w:val="0"/>
              <w:kinsoku/>
              <w:wordWrap/>
              <w:overflowPunct/>
              <w:topLinePunct w:val="0"/>
              <w:autoSpaceDE/>
              <w:autoSpaceDN/>
              <w:bidi w:val="0"/>
              <w:adjustRightInd/>
              <w:snapToGrid w:val="0"/>
              <w:spacing w:before="75" w:line="360" w:lineRule="auto"/>
              <w:ind w:left="5128" w:right="2893" w:firstLine="183"/>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单位公章</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6"/>
                <w:sz w:val="21"/>
                <w:szCs w:val="21"/>
                <w:highlight w:val="none"/>
              </w:rPr>
              <w:t>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日</w:t>
            </w:r>
          </w:p>
        </w:tc>
      </w:tr>
    </w:tbl>
    <w:p w14:paraId="5C3D8136">
      <w:pPr>
        <w:pStyle w:val="1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TW" w:eastAsia="zh-TW" w:bidi="zh-TW"/>
        </w:rPr>
        <w:sectPr>
          <w:footerReference r:id="rId7" w:type="default"/>
          <w:pgSz w:w="11906" w:h="16838"/>
          <w:pgMar w:top="956" w:right="1380" w:bottom="1459" w:left="1011" w:header="850" w:footer="1162" w:gutter="0"/>
          <w:cols w:space="720" w:num="1"/>
          <w:docGrid w:linePitch="360" w:charSpace="0"/>
        </w:sectPr>
      </w:pPr>
    </w:p>
    <w:p w14:paraId="7597F313">
      <w:pPr>
        <w:pStyle w:val="16"/>
        <w:spacing w:before="101" w:line="207" w:lineRule="auto"/>
        <w:outlineLvl w:val="1"/>
        <w:rPr>
          <w:rFonts w:hint="eastAsia" w:ascii="宋体" w:hAnsi="宋体" w:eastAsia="宋体" w:cs="宋体"/>
          <w:color w:val="auto"/>
          <w:highlight w:val="none"/>
        </w:rPr>
      </w:pPr>
      <w:bookmarkStart w:id="94" w:name="_Toc18275"/>
      <w:r>
        <w:rPr>
          <w:rFonts w:hint="eastAsia" w:ascii="宋体" w:hAnsi="宋体" w:eastAsia="宋体" w:cs="宋体"/>
          <w:b/>
          <w:bCs/>
          <w:color w:val="auto"/>
          <w:spacing w:val="-4"/>
          <w:highlight w:val="none"/>
        </w:rPr>
        <w:t>附件六</w:t>
      </w:r>
      <w:bookmarkEnd w:id="94"/>
    </w:p>
    <w:p w14:paraId="35ECF949">
      <w:pPr>
        <w:spacing w:before="104" w:line="185" w:lineRule="auto"/>
        <w:ind w:left="3812"/>
        <w:rPr>
          <w:rFonts w:hint="eastAsia" w:ascii="宋体" w:hAnsi="宋体" w:eastAsia="宋体" w:cs="宋体"/>
          <w:color w:val="auto"/>
          <w:sz w:val="36"/>
          <w:szCs w:val="36"/>
          <w:highlight w:val="none"/>
        </w:rPr>
      </w:pPr>
      <w:r>
        <w:rPr>
          <w:rFonts w:hint="eastAsia" w:ascii="宋体" w:hAnsi="宋体" w:eastAsia="宋体" w:cs="宋体"/>
          <w:color w:val="auto"/>
          <w:spacing w:val="19"/>
          <w:sz w:val="36"/>
          <w:szCs w:val="36"/>
          <w:highlight w:val="none"/>
        </w:rPr>
        <w:t>政府采购履约验收书</w:t>
      </w:r>
      <w:r>
        <w:rPr>
          <w:rFonts w:hint="eastAsia" w:ascii="宋体" w:hAnsi="宋体" w:eastAsia="宋体" w:cs="宋体"/>
          <w:color w:val="auto"/>
          <w:spacing w:val="19"/>
          <w:sz w:val="36"/>
          <w:szCs w:val="36"/>
          <w:highlight w:val="none"/>
          <w:lang w:eastAsia="zh-CN"/>
        </w:rPr>
        <w:t>（</w:t>
      </w:r>
      <w:r>
        <w:rPr>
          <w:rFonts w:hint="eastAsia" w:ascii="宋体" w:hAnsi="宋体" w:eastAsia="宋体" w:cs="宋体"/>
          <w:color w:val="auto"/>
          <w:spacing w:val="19"/>
          <w:sz w:val="36"/>
          <w:szCs w:val="36"/>
          <w:highlight w:val="none"/>
        </w:rPr>
        <w:t>服务类</w:t>
      </w:r>
      <w:r>
        <w:rPr>
          <w:rFonts w:hint="eastAsia" w:ascii="宋体" w:hAnsi="宋体" w:eastAsia="宋体" w:cs="宋体"/>
          <w:color w:val="auto"/>
          <w:spacing w:val="19"/>
          <w:sz w:val="36"/>
          <w:szCs w:val="36"/>
          <w:highlight w:val="none"/>
          <w:lang w:eastAsia="zh-CN"/>
        </w:rPr>
        <w:t>）</w:t>
      </w:r>
    </w:p>
    <w:tbl>
      <w:tblPr>
        <w:tblStyle w:val="365"/>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0F622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noWrap w:val="0"/>
          </w:tcPr>
          <w:p w14:paraId="1F2F072B">
            <w:pPr>
              <w:spacing w:before="298" w:line="207" w:lineRule="auto"/>
              <w:ind w:left="543"/>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采购人</w:t>
            </w:r>
          </w:p>
        </w:tc>
        <w:tc>
          <w:tcPr>
            <w:tcW w:w="1714" w:type="dxa"/>
            <w:noWrap w:val="0"/>
          </w:tcPr>
          <w:p w14:paraId="06BC7981">
            <w:pPr>
              <w:pStyle w:val="366"/>
              <w:rPr>
                <w:rFonts w:hint="eastAsia" w:ascii="宋体" w:hAnsi="宋体" w:eastAsia="宋体" w:cs="宋体"/>
                <w:color w:val="auto"/>
                <w:highlight w:val="none"/>
              </w:rPr>
            </w:pPr>
          </w:p>
        </w:tc>
        <w:tc>
          <w:tcPr>
            <w:tcW w:w="1816" w:type="dxa"/>
            <w:noWrap w:val="0"/>
          </w:tcPr>
          <w:p w14:paraId="5F0D917F">
            <w:pPr>
              <w:spacing w:before="298" w:line="208" w:lineRule="auto"/>
              <w:ind w:left="553"/>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项目名称</w:t>
            </w:r>
          </w:p>
        </w:tc>
        <w:tc>
          <w:tcPr>
            <w:tcW w:w="2476" w:type="dxa"/>
            <w:noWrap w:val="0"/>
          </w:tcPr>
          <w:p w14:paraId="3A2A6AC2">
            <w:pPr>
              <w:pStyle w:val="366"/>
              <w:rPr>
                <w:rFonts w:hint="eastAsia" w:ascii="宋体" w:hAnsi="宋体" w:eastAsia="宋体" w:cs="宋体"/>
                <w:color w:val="auto"/>
                <w:highlight w:val="none"/>
              </w:rPr>
            </w:pPr>
          </w:p>
        </w:tc>
        <w:tc>
          <w:tcPr>
            <w:tcW w:w="3987" w:type="dxa"/>
            <w:gridSpan w:val="2"/>
            <w:noWrap w:val="0"/>
          </w:tcPr>
          <w:p w14:paraId="63E9159F">
            <w:pPr>
              <w:spacing w:before="298" w:line="207" w:lineRule="auto"/>
              <w:ind w:left="164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合同名称</w:t>
            </w:r>
          </w:p>
        </w:tc>
        <w:tc>
          <w:tcPr>
            <w:tcW w:w="2556" w:type="dxa"/>
            <w:noWrap w:val="0"/>
          </w:tcPr>
          <w:p w14:paraId="63AE7B46">
            <w:pPr>
              <w:pStyle w:val="366"/>
              <w:rPr>
                <w:rFonts w:hint="eastAsia" w:ascii="宋体" w:hAnsi="宋体" w:eastAsia="宋体" w:cs="宋体"/>
                <w:color w:val="auto"/>
                <w:highlight w:val="none"/>
              </w:rPr>
            </w:pPr>
          </w:p>
        </w:tc>
      </w:tr>
      <w:tr w14:paraId="57BBA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noWrap w:val="0"/>
          </w:tcPr>
          <w:p w14:paraId="601334E2">
            <w:pPr>
              <w:spacing w:before="298" w:line="207" w:lineRule="auto"/>
              <w:ind w:left="544"/>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供应商</w:t>
            </w:r>
          </w:p>
        </w:tc>
        <w:tc>
          <w:tcPr>
            <w:tcW w:w="1714" w:type="dxa"/>
            <w:noWrap w:val="0"/>
          </w:tcPr>
          <w:p w14:paraId="7E4231DE">
            <w:pPr>
              <w:pStyle w:val="366"/>
              <w:rPr>
                <w:rFonts w:hint="eastAsia" w:ascii="宋体" w:hAnsi="宋体" w:eastAsia="宋体" w:cs="宋体"/>
                <w:color w:val="auto"/>
                <w:highlight w:val="none"/>
              </w:rPr>
            </w:pPr>
          </w:p>
        </w:tc>
        <w:tc>
          <w:tcPr>
            <w:tcW w:w="1816" w:type="dxa"/>
            <w:noWrap w:val="0"/>
          </w:tcPr>
          <w:p w14:paraId="1C3E21E2">
            <w:pPr>
              <w:spacing w:before="298" w:line="207" w:lineRule="auto"/>
              <w:ind w:left="285"/>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项目及合同编号</w:t>
            </w:r>
          </w:p>
        </w:tc>
        <w:tc>
          <w:tcPr>
            <w:tcW w:w="2476" w:type="dxa"/>
            <w:noWrap w:val="0"/>
          </w:tcPr>
          <w:p w14:paraId="574C3D84">
            <w:pPr>
              <w:pStyle w:val="366"/>
              <w:rPr>
                <w:rFonts w:hint="eastAsia" w:ascii="宋体" w:hAnsi="宋体" w:eastAsia="宋体" w:cs="宋体"/>
                <w:color w:val="auto"/>
                <w:highlight w:val="none"/>
              </w:rPr>
            </w:pPr>
          </w:p>
        </w:tc>
        <w:tc>
          <w:tcPr>
            <w:tcW w:w="3987" w:type="dxa"/>
            <w:gridSpan w:val="2"/>
            <w:noWrap w:val="0"/>
          </w:tcPr>
          <w:p w14:paraId="5DD44806">
            <w:pPr>
              <w:spacing w:before="298" w:line="208" w:lineRule="auto"/>
              <w:ind w:left="164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合同金额</w:t>
            </w:r>
          </w:p>
        </w:tc>
        <w:tc>
          <w:tcPr>
            <w:tcW w:w="2556" w:type="dxa"/>
            <w:noWrap w:val="0"/>
          </w:tcPr>
          <w:p w14:paraId="6DA4E516">
            <w:pPr>
              <w:pStyle w:val="366"/>
              <w:rPr>
                <w:rFonts w:hint="eastAsia" w:ascii="宋体" w:hAnsi="宋体" w:eastAsia="宋体" w:cs="宋体"/>
                <w:color w:val="auto"/>
                <w:highlight w:val="none"/>
              </w:rPr>
            </w:pPr>
          </w:p>
        </w:tc>
      </w:tr>
      <w:tr w14:paraId="04F75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noWrap w:val="0"/>
          </w:tcPr>
          <w:p w14:paraId="0540CFF9">
            <w:pPr>
              <w:spacing w:before="267" w:line="240" w:lineRule="exact"/>
              <w:ind w:left="186"/>
              <w:rPr>
                <w:rFonts w:hint="eastAsia" w:ascii="宋体" w:hAnsi="宋体" w:eastAsia="宋体" w:cs="宋体"/>
                <w:color w:val="auto"/>
                <w:sz w:val="18"/>
                <w:szCs w:val="18"/>
                <w:highlight w:val="none"/>
              </w:rPr>
            </w:pPr>
            <w:r>
              <w:rPr>
                <w:rFonts w:hint="eastAsia" w:ascii="宋体" w:hAnsi="宋体" w:eastAsia="宋体" w:cs="宋体"/>
                <w:color w:val="auto"/>
                <w:spacing w:val="-2"/>
                <w:position w:val="1"/>
                <w:sz w:val="18"/>
                <w:szCs w:val="18"/>
                <w:highlight w:val="none"/>
              </w:rPr>
              <w:t>分期（段）验收</w:t>
            </w:r>
          </w:p>
        </w:tc>
        <w:tc>
          <w:tcPr>
            <w:tcW w:w="1714" w:type="dxa"/>
            <w:noWrap w:val="0"/>
          </w:tcPr>
          <w:p w14:paraId="55EB4387">
            <w:pPr>
              <w:spacing w:before="267" w:line="240" w:lineRule="exact"/>
              <w:ind w:left="367"/>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是□</w:t>
            </w:r>
            <w:r>
              <w:rPr>
                <w:rFonts w:hint="eastAsia" w:ascii="宋体" w:hAnsi="宋体" w:eastAsia="宋体" w:cs="宋体"/>
                <w:color w:val="auto"/>
                <w:spacing w:val="4"/>
                <w:position w:val="1"/>
                <w:sz w:val="18"/>
                <w:szCs w:val="18"/>
                <w:highlight w:val="none"/>
              </w:rPr>
              <w:t xml:space="preserve">   </w:t>
            </w:r>
            <w:r>
              <w:rPr>
                <w:rFonts w:hint="eastAsia" w:ascii="宋体" w:hAnsi="宋体" w:eastAsia="宋体" w:cs="宋体"/>
                <w:color w:val="auto"/>
                <w:spacing w:val="-6"/>
                <w:position w:val="1"/>
                <w:sz w:val="18"/>
                <w:szCs w:val="18"/>
                <w:highlight w:val="none"/>
              </w:rPr>
              <w:t>否□</w:t>
            </w:r>
          </w:p>
        </w:tc>
        <w:tc>
          <w:tcPr>
            <w:tcW w:w="1816" w:type="dxa"/>
            <w:noWrap w:val="0"/>
          </w:tcPr>
          <w:p w14:paraId="1DB40435">
            <w:pPr>
              <w:spacing w:before="267" w:line="240" w:lineRule="exact"/>
              <w:ind w:left="284"/>
              <w:rPr>
                <w:rFonts w:hint="eastAsia" w:ascii="宋体" w:hAnsi="宋体" w:eastAsia="宋体" w:cs="宋体"/>
                <w:color w:val="auto"/>
                <w:sz w:val="18"/>
                <w:szCs w:val="18"/>
                <w:highlight w:val="none"/>
              </w:rPr>
            </w:pPr>
            <w:r>
              <w:rPr>
                <w:rFonts w:hint="eastAsia" w:ascii="宋体" w:hAnsi="宋体" w:eastAsia="宋体" w:cs="宋体"/>
                <w:color w:val="auto"/>
                <w:spacing w:val="-2"/>
                <w:position w:val="1"/>
                <w:sz w:val="18"/>
                <w:szCs w:val="18"/>
                <w:highlight w:val="none"/>
              </w:rPr>
              <w:t>分期（段）情况</w:t>
            </w:r>
          </w:p>
        </w:tc>
        <w:tc>
          <w:tcPr>
            <w:tcW w:w="9019" w:type="dxa"/>
            <w:gridSpan w:val="4"/>
            <w:noWrap w:val="0"/>
          </w:tcPr>
          <w:p w14:paraId="4DC1B93D">
            <w:pPr>
              <w:spacing w:before="267" w:line="240" w:lineRule="exact"/>
              <w:ind w:left="2804"/>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共分   期（段</w:t>
            </w:r>
            <w:r>
              <w:rPr>
                <w:rFonts w:hint="eastAsia" w:ascii="宋体" w:hAnsi="宋体" w:eastAsia="宋体" w:cs="宋体"/>
                <w:color w:val="auto"/>
                <w:spacing w:val="6"/>
                <w:position w:val="1"/>
                <w:sz w:val="18"/>
                <w:szCs w:val="18"/>
                <w:highlight w:val="none"/>
              </w:rPr>
              <w:t>），</w:t>
            </w:r>
            <w:r>
              <w:rPr>
                <w:rFonts w:hint="eastAsia" w:ascii="宋体" w:hAnsi="宋体" w:eastAsia="宋体" w:cs="宋体"/>
                <w:color w:val="auto"/>
                <w:spacing w:val="-1"/>
                <w:position w:val="1"/>
                <w:sz w:val="18"/>
                <w:szCs w:val="18"/>
                <w:highlight w:val="none"/>
              </w:rPr>
              <w:t>此为第   期（段）验收</w:t>
            </w:r>
          </w:p>
        </w:tc>
      </w:tr>
      <w:tr w14:paraId="53F79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noWrap w:val="0"/>
          </w:tcPr>
          <w:p w14:paraId="1FC45F60">
            <w:pPr>
              <w:pStyle w:val="366"/>
              <w:spacing w:line="264" w:lineRule="auto"/>
              <w:rPr>
                <w:rFonts w:hint="eastAsia" w:ascii="宋体" w:hAnsi="宋体" w:eastAsia="宋体" w:cs="宋体"/>
                <w:color w:val="auto"/>
                <w:highlight w:val="none"/>
                <w:lang w:eastAsia="zh-CN"/>
              </w:rPr>
            </w:pPr>
          </w:p>
          <w:p w14:paraId="169F2CBA">
            <w:pPr>
              <w:pStyle w:val="366"/>
              <w:spacing w:line="264" w:lineRule="auto"/>
              <w:rPr>
                <w:rFonts w:hint="eastAsia" w:ascii="宋体" w:hAnsi="宋体" w:eastAsia="宋体" w:cs="宋体"/>
                <w:color w:val="auto"/>
                <w:highlight w:val="none"/>
                <w:lang w:eastAsia="zh-CN"/>
              </w:rPr>
            </w:pPr>
          </w:p>
          <w:p w14:paraId="62B12ACE">
            <w:pPr>
              <w:pStyle w:val="366"/>
              <w:spacing w:line="265" w:lineRule="auto"/>
              <w:rPr>
                <w:rFonts w:hint="eastAsia" w:ascii="宋体" w:hAnsi="宋体" w:eastAsia="宋体" w:cs="宋体"/>
                <w:color w:val="auto"/>
                <w:highlight w:val="none"/>
                <w:lang w:eastAsia="zh-CN"/>
              </w:rPr>
            </w:pPr>
          </w:p>
          <w:p w14:paraId="0534D2D0">
            <w:pPr>
              <w:spacing w:before="58" w:line="208" w:lineRule="auto"/>
              <w:ind w:left="454"/>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验收时间</w:t>
            </w:r>
          </w:p>
        </w:tc>
        <w:tc>
          <w:tcPr>
            <w:tcW w:w="1714" w:type="dxa"/>
            <w:noWrap w:val="0"/>
          </w:tcPr>
          <w:p w14:paraId="39F0D38C">
            <w:pPr>
              <w:pStyle w:val="366"/>
              <w:rPr>
                <w:rFonts w:hint="eastAsia" w:ascii="宋体" w:hAnsi="宋体" w:eastAsia="宋体" w:cs="宋体"/>
                <w:color w:val="auto"/>
                <w:highlight w:val="none"/>
              </w:rPr>
            </w:pPr>
          </w:p>
        </w:tc>
        <w:tc>
          <w:tcPr>
            <w:tcW w:w="1816" w:type="dxa"/>
            <w:noWrap w:val="0"/>
          </w:tcPr>
          <w:p w14:paraId="488F6360">
            <w:pPr>
              <w:pStyle w:val="366"/>
              <w:spacing w:line="264" w:lineRule="auto"/>
              <w:rPr>
                <w:rFonts w:hint="eastAsia" w:ascii="宋体" w:hAnsi="宋体" w:eastAsia="宋体" w:cs="宋体"/>
                <w:color w:val="auto"/>
                <w:highlight w:val="none"/>
              </w:rPr>
            </w:pPr>
          </w:p>
          <w:p w14:paraId="0884BF1A">
            <w:pPr>
              <w:pStyle w:val="366"/>
              <w:spacing w:line="264" w:lineRule="auto"/>
              <w:rPr>
                <w:rFonts w:hint="eastAsia" w:ascii="宋体" w:hAnsi="宋体" w:eastAsia="宋体" w:cs="宋体"/>
                <w:color w:val="auto"/>
                <w:highlight w:val="none"/>
              </w:rPr>
            </w:pPr>
          </w:p>
          <w:p w14:paraId="1699F52C">
            <w:pPr>
              <w:pStyle w:val="366"/>
              <w:spacing w:line="265" w:lineRule="auto"/>
              <w:rPr>
                <w:rFonts w:hint="eastAsia" w:ascii="宋体" w:hAnsi="宋体" w:eastAsia="宋体" w:cs="宋体"/>
                <w:color w:val="auto"/>
                <w:highlight w:val="none"/>
              </w:rPr>
            </w:pPr>
          </w:p>
          <w:p w14:paraId="0916C751">
            <w:pPr>
              <w:spacing w:before="58" w:line="208" w:lineRule="auto"/>
              <w:ind w:left="55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验收地点</w:t>
            </w:r>
          </w:p>
        </w:tc>
        <w:tc>
          <w:tcPr>
            <w:tcW w:w="2476" w:type="dxa"/>
            <w:noWrap w:val="0"/>
          </w:tcPr>
          <w:p w14:paraId="01316855">
            <w:pPr>
              <w:pStyle w:val="366"/>
              <w:rPr>
                <w:rFonts w:hint="eastAsia" w:ascii="宋体" w:hAnsi="宋体" w:eastAsia="宋体" w:cs="宋体"/>
                <w:color w:val="auto"/>
                <w:highlight w:val="none"/>
              </w:rPr>
            </w:pPr>
          </w:p>
        </w:tc>
        <w:tc>
          <w:tcPr>
            <w:tcW w:w="3987" w:type="dxa"/>
            <w:gridSpan w:val="2"/>
            <w:noWrap w:val="0"/>
          </w:tcPr>
          <w:p w14:paraId="2CE0360C">
            <w:pPr>
              <w:pStyle w:val="366"/>
              <w:spacing w:line="264" w:lineRule="auto"/>
              <w:rPr>
                <w:rFonts w:hint="eastAsia" w:ascii="宋体" w:hAnsi="宋体" w:eastAsia="宋体" w:cs="宋体"/>
                <w:color w:val="auto"/>
                <w:highlight w:val="none"/>
              </w:rPr>
            </w:pPr>
          </w:p>
          <w:p w14:paraId="38F5E0B7">
            <w:pPr>
              <w:pStyle w:val="366"/>
              <w:spacing w:line="264" w:lineRule="auto"/>
              <w:rPr>
                <w:rFonts w:hint="eastAsia" w:ascii="宋体" w:hAnsi="宋体" w:eastAsia="宋体" w:cs="宋体"/>
                <w:color w:val="auto"/>
                <w:highlight w:val="none"/>
              </w:rPr>
            </w:pPr>
          </w:p>
          <w:p w14:paraId="5393ADC9">
            <w:pPr>
              <w:pStyle w:val="366"/>
              <w:spacing w:line="265" w:lineRule="auto"/>
              <w:rPr>
                <w:rFonts w:hint="eastAsia" w:ascii="宋体" w:hAnsi="宋体" w:eastAsia="宋体" w:cs="宋体"/>
                <w:color w:val="auto"/>
                <w:highlight w:val="none"/>
              </w:rPr>
            </w:pPr>
          </w:p>
          <w:p w14:paraId="5D3B6E8F">
            <w:pPr>
              <w:spacing w:before="59" w:line="208" w:lineRule="auto"/>
              <w:ind w:left="1459"/>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验收组织形式</w:t>
            </w:r>
          </w:p>
        </w:tc>
        <w:tc>
          <w:tcPr>
            <w:tcW w:w="2556" w:type="dxa"/>
            <w:noWrap w:val="0"/>
          </w:tcPr>
          <w:p w14:paraId="3C9F0757">
            <w:pPr>
              <w:spacing w:before="267" w:line="239" w:lineRule="exact"/>
              <w:ind w:left="67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□自行简易验收</w:t>
            </w:r>
          </w:p>
          <w:p w14:paraId="6932D15E">
            <w:pPr>
              <w:pStyle w:val="366"/>
              <w:spacing w:line="260" w:lineRule="auto"/>
              <w:rPr>
                <w:rFonts w:hint="eastAsia" w:ascii="宋体" w:hAnsi="宋体" w:eastAsia="宋体" w:cs="宋体"/>
                <w:color w:val="auto"/>
                <w:highlight w:val="none"/>
                <w:lang w:eastAsia="zh-CN"/>
              </w:rPr>
            </w:pPr>
          </w:p>
          <w:p w14:paraId="399494A3">
            <w:pPr>
              <w:spacing w:before="58" w:line="240" w:lineRule="exact"/>
              <w:ind w:left="67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□验收小组验收</w:t>
            </w:r>
          </w:p>
          <w:p w14:paraId="35720900">
            <w:pPr>
              <w:pStyle w:val="366"/>
              <w:spacing w:line="262" w:lineRule="auto"/>
              <w:rPr>
                <w:rFonts w:hint="eastAsia" w:ascii="宋体" w:hAnsi="宋体" w:eastAsia="宋体" w:cs="宋体"/>
                <w:color w:val="auto"/>
                <w:highlight w:val="none"/>
                <w:lang w:eastAsia="zh-CN"/>
              </w:rPr>
            </w:pPr>
          </w:p>
          <w:p w14:paraId="4B5AB194">
            <w:pPr>
              <w:spacing w:before="58" w:line="239" w:lineRule="exact"/>
              <w:ind w:left="582"/>
              <w:rPr>
                <w:rFonts w:hint="eastAsia" w:ascii="宋体" w:hAnsi="宋体" w:eastAsia="宋体" w:cs="宋体"/>
                <w:color w:val="auto"/>
                <w:sz w:val="18"/>
                <w:szCs w:val="18"/>
                <w:highlight w:val="none"/>
              </w:rPr>
            </w:pPr>
            <w:r>
              <w:rPr>
                <w:rFonts w:hint="eastAsia" w:ascii="宋体" w:hAnsi="宋体" w:eastAsia="宋体" w:cs="宋体"/>
                <w:color w:val="auto"/>
                <w:spacing w:val="-3"/>
                <w:position w:val="1"/>
                <w:sz w:val="18"/>
                <w:szCs w:val="18"/>
                <w:highlight w:val="none"/>
              </w:rPr>
              <w:t>□采购代理机构验收</w:t>
            </w:r>
          </w:p>
        </w:tc>
      </w:tr>
      <w:tr w14:paraId="078E0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tcBorders>
              <w:bottom w:val="nil"/>
            </w:tcBorders>
            <w:noWrap w:val="0"/>
          </w:tcPr>
          <w:p w14:paraId="0077A70E">
            <w:pPr>
              <w:pStyle w:val="366"/>
              <w:spacing w:line="265" w:lineRule="auto"/>
              <w:rPr>
                <w:rFonts w:hint="eastAsia" w:ascii="宋体" w:hAnsi="宋体" w:eastAsia="宋体" w:cs="宋体"/>
                <w:color w:val="auto"/>
                <w:highlight w:val="none"/>
              </w:rPr>
            </w:pPr>
          </w:p>
          <w:p w14:paraId="4473A5B0">
            <w:pPr>
              <w:pStyle w:val="366"/>
              <w:spacing w:line="265" w:lineRule="auto"/>
              <w:rPr>
                <w:rFonts w:hint="eastAsia" w:ascii="宋体" w:hAnsi="宋体" w:eastAsia="宋体" w:cs="宋体"/>
                <w:color w:val="auto"/>
                <w:highlight w:val="none"/>
              </w:rPr>
            </w:pPr>
          </w:p>
          <w:p w14:paraId="31E36B17">
            <w:pPr>
              <w:pStyle w:val="366"/>
              <w:spacing w:line="266" w:lineRule="auto"/>
              <w:rPr>
                <w:rFonts w:hint="eastAsia" w:ascii="宋体" w:hAnsi="宋体" w:eastAsia="宋体" w:cs="宋体"/>
                <w:color w:val="auto"/>
                <w:highlight w:val="none"/>
              </w:rPr>
            </w:pPr>
          </w:p>
          <w:p w14:paraId="551E5BCD">
            <w:pPr>
              <w:spacing w:before="58" w:line="208" w:lineRule="auto"/>
              <w:ind w:left="454"/>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验收内容</w:t>
            </w:r>
          </w:p>
        </w:tc>
        <w:tc>
          <w:tcPr>
            <w:tcW w:w="1714" w:type="dxa"/>
            <w:noWrap w:val="0"/>
          </w:tcPr>
          <w:p w14:paraId="7B09B41B">
            <w:pPr>
              <w:spacing w:before="298" w:line="208" w:lineRule="auto"/>
              <w:ind w:left="49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服务质量</w:t>
            </w:r>
          </w:p>
        </w:tc>
        <w:tc>
          <w:tcPr>
            <w:tcW w:w="1816" w:type="dxa"/>
            <w:noWrap w:val="0"/>
          </w:tcPr>
          <w:p w14:paraId="64C4D78F">
            <w:pPr>
              <w:spacing w:before="298" w:line="208" w:lineRule="auto"/>
              <w:ind w:left="55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服务进度</w:t>
            </w:r>
          </w:p>
        </w:tc>
        <w:tc>
          <w:tcPr>
            <w:tcW w:w="2476" w:type="dxa"/>
            <w:noWrap w:val="0"/>
          </w:tcPr>
          <w:p w14:paraId="0CC70B80">
            <w:pPr>
              <w:spacing w:before="298" w:line="207" w:lineRule="auto"/>
              <w:ind w:left="387"/>
              <w:rPr>
                <w:rFonts w:hint="eastAsia"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人员、设备 配备情况</w:t>
            </w:r>
          </w:p>
        </w:tc>
        <w:tc>
          <w:tcPr>
            <w:tcW w:w="1705" w:type="dxa"/>
            <w:noWrap w:val="0"/>
          </w:tcPr>
          <w:p w14:paraId="319EF667">
            <w:pPr>
              <w:spacing w:before="297" w:line="209" w:lineRule="auto"/>
              <w:ind w:left="23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行业、安全标准</w:t>
            </w:r>
          </w:p>
        </w:tc>
        <w:tc>
          <w:tcPr>
            <w:tcW w:w="2282" w:type="dxa"/>
            <w:noWrap w:val="0"/>
          </w:tcPr>
          <w:p w14:paraId="32A9A0E0">
            <w:pPr>
              <w:spacing w:before="298" w:line="208" w:lineRule="auto"/>
              <w:ind w:left="340"/>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项目需求、服务承诺</w:t>
            </w:r>
          </w:p>
        </w:tc>
        <w:tc>
          <w:tcPr>
            <w:tcW w:w="2556" w:type="dxa"/>
            <w:noWrap w:val="0"/>
          </w:tcPr>
          <w:p w14:paraId="2A0EA3AA">
            <w:pPr>
              <w:spacing w:before="299" w:line="208" w:lineRule="auto"/>
              <w:ind w:left="159"/>
              <w:rPr>
                <w:rFonts w:hint="eastAsia"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合同履约时间、 地点、方式</w:t>
            </w:r>
          </w:p>
        </w:tc>
      </w:tr>
      <w:tr w14:paraId="37EFA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tcBorders>
              <w:top w:val="nil"/>
            </w:tcBorders>
            <w:noWrap w:val="0"/>
          </w:tcPr>
          <w:p w14:paraId="61B60D6F">
            <w:pPr>
              <w:pStyle w:val="366"/>
              <w:rPr>
                <w:rFonts w:hint="eastAsia" w:ascii="宋体" w:hAnsi="宋体" w:eastAsia="宋体" w:cs="宋体"/>
                <w:color w:val="auto"/>
                <w:highlight w:val="none"/>
                <w:lang w:eastAsia="zh-CN"/>
              </w:rPr>
            </w:pPr>
          </w:p>
        </w:tc>
        <w:tc>
          <w:tcPr>
            <w:tcW w:w="1714" w:type="dxa"/>
            <w:noWrap w:val="0"/>
          </w:tcPr>
          <w:p w14:paraId="76447082">
            <w:pPr>
              <w:spacing w:before="270" w:line="430" w:lineRule="auto"/>
              <w:ind w:left="501" w:right="497" w:hanging="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不合格□</w:t>
            </w:r>
          </w:p>
        </w:tc>
        <w:tc>
          <w:tcPr>
            <w:tcW w:w="1816" w:type="dxa"/>
            <w:noWrap w:val="0"/>
          </w:tcPr>
          <w:p w14:paraId="20A7EB79">
            <w:pPr>
              <w:spacing w:before="270" w:line="430" w:lineRule="auto"/>
              <w:ind w:left="553" w:right="547" w:hanging="1"/>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按</w:t>
            </w:r>
            <w:r>
              <w:rPr>
                <w:rFonts w:hint="eastAsia" w:ascii="宋体" w:hAnsi="宋体" w:eastAsia="宋体" w:cs="宋体"/>
                <w:color w:val="auto"/>
                <w:spacing w:val="7"/>
                <w:sz w:val="18"/>
                <w:szCs w:val="18"/>
                <w:highlight w:val="none"/>
              </w:rPr>
              <w:t xml:space="preserve">  </w:t>
            </w:r>
            <w:r>
              <w:rPr>
                <w:rFonts w:hint="eastAsia" w:ascii="宋体" w:hAnsi="宋体" w:eastAsia="宋体" w:cs="宋体"/>
                <w:color w:val="auto"/>
                <w:spacing w:val="-8"/>
                <w:sz w:val="18"/>
                <w:szCs w:val="18"/>
                <w:highlight w:val="none"/>
              </w:rPr>
              <w:t>时□</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不按时□</w:t>
            </w:r>
          </w:p>
        </w:tc>
        <w:tc>
          <w:tcPr>
            <w:tcW w:w="2476" w:type="dxa"/>
            <w:noWrap w:val="0"/>
          </w:tcPr>
          <w:p w14:paraId="1AB7D90E">
            <w:pPr>
              <w:spacing w:before="270" w:line="430" w:lineRule="auto"/>
              <w:ind w:left="885" w:right="875" w:hanging="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不合格□</w:t>
            </w:r>
          </w:p>
        </w:tc>
        <w:tc>
          <w:tcPr>
            <w:tcW w:w="1705" w:type="dxa"/>
            <w:noWrap w:val="0"/>
          </w:tcPr>
          <w:p w14:paraId="4A6E34A4">
            <w:pPr>
              <w:spacing w:before="270" w:line="430" w:lineRule="auto"/>
              <w:ind w:left="500" w:right="489" w:hanging="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不合格□</w:t>
            </w:r>
          </w:p>
        </w:tc>
        <w:tc>
          <w:tcPr>
            <w:tcW w:w="2282" w:type="dxa"/>
            <w:noWrap w:val="0"/>
          </w:tcPr>
          <w:p w14:paraId="018B126E">
            <w:pPr>
              <w:spacing w:before="270" w:line="430" w:lineRule="auto"/>
              <w:ind w:left="789" w:right="777" w:hanging="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不合格□</w:t>
            </w:r>
          </w:p>
        </w:tc>
        <w:tc>
          <w:tcPr>
            <w:tcW w:w="2556" w:type="dxa"/>
            <w:noWrap w:val="0"/>
          </w:tcPr>
          <w:p w14:paraId="49C55A21">
            <w:pPr>
              <w:spacing w:before="270" w:line="430" w:lineRule="auto"/>
              <w:ind w:left="926" w:right="914" w:hanging="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不合格□</w:t>
            </w:r>
          </w:p>
        </w:tc>
      </w:tr>
      <w:tr w14:paraId="37DD4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noWrap w:val="0"/>
          </w:tcPr>
          <w:p w14:paraId="6DFB1FCD">
            <w:pPr>
              <w:spacing w:before="299" w:line="208" w:lineRule="auto"/>
              <w:ind w:left="185"/>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专业检测机构情</w:t>
            </w:r>
          </w:p>
          <w:p w14:paraId="569B0187">
            <w:pPr>
              <w:pStyle w:val="366"/>
              <w:spacing w:line="298" w:lineRule="auto"/>
              <w:rPr>
                <w:rFonts w:hint="eastAsia" w:ascii="宋体" w:hAnsi="宋体" w:eastAsia="宋体" w:cs="宋体"/>
                <w:color w:val="auto"/>
                <w:highlight w:val="none"/>
                <w:lang w:eastAsia="zh-CN"/>
              </w:rPr>
            </w:pPr>
          </w:p>
          <w:p w14:paraId="1BEFF25C">
            <w:pPr>
              <w:spacing w:before="59" w:line="207" w:lineRule="auto"/>
              <w:ind w:left="545"/>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况说明</w:t>
            </w:r>
          </w:p>
        </w:tc>
        <w:tc>
          <w:tcPr>
            <w:tcW w:w="12549" w:type="dxa"/>
            <w:gridSpan w:val="6"/>
            <w:noWrap w:val="0"/>
          </w:tcPr>
          <w:p w14:paraId="64C25DC8">
            <w:pPr>
              <w:pStyle w:val="366"/>
              <w:rPr>
                <w:rFonts w:hint="eastAsia" w:ascii="宋体" w:hAnsi="宋体" w:eastAsia="宋体" w:cs="宋体"/>
                <w:color w:val="auto"/>
                <w:highlight w:val="none"/>
                <w:lang w:eastAsia="zh-CN"/>
              </w:rPr>
            </w:pPr>
          </w:p>
        </w:tc>
      </w:tr>
      <w:tr w14:paraId="4659E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noWrap w:val="0"/>
          </w:tcPr>
          <w:p w14:paraId="2D2A5D42">
            <w:pPr>
              <w:pStyle w:val="366"/>
              <w:spacing w:line="241" w:lineRule="auto"/>
              <w:rPr>
                <w:rFonts w:hint="eastAsia" w:ascii="宋体" w:hAnsi="宋体" w:eastAsia="宋体" w:cs="宋体"/>
                <w:color w:val="auto"/>
                <w:highlight w:val="none"/>
                <w:lang w:eastAsia="zh-CN"/>
              </w:rPr>
            </w:pPr>
          </w:p>
          <w:p w14:paraId="1AB10406">
            <w:pPr>
              <w:spacing w:before="58" w:line="207" w:lineRule="auto"/>
              <w:ind w:left="454"/>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存在问题</w:t>
            </w:r>
          </w:p>
          <w:p w14:paraId="4E3EBE15">
            <w:pPr>
              <w:pStyle w:val="366"/>
              <w:spacing w:line="297" w:lineRule="auto"/>
              <w:rPr>
                <w:rFonts w:hint="eastAsia" w:ascii="宋体" w:hAnsi="宋体" w:eastAsia="宋体" w:cs="宋体"/>
                <w:color w:val="auto"/>
                <w:highlight w:val="none"/>
              </w:rPr>
            </w:pPr>
          </w:p>
          <w:p w14:paraId="337D629C">
            <w:pPr>
              <w:spacing w:before="58" w:line="207" w:lineRule="auto"/>
              <w:ind w:left="365"/>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和改进意见</w:t>
            </w:r>
          </w:p>
        </w:tc>
        <w:tc>
          <w:tcPr>
            <w:tcW w:w="12549" w:type="dxa"/>
            <w:gridSpan w:val="6"/>
            <w:noWrap w:val="0"/>
          </w:tcPr>
          <w:p w14:paraId="5F2AF590">
            <w:pPr>
              <w:pStyle w:val="366"/>
              <w:rPr>
                <w:rFonts w:hint="eastAsia" w:ascii="宋体" w:hAnsi="宋体" w:eastAsia="宋体" w:cs="宋体"/>
                <w:color w:val="auto"/>
                <w:highlight w:val="none"/>
              </w:rPr>
            </w:pPr>
          </w:p>
        </w:tc>
      </w:tr>
    </w:tbl>
    <w:p w14:paraId="2F6AEC23">
      <w:pPr>
        <w:spacing w:before="164"/>
        <w:rPr>
          <w:rFonts w:hint="eastAsia" w:ascii="宋体" w:hAnsi="宋体" w:eastAsia="宋体" w:cs="宋体"/>
          <w:color w:val="auto"/>
          <w:highlight w:val="none"/>
        </w:rPr>
      </w:pPr>
    </w:p>
    <w:tbl>
      <w:tblPr>
        <w:tblStyle w:val="365"/>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0255C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noWrap w:val="0"/>
          </w:tcPr>
          <w:p w14:paraId="43CF657B">
            <w:pPr>
              <w:pStyle w:val="366"/>
              <w:spacing w:line="301" w:lineRule="auto"/>
              <w:rPr>
                <w:rFonts w:hint="eastAsia" w:ascii="宋体" w:hAnsi="宋体" w:eastAsia="宋体" w:cs="宋体"/>
                <w:color w:val="auto"/>
                <w:highlight w:val="none"/>
              </w:rPr>
            </w:pPr>
          </w:p>
          <w:p w14:paraId="21D40DD3">
            <w:pPr>
              <w:spacing w:before="58" w:line="207" w:lineRule="auto"/>
              <w:ind w:left="457"/>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最终结论</w:t>
            </w:r>
          </w:p>
        </w:tc>
        <w:tc>
          <w:tcPr>
            <w:tcW w:w="12550" w:type="dxa"/>
            <w:gridSpan w:val="2"/>
            <w:noWrap w:val="0"/>
          </w:tcPr>
          <w:p w14:paraId="2259B01C">
            <w:pPr>
              <w:pStyle w:val="366"/>
              <w:spacing w:line="271" w:lineRule="auto"/>
              <w:rPr>
                <w:rFonts w:hint="eastAsia" w:ascii="宋体" w:hAnsi="宋体" w:eastAsia="宋体" w:cs="宋体"/>
                <w:color w:val="auto"/>
                <w:highlight w:val="none"/>
              </w:rPr>
            </w:pPr>
          </w:p>
          <w:p w14:paraId="635E7F8B">
            <w:pPr>
              <w:spacing w:before="58" w:line="240" w:lineRule="exact"/>
              <w:ind w:left="4210"/>
              <w:rPr>
                <w:rFonts w:hint="eastAsia" w:ascii="宋体" w:hAnsi="宋体" w:eastAsia="宋体" w:cs="宋体"/>
                <w:color w:val="auto"/>
                <w:sz w:val="18"/>
                <w:szCs w:val="18"/>
                <w:highlight w:val="none"/>
              </w:rPr>
            </w:pPr>
            <w:r>
              <w:rPr>
                <w:rFonts w:hint="eastAsia" w:ascii="宋体" w:hAnsi="宋体" w:eastAsia="宋体" w:cs="宋体"/>
                <w:color w:val="auto"/>
                <w:spacing w:val="-2"/>
                <w:position w:val="1"/>
                <w:sz w:val="18"/>
                <w:szCs w:val="18"/>
                <w:highlight w:val="none"/>
              </w:rPr>
              <w:t>合  格□</w:t>
            </w:r>
            <w:r>
              <w:rPr>
                <w:rFonts w:hint="eastAsia" w:ascii="宋体" w:hAnsi="宋体" w:eastAsia="宋体" w:cs="宋体"/>
                <w:color w:val="auto"/>
                <w:position w:val="1"/>
                <w:sz w:val="18"/>
                <w:szCs w:val="18"/>
                <w:highlight w:val="none"/>
              </w:rPr>
              <w:t xml:space="preserve">                              </w:t>
            </w:r>
            <w:r>
              <w:rPr>
                <w:rFonts w:hint="eastAsia" w:ascii="宋体" w:hAnsi="宋体" w:eastAsia="宋体" w:cs="宋体"/>
                <w:color w:val="auto"/>
                <w:spacing w:val="-2"/>
                <w:position w:val="1"/>
                <w:sz w:val="18"/>
                <w:szCs w:val="18"/>
                <w:highlight w:val="none"/>
              </w:rPr>
              <w:t>不合格□</w:t>
            </w:r>
          </w:p>
        </w:tc>
      </w:tr>
      <w:tr w14:paraId="450A0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noWrap w:val="0"/>
          </w:tcPr>
          <w:p w14:paraId="10BEA3D3">
            <w:pPr>
              <w:spacing w:before="295" w:line="208" w:lineRule="auto"/>
              <w:ind w:left="274"/>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验收小组成员</w:t>
            </w:r>
          </w:p>
          <w:p w14:paraId="0229E2BC">
            <w:pPr>
              <w:pStyle w:val="366"/>
              <w:spacing w:line="298" w:lineRule="auto"/>
              <w:rPr>
                <w:rFonts w:hint="eastAsia" w:ascii="宋体" w:hAnsi="宋体" w:eastAsia="宋体" w:cs="宋体"/>
                <w:color w:val="auto"/>
                <w:highlight w:val="none"/>
              </w:rPr>
            </w:pPr>
          </w:p>
          <w:p w14:paraId="607C7003">
            <w:pPr>
              <w:spacing w:before="58" w:line="208" w:lineRule="auto"/>
              <w:ind w:left="635"/>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签字</w:t>
            </w:r>
          </w:p>
        </w:tc>
        <w:tc>
          <w:tcPr>
            <w:tcW w:w="12550" w:type="dxa"/>
            <w:gridSpan w:val="2"/>
            <w:noWrap w:val="0"/>
          </w:tcPr>
          <w:p w14:paraId="4A06C418">
            <w:pPr>
              <w:pStyle w:val="366"/>
              <w:rPr>
                <w:rFonts w:hint="eastAsia" w:ascii="宋体" w:hAnsi="宋体" w:eastAsia="宋体" w:cs="宋体"/>
                <w:color w:val="auto"/>
                <w:highlight w:val="none"/>
              </w:rPr>
            </w:pPr>
          </w:p>
        </w:tc>
      </w:tr>
      <w:tr w14:paraId="04E64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noWrap w:val="0"/>
          </w:tcPr>
          <w:p w14:paraId="25E1128B">
            <w:pPr>
              <w:spacing w:before="297" w:line="208" w:lineRule="auto"/>
              <w:ind w:left="2814"/>
              <w:rPr>
                <w:rFonts w:hint="eastAsia"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采购代理机构意见</w:t>
            </w:r>
          </w:p>
        </w:tc>
        <w:tc>
          <w:tcPr>
            <w:tcW w:w="7115" w:type="dxa"/>
            <w:noWrap w:val="0"/>
          </w:tcPr>
          <w:p w14:paraId="3AF47A12">
            <w:pPr>
              <w:spacing w:before="297" w:line="207" w:lineRule="auto"/>
              <w:ind w:left="3111"/>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采购人意见</w:t>
            </w:r>
          </w:p>
        </w:tc>
      </w:tr>
      <w:tr w14:paraId="78521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noWrap w:val="0"/>
          </w:tcPr>
          <w:p w14:paraId="5559F87D">
            <w:pPr>
              <w:pStyle w:val="366"/>
              <w:spacing w:line="255" w:lineRule="auto"/>
              <w:rPr>
                <w:rFonts w:hint="eastAsia" w:ascii="宋体" w:hAnsi="宋体" w:eastAsia="宋体" w:cs="宋体"/>
                <w:color w:val="auto"/>
                <w:highlight w:val="none"/>
                <w:lang w:eastAsia="zh-CN"/>
              </w:rPr>
            </w:pPr>
          </w:p>
          <w:p w14:paraId="6939A1EE">
            <w:pPr>
              <w:pStyle w:val="366"/>
              <w:spacing w:line="255" w:lineRule="auto"/>
              <w:rPr>
                <w:rFonts w:hint="eastAsia" w:ascii="宋体" w:hAnsi="宋体" w:eastAsia="宋体" w:cs="宋体"/>
                <w:color w:val="auto"/>
                <w:highlight w:val="none"/>
                <w:lang w:eastAsia="zh-CN"/>
              </w:rPr>
            </w:pPr>
          </w:p>
          <w:p w14:paraId="7E81BAF0">
            <w:pPr>
              <w:pStyle w:val="366"/>
              <w:spacing w:line="255" w:lineRule="auto"/>
              <w:rPr>
                <w:rFonts w:hint="eastAsia" w:ascii="宋体" w:hAnsi="宋体" w:eastAsia="宋体" w:cs="宋体"/>
                <w:color w:val="auto"/>
                <w:highlight w:val="none"/>
                <w:lang w:eastAsia="zh-CN"/>
              </w:rPr>
            </w:pPr>
          </w:p>
          <w:p w14:paraId="1519386B">
            <w:pPr>
              <w:spacing w:before="59" w:line="238" w:lineRule="exact"/>
              <w:ind w:left="113"/>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经办人：         负责人</w:t>
            </w:r>
            <w:r>
              <w:rPr>
                <w:rFonts w:hint="eastAsia" w:ascii="宋体" w:hAnsi="宋体" w:eastAsia="宋体" w:cs="宋体"/>
                <w:color w:val="auto"/>
                <w:spacing w:val="-18"/>
                <w:position w:val="1"/>
                <w:sz w:val="18"/>
                <w:szCs w:val="18"/>
                <w:highlight w:val="none"/>
              </w:rPr>
              <w:t>：</w:t>
            </w:r>
            <w:r>
              <w:rPr>
                <w:rFonts w:hint="eastAsia" w:ascii="宋体" w:hAnsi="宋体" w:eastAsia="宋体" w:cs="宋体"/>
                <w:color w:val="auto"/>
                <w:position w:val="1"/>
                <w:sz w:val="18"/>
                <w:szCs w:val="18"/>
                <w:highlight w:val="none"/>
              </w:rPr>
              <w:t xml:space="preserve">           </w:t>
            </w:r>
            <w:r>
              <w:rPr>
                <w:rFonts w:hint="eastAsia" w:ascii="宋体" w:hAnsi="宋体" w:eastAsia="宋体" w:cs="宋体"/>
                <w:color w:val="auto"/>
                <w:spacing w:val="-18"/>
                <w:position w:val="1"/>
                <w:sz w:val="18"/>
                <w:szCs w:val="18"/>
                <w:highlight w:val="none"/>
              </w:rPr>
              <w:t>（</w:t>
            </w:r>
            <w:r>
              <w:rPr>
                <w:rFonts w:hint="eastAsia" w:ascii="宋体" w:hAnsi="宋体" w:eastAsia="宋体" w:cs="宋体"/>
                <w:color w:val="auto"/>
                <w:spacing w:val="1"/>
                <w:position w:val="1"/>
                <w:sz w:val="18"/>
                <w:szCs w:val="18"/>
                <w:highlight w:val="none"/>
              </w:rPr>
              <w:t>采购代理机构公章）</w:t>
            </w:r>
          </w:p>
        </w:tc>
        <w:tc>
          <w:tcPr>
            <w:tcW w:w="7115" w:type="dxa"/>
            <w:noWrap w:val="0"/>
          </w:tcPr>
          <w:p w14:paraId="05B95D01">
            <w:pPr>
              <w:pStyle w:val="366"/>
              <w:spacing w:line="255" w:lineRule="auto"/>
              <w:rPr>
                <w:rFonts w:hint="eastAsia" w:ascii="宋体" w:hAnsi="宋体" w:eastAsia="宋体" w:cs="宋体"/>
                <w:color w:val="auto"/>
                <w:highlight w:val="none"/>
                <w:lang w:eastAsia="zh-CN"/>
              </w:rPr>
            </w:pPr>
          </w:p>
          <w:p w14:paraId="46DA7F6E">
            <w:pPr>
              <w:pStyle w:val="366"/>
              <w:spacing w:line="255" w:lineRule="auto"/>
              <w:rPr>
                <w:rFonts w:hint="eastAsia" w:ascii="宋体" w:hAnsi="宋体" w:eastAsia="宋体" w:cs="宋体"/>
                <w:color w:val="auto"/>
                <w:highlight w:val="none"/>
                <w:lang w:eastAsia="zh-CN"/>
              </w:rPr>
            </w:pPr>
          </w:p>
          <w:p w14:paraId="5DBB4141">
            <w:pPr>
              <w:pStyle w:val="366"/>
              <w:spacing w:line="255" w:lineRule="auto"/>
              <w:rPr>
                <w:rFonts w:hint="eastAsia" w:ascii="宋体" w:hAnsi="宋体" w:eastAsia="宋体" w:cs="宋体"/>
                <w:color w:val="auto"/>
                <w:highlight w:val="none"/>
                <w:lang w:eastAsia="zh-CN"/>
              </w:rPr>
            </w:pPr>
          </w:p>
          <w:p w14:paraId="14C4EED2">
            <w:pPr>
              <w:spacing w:before="59" w:line="238" w:lineRule="exact"/>
              <w:ind w:left="115"/>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经办人：         负责人</w:t>
            </w:r>
            <w:r>
              <w:rPr>
                <w:rFonts w:hint="eastAsia" w:ascii="宋体" w:hAnsi="宋体" w:eastAsia="宋体" w:cs="宋体"/>
                <w:color w:val="auto"/>
                <w:spacing w:val="-17"/>
                <w:position w:val="1"/>
                <w:sz w:val="18"/>
                <w:szCs w:val="18"/>
                <w:highlight w:val="none"/>
              </w:rPr>
              <w:t>：</w:t>
            </w:r>
            <w:r>
              <w:rPr>
                <w:rFonts w:hint="eastAsia" w:ascii="宋体" w:hAnsi="宋体" w:eastAsia="宋体" w:cs="宋体"/>
                <w:color w:val="auto"/>
                <w:position w:val="1"/>
                <w:sz w:val="18"/>
                <w:szCs w:val="18"/>
                <w:highlight w:val="none"/>
              </w:rPr>
              <w:t xml:space="preserve">               </w:t>
            </w:r>
            <w:r>
              <w:rPr>
                <w:rFonts w:hint="eastAsia" w:ascii="宋体" w:hAnsi="宋体" w:eastAsia="宋体" w:cs="宋体"/>
                <w:color w:val="auto"/>
                <w:spacing w:val="-17"/>
                <w:position w:val="1"/>
                <w:sz w:val="18"/>
                <w:szCs w:val="18"/>
                <w:highlight w:val="none"/>
              </w:rPr>
              <w:t>（</w:t>
            </w:r>
            <w:r>
              <w:rPr>
                <w:rFonts w:hint="eastAsia" w:ascii="宋体" w:hAnsi="宋体" w:eastAsia="宋体" w:cs="宋体"/>
                <w:color w:val="auto"/>
                <w:spacing w:val="1"/>
                <w:position w:val="1"/>
                <w:sz w:val="18"/>
                <w:szCs w:val="18"/>
                <w:highlight w:val="none"/>
              </w:rPr>
              <w:t>采购人公章）</w:t>
            </w:r>
          </w:p>
        </w:tc>
      </w:tr>
      <w:tr w14:paraId="35B1E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noWrap w:val="0"/>
          </w:tcPr>
          <w:p w14:paraId="7860D086">
            <w:pPr>
              <w:spacing w:before="299" w:line="207" w:lineRule="auto"/>
              <w:ind w:left="11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供应商确认：</w:t>
            </w:r>
          </w:p>
          <w:p w14:paraId="624D4A30">
            <w:pPr>
              <w:pStyle w:val="366"/>
              <w:spacing w:line="275" w:lineRule="auto"/>
              <w:rPr>
                <w:rFonts w:hint="eastAsia" w:ascii="宋体" w:hAnsi="宋体" w:eastAsia="宋体" w:cs="宋体"/>
                <w:color w:val="auto"/>
                <w:highlight w:val="none"/>
                <w:lang w:eastAsia="zh-CN"/>
              </w:rPr>
            </w:pPr>
          </w:p>
          <w:p w14:paraId="53E58016">
            <w:pPr>
              <w:pStyle w:val="366"/>
              <w:spacing w:line="275" w:lineRule="auto"/>
              <w:rPr>
                <w:rFonts w:hint="eastAsia" w:ascii="宋体" w:hAnsi="宋体" w:eastAsia="宋体" w:cs="宋体"/>
                <w:color w:val="auto"/>
                <w:highlight w:val="none"/>
                <w:lang w:eastAsia="zh-CN"/>
              </w:rPr>
            </w:pPr>
          </w:p>
          <w:p w14:paraId="7F088A86">
            <w:pPr>
              <w:pStyle w:val="366"/>
              <w:spacing w:line="275" w:lineRule="auto"/>
              <w:rPr>
                <w:rFonts w:hint="eastAsia" w:ascii="宋体" w:hAnsi="宋体" w:eastAsia="宋体" w:cs="宋体"/>
                <w:color w:val="auto"/>
                <w:highlight w:val="none"/>
                <w:lang w:eastAsia="zh-CN"/>
              </w:rPr>
            </w:pPr>
          </w:p>
          <w:p w14:paraId="2A37B431">
            <w:pPr>
              <w:spacing w:before="58" w:line="239" w:lineRule="exact"/>
              <w:ind w:left="117"/>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（单位公章或授权代表签字）</w:t>
            </w:r>
          </w:p>
        </w:tc>
      </w:tr>
    </w:tbl>
    <w:p w14:paraId="0BA7CCA0">
      <w:pPr>
        <w:spacing w:before="296" w:line="211" w:lineRule="auto"/>
        <w:ind w:left="85"/>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说明：1.该表为服务类项目履约验收的参考样表，采购人或采购代理机构可以</w:t>
      </w:r>
      <w:r>
        <w:rPr>
          <w:rFonts w:hint="eastAsia" w:ascii="宋体" w:hAnsi="宋体" w:eastAsia="宋体" w:cs="宋体"/>
          <w:color w:val="auto"/>
          <w:spacing w:val="-1"/>
          <w:sz w:val="18"/>
          <w:szCs w:val="18"/>
          <w:highlight w:val="none"/>
        </w:rPr>
        <w:t>根据工作实际进行调整。</w:t>
      </w:r>
    </w:p>
    <w:p w14:paraId="01B4D930">
      <w:pPr>
        <w:spacing w:line="295" w:lineRule="auto"/>
        <w:rPr>
          <w:rFonts w:hint="eastAsia" w:ascii="宋体" w:hAnsi="宋体" w:eastAsia="宋体" w:cs="宋体"/>
          <w:color w:val="auto"/>
          <w:highlight w:val="none"/>
        </w:rPr>
      </w:pPr>
    </w:p>
    <w:p w14:paraId="12FAD906">
      <w:pPr>
        <w:spacing w:before="59" w:line="211" w:lineRule="auto"/>
        <w:ind w:left="625"/>
        <w:rPr>
          <w:rFonts w:hint="eastAsia" w:ascii="宋体" w:hAnsi="宋体" w:eastAsia="宋体" w:cs="宋体"/>
          <w:color w:val="auto"/>
          <w:highlight w:val="none"/>
        </w:rPr>
        <w:sectPr>
          <w:footerReference r:id="rId8" w:type="default"/>
          <w:pgSz w:w="16838" w:h="11906" w:orient="landscape"/>
          <w:pgMar w:top="1418" w:right="1440" w:bottom="1417" w:left="1134" w:header="851" w:footer="992" w:gutter="0"/>
          <w:cols w:space="1701" w:num="1"/>
          <w:docGrid w:linePitch="360" w:charSpace="0"/>
        </w:sectPr>
      </w:pPr>
      <w:r>
        <w:rPr>
          <w:rFonts w:hint="eastAsia" w:ascii="宋体" w:hAnsi="宋体" w:eastAsia="宋体" w:cs="宋体"/>
          <w:color w:val="auto"/>
          <w:sz w:val="18"/>
          <w:szCs w:val="18"/>
          <w:highlight w:val="none"/>
        </w:rPr>
        <w:t>2.未委托采购代理机构开展履约验收工作的，无需填写“</w:t>
      </w:r>
      <w:r>
        <w:rPr>
          <w:rFonts w:hint="eastAsia" w:ascii="宋体" w:hAnsi="宋体" w:eastAsia="宋体" w:cs="宋体"/>
          <w:color w:val="auto"/>
          <w:spacing w:val="-1"/>
          <w:sz w:val="18"/>
          <w:szCs w:val="18"/>
          <w:highlight w:val="none"/>
        </w:rPr>
        <w:t>采购代理机构意见</w:t>
      </w:r>
      <w:r>
        <w:rPr>
          <w:rFonts w:hint="eastAsia" w:ascii="宋体" w:hAnsi="宋体" w:eastAsia="宋体" w:cs="宋体"/>
          <w:color w:val="auto"/>
          <w:spacing w:val="-66"/>
          <w:sz w:val="18"/>
          <w:szCs w:val="18"/>
          <w:highlight w:val="none"/>
        </w:rPr>
        <w:t xml:space="preserve"> </w:t>
      </w:r>
      <w:r>
        <w:rPr>
          <w:rFonts w:hint="eastAsia" w:ascii="宋体" w:hAnsi="宋体" w:eastAsia="宋体" w:cs="宋体"/>
          <w:color w:val="auto"/>
          <w:spacing w:val="-1"/>
          <w:sz w:val="18"/>
          <w:szCs w:val="18"/>
          <w:highlight w:val="none"/>
        </w:rPr>
        <w:t>”。</w:t>
      </w:r>
    </w:p>
    <w:p w14:paraId="2CFB4298">
      <w:pPr>
        <w:pageBreakBefore/>
        <w:spacing w:line="360" w:lineRule="auto"/>
        <w:jc w:val="center"/>
        <w:outlineLvl w:val="0"/>
        <w:rPr>
          <w:rFonts w:hint="eastAsia" w:ascii="宋体" w:hAnsi="宋体" w:eastAsia="宋体" w:cs="宋体"/>
          <w:b/>
          <w:color w:val="auto"/>
          <w:sz w:val="32"/>
          <w:szCs w:val="32"/>
          <w:highlight w:val="none"/>
        </w:rPr>
      </w:pPr>
      <w:bookmarkStart w:id="95" w:name="_Toc16017"/>
      <w:r>
        <w:rPr>
          <w:rFonts w:hint="eastAsia" w:ascii="宋体" w:hAnsi="宋体" w:eastAsia="宋体" w:cs="宋体"/>
          <w:b/>
          <w:color w:val="auto"/>
          <w:sz w:val="32"/>
          <w:szCs w:val="32"/>
          <w:highlight w:val="none"/>
        </w:rPr>
        <w:t>第五章 附件格式</w:t>
      </w:r>
      <w:bookmarkEnd w:id="95"/>
    </w:p>
    <w:p w14:paraId="3BF7455F">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w:t>
      </w:r>
    </w:p>
    <w:p w14:paraId="5E4D1D4A">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对本章所有的响应文件格式 ，响应人可根据自身情况进行补充和修改，但补充和修改不得造成与本格式内容有实质性的违背。</w:t>
      </w:r>
    </w:p>
    <w:p w14:paraId="597ECDB4">
      <w:pPr>
        <w:spacing w:line="360" w:lineRule="auto"/>
        <w:ind w:firstLine="422"/>
        <w:rPr>
          <w:rFonts w:hint="eastAsia" w:ascii="宋体" w:hAnsi="宋体" w:eastAsia="宋体" w:cs="宋体"/>
          <w:b/>
          <w:color w:val="auto"/>
          <w:szCs w:val="21"/>
          <w:highlight w:val="none"/>
        </w:rPr>
      </w:pPr>
    </w:p>
    <w:p w14:paraId="5687FC8E">
      <w:pPr>
        <w:spacing w:line="360" w:lineRule="auto"/>
        <w:rPr>
          <w:rFonts w:hint="eastAsia" w:ascii="宋体" w:hAnsi="宋体" w:eastAsia="宋体" w:cs="宋体"/>
          <w:b/>
          <w:color w:val="auto"/>
          <w:szCs w:val="21"/>
          <w:highlight w:val="none"/>
        </w:rPr>
      </w:pPr>
    </w:p>
    <w:p w14:paraId="6001BA43">
      <w:pPr>
        <w:spacing w:line="360" w:lineRule="auto"/>
        <w:rPr>
          <w:rFonts w:hint="eastAsia" w:ascii="宋体" w:hAnsi="宋体" w:eastAsia="宋体" w:cs="宋体"/>
          <w:b/>
          <w:color w:val="auto"/>
          <w:szCs w:val="21"/>
          <w:highlight w:val="none"/>
        </w:rPr>
      </w:pPr>
    </w:p>
    <w:p w14:paraId="588C0BE9">
      <w:pPr>
        <w:spacing w:line="360" w:lineRule="auto"/>
        <w:rPr>
          <w:rFonts w:hint="eastAsia" w:ascii="宋体" w:hAnsi="宋体" w:eastAsia="宋体" w:cs="宋体"/>
          <w:b/>
          <w:color w:val="auto"/>
          <w:szCs w:val="21"/>
          <w:highlight w:val="none"/>
        </w:rPr>
      </w:pPr>
    </w:p>
    <w:p w14:paraId="1D953087">
      <w:pPr>
        <w:spacing w:line="360" w:lineRule="auto"/>
        <w:rPr>
          <w:rFonts w:hint="eastAsia" w:ascii="宋体" w:hAnsi="宋体" w:eastAsia="宋体" w:cs="宋体"/>
          <w:b/>
          <w:color w:val="auto"/>
          <w:szCs w:val="21"/>
          <w:highlight w:val="none"/>
        </w:rPr>
      </w:pPr>
    </w:p>
    <w:p w14:paraId="312DB8D7">
      <w:pPr>
        <w:spacing w:line="360" w:lineRule="auto"/>
        <w:rPr>
          <w:rFonts w:hint="eastAsia" w:ascii="宋体" w:hAnsi="宋体" w:eastAsia="宋体" w:cs="宋体"/>
          <w:b/>
          <w:color w:val="auto"/>
          <w:szCs w:val="21"/>
          <w:highlight w:val="none"/>
        </w:rPr>
      </w:pPr>
    </w:p>
    <w:p w14:paraId="4E47BF7B">
      <w:pPr>
        <w:spacing w:line="360" w:lineRule="auto"/>
        <w:rPr>
          <w:rFonts w:hint="eastAsia" w:ascii="宋体" w:hAnsi="宋体" w:eastAsia="宋体" w:cs="宋体"/>
          <w:b/>
          <w:color w:val="auto"/>
          <w:szCs w:val="21"/>
          <w:highlight w:val="none"/>
        </w:rPr>
      </w:pPr>
    </w:p>
    <w:p w14:paraId="6428041E">
      <w:pPr>
        <w:spacing w:line="360" w:lineRule="auto"/>
        <w:rPr>
          <w:rFonts w:hint="eastAsia" w:ascii="宋体" w:hAnsi="宋体" w:eastAsia="宋体" w:cs="宋体"/>
          <w:b/>
          <w:color w:val="auto"/>
          <w:szCs w:val="21"/>
          <w:highlight w:val="none"/>
        </w:rPr>
      </w:pPr>
    </w:p>
    <w:p w14:paraId="57C0F3A1">
      <w:pPr>
        <w:spacing w:line="360" w:lineRule="auto"/>
        <w:rPr>
          <w:rFonts w:hint="eastAsia" w:ascii="宋体" w:hAnsi="宋体" w:eastAsia="宋体" w:cs="宋体"/>
          <w:b/>
          <w:color w:val="auto"/>
          <w:szCs w:val="21"/>
          <w:highlight w:val="none"/>
        </w:rPr>
      </w:pPr>
    </w:p>
    <w:p w14:paraId="0B225FC6">
      <w:pPr>
        <w:spacing w:line="360" w:lineRule="auto"/>
        <w:rPr>
          <w:rFonts w:hint="eastAsia" w:ascii="宋体" w:hAnsi="宋体" w:eastAsia="宋体" w:cs="宋体"/>
          <w:b/>
          <w:color w:val="auto"/>
          <w:szCs w:val="21"/>
          <w:highlight w:val="none"/>
        </w:rPr>
      </w:pPr>
    </w:p>
    <w:p w14:paraId="04C4E4B3">
      <w:pPr>
        <w:spacing w:line="360" w:lineRule="auto"/>
        <w:rPr>
          <w:rFonts w:hint="eastAsia" w:ascii="宋体" w:hAnsi="宋体" w:eastAsia="宋体" w:cs="宋体"/>
          <w:b/>
          <w:color w:val="auto"/>
          <w:szCs w:val="21"/>
          <w:highlight w:val="none"/>
        </w:rPr>
      </w:pPr>
    </w:p>
    <w:p w14:paraId="03443F3C">
      <w:pPr>
        <w:spacing w:line="360" w:lineRule="auto"/>
        <w:rPr>
          <w:rFonts w:hint="eastAsia" w:ascii="宋体" w:hAnsi="宋体" w:eastAsia="宋体" w:cs="宋体"/>
          <w:b/>
          <w:color w:val="auto"/>
          <w:szCs w:val="21"/>
          <w:highlight w:val="none"/>
        </w:rPr>
      </w:pPr>
    </w:p>
    <w:p w14:paraId="69103F9E">
      <w:pPr>
        <w:spacing w:line="360" w:lineRule="auto"/>
        <w:rPr>
          <w:rFonts w:hint="eastAsia" w:ascii="宋体" w:hAnsi="宋体" w:eastAsia="宋体" w:cs="宋体"/>
          <w:b/>
          <w:color w:val="auto"/>
          <w:szCs w:val="21"/>
          <w:highlight w:val="none"/>
        </w:rPr>
      </w:pPr>
    </w:p>
    <w:p w14:paraId="08A078BC">
      <w:pPr>
        <w:spacing w:line="360" w:lineRule="auto"/>
        <w:rPr>
          <w:rFonts w:hint="eastAsia" w:ascii="宋体" w:hAnsi="宋体" w:eastAsia="宋体" w:cs="宋体"/>
          <w:b/>
          <w:color w:val="auto"/>
          <w:szCs w:val="21"/>
          <w:highlight w:val="none"/>
        </w:rPr>
      </w:pPr>
    </w:p>
    <w:p w14:paraId="47D2F621">
      <w:pPr>
        <w:spacing w:line="360" w:lineRule="auto"/>
        <w:rPr>
          <w:rFonts w:hint="eastAsia" w:ascii="宋体" w:hAnsi="宋体" w:eastAsia="宋体" w:cs="宋体"/>
          <w:b/>
          <w:color w:val="auto"/>
          <w:szCs w:val="21"/>
          <w:highlight w:val="none"/>
        </w:rPr>
      </w:pPr>
    </w:p>
    <w:p w14:paraId="2944B383">
      <w:pPr>
        <w:spacing w:line="360" w:lineRule="auto"/>
        <w:rPr>
          <w:rFonts w:hint="eastAsia" w:ascii="宋体" w:hAnsi="宋体" w:eastAsia="宋体" w:cs="宋体"/>
          <w:b/>
          <w:color w:val="auto"/>
          <w:szCs w:val="21"/>
          <w:highlight w:val="none"/>
        </w:rPr>
      </w:pPr>
    </w:p>
    <w:p w14:paraId="72FB1F29">
      <w:pPr>
        <w:spacing w:line="360" w:lineRule="auto"/>
        <w:rPr>
          <w:rFonts w:hint="eastAsia" w:ascii="宋体" w:hAnsi="宋体" w:eastAsia="宋体" w:cs="宋体"/>
          <w:b/>
          <w:color w:val="auto"/>
          <w:szCs w:val="21"/>
          <w:highlight w:val="none"/>
        </w:rPr>
      </w:pPr>
    </w:p>
    <w:p w14:paraId="38961487">
      <w:pPr>
        <w:spacing w:line="360" w:lineRule="auto"/>
        <w:rPr>
          <w:rFonts w:hint="eastAsia" w:ascii="宋体" w:hAnsi="宋体" w:eastAsia="宋体" w:cs="宋体"/>
          <w:b/>
          <w:color w:val="auto"/>
          <w:szCs w:val="21"/>
          <w:highlight w:val="none"/>
        </w:rPr>
      </w:pPr>
    </w:p>
    <w:p w14:paraId="28FC9BAE">
      <w:pPr>
        <w:spacing w:line="360" w:lineRule="auto"/>
        <w:rPr>
          <w:rFonts w:hint="eastAsia" w:ascii="宋体" w:hAnsi="宋体" w:eastAsia="宋体" w:cs="宋体"/>
          <w:b/>
          <w:color w:val="auto"/>
          <w:szCs w:val="21"/>
          <w:highlight w:val="none"/>
        </w:rPr>
      </w:pPr>
    </w:p>
    <w:p w14:paraId="4C5E72B3">
      <w:pPr>
        <w:spacing w:line="360" w:lineRule="auto"/>
        <w:rPr>
          <w:rFonts w:hint="eastAsia" w:ascii="宋体" w:hAnsi="宋体" w:eastAsia="宋体" w:cs="宋体"/>
          <w:b/>
          <w:color w:val="auto"/>
          <w:szCs w:val="21"/>
          <w:highlight w:val="none"/>
        </w:rPr>
      </w:pPr>
    </w:p>
    <w:p w14:paraId="6B0F4EAF">
      <w:pPr>
        <w:pStyle w:val="17"/>
        <w:rPr>
          <w:rFonts w:hint="eastAsia" w:ascii="宋体" w:hAnsi="宋体" w:eastAsia="宋体" w:cs="宋体"/>
          <w:color w:val="auto"/>
          <w:highlight w:val="none"/>
        </w:rPr>
      </w:pPr>
    </w:p>
    <w:p w14:paraId="7025C7FE">
      <w:pPr>
        <w:pStyle w:val="18"/>
        <w:rPr>
          <w:rFonts w:hint="eastAsia" w:ascii="宋体" w:hAnsi="宋体" w:eastAsia="宋体" w:cs="宋体"/>
          <w:color w:val="auto"/>
          <w:highlight w:val="none"/>
        </w:rPr>
      </w:pPr>
    </w:p>
    <w:p w14:paraId="043F2F9F">
      <w:pPr>
        <w:pStyle w:val="18"/>
        <w:rPr>
          <w:rFonts w:hint="eastAsia" w:ascii="宋体" w:hAnsi="宋体" w:eastAsia="宋体" w:cs="宋体"/>
          <w:color w:val="auto"/>
          <w:highlight w:val="none"/>
        </w:rPr>
      </w:pPr>
    </w:p>
    <w:p w14:paraId="5A09EA74">
      <w:pPr>
        <w:pStyle w:val="18"/>
        <w:rPr>
          <w:rFonts w:hint="eastAsia" w:ascii="宋体" w:hAnsi="宋体" w:eastAsia="宋体" w:cs="宋体"/>
          <w:color w:val="auto"/>
          <w:highlight w:val="none"/>
        </w:rPr>
      </w:pPr>
    </w:p>
    <w:p w14:paraId="29BAB396">
      <w:pPr>
        <w:spacing w:line="360" w:lineRule="auto"/>
        <w:rPr>
          <w:rFonts w:hint="eastAsia" w:ascii="宋体" w:hAnsi="宋体" w:eastAsia="宋体" w:cs="宋体"/>
          <w:b/>
          <w:color w:val="auto"/>
          <w:szCs w:val="21"/>
          <w:highlight w:val="none"/>
        </w:rPr>
      </w:pPr>
    </w:p>
    <w:p w14:paraId="6E8C5ECF">
      <w:pPr>
        <w:spacing w:line="360" w:lineRule="auto"/>
        <w:rPr>
          <w:rFonts w:hint="eastAsia" w:ascii="宋体" w:hAnsi="宋体" w:eastAsia="宋体" w:cs="宋体"/>
          <w:b/>
          <w:color w:val="auto"/>
          <w:szCs w:val="21"/>
          <w:highlight w:val="none"/>
        </w:rPr>
      </w:pPr>
    </w:p>
    <w:p w14:paraId="7EA7CA0B">
      <w:pPr>
        <w:spacing w:line="360" w:lineRule="auto"/>
        <w:rPr>
          <w:rFonts w:hint="eastAsia" w:ascii="宋体" w:hAnsi="宋体" w:eastAsia="宋体" w:cs="宋体"/>
          <w:b/>
          <w:color w:val="auto"/>
          <w:szCs w:val="21"/>
          <w:highlight w:val="none"/>
        </w:rPr>
      </w:pPr>
    </w:p>
    <w:p w14:paraId="2D328000">
      <w:pPr>
        <w:spacing w:line="360" w:lineRule="auto"/>
        <w:rPr>
          <w:rFonts w:hint="eastAsia" w:ascii="宋体" w:hAnsi="宋体" w:eastAsia="宋体" w:cs="宋体"/>
          <w:b/>
          <w:color w:val="auto"/>
          <w:szCs w:val="21"/>
          <w:highlight w:val="none"/>
        </w:rPr>
      </w:pPr>
    </w:p>
    <w:p w14:paraId="5BB28BEB">
      <w:pPr>
        <w:spacing w:line="360" w:lineRule="auto"/>
        <w:rPr>
          <w:rFonts w:hint="eastAsia" w:ascii="宋体" w:hAnsi="宋体" w:eastAsia="宋体" w:cs="宋体"/>
          <w:b/>
          <w:color w:val="auto"/>
          <w:szCs w:val="21"/>
          <w:highlight w:val="none"/>
        </w:rPr>
      </w:pPr>
    </w:p>
    <w:p w14:paraId="1B387922">
      <w:pPr>
        <w:spacing w:line="360" w:lineRule="auto"/>
        <w:rPr>
          <w:rFonts w:hint="eastAsia" w:ascii="宋体" w:hAnsi="宋体" w:eastAsia="宋体" w:cs="宋体"/>
          <w:b/>
          <w:color w:val="auto"/>
          <w:szCs w:val="21"/>
          <w:highlight w:val="none"/>
        </w:rPr>
      </w:pPr>
    </w:p>
    <w:p w14:paraId="415B49A0">
      <w:pPr>
        <w:spacing w:line="360" w:lineRule="auto"/>
        <w:rPr>
          <w:rFonts w:hint="eastAsia" w:ascii="宋体" w:hAnsi="宋体" w:eastAsia="宋体" w:cs="宋体"/>
          <w:b/>
          <w:color w:val="auto"/>
          <w:szCs w:val="21"/>
          <w:highlight w:val="none"/>
        </w:rPr>
      </w:pPr>
    </w:p>
    <w:p w14:paraId="2239ECE0">
      <w:pPr>
        <w:keepNext w:val="0"/>
        <w:keepLines w:val="0"/>
        <w:pageBreakBefore w:val="0"/>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
          <w:color w:val="auto"/>
          <w:sz w:val="21"/>
          <w:szCs w:val="21"/>
          <w:highlight w:val="none"/>
        </w:rPr>
      </w:pPr>
      <w:bookmarkStart w:id="96" w:name="_Toc21334"/>
      <w:r>
        <w:rPr>
          <w:rFonts w:hint="eastAsia" w:ascii="宋体" w:hAnsi="宋体" w:eastAsia="宋体" w:cs="宋体"/>
          <w:b/>
          <w:color w:val="auto"/>
          <w:sz w:val="21"/>
          <w:szCs w:val="21"/>
          <w:highlight w:val="none"/>
        </w:rPr>
        <w:t>附件1：磋商响应承诺书</w:t>
      </w:r>
      <w:bookmarkEnd w:id="96"/>
    </w:p>
    <w:p w14:paraId="529F731F">
      <w:pPr>
        <w:pStyle w:val="234"/>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磋商响应承诺书</w:t>
      </w:r>
    </w:p>
    <w:p w14:paraId="1915520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苏州达仁建设工程咨询有限公司</w:t>
      </w:r>
      <w:r>
        <w:rPr>
          <w:rFonts w:hint="eastAsia" w:ascii="宋体" w:hAnsi="宋体" w:eastAsia="宋体" w:cs="宋体"/>
          <w:color w:val="auto"/>
          <w:sz w:val="21"/>
          <w:szCs w:val="21"/>
          <w:highlight w:val="none"/>
          <w:u w:val="single"/>
        </w:rPr>
        <w:t>：</w:t>
      </w:r>
    </w:p>
    <w:p w14:paraId="3BA8DD5C">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我们收到</w:t>
      </w:r>
      <w:r>
        <w:rPr>
          <w:rFonts w:hint="eastAsia" w:ascii="宋体" w:hAnsi="宋体" w:eastAsia="宋体" w:cs="宋体"/>
          <w:color w:val="auto"/>
          <w:sz w:val="21"/>
          <w:szCs w:val="21"/>
          <w:highlight w:val="none"/>
          <w:lang w:val="zh-CN"/>
        </w:rPr>
        <w:t>贵公司</w:t>
      </w:r>
      <w:r>
        <w:rPr>
          <w:rFonts w:hint="eastAsia" w:ascii="宋体" w:hAnsi="宋体" w:eastAsia="宋体" w:cs="宋体"/>
          <w:color w:val="auto"/>
          <w:sz w:val="21"/>
          <w:szCs w:val="21"/>
          <w:highlight w:val="none"/>
          <w:u w:val="single"/>
        </w:rPr>
        <w:t xml:space="preserve">         号</w:t>
      </w:r>
      <w:r>
        <w:rPr>
          <w:rFonts w:hint="eastAsia" w:ascii="宋体" w:hAnsi="宋体" w:eastAsia="宋体" w:cs="宋体"/>
          <w:color w:val="auto"/>
          <w:sz w:val="21"/>
          <w:szCs w:val="21"/>
          <w:highlight w:val="none"/>
        </w:rPr>
        <w:t>磋商采购文件，经仔细阅读和研究，我们决定参加</w:t>
      </w:r>
      <w:r>
        <w:rPr>
          <w:rFonts w:hint="eastAsia" w:ascii="宋体" w:hAnsi="宋体" w:eastAsia="宋体" w:cs="宋体"/>
          <w:color w:val="auto"/>
          <w:sz w:val="21"/>
          <w:szCs w:val="21"/>
          <w:highlight w:val="none"/>
          <w:u w:val="single"/>
        </w:rPr>
        <w:t xml:space="preserve">     标段</w:t>
      </w:r>
      <w:r>
        <w:rPr>
          <w:rFonts w:hint="eastAsia" w:ascii="宋体" w:hAnsi="宋体" w:eastAsia="宋体" w:cs="宋体"/>
          <w:color w:val="auto"/>
          <w:sz w:val="21"/>
          <w:szCs w:val="21"/>
          <w:highlight w:val="none"/>
        </w:rPr>
        <w:t>磋商。</w:t>
      </w:r>
    </w:p>
    <w:p w14:paraId="60294FC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们愿意按照采购文件的一切要求，提供本项目服务，投标报价包含完成本项目服务所需全部费用，报价明细见《磋商响应报价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p>
    <w:p w14:paraId="6528F644">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2.如果我们的响应文件被接受，我们将严格履行采购文件中规定的每一项要求，按期、按质、按量履行合同的义务。</w:t>
      </w:r>
      <w:r>
        <w:rPr>
          <w:rFonts w:hint="eastAsia" w:ascii="宋体" w:hAnsi="宋体" w:eastAsia="宋体" w:cs="宋体"/>
          <w:color w:val="auto"/>
          <w:sz w:val="21"/>
          <w:szCs w:val="21"/>
          <w:highlight w:val="none"/>
          <w:lang w:val="zh-CN"/>
        </w:rPr>
        <w:t>我方承诺：将拟任</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（身份证号码：</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）为本次项目的项目负责人，共有</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人参加本项目的服务工作</w:t>
      </w:r>
      <w:r>
        <w:rPr>
          <w:rFonts w:hint="eastAsia" w:ascii="宋体" w:hAnsi="宋体" w:eastAsia="宋体" w:cs="宋体"/>
          <w:color w:val="auto"/>
          <w:sz w:val="21"/>
          <w:szCs w:val="21"/>
          <w:highlight w:val="none"/>
        </w:rPr>
        <w:t>。</w:t>
      </w:r>
    </w:p>
    <w:p w14:paraId="5C1536EA">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3.我们已详细阅读全部磋商文件，包括更正公告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，对磋商文件及更正公告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无任何异议。</w:t>
      </w:r>
    </w:p>
    <w:p w14:paraId="350BEF4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4.我们同意按磋商文件中的规定，本响应文件的有效期限自提交响应文件截止时间之日起 90 天。</w:t>
      </w:r>
    </w:p>
    <w:p w14:paraId="3D96DC2E">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5.我们愿意提供磋商采购单位在磋商文件中要求的相关资料。</w:t>
      </w:r>
    </w:p>
    <w:p w14:paraId="540F983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6.我们愿意遵守磋商文件中所列的收费标准。</w:t>
      </w:r>
    </w:p>
    <w:p w14:paraId="1252FAD1">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7.我们承诺该响应文件在磋商开始后的全过程中保持有效，不作任何更改和变动。</w:t>
      </w:r>
    </w:p>
    <w:p w14:paraId="7BE0B04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如我方成为成交单位，我们愿意在签订合同时支付履约保证金，我方愿意在领取成交通知书时按采购文件的规定向采购代理机构支付采购代理服务费。</w:t>
      </w:r>
    </w:p>
    <w:p w14:paraId="2BAA52BE">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9.我们愿意按照《中华人民共和国民法典》履行自己应该承担的全部责任。</w:t>
      </w:r>
    </w:p>
    <w:p w14:paraId="6CC1279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10.我们承诺我公司单位负责人或股东与从事本工程施工、施工劳务、工程材料供应、施工器械租赁、咨询服务等相关业务的企业不存在交叉股权关系或者管理等影响社会咨询企业独立性的情况。</w:t>
      </w:r>
    </w:p>
    <w:p w14:paraId="67632347">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11.我们承诺我公司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包括母公司、全资子公司及控股公司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与被审计单位或者审计事项不存在利害关系，未从事过该标段项目的概算编制、概算评审、预算编制、预算评审、招标代理、监理、施工、勘察设计等相关业务。</w:t>
      </w:r>
    </w:p>
    <w:p w14:paraId="60D821F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我们承诺我公司符合磋商文件供应商须知中“合格供应商的基本、特定条件”的要求，若与真实情况不符，本公司愿意承担由此而产生的一切后果，并保证全部磋商响应文件内容真实有效，若有虚假，我公司愿意承担与此相关的一切责任。</w:t>
      </w:r>
    </w:p>
    <w:p w14:paraId="1BED2D28">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所有有关标书的函电，请按下列地址联系：  </w:t>
      </w:r>
    </w:p>
    <w:p w14:paraId="65CC00D3">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                             联系人：</w:t>
      </w:r>
    </w:p>
    <w:p w14:paraId="0133A032">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邮政编码：</w:t>
      </w:r>
    </w:p>
    <w:p w14:paraId="11107B8B">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                         传真：</w:t>
      </w:r>
    </w:p>
    <w:p w14:paraId="512E5710">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供应商：（公章）</w:t>
      </w:r>
    </w:p>
    <w:p w14:paraId="06797BAE">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p>
    <w:p w14:paraId="4EAE1E5F">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14:paraId="508DF929">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1CCB91BB">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1F7B349">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52DE2CCA">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0BA6C15">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11853062">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32FA8C40">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62F0C25">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502398B4">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7230AC0">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D280E57">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311BAFC">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113C595">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6723918">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62F5CE84">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56B25F78">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669DC2C">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6D03008">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31B1A25B">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61D012F">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9257665">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37BA4CAD">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3A92F9BA">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E0FC329">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9F8432F">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601E0361">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FA61F2C">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4C9586B">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A1B26A5">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897F2ED">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68A8139">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CBE95A5">
      <w:pPr>
        <w:pStyle w:val="226"/>
        <w:keepNext w:val="0"/>
        <w:keepLines w:val="0"/>
        <w:pageBreakBefore w:val="0"/>
        <w:kinsoku/>
        <w:wordWrap/>
        <w:overflowPunct/>
        <w:topLinePunct w:val="0"/>
        <w:autoSpaceDE/>
        <w:autoSpaceDN/>
        <w:bidi w:val="0"/>
        <w:adjustRightInd/>
        <w:snapToGrid w:val="0"/>
        <w:spacing w:line="360" w:lineRule="auto"/>
        <w:ind w:firstLine="0" w:firstLineChars="0"/>
        <w:textAlignment w:val="auto"/>
        <w:outlineLvl w:val="1"/>
        <w:rPr>
          <w:rFonts w:hint="eastAsia" w:ascii="宋体" w:hAnsi="宋体" w:eastAsia="宋体" w:cs="宋体"/>
          <w:b/>
          <w:color w:val="auto"/>
          <w:sz w:val="21"/>
          <w:szCs w:val="21"/>
          <w:highlight w:val="none"/>
        </w:rPr>
      </w:pPr>
      <w:bookmarkStart w:id="97" w:name="_Toc6030"/>
      <w:r>
        <w:rPr>
          <w:rFonts w:hint="eastAsia" w:ascii="宋体" w:hAnsi="宋体" w:eastAsia="宋体" w:cs="宋体"/>
          <w:b/>
          <w:color w:val="auto"/>
          <w:sz w:val="21"/>
          <w:szCs w:val="21"/>
          <w:highlight w:val="none"/>
        </w:rPr>
        <w:t>附件2：（磋商响应单位）法定代表人授权委托书</w:t>
      </w:r>
      <w:bookmarkEnd w:id="97"/>
    </w:p>
    <w:p w14:paraId="7918F420">
      <w:pPr>
        <w:pStyle w:val="22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p>
    <w:p w14:paraId="3D55F7A3">
      <w:pPr>
        <w:pStyle w:val="22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法定代表人授权委托书</w:t>
      </w:r>
    </w:p>
    <w:p w14:paraId="3BB3EAC5">
      <w:pPr>
        <w:pStyle w:val="22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B48A7C1">
      <w:pPr>
        <w:pStyle w:val="22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（磋商响应单位名称）的法定代表人，现授权委托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（姓名）为我公司委托代理人，以本公司的名义参加</w:t>
      </w:r>
      <w:r>
        <w:rPr>
          <w:rFonts w:hint="eastAsia" w:ascii="宋体" w:hAnsi="宋体" w:eastAsia="宋体" w:cs="宋体"/>
          <w:color w:val="auto"/>
          <w:sz w:val="21"/>
          <w:szCs w:val="21"/>
          <w:highlight w:val="none"/>
          <w:lang w:eastAsia="zh-CN"/>
        </w:rPr>
        <w:t>苏州达仁建设工程咨询有限公司</w:t>
      </w:r>
      <w:r>
        <w:rPr>
          <w:rFonts w:hint="eastAsia" w:ascii="宋体" w:hAnsi="宋体" w:eastAsia="宋体" w:cs="宋体"/>
          <w:color w:val="auto"/>
          <w:sz w:val="21"/>
          <w:szCs w:val="21"/>
          <w:highlight w:val="none"/>
        </w:rPr>
        <w:t>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标段的磋商采购活动。委托代理人在报名、制作磋商响应文件、磋商、评标、合同磋商过程中所签署的一切文件和处理与这有关的一切事务，我均予以承认。</w:t>
      </w:r>
    </w:p>
    <w:p w14:paraId="1022454E">
      <w:pPr>
        <w:pStyle w:val="226"/>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委托代理人在授权委托书有效期内签署的所有文件不因授权委托的撤销而失效，除非有撤销授权委托的书面通知，本授权委托书自签署之时起至合同履行完毕止。</w:t>
      </w:r>
    </w:p>
    <w:p w14:paraId="6CCC1DA6">
      <w:pPr>
        <w:pStyle w:val="226"/>
        <w:keepNext w:val="0"/>
        <w:keepLines w:val="0"/>
        <w:pageBreakBefore w:val="0"/>
        <w:kinsoku/>
        <w:wordWrap/>
        <w:overflowPunct/>
        <w:topLinePunct w:val="0"/>
        <w:autoSpaceDE/>
        <w:autoSpaceDN/>
        <w:bidi w:val="0"/>
        <w:adjustRightInd/>
        <w:snapToGrid w:val="0"/>
        <w:spacing w:line="360" w:lineRule="auto"/>
        <w:ind w:firstLine="51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委托代理人无转委托权。特此委托。</w:t>
      </w:r>
    </w:p>
    <w:p w14:paraId="77947AD3">
      <w:pPr>
        <w:pStyle w:val="226"/>
        <w:keepNext w:val="0"/>
        <w:keepLines w:val="0"/>
        <w:pageBreakBefore w:val="0"/>
        <w:kinsoku/>
        <w:wordWrap/>
        <w:overflowPunct/>
        <w:topLinePunct w:val="0"/>
        <w:autoSpaceDE/>
        <w:autoSpaceDN/>
        <w:bidi w:val="0"/>
        <w:adjustRightInd/>
        <w:snapToGrid w:val="0"/>
        <w:spacing w:line="360" w:lineRule="auto"/>
        <w:ind w:firstLine="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F4F9267">
      <w:pPr>
        <w:pStyle w:val="226"/>
        <w:keepNext w:val="0"/>
        <w:keepLines w:val="0"/>
        <w:pageBreakBefore w:val="0"/>
        <w:kinsoku/>
        <w:wordWrap/>
        <w:overflowPunct/>
        <w:topLinePunct w:val="0"/>
        <w:autoSpaceDE/>
        <w:autoSpaceDN/>
        <w:bidi w:val="0"/>
        <w:adjustRightInd/>
        <w:snapToGrid w:val="0"/>
        <w:spacing w:line="360" w:lineRule="auto"/>
        <w:ind w:firstLine="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磋商响应单位：（公章）</w:t>
      </w:r>
    </w:p>
    <w:p w14:paraId="56BB78C0">
      <w:pPr>
        <w:pStyle w:val="226"/>
        <w:keepNext w:val="0"/>
        <w:keepLines w:val="0"/>
        <w:pageBreakBefore w:val="0"/>
        <w:kinsoku/>
        <w:wordWrap/>
        <w:overflowPunct/>
        <w:topLinePunct w:val="0"/>
        <w:autoSpaceDE/>
        <w:autoSpaceDN/>
        <w:bidi w:val="0"/>
        <w:adjustRightInd/>
        <w:snapToGrid w:val="0"/>
        <w:spacing w:line="360" w:lineRule="auto"/>
        <w:ind w:firstLine="200"/>
        <w:textAlignment w:val="auto"/>
        <w:rPr>
          <w:rFonts w:hint="eastAsia" w:ascii="宋体" w:hAnsi="宋体" w:eastAsia="宋体" w:cs="宋体"/>
          <w:color w:val="auto"/>
          <w:sz w:val="21"/>
          <w:szCs w:val="21"/>
          <w:highlight w:val="none"/>
        </w:rPr>
      </w:pPr>
    </w:p>
    <w:p w14:paraId="2D55ED2C">
      <w:pPr>
        <w:pStyle w:val="226"/>
        <w:keepNext w:val="0"/>
        <w:keepLines w:val="0"/>
        <w:pageBreakBefore w:val="0"/>
        <w:kinsoku/>
        <w:wordWrap/>
        <w:overflowPunct/>
        <w:topLinePunct w:val="0"/>
        <w:autoSpaceDE/>
        <w:autoSpaceDN/>
        <w:bidi w:val="0"/>
        <w:adjustRightInd/>
        <w:snapToGrid w:val="0"/>
        <w:spacing w:line="360" w:lineRule="auto"/>
        <w:ind w:firstLine="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法定代表人：（签字或签章）</w:t>
      </w:r>
    </w:p>
    <w:p w14:paraId="01CB76C9">
      <w:pPr>
        <w:pStyle w:val="226"/>
        <w:keepNext w:val="0"/>
        <w:keepLines w:val="0"/>
        <w:pageBreakBefore w:val="0"/>
        <w:kinsoku/>
        <w:wordWrap/>
        <w:overflowPunct/>
        <w:topLinePunct w:val="0"/>
        <w:autoSpaceDE/>
        <w:autoSpaceDN/>
        <w:bidi w:val="0"/>
        <w:adjustRightInd/>
        <w:snapToGrid w:val="0"/>
        <w:spacing w:line="360" w:lineRule="auto"/>
        <w:ind w:firstLine="200"/>
        <w:textAlignment w:val="auto"/>
        <w:rPr>
          <w:rFonts w:hint="eastAsia" w:ascii="宋体" w:hAnsi="宋体" w:eastAsia="宋体" w:cs="宋体"/>
          <w:color w:val="auto"/>
          <w:sz w:val="21"/>
          <w:szCs w:val="21"/>
          <w:highlight w:val="none"/>
        </w:rPr>
      </w:pPr>
    </w:p>
    <w:p w14:paraId="4FC9861A">
      <w:pPr>
        <w:pStyle w:val="226"/>
        <w:keepNext w:val="0"/>
        <w:keepLines w:val="0"/>
        <w:pageBreakBefore w:val="0"/>
        <w:kinsoku/>
        <w:wordWrap/>
        <w:overflowPunct/>
        <w:topLinePunct w:val="0"/>
        <w:autoSpaceDE/>
        <w:autoSpaceDN/>
        <w:bidi w:val="0"/>
        <w:adjustRightInd/>
        <w:snapToGrid w:val="0"/>
        <w:spacing w:line="360" w:lineRule="auto"/>
        <w:ind w:firstLine="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委托代理人：（签字或签章）</w:t>
      </w:r>
    </w:p>
    <w:p w14:paraId="50989E26">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color w:val="auto"/>
          <w:sz w:val="21"/>
          <w:szCs w:val="21"/>
          <w:highlight w:val="none"/>
        </w:rPr>
      </w:pPr>
    </w:p>
    <w:p w14:paraId="6DB39781">
      <w:pPr>
        <w:pStyle w:val="226"/>
        <w:keepNext w:val="0"/>
        <w:keepLines w:val="0"/>
        <w:pageBreakBefore w:val="0"/>
        <w:kinsoku/>
        <w:wordWrap/>
        <w:overflowPunct/>
        <w:topLinePunct w:val="0"/>
        <w:autoSpaceDE/>
        <w:autoSpaceDN/>
        <w:bidi w:val="0"/>
        <w:adjustRightInd/>
        <w:snapToGrid w:val="0"/>
        <w:spacing w:line="360" w:lineRule="auto"/>
        <w:ind w:firstLine="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72924F45">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5D36E2A0">
      <w:pPr>
        <w:pStyle w:val="226"/>
        <w:keepNext w:val="0"/>
        <w:keepLines w:val="0"/>
        <w:pageBreakBefore w:val="0"/>
        <w:kinsoku/>
        <w:wordWrap/>
        <w:overflowPunct/>
        <w:topLinePunct w:val="0"/>
        <w:autoSpaceDE/>
        <w:autoSpaceDN/>
        <w:bidi w:val="0"/>
        <w:adjustRightInd/>
        <w:snapToGrid w:val="0"/>
        <w:spacing w:line="360" w:lineRule="auto"/>
        <w:ind w:firstLine="200" w:firstLineChars="0"/>
        <w:textAlignment w:val="auto"/>
        <w:outlineLvl w:val="1"/>
        <w:rPr>
          <w:rFonts w:hint="eastAsia" w:ascii="宋体" w:hAnsi="宋体" w:eastAsia="宋体" w:cs="宋体"/>
          <w:color w:val="auto"/>
          <w:sz w:val="21"/>
          <w:szCs w:val="21"/>
          <w:highlight w:val="none"/>
        </w:rPr>
      </w:pPr>
      <w:bookmarkStart w:id="98" w:name="_Toc12030"/>
      <w:r>
        <w:rPr>
          <w:rFonts w:hint="eastAsia" w:ascii="宋体" w:hAnsi="宋体" w:eastAsia="宋体" w:cs="宋体"/>
          <w:color w:val="auto"/>
          <w:sz w:val="21"/>
          <w:szCs w:val="21"/>
          <w:highlight w:val="none"/>
        </w:rPr>
        <w:t>附：法人代表、授权</w:t>
      </w:r>
      <w:r>
        <w:rPr>
          <w:rFonts w:hint="eastAsia" w:ascii="宋体" w:hAnsi="宋体" w:eastAsia="宋体" w:cs="宋体"/>
          <w:color w:val="auto"/>
          <w:sz w:val="21"/>
          <w:szCs w:val="21"/>
          <w:highlight w:val="none"/>
          <w:lang w:eastAsia="zh-CN"/>
        </w:rPr>
        <w:t>委托代理人</w:t>
      </w:r>
      <w:r>
        <w:rPr>
          <w:rFonts w:hint="eastAsia" w:ascii="宋体" w:hAnsi="宋体" w:eastAsia="宋体" w:cs="宋体"/>
          <w:color w:val="auto"/>
          <w:sz w:val="21"/>
          <w:szCs w:val="21"/>
          <w:highlight w:val="none"/>
        </w:rPr>
        <w:t>的身份证正反面扫描件</w:t>
      </w:r>
      <w:bookmarkEnd w:id="98"/>
    </w:p>
    <w:tbl>
      <w:tblPr>
        <w:tblStyle w:val="38"/>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5" w:type="dxa"/>
          <w:bottom w:w="0" w:type="dxa"/>
          <w:right w:w="105" w:type="dxa"/>
        </w:tblCellMar>
      </w:tblPr>
      <w:tblGrid>
        <w:gridCol w:w="8565"/>
      </w:tblGrid>
      <w:tr w14:paraId="731A2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5" w:type="dxa"/>
            <w:bottom w:w="0" w:type="dxa"/>
            <w:right w:w="105" w:type="dxa"/>
          </w:tblCellMar>
        </w:tblPrEx>
        <w:trPr>
          <w:trHeight w:val="645" w:hRule="atLeast"/>
        </w:trPr>
        <w:tc>
          <w:tcPr>
            <w:tcW w:w="8565" w:type="dxa"/>
            <w:noWrap w:val="0"/>
            <w:tcMar>
              <w:top w:w="0" w:type="dxa"/>
              <w:left w:w="105" w:type="dxa"/>
              <w:bottom w:w="0" w:type="dxa"/>
              <w:right w:w="105" w:type="dxa"/>
            </w:tcMar>
            <w:vAlign w:val="center"/>
          </w:tcPr>
          <w:p w14:paraId="3266AC40">
            <w:pPr>
              <w:pStyle w:val="258"/>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olor w:val="auto"/>
                <w:sz w:val="21"/>
                <w:szCs w:val="21"/>
                <w:highlight w:val="none"/>
              </w:rPr>
            </w:pPr>
            <w:r>
              <w:rPr>
                <w:rStyle w:val="268"/>
                <w:rFonts w:hint="eastAsia" w:ascii="宋体" w:hAnsi="宋体" w:eastAsia="宋体" w:cs="宋体"/>
                <w:color w:val="auto"/>
                <w:sz w:val="21"/>
                <w:szCs w:val="21"/>
                <w:highlight w:val="none"/>
              </w:rPr>
              <w:t> </w:t>
            </w:r>
          </w:p>
          <w:p w14:paraId="329DF6E5">
            <w:pPr>
              <w:pStyle w:val="258"/>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olor w:val="auto"/>
                <w:sz w:val="21"/>
                <w:szCs w:val="21"/>
                <w:highlight w:val="none"/>
              </w:rPr>
            </w:pPr>
            <w:r>
              <w:rPr>
                <w:rStyle w:val="268"/>
                <w:rFonts w:hint="eastAsia" w:ascii="宋体" w:hAnsi="宋体" w:eastAsia="宋体" w:cs="宋体"/>
                <w:color w:val="auto"/>
                <w:sz w:val="21"/>
                <w:szCs w:val="21"/>
                <w:highlight w:val="none"/>
              </w:rPr>
              <w:t>要求：真实、有效、清晰</w:t>
            </w:r>
          </w:p>
          <w:p w14:paraId="5DB1B607">
            <w:pPr>
              <w:pStyle w:val="258"/>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olor w:val="auto"/>
                <w:sz w:val="21"/>
                <w:szCs w:val="21"/>
                <w:highlight w:val="none"/>
              </w:rPr>
            </w:pPr>
            <w:r>
              <w:rPr>
                <w:rStyle w:val="268"/>
                <w:rFonts w:hint="eastAsia" w:ascii="宋体" w:hAnsi="宋体" w:eastAsia="宋体" w:cs="宋体"/>
                <w:color w:val="auto"/>
                <w:sz w:val="21"/>
                <w:szCs w:val="21"/>
                <w:highlight w:val="none"/>
              </w:rPr>
              <w:t> </w:t>
            </w:r>
          </w:p>
        </w:tc>
      </w:tr>
    </w:tbl>
    <w:p w14:paraId="52C92AFA">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16D2FE99">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298D8322">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38F37507">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79F3385E">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1EB970D7">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59F15D52">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41BC9F99">
      <w:pPr>
        <w:keepNext w:val="0"/>
        <w:keepLines w:val="0"/>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1"/>
          <w:szCs w:val="21"/>
          <w:highlight w:val="none"/>
        </w:rPr>
      </w:pPr>
    </w:p>
    <w:p w14:paraId="4CDF8218">
      <w:pPr>
        <w:keepNext w:val="0"/>
        <w:keepLines w:val="0"/>
        <w:pageBreakBefore w:val="0"/>
        <w:kinsoku/>
        <w:wordWrap/>
        <w:overflowPunct/>
        <w:topLinePunct w:val="0"/>
        <w:autoSpaceDE/>
        <w:autoSpaceDN/>
        <w:bidi w:val="0"/>
        <w:adjustRightInd/>
        <w:snapToGrid w:val="0"/>
        <w:spacing w:line="360" w:lineRule="auto"/>
        <w:ind w:right="480" w:rightChars="0"/>
        <w:textAlignment w:val="auto"/>
        <w:outlineLvl w:val="1"/>
        <w:rPr>
          <w:rFonts w:hint="eastAsia" w:ascii="宋体" w:hAnsi="宋体" w:eastAsia="宋体" w:cs="宋体"/>
          <w:b/>
          <w:bCs/>
          <w:color w:val="auto"/>
          <w:sz w:val="21"/>
          <w:szCs w:val="21"/>
          <w:highlight w:val="none"/>
          <w:lang w:val="zh-CN"/>
        </w:rPr>
      </w:pPr>
      <w:bookmarkStart w:id="99" w:name="_Toc14672"/>
      <w:r>
        <w:rPr>
          <w:rFonts w:hint="eastAsia" w:ascii="宋体" w:hAnsi="宋体" w:eastAsia="宋体" w:cs="宋体"/>
          <w:b/>
          <w:color w:val="auto"/>
          <w:sz w:val="21"/>
          <w:szCs w:val="21"/>
          <w:highlight w:val="none"/>
        </w:rPr>
        <w:t>附件3：开标一览表</w:t>
      </w:r>
      <w:bookmarkEnd w:id="99"/>
    </w:p>
    <w:p w14:paraId="02743FF0">
      <w:pPr>
        <w:keepNext w:val="0"/>
        <w:keepLines w:val="0"/>
        <w:pageBreakBefore w:val="0"/>
        <w:kinsoku/>
        <w:wordWrap/>
        <w:overflowPunct/>
        <w:topLinePunct w:val="0"/>
        <w:autoSpaceDE/>
        <w:autoSpaceDN/>
        <w:bidi w:val="0"/>
        <w:adjustRightInd/>
        <w:snapToGrid w:val="0"/>
        <w:spacing w:line="360" w:lineRule="auto"/>
        <w:ind w:right="48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标段）</w:t>
      </w:r>
    </w:p>
    <w:p w14:paraId="5FE02380">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bl>
      <w:tblPr>
        <w:tblStyle w:val="38"/>
        <w:tblpPr w:leftFromText="180" w:rightFromText="180" w:vertAnchor="text" w:horzAnchor="page" w:tblpX="1699" w:tblpY="415"/>
        <w:tblW w:w="8717" w:type="dxa"/>
        <w:tblInd w:w="0" w:type="dxa"/>
        <w:tblLayout w:type="fixed"/>
        <w:tblCellMar>
          <w:top w:w="0" w:type="dxa"/>
          <w:left w:w="108" w:type="dxa"/>
          <w:bottom w:w="0" w:type="dxa"/>
          <w:right w:w="108" w:type="dxa"/>
        </w:tblCellMar>
      </w:tblPr>
      <w:tblGrid>
        <w:gridCol w:w="1517"/>
        <w:gridCol w:w="7200"/>
      </w:tblGrid>
      <w:tr w14:paraId="50442990">
        <w:tblPrEx>
          <w:tblCellMar>
            <w:top w:w="0" w:type="dxa"/>
            <w:left w:w="108" w:type="dxa"/>
            <w:bottom w:w="0" w:type="dxa"/>
            <w:right w:w="108" w:type="dxa"/>
          </w:tblCellMar>
        </w:tblPrEx>
        <w:trPr>
          <w:trHeight w:val="506"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48DA19AA">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200" w:type="dxa"/>
            <w:tcBorders>
              <w:top w:val="single" w:color="auto" w:sz="4" w:space="0"/>
              <w:left w:val="nil"/>
              <w:bottom w:val="single" w:color="auto" w:sz="4" w:space="0"/>
              <w:right w:val="single" w:color="auto" w:sz="4" w:space="0"/>
            </w:tcBorders>
            <w:noWrap w:val="0"/>
            <w:vAlign w:val="center"/>
          </w:tcPr>
          <w:p w14:paraId="65AFE51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654DDF41">
        <w:tblPrEx>
          <w:tblCellMar>
            <w:top w:w="0" w:type="dxa"/>
            <w:left w:w="108" w:type="dxa"/>
            <w:bottom w:w="0" w:type="dxa"/>
            <w:right w:w="108" w:type="dxa"/>
          </w:tblCellMar>
        </w:tblPrEx>
        <w:trPr>
          <w:trHeight w:val="443"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62C0E1D4">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采购编号</w:t>
            </w:r>
          </w:p>
        </w:tc>
        <w:tc>
          <w:tcPr>
            <w:tcW w:w="7200" w:type="dxa"/>
            <w:tcBorders>
              <w:top w:val="single" w:color="auto" w:sz="4" w:space="0"/>
              <w:left w:val="nil"/>
              <w:bottom w:val="single" w:color="auto" w:sz="4" w:space="0"/>
              <w:right w:val="single" w:color="auto" w:sz="4" w:space="0"/>
            </w:tcBorders>
            <w:noWrap w:val="0"/>
            <w:vAlign w:val="center"/>
          </w:tcPr>
          <w:p w14:paraId="330359C1">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3CFA8945">
        <w:tblPrEx>
          <w:tblCellMar>
            <w:top w:w="0" w:type="dxa"/>
            <w:left w:w="108" w:type="dxa"/>
            <w:bottom w:w="0" w:type="dxa"/>
            <w:right w:w="108" w:type="dxa"/>
          </w:tblCellMar>
        </w:tblPrEx>
        <w:trPr>
          <w:trHeight w:val="443"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62D6FE98">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标段名称</w:t>
            </w:r>
          </w:p>
        </w:tc>
        <w:tc>
          <w:tcPr>
            <w:tcW w:w="7200" w:type="dxa"/>
            <w:tcBorders>
              <w:top w:val="single" w:color="auto" w:sz="4" w:space="0"/>
              <w:left w:val="nil"/>
              <w:bottom w:val="single" w:color="auto" w:sz="4" w:space="0"/>
              <w:right w:val="single" w:color="auto" w:sz="4" w:space="0"/>
            </w:tcBorders>
            <w:noWrap w:val="0"/>
            <w:vAlign w:val="center"/>
          </w:tcPr>
          <w:p w14:paraId="1BE20F22">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3BC4E40D">
        <w:tblPrEx>
          <w:tblCellMar>
            <w:top w:w="0" w:type="dxa"/>
            <w:left w:w="108" w:type="dxa"/>
            <w:bottom w:w="0" w:type="dxa"/>
            <w:right w:w="108" w:type="dxa"/>
          </w:tblCellMar>
        </w:tblPrEx>
        <w:trPr>
          <w:trHeight w:val="443"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2E8FE2F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服务期限</w:t>
            </w:r>
          </w:p>
        </w:tc>
        <w:tc>
          <w:tcPr>
            <w:tcW w:w="7200" w:type="dxa"/>
            <w:tcBorders>
              <w:top w:val="single" w:color="auto" w:sz="4" w:space="0"/>
              <w:left w:val="nil"/>
              <w:bottom w:val="single" w:color="auto" w:sz="4" w:space="0"/>
              <w:right w:val="single" w:color="auto" w:sz="4" w:space="0"/>
            </w:tcBorders>
            <w:noWrap w:val="0"/>
            <w:vAlign w:val="center"/>
          </w:tcPr>
          <w:p w14:paraId="7431D4F0">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44604D63">
        <w:tblPrEx>
          <w:tblCellMar>
            <w:top w:w="0" w:type="dxa"/>
            <w:left w:w="108" w:type="dxa"/>
            <w:bottom w:w="0" w:type="dxa"/>
            <w:right w:w="108" w:type="dxa"/>
          </w:tblCellMar>
        </w:tblPrEx>
        <w:trPr>
          <w:trHeight w:val="459"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2F465A8B">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磋商总价</w:t>
            </w:r>
          </w:p>
        </w:tc>
        <w:tc>
          <w:tcPr>
            <w:tcW w:w="7200" w:type="dxa"/>
            <w:tcBorders>
              <w:top w:val="single" w:color="auto" w:sz="4" w:space="0"/>
              <w:left w:val="nil"/>
              <w:bottom w:val="single" w:color="auto" w:sz="4" w:space="0"/>
              <w:right w:val="single" w:color="auto" w:sz="4" w:space="0"/>
            </w:tcBorders>
            <w:noWrap w:val="0"/>
            <w:vAlign w:val="center"/>
          </w:tcPr>
          <w:p w14:paraId="561E1C33">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3145C160">
        <w:tblPrEx>
          <w:tblCellMar>
            <w:top w:w="0" w:type="dxa"/>
            <w:left w:w="108" w:type="dxa"/>
            <w:bottom w:w="0" w:type="dxa"/>
            <w:right w:w="108" w:type="dxa"/>
          </w:tblCellMar>
        </w:tblPrEx>
        <w:trPr>
          <w:trHeight w:val="459"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3C71580B">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200" w:type="dxa"/>
            <w:tcBorders>
              <w:top w:val="single" w:color="auto" w:sz="4" w:space="0"/>
              <w:left w:val="nil"/>
              <w:bottom w:val="single" w:color="auto" w:sz="4" w:space="0"/>
              <w:right w:val="single" w:color="auto" w:sz="4" w:space="0"/>
            </w:tcBorders>
            <w:noWrap w:val="0"/>
            <w:vAlign w:val="center"/>
          </w:tcPr>
          <w:p w14:paraId="1EDFB3A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4EC869D4">
        <w:tblPrEx>
          <w:tblCellMar>
            <w:top w:w="0" w:type="dxa"/>
            <w:left w:w="108" w:type="dxa"/>
            <w:bottom w:w="0" w:type="dxa"/>
            <w:right w:w="108" w:type="dxa"/>
          </w:tblCellMar>
        </w:tblPrEx>
        <w:trPr>
          <w:trHeight w:val="459" w:hRule="atLeast"/>
        </w:trPr>
        <w:tc>
          <w:tcPr>
            <w:tcW w:w="8717" w:type="dxa"/>
            <w:gridSpan w:val="2"/>
            <w:tcBorders>
              <w:top w:val="single" w:color="auto" w:sz="4" w:space="0"/>
              <w:left w:val="single" w:color="auto" w:sz="4" w:space="0"/>
              <w:bottom w:val="single" w:color="auto" w:sz="4" w:space="0"/>
              <w:right w:val="single" w:color="auto" w:sz="4" w:space="0"/>
            </w:tcBorders>
            <w:noWrap w:val="0"/>
            <w:vAlign w:val="center"/>
          </w:tcPr>
          <w:p w14:paraId="3294AB6C">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是否小微企业： □小型       □微型    □否</w:t>
            </w:r>
          </w:p>
        </w:tc>
      </w:tr>
      <w:tr w14:paraId="5CFEC67E">
        <w:tblPrEx>
          <w:tblCellMar>
            <w:top w:w="0" w:type="dxa"/>
            <w:left w:w="108" w:type="dxa"/>
            <w:bottom w:w="0" w:type="dxa"/>
            <w:right w:w="108" w:type="dxa"/>
          </w:tblCellMar>
        </w:tblPrEx>
        <w:trPr>
          <w:trHeight w:val="459" w:hRule="atLeast"/>
        </w:trPr>
        <w:tc>
          <w:tcPr>
            <w:tcW w:w="8717" w:type="dxa"/>
            <w:gridSpan w:val="2"/>
            <w:tcBorders>
              <w:top w:val="single" w:color="auto" w:sz="4" w:space="0"/>
              <w:left w:val="single" w:color="auto" w:sz="4" w:space="0"/>
              <w:bottom w:val="single" w:color="auto" w:sz="4" w:space="0"/>
              <w:right w:val="single" w:color="auto" w:sz="4" w:space="0"/>
            </w:tcBorders>
            <w:noWrap w:val="0"/>
            <w:vAlign w:val="center"/>
          </w:tcPr>
          <w:p w14:paraId="72461EBF">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是否残疾人或监狱企业：□小型       □微型     □否</w:t>
            </w:r>
          </w:p>
        </w:tc>
      </w:tr>
    </w:tbl>
    <w:p w14:paraId="76D1AD24">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p w14:paraId="4AFA8685">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DD720B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磋商响应单位（公章）：</w:t>
      </w:r>
    </w:p>
    <w:p w14:paraId="6E73C87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法定代表人或委托代理人：（签字或盖章）            </w:t>
      </w:r>
    </w:p>
    <w:p w14:paraId="1FE5990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日期：    年 月  日</w:t>
      </w:r>
    </w:p>
    <w:p w14:paraId="023D5F7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C43FC9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78D5C49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1.供应商未按照本报价表格式进行报价，其响应文件将被拒绝。</w:t>
      </w:r>
    </w:p>
    <w:p w14:paraId="1E2AB7B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2.供应商根据企业类型，请自行在所属“□”栏上打“√”。</w:t>
      </w:r>
    </w:p>
    <w:p w14:paraId="08CE1A3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3.本表中的报价为综合报价</w:t>
      </w:r>
      <w:r>
        <w:rPr>
          <w:rFonts w:hint="eastAsia" w:ascii="宋体" w:hAnsi="宋体" w:eastAsia="宋体" w:cs="宋体"/>
          <w:color w:val="auto"/>
          <w:sz w:val="21"/>
          <w:szCs w:val="21"/>
          <w:highlight w:val="none"/>
          <w:lang w:val="zh-TW" w:eastAsia="zh-TW"/>
        </w:rPr>
        <w:t>应</w:t>
      </w:r>
      <w:r>
        <w:rPr>
          <w:rFonts w:hint="eastAsia" w:ascii="宋体" w:hAnsi="宋体" w:eastAsia="宋体" w:cs="宋体"/>
          <w:color w:val="auto"/>
          <w:sz w:val="21"/>
          <w:szCs w:val="21"/>
          <w:highlight w:val="none"/>
        </w:rPr>
        <w:t>包含完成服务项目所需的劳务支出、餐费、加班费、社保、保险、配套费用及服务相关等所发生的全部费用以及供应商企业利润、税金、成交服务费和政策性文件规定及合同包含的所有风险、责任等各项应有费用。</w:t>
      </w:r>
    </w:p>
    <w:p w14:paraId="4F1ECAE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zh-CN"/>
        </w:rPr>
        <w:t>本项目不设价格分，价格不再是评审因素。报价按预算金额填写。不按规定报价，视为不响应采购文件。</w:t>
      </w:r>
    </w:p>
    <w:p w14:paraId="19554A1D">
      <w:pPr>
        <w:pStyle w:val="47"/>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2463499B">
      <w:pPr>
        <w:keepNext w:val="0"/>
        <w:keepLines w:val="0"/>
        <w:pageBreakBefore w:val="0"/>
        <w:kinsoku/>
        <w:wordWrap/>
        <w:overflowPunct/>
        <w:topLinePunct w:val="0"/>
        <w:autoSpaceDE/>
        <w:autoSpaceDN/>
        <w:bidi w:val="0"/>
        <w:adjustRightInd/>
        <w:snapToGrid w:val="0"/>
        <w:spacing w:line="360" w:lineRule="auto"/>
        <w:ind w:right="480"/>
        <w:jc w:val="center"/>
        <w:textAlignment w:val="auto"/>
        <w:rPr>
          <w:rFonts w:hint="eastAsia" w:ascii="宋体" w:hAnsi="宋体" w:eastAsia="宋体" w:cs="宋体"/>
          <w:b/>
          <w:color w:val="auto"/>
          <w:sz w:val="21"/>
          <w:szCs w:val="21"/>
          <w:highlight w:val="none"/>
        </w:rPr>
      </w:pPr>
    </w:p>
    <w:p w14:paraId="66D2BA27">
      <w:pPr>
        <w:keepNext w:val="0"/>
        <w:keepLines w:val="0"/>
        <w:pageBreakBefore w:val="0"/>
        <w:kinsoku/>
        <w:wordWrap/>
        <w:overflowPunct/>
        <w:topLinePunct w:val="0"/>
        <w:autoSpaceDE/>
        <w:autoSpaceDN/>
        <w:bidi w:val="0"/>
        <w:adjustRightInd/>
        <w:snapToGrid w:val="0"/>
        <w:spacing w:line="360" w:lineRule="auto"/>
        <w:ind w:right="480"/>
        <w:jc w:val="center"/>
        <w:textAlignment w:val="auto"/>
        <w:rPr>
          <w:rFonts w:hint="eastAsia" w:ascii="宋体" w:hAnsi="宋体" w:eastAsia="宋体" w:cs="宋体"/>
          <w:b/>
          <w:color w:val="auto"/>
          <w:sz w:val="21"/>
          <w:szCs w:val="21"/>
          <w:highlight w:val="none"/>
        </w:rPr>
      </w:pPr>
    </w:p>
    <w:p w14:paraId="18DA774D">
      <w:pPr>
        <w:keepNext w:val="0"/>
        <w:keepLines w:val="0"/>
        <w:pageBreakBefore w:val="0"/>
        <w:kinsoku/>
        <w:wordWrap/>
        <w:overflowPunct/>
        <w:topLinePunct w:val="0"/>
        <w:autoSpaceDE/>
        <w:autoSpaceDN/>
        <w:bidi w:val="0"/>
        <w:adjustRightInd/>
        <w:snapToGrid w:val="0"/>
        <w:spacing w:line="360" w:lineRule="auto"/>
        <w:ind w:right="480"/>
        <w:jc w:val="center"/>
        <w:textAlignment w:val="auto"/>
        <w:rPr>
          <w:rFonts w:hint="eastAsia" w:ascii="宋体" w:hAnsi="宋体" w:eastAsia="宋体" w:cs="宋体"/>
          <w:b/>
          <w:color w:val="auto"/>
          <w:sz w:val="21"/>
          <w:szCs w:val="21"/>
          <w:highlight w:val="none"/>
        </w:rPr>
      </w:pPr>
    </w:p>
    <w:p w14:paraId="7DFC3581">
      <w:pPr>
        <w:keepNext w:val="0"/>
        <w:keepLines w:val="0"/>
        <w:pageBreakBefore w:val="0"/>
        <w:kinsoku/>
        <w:wordWrap/>
        <w:overflowPunct/>
        <w:topLinePunct w:val="0"/>
        <w:autoSpaceDE/>
        <w:autoSpaceDN/>
        <w:bidi w:val="0"/>
        <w:adjustRightInd/>
        <w:snapToGrid w:val="0"/>
        <w:spacing w:line="360" w:lineRule="auto"/>
        <w:ind w:right="480"/>
        <w:jc w:val="center"/>
        <w:textAlignment w:val="auto"/>
        <w:rPr>
          <w:rFonts w:hint="eastAsia" w:ascii="宋体" w:hAnsi="宋体" w:eastAsia="宋体" w:cs="宋体"/>
          <w:b/>
          <w:color w:val="auto"/>
          <w:sz w:val="21"/>
          <w:szCs w:val="21"/>
          <w:highlight w:val="none"/>
        </w:rPr>
      </w:pPr>
    </w:p>
    <w:p w14:paraId="67F43801">
      <w:pPr>
        <w:keepNext w:val="0"/>
        <w:keepLines w:val="0"/>
        <w:pageBreakBefore w:val="0"/>
        <w:kinsoku/>
        <w:wordWrap/>
        <w:overflowPunct/>
        <w:topLinePunct w:val="0"/>
        <w:autoSpaceDE/>
        <w:autoSpaceDN/>
        <w:bidi w:val="0"/>
        <w:adjustRightInd/>
        <w:snapToGrid w:val="0"/>
        <w:spacing w:line="360" w:lineRule="auto"/>
        <w:ind w:right="480"/>
        <w:jc w:val="center"/>
        <w:textAlignment w:val="auto"/>
        <w:rPr>
          <w:rFonts w:hint="eastAsia" w:ascii="宋体" w:hAnsi="宋体" w:eastAsia="宋体" w:cs="宋体"/>
          <w:b/>
          <w:color w:val="auto"/>
          <w:sz w:val="21"/>
          <w:szCs w:val="21"/>
          <w:highlight w:val="none"/>
        </w:rPr>
      </w:pPr>
    </w:p>
    <w:p w14:paraId="642FD841">
      <w:pPr>
        <w:pStyle w:val="17"/>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5301271">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C7FFE65">
      <w:pPr>
        <w:keepNext w:val="0"/>
        <w:keepLines w:val="0"/>
        <w:pageBreakBefore w:val="0"/>
        <w:kinsoku/>
        <w:wordWrap/>
        <w:overflowPunct/>
        <w:topLinePunct w:val="0"/>
        <w:autoSpaceDE/>
        <w:autoSpaceDN/>
        <w:bidi w:val="0"/>
        <w:adjustRightInd/>
        <w:snapToGrid w:val="0"/>
        <w:spacing w:line="360" w:lineRule="auto"/>
        <w:ind w:right="480" w:rightChars="0"/>
        <w:textAlignment w:val="auto"/>
        <w:outlineLvl w:val="1"/>
        <w:rPr>
          <w:rFonts w:hint="eastAsia" w:ascii="宋体" w:hAnsi="宋体" w:eastAsia="宋体" w:cs="宋体"/>
          <w:b/>
          <w:bCs/>
          <w:color w:val="auto"/>
          <w:sz w:val="21"/>
          <w:szCs w:val="21"/>
          <w:highlight w:val="none"/>
        </w:rPr>
      </w:pPr>
      <w:bookmarkStart w:id="100" w:name="_Toc29098"/>
      <w:r>
        <w:rPr>
          <w:rFonts w:hint="eastAsia" w:ascii="宋体" w:hAnsi="宋体" w:eastAsia="宋体" w:cs="宋体"/>
          <w:b/>
          <w:color w:val="auto"/>
          <w:sz w:val="21"/>
          <w:szCs w:val="21"/>
          <w:highlight w:val="none"/>
        </w:rPr>
        <w:t>附件4：</w:t>
      </w:r>
      <w:r>
        <w:rPr>
          <w:rFonts w:hint="eastAsia" w:ascii="宋体" w:hAnsi="宋体" w:eastAsia="宋体" w:cs="宋体"/>
          <w:b/>
          <w:bCs/>
          <w:color w:val="auto"/>
          <w:sz w:val="21"/>
          <w:szCs w:val="21"/>
          <w:highlight w:val="none"/>
        </w:rPr>
        <w:t xml:space="preserve"> 针对本项目的人员配置表</w:t>
      </w:r>
      <w:bookmarkEnd w:id="100"/>
    </w:p>
    <w:p w14:paraId="0ED14521">
      <w:pPr>
        <w:keepNext w:val="0"/>
        <w:keepLines w:val="0"/>
        <w:pageBreakBefore w:val="0"/>
        <w:kinsoku/>
        <w:wordWrap/>
        <w:overflowPunct/>
        <w:topLinePunct w:val="0"/>
        <w:autoSpaceDE/>
        <w:autoSpaceDN/>
        <w:bidi w:val="0"/>
        <w:adjustRightInd/>
        <w:snapToGrid w:val="0"/>
        <w:spacing w:line="360" w:lineRule="auto"/>
        <w:ind w:right="48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pacing w:val="20"/>
          <w:sz w:val="21"/>
          <w:szCs w:val="21"/>
          <w:highlight w:val="none"/>
        </w:rPr>
        <w:t>针对本项目的人员配置表</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标段）</w:t>
      </w:r>
    </w:p>
    <w:p w14:paraId="07D4E2D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pacing w:val="20"/>
          <w:sz w:val="21"/>
          <w:szCs w:val="21"/>
          <w:highlight w:val="none"/>
        </w:rPr>
      </w:pPr>
    </w:p>
    <w:p w14:paraId="4B64A142">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磋商项目标段名称：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磋商编号：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 </w:t>
      </w:r>
    </w:p>
    <w:p w14:paraId="7F844E21">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tbl>
      <w:tblPr>
        <w:tblStyle w:val="38"/>
        <w:tblW w:w="9699" w:type="dxa"/>
        <w:jc w:val="center"/>
        <w:tblLayout w:type="fixed"/>
        <w:tblCellMar>
          <w:top w:w="0" w:type="dxa"/>
          <w:left w:w="108" w:type="dxa"/>
          <w:bottom w:w="0" w:type="dxa"/>
          <w:right w:w="108" w:type="dxa"/>
        </w:tblCellMar>
      </w:tblPr>
      <w:tblGrid>
        <w:gridCol w:w="720"/>
        <w:gridCol w:w="2291"/>
        <w:gridCol w:w="1095"/>
        <w:gridCol w:w="872"/>
        <w:gridCol w:w="825"/>
        <w:gridCol w:w="975"/>
        <w:gridCol w:w="915"/>
        <w:gridCol w:w="1003"/>
        <w:gridCol w:w="1003"/>
      </w:tblGrid>
      <w:tr w14:paraId="191A22AA">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5805C7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2291" w:type="dxa"/>
            <w:tcBorders>
              <w:top w:val="single" w:color="auto" w:sz="6" w:space="0"/>
              <w:left w:val="single" w:color="auto" w:sz="6" w:space="0"/>
              <w:bottom w:val="single" w:color="auto" w:sz="6" w:space="0"/>
              <w:right w:val="single" w:color="auto" w:sz="6" w:space="0"/>
            </w:tcBorders>
            <w:noWrap w:val="0"/>
            <w:vAlign w:val="center"/>
          </w:tcPr>
          <w:p w14:paraId="76CC515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在本项目中负责的岗位（按照采购要求填写）</w:t>
            </w:r>
          </w:p>
        </w:tc>
        <w:tc>
          <w:tcPr>
            <w:tcW w:w="1095" w:type="dxa"/>
            <w:tcBorders>
              <w:top w:val="single" w:color="auto" w:sz="6" w:space="0"/>
              <w:left w:val="single" w:color="auto" w:sz="6" w:space="0"/>
              <w:bottom w:val="single" w:color="auto" w:sz="6" w:space="0"/>
              <w:right w:val="single" w:color="auto" w:sz="6" w:space="0"/>
            </w:tcBorders>
            <w:noWrap w:val="0"/>
            <w:vAlign w:val="center"/>
          </w:tcPr>
          <w:p w14:paraId="448F49B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姓名</w:t>
            </w:r>
          </w:p>
        </w:tc>
        <w:tc>
          <w:tcPr>
            <w:tcW w:w="872" w:type="dxa"/>
            <w:tcBorders>
              <w:top w:val="single" w:color="auto" w:sz="6" w:space="0"/>
              <w:left w:val="single" w:color="auto" w:sz="6" w:space="0"/>
              <w:bottom w:val="single" w:color="auto" w:sz="6" w:space="0"/>
              <w:right w:val="single" w:color="auto" w:sz="6" w:space="0"/>
            </w:tcBorders>
            <w:noWrap w:val="0"/>
            <w:vAlign w:val="center"/>
          </w:tcPr>
          <w:p w14:paraId="5085A633">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职责</w:t>
            </w:r>
          </w:p>
        </w:tc>
        <w:tc>
          <w:tcPr>
            <w:tcW w:w="825" w:type="dxa"/>
            <w:tcBorders>
              <w:top w:val="single" w:color="auto" w:sz="6" w:space="0"/>
              <w:left w:val="single" w:color="auto" w:sz="6" w:space="0"/>
              <w:bottom w:val="single" w:color="auto" w:sz="6" w:space="0"/>
              <w:right w:val="single" w:color="auto" w:sz="6" w:space="0"/>
            </w:tcBorders>
            <w:noWrap w:val="0"/>
            <w:vAlign w:val="center"/>
          </w:tcPr>
          <w:p w14:paraId="77C98449">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专业</w:t>
            </w:r>
          </w:p>
        </w:tc>
        <w:tc>
          <w:tcPr>
            <w:tcW w:w="975" w:type="dxa"/>
            <w:tcBorders>
              <w:top w:val="single" w:color="auto" w:sz="6" w:space="0"/>
              <w:left w:val="single" w:color="auto" w:sz="6" w:space="0"/>
              <w:bottom w:val="single" w:color="auto" w:sz="6" w:space="0"/>
              <w:right w:val="single" w:color="auto" w:sz="6" w:space="0"/>
            </w:tcBorders>
            <w:noWrap w:val="0"/>
            <w:vAlign w:val="center"/>
          </w:tcPr>
          <w:p w14:paraId="7750EC03">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执业资格</w:t>
            </w:r>
          </w:p>
        </w:tc>
        <w:tc>
          <w:tcPr>
            <w:tcW w:w="915" w:type="dxa"/>
            <w:tcBorders>
              <w:top w:val="single" w:color="auto" w:sz="6" w:space="0"/>
              <w:left w:val="single" w:color="auto" w:sz="6" w:space="0"/>
              <w:bottom w:val="single" w:color="auto" w:sz="6" w:space="0"/>
              <w:right w:val="single" w:color="auto" w:sz="6" w:space="0"/>
            </w:tcBorders>
            <w:noWrap w:val="0"/>
            <w:vAlign w:val="center"/>
          </w:tcPr>
          <w:p w14:paraId="264F8E1A">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职称</w:t>
            </w:r>
          </w:p>
        </w:tc>
        <w:tc>
          <w:tcPr>
            <w:tcW w:w="1003" w:type="dxa"/>
            <w:tcBorders>
              <w:top w:val="single" w:color="auto" w:sz="6" w:space="0"/>
              <w:left w:val="single" w:color="auto" w:sz="6" w:space="0"/>
              <w:bottom w:val="single" w:color="auto" w:sz="6" w:space="0"/>
              <w:right w:val="single" w:color="auto" w:sz="6" w:space="0"/>
            </w:tcBorders>
            <w:noWrap w:val="0"/>
            <w:vAlign w:val="center"/>
          </w:tcPr>
          <w:p w14:paraId="73FCE278">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联系方式</w:t>
            </w:r>
          </w:p>
        </w:tc>
        <w:tc>
          <w:tcPr>
            <w:tcW w:w="1003" w:type="dxa"/>
            <w:tcBorders>
              <w:top w:val="single" w:color="auto" w:sz="6" w:space="0"/>
              <w:left w:val="single" w:color="auto" w:sz="6" w:space="0"/>
              <w:bottom w:val="single" w:color="auto" w:sz="6" w:space="0"/>
              <w:right w:val="single" w:color="auto" w:sz="6" w:space="0"/>
            </w:tcBorders>
            <w:noWrap w:val="0"/>
            <w:vAlign w:val="center"/>
          </w:tcPr>
          <w:p w14:paraId="44B15587">
            <w:pPr>
              <w:pStyle w:val="16"/>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5C79D8E">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349DE01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91" w:type="dxa"/>
            <w:tcBorders>
              <w:top w:val="single" w:color="auto" w:sz="6" w:space="0"/>
              <w:left w:val="single" w:color="auto" w:sz="6" w:space="0"/>
              <w:bottom w:val="single" w:color="auto" w:sz="6" w:space="0"/>
              <w:right w:val="single" w:color="auto" w:sz="6" w:space="0"/>
            </w:tcBorders>
            <w:noWrap w:val="0"/>
          </w:tcPr>
          <w:p w14:paraId="219199F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3F128F7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1FF8C87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6A0B172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181E88B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0CA7DB0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6ABEBD7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4AFDA00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580B1592">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7715CC9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91" w:type="dxa"/>
            <w:tcBorders>
              <w:top w:val="single" w:color="auto" w:sz="6" w:space="0"/>
              <w:left w:val="single" w:color="auto" w:sz="6" w:space="0"/>
              <w:bottom w:val="single" w:color="auto" w:sz="6" w:space="0"/>
              <w:right w:val="single" w:color="auto" w:sz="6" w:space="0"/>
            </w:tcBorders>
            <w:noWrap w:val="0"/>
          </w:tcPr>
          <w:p w14:paraId="72CEB7B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453DF66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0B4BBA9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0C5D161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63C4DB9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2260E73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6D76D3A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299A901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46A2F04A">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7C8CD24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291" w:type="dxa"/>
            <w:tcBorders>
              <w:top w:val="single" w:color="auto" w:sz="6" w:space="0"/>
              <w:left w:val="single" w:color="auto" w:sz="6" w:space="0"/>
              <w:bottom w:val="single" w:color="auto" w:sz="6" w:space="0"/>
              <w:right w:val="single" w:color="auto" w:sz="6" w:space="0"/>
            </w:tcBorders>
            <w:noWrap w:val="0"/>
          </w:tcPr>
          <w:p w14:paraId="2D8D6EF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3FF838B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7C60A00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40206D1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0A0AAFB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6998FE6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71C89E2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1467E47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1D075903">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139AC1B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291" w:type="dxa"/>
            <w:tcBorders>
              <w:top w:val="single" w:color="auto" w:sz="6" w:space="0"/>
              <w:left w:val="single" w:color="auto" w:sz="6" w:space="0"/>
              <w:bottom w:val="single" w:color="auto" w:sz="6" w:space="0"/>
              <w:right w:val="single" w:color="auto" w:sz="6" w:space="0"/>
            </w:tcBorders>
            <w:noWrap w:val="0"/>
          </w:tcPr>
          <w:p w14:paraId="4AC3B8B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79892CC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1DC6DC1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7D1AAA3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69A1BC8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27DC6AD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3D7193E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6EDF228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4CB6C102">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74B04ED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291" w:type="dxa"/>
            <w:tcBorders>
              <w:top w:val="single" w:color="auto" w:sz="6" w:space="0"/>
              <w:left w:val="single" w:color="auto" w:sz="6" w:space="0"/>
              <w:bottom w:val="single" w:color="auto" w:sz="6" w:space="0"/>
              <w:right w:val="single" w:color="auto" w:sz="6" w:space="0"/>
            </w:tcBorders>
            <w:noWrap w:val="0"/>
          </w:tcPr>
          <w:p w14:paraId="2C5C25C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2A03977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533747C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20A5811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467ED5D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7EB347A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75DC0D8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306C55E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45FF324C">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7AC2866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291" w:type="dxa"/>
            <w:tcBorders>
              <w:top w:val="single" w:color="auto" w:sz="6" w:space="0"/>
              <w:left w:val="single" w:color="auto" w:sz="6" w:space="0"/>
              <w:bottom w:val="single" w:color="auto" w:sz="6" w:space="0"/>
              <w:right w:val="single" w:color="auto" w:sz="6" w:space="0"/>
            </w:tcBorders>
            <w:noWrap w:val="0"/>
          </w:tcPr>
          <w:p w14:paraId="2B23C04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5389DD5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4E8BD39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25B2FE2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306B24B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1061E19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52EABDE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1D13788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047C0BEA">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1F5BEE5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291" w:type="dxa"/>
            <w:tcBorders>
              <w:top w:val="single" w:color="auto" w:sz="6" w:space="0"/>
              <w:left w:val="single" w:color="auto" w:sz="6" w:space="0"/>
              <w:bottom w:val="single" w:color="auto" w:sz="6" w:space="0"/>
              <w:right w:val="single" w:color="auto" w:sz="6" w:space="0"/>
            </w:tcBorders>
            <w:noWrap w:val="0"/>
          </w:tcPr>
          <w:p w14:paraId="66F087C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53DA5FE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340CC54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38B8992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11364F6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60A77DF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16F9AD1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54087E4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413984C8">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2081B30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291" w:type="dxa"/>
            <w:tcBorders>
              <w:top w:val="single" w:color="auto" w:sz="6" w:space="0"/>
              <w:left w:val="single" w:color="auto" w:sz="6" w:space="0"/>
              <w:bottom w:val="single" w:color="auto" w:sz="6" w:space="0"/>
              <w:right w:val="single" w:color="auto" w:sz="6" w:space="0"/>
            </w:tcBorders>
            <w:noWrap w:val="0"/>
          </w:tcPr>
          <w:p w14:paraId="0DAD273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34A336F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1390472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4599FAE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17B6DD9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52D85B1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5543DA9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1C65599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3FD77577">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6E875C0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291" w:type="dxa"/>
            <w:tcBorders>
              <w:top w:val="single" w:color="auto" w:sz="6" w:space="0"/>
              <w:left w:val="single" w:color="auto" w:sz="6" w:space="0"/>
              <w:bottom w:val="single" w:color="auto" w:sz="6" w:space="0"/>
              <w:right w:val="single" w:color="auto" w:sz="6" w:space="0"/>
            </w:tcBorders>
            <w:noWrap w:val="0"/>
          </w:tcPr>
          <w:p w14:paraId="7155D95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545A218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3D2D238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2A765C9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2825419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1BDDE55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2427491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722A722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7F51F10A">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5C961B7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291" w:type="dxa"/>
            <w:tcBorders>
              <w:top w:val="single" w:color="auto" w:sz="6" w:space="0"/>
              <w:left w:val="single" w:color="auto" w:sz="6" w:space="0"/>
              <w:bottom w:val="single" w:color="auto" w:sz="6" w:space="0"/>
              <w:right w:val="single" w:color="auto" w:sz="6" w:space="0"/>
            </w:tcBorders>
            <w:noWrap w:val="0"/>
          </w:tcPr>
          <w:p w14:paraId="3223C49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3268299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1AA33B1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2511D98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20443A7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379EC5D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089B45F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77868C4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r w14:paraId="07CB8D2D">
        <w:tblPrEx>
          <w:tblCellMar>
            <w:top w:w="0" w:type="dxa"/>
            <w:left w:w="108" w:type="dxa"/>
            <w:bottom w:w="0" w:type="dxa"/>
            <w:right w:w="108" w:type="dxa"/>
          </w:tblCellMar>
        </w:tblPrEx>
        <w:trPr>
          <w:jc w:val="center"/>
        </w:trPr>
        <w:tc>
          <w:tcPr>
            <w:tcW w:w="720" w:type="dxa"/>
            <w:tcBorders>
              <w:top w:val="single" w:color="auto" w:sz="6" w:space="0"/>
              <w:left w:val="single" w:color="auto" w:sz="6" w:space="0"/>
              <w:bottom w:val="single" w:color="auto" w:sz="6" w:space="0"/>
              <w:right w:val="single" w:color="auto" w:sz="6" w:space="0"/>
            </w:tcBorders>
            <w:noWrap w:val="0"/>
          </w:tcPr>
          <w:p w14:paraId="0FCE428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291" w:type="dxa"/>
            <w:tcBorders>
              <w:top w:val="single" w:color="auto" w:sz="6" w:space="0"/>
              <w:left w:val="single" w:color="auto" w:sz="6" w:space="0"/>
              <w:bottom w:val="single" w:color="auto" w:sz="6" w:space="0"/>
              <w:right w:val="single" w:color="auto" w:sz="6" w:space="0"/>
            </w:tcBorders>
            <w:noWrap w:val="0"/>
          </w:tcPr>
          <w:p w14:paraId="2CBF882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95" w:type="dxa"/>
            <w:tcBorders>
              <w:top w:val="single" w:color="auto" w:sz="6" w:space="0"/>
              <w:left w:val="single" w:color="auto" w:sz="6" w:space="0"/>
              <w:bottom w:val="single" w:color="auto" w:sz="6" w:space="0"/>
              <w:right w:val="single" w:color="auto" w:sz="6" w:space="0"/>
            </w:tcBorders>
            <w:noWrap w:val="0"/>
          </w:tcPr>
          <w:p w14:paraId="19C56B3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72" w:type="dxa"/>
            <w:tcBorders>
              <w:top w:val="single" w:color="auto" w:sz="6" w:space="0"/>
              <w:left w:val="single" w:color="auto" w:sz="6" w:space="0"/>
              <w:bottom w:val="single" w:color="auto" w:sz="6" w:space="0"/>
              <w:right w:val="single" w:color="auto" w:sz="6" w:space="0"/>
            </w:tcBorders>
            <w:noWrap w:val="0"/>
          </w:tcPr>
          <w:p w14:paraId="2B5EF38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825" w:type="dxa"/>
            <w:tcBorders>
              <w:top w:val="single" w:color="auto" w:sz="6" w:space="0"/>
              <w:left w:val="single" w:color="auto" w:sz="6" w:space="0"/>
              <w:bottom w:val="single" w:color="auto" w:sz="6" w:space="0"/>
              <w:right w:val="single" w:color="auto" w:sz="6" w:space="0"/>
            </w:tcBorders>
            <w:noWrap w:val="0"/>
          </w:tcPr>
          <w:p w14:paraId="56700A0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75" w:type="dxa"/>
            <w:tcBorders>
              <w:top w:val="single" w:color="auto" w:sz="6" w:space="0"/>
              <w:left w:val="single" w:color="auto" w:sz="6" w:space="0"/>
              <w:bottom w:val="single" w:color="auto" w:sz="6" w:space="0"/>
              <w:right w:val="single" w:color="auto" w:sz="6" w:space="0"/>
            </w:tcBorders>
            <w:noWrap w:val="0"/>
          </w:tcPr>
          <w:p w14:paraId="3045348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915" w:type="dxa"/>
            <w:tcBorders>
              <w:top w:val="single" w:color="auto" w:sz="6" w:space="0"/>
              <w:left w:val="single" w:color="auto" w:sz="6" w:space="0"/>
              <w:bottom w:val="single" w:color="auto" w:sz="6" w:space="0"/>
              <w:right w:val="single" w:color="auto" w:sz="6" w:space="0"/>
            </w:tcBorders>
            <w:noWrap w:val="0"/>
          </w:tcPr>
          <w:p w14:paraId="0CC36A0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52550AA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c>
          <w:tcPr>
            <w:tcW w:w="1003" w:type="dxa"/>
            <w:tcBorders>
              <w:top w:val="single" w:color="auto" w:sz="6" w:space="0"/>
              <w:left w:val="single" w:color="auto" w:sz="6" w:space="0"/>
              <w:bottom w:val="single" w:color="auto" w:sz="6" w:space="0"/>
              <w:right w:val="single" w:color="auto" w:sz="6" w:space="0"/>
            </w:tcBorders>
            <w:noWrap w:val="0"/>
          </w:tcPr>
          <w:p w14:paraId="474AD81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p>
        </w:tc>
      </w:tr>
    </w:tbl>
    <w:p w14:paraId="4F908BB6">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2735BDA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310851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磋商响应单位（盖章）： </w:t>
      </w:r>
    </w:p>
    <w:p w14:paraId="07DD713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法定代表人或委托代理人：（签字或盖章）                  </w:t>
      </w:r>
    </w:p>
    <w:p w14:paraId="5D36E43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日期：</w:t>
      </w:r>
    </w:p>
    <w:p w14:paraId="6231994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注：响应单位可参照上述格式自行设计表格投标。</w:t>
      </w:r>
    </w:p>
    <w:p w14:paraId="588DAB9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bookmarkStart w:id="101" w:name="_Toc377652978"/>
      <w:bookmarkStart w:id="102" w:name="_Toc348784828"/>
      <w:bookmarkStart w:id="103" w:name="_Toc348785014"/>
    </w:p>
    <w:p w14:paraId="4EC7BEC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7028D3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6B0BBA8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33C2E0D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6DA97B4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4AA49DA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510F108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bookmarkEnd w:id="101"/>
    <w:bookmarkEnd w:id="102"/>
    <w:bookmarkEnd w:id="103"/>
    <w:p w14:paraId="022AD0F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64D7AD6D">
      <w:pPr>
        <w:keepNext w:val="0"/>
        <w:keepLines w:val="0"/>
        <w:pageBreakBefore w:val="0"/>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
          <w:color w:val="auto"/>
          <w:sz w:val="21"/>
          <w:szCs w:val="21"/>
          <w:highlight w:val="none"/>
        </w:rPr>
      </w:pPr>
      <w:bookmarkStart w:id="104" w:name="_Toc10016"/>
      <w:r>
        <w:rPr>
          <w:rFonts w:hint="eastAsia" w:ascii="宋体" w:hAnsi="宋体" w:eastAsia="宋体" w:cs="宋体"/>
          <w:b/>
          <w:color w:val="auto"/>
          <w:sz w:val="21"/>
          <w:szCs w:val="21"/>
          <w:highlight w:val="none"/>
        </w:rPr>
        <w:t>附件5偏离表</w:t>
      </w:r>
      <w:bookmarkEnd w:id="104"/>
    </w:p>
    <w:p w14:paraId="5DD85DE7">
      <w:pPr>
        <w:keepNext w:val="0"/>
        <w:keepLines w:val="0"/>
        <w:pageBreakBefore w:val="0"/>
        <w:kinsoku/>
        <w:wordWrap/>
        <w:overflowPunct/>
        <w:topLinePunct w:val="0"/>
        <w:autoSpaceDE/>
        <w:autoSpaceDN/>
        <w:bidi w:val="0"/>
        <w:adjustRightInd/>
        <w:snapToGrid w:val="0"/>
        <w:spacing w:line="360" w:lineRule="auto"/>
        <w:ind w:right="480" w:rightChars="0"/>
        <w:jc w:val="center"/>
        <w:textAlignment w:val="auto"/>
        <w:outlineLvl w:val="1"/>
        <w:rPr>
          <w:rFonts w:hint="eastAsia" w:ascii="宋体" w:hAnsi="宋体" w:eastAsia="宋体" w:cs="宋体"/>
          <w:color w:val="auto"/>
          <w:sz w:val="21"/>
          <w:szCs w:val="21"/>
          <w:highlight w:val="none"/>
        </w:rPr>
      </w:pPr>
      <w:bookmarkStart w:id="105" w:name="_Toc32222"/>
      <w:r>
        <w:rPr>
          <w:rFonts w:hint="eastAsia" w:ascii="宋体" w:hAnsi="宋体" w:eastAsia="宋体" w:cs="宋体"/>
          <w:b/>
          <w:bCs/>
          <w:color w:val="auto"/>
          <w:sz w:val="21"/>
          <w:szCs w:val="21"/>
          <w:highlight w:val="none"/>
        </w:rPr>
        <w:t>（1）服务条款偏离表（</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标段）</w:t>
      </w:r>
      <w:bookmarkEnd w:id="105"/>
    </w:p>
    <w:p w14:paraId="1B0A865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采购编号：</w:t>
      </w:r>
      <w:r>
        <w:rPr>
          <w:rFonts w:hint="eastAsia" w:ascii="宋体" w:hAnsi="宋体" w:eastAsia="宋体" w:cs="宋体"/>
          <w:color w:val="auto"/>
          <w:sz w:val="21"/>
          <w:szCs w:val="21"/>
          <w:highlight w:val="none"/>
        </w:rPr>
        <w:t xml:space="preserve">                         </w:t>
      </w:r>
    </w:p>
    <w:tbl>
      <w:tblPr>
        <w:tblStyle w:val="38"/>
        <w:tblW w:w="9144" w:type="dxa"/>
        <w:tblInd w:w="-1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800"/>
        <w:gridCol w:w="1620"/>
        <w:gridCol w:w="1440"/>
        <w:gridCol w:w="1699"/>
        <w:gridCol w:w="1757"/>
      </w:tblGrid>
      <w:tr w14:paraId="04D38A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center"/>
          </w:tcPr>
          <w:p w14:paraId="2DB4FA8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00" w:type="dxa"/>
            <w:noWrap w:val="0"/>
            <w:vAlign w:val="center"/>
          </w:tcPr>
          <w:p w14:paraId="6C2B138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服务内容</w:t>
            </w:r>
          </w:p>
        </w:tc>
        <w:tc>
          <w:tcPr>
            <w:tcW w:w="1620" w:type="dxa"/>
            <w:noWrap w:val="0"/>
            <w:vAlign w:val="center"/>
          </w:tcPr>
          <w:p w14:paraId="5039F7D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采购要求</w:t>
            </w:r>
          </w:p>
        </w:tc>
        <w:tc>
          <w:tcPr>
            <w:tcW w:w="1440" w:type="dxa"/>
            <w:noWrap w:val="0"/>
            <w:vAlign w:val="center"/>
          </w:tcPr>
          <w:p w14:paraId="1E24CB9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投标要求</w:t>
            </w:r>
          </w:p>
        </w:tc>
        <w:tc>
          <w:tcPr>
            <w:tcW w:w="1699" w:type="dxa"/>
            <w:noWrap w:val="0"/>
            <w:vAlign w:val="center"/>
          </w:tcPr>
          <w:p w14:paraId="3B57B8E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偏离/响应</w:t>
            </w:r>
          </w:p>
        </w:tc>
        <w:tc>
          <w:tcPr>
            <w:tcW w:w="1757" w:type="dxa"/>
            <w:noWrap w:val="0"/>
            <w:vAlign w:val="center"/>
          </w:tcPr>
          <w:p w14:paraId="5939CDF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520C96F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56F68BD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313EC46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36118D4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1C2C853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4B67B6B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75DC788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300C8C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0228BFF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38D9AA8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2663095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4817BF3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7F4AF09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340F879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488844A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4665992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24062D6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12A1F2F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31F8AE2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45BF96E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05F5313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5F15E2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577443A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5880F3B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46544C2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7EE0DE4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32C1E4D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1CC1BA1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30B4AF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10CE86A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09F05C4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3D1B03D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6D5E719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595897B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123BA35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7EB151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387AB02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59DFC4D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4187767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606589C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28B9819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46823CD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084364C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5F440C5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579A97B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5957E02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0911414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7E7705E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3EDFE33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7DA03AA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4CF312F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5B8FD6E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2CCBDC4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15CAB2B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08678D3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36A6DEE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3519FBC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2A44D76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1D942FC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5AB245A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209A47B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2BBCF4C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4295D14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1DE4E8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tcPr>
          <w:p w14:paraId="17545E9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00" w:type="dxa"/>
            <w:noWrap w:val="0"/>
          </w:tcPr>
          <w:p w14:paraId="3A0A2BC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20" w:type="dxa"/>
            <w:noWrap w:val="0"/>
          </w:tcPr>
          <w:p w14:paraId="70162CF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440" w:type="dxa"/>
            <w:noWrap w:val="0"/>
          </w:tcPr>
          <w:p w14:paraId="463D00E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699" w:type="dxa"/>
            <w:noWrap w:val="0"/>
          </w:tcPr>
          <w:p w14:paraId="39E7A9D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757" w:type="dxa"/>
            <w:noWrap w:val="0"/>
          </w:tcPr>
          <w:p w14:paraId="7C4A362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bl>
    <w:p w14:paraId="05B72BC7">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注：1.各投标单位可参照上述格式自制《服务要求偏离表》投标；</w:t>
      </w:r>
    </w:p>
    <w:p w14:paraId="6D528FA4">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2.投标单位须对照招标服务要求逐条列出并对比，其中“投标文件响应”一栏须详细说明投标服务的具体服务方案、措施、量化指标。</w:t>
      </w:r>
    </w:p>
    <w:p w14:paraId="3A3B8974">
      <w:pPr>
        <w:pStyle w:val="47"/>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1E7F0F4">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w:t>
      </w:r>
      <w:r>
        <w:rPr>
          <w:rFonts w:hint="eastAsia" w:ascii="宋体" w:hAnsi="宋体" w:eastAsia="宋体" w:cs="宋体"/>
          <w:color w:val="auto"/>
          <w:spacing w:val="20"/>
          <w:sz w:val="21"/>
          <w:szCs w:val="21"/>
          <w:highlight w:val="none"/>
        </w:rPr>
        <w:t>单位</w:t>
      </w:r>
      <w:r>
        <w:rPr>
          <w:rFonts w:hint="eastAsia" w:ascii="宋体" w:hAnsi="宋体" w:eastAsia="宋体" w:cs="宋体"/>
          <w:color w:val="auto"/>
          <w:sz w:val="21"/>
          <w:szCs w:val="21"/>
          <w:highlight w:val="none"/>
        </w:rPr>
        <w:t>：（公章）</w:t>
      </w:r>
    </w:p>
    <w:p w14:paraId="208CDB1A">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r>
        <w:rPr>
          <w:rFonts w:hint="eastAsia" w:ascii="宋体" w:hAnsi="宋体" w:eastAsia="宋体" w:cs="宋体"/>
          <w:bCs/>
          <w:color w:val="auto"/>
          <w:sz w:val="21"/>
          <w:szCs w:val="21"/>
          <w:highlight w:val="none"/>
        </w:rPr>
        <w:t>：</w:t>
      </w:r>
    </w:p>
    <w:p w14:paraId="183F8F48">
      <w:pPr>
        <w:keepNext w:val="0"/>
        <w:keepLines w:val="0"/>
        <w:pageBreakBefore w:val="0"/>
        <w:kinsoku/>
        <w:wordWrap/>
        <w:overflowPunct/>
        <w:topLinePunct w:val="0"/>
        <w:autoSpaceDE/>
        <w:autoSpaceDN/>
        <w:bidi w:val="0"/>
        <w:adjustRightInd/>
        <w:snapToGrid w:val="0"/>
        <w:spacing w:line="360" w:lineRule="auto"/>
        <w:ind w:firstLine="63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日期：</w:t>
      </w:r>
    </w:p>
    <w:p w14:paraId="67AC7C8B">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08D66E6">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7458194E">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AAB55D1">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8EF8F18">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86305E4">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2BFFA4C6">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0E196B4">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2A3B9B93">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FD1292F">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0AE2608">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211AC2EF">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6B92536">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0B7F7A2">
      <w:pPr>
        <w:keepNext w:val="0"/>
        <w:keepLines w:val="0"/>
        <w:pageBreakBefore w:val="0"/>
        <w:kinsoku/>
        <w:wordWrap/>
        <w:overflowPunct/>
        <w:topLinePunct w:val="0"/>
        <w:autoSpaceDE/>
        <w:autoSpaceDN/>
        <w:bidi w:val="0"/>
        <w:adjustRightInd/>
        <w:snapToGrid w:val="0"/>
        <w:spacing w:line="360" w:lineRule="auto"/>
        <w:jc w:val="center"/>
        <w:textAlignment w:val="auto"/>
        <w:outlineLvl w:val="1"/>
        <w:rPr>
          <w:rFonts w:hint="eastAsia" w:ascii="宋体" w:hAnsi="宋体" w:eastAsia="宋体" w:cs="宋体"/>
          <w:b/>
          <w:color w:val="auto"/>
          <w:sz w:val="21"/>
          <w:szCs w:val="21"/>
          <w:highlight w:val="none"/>
        </w:rPr>
      </w:pPr>
      <w:bookmarkStart w:id="106" w:name="_Toc7217"/>
      <w:r>
        <w:rPr>
          <w:rFonts w:hint="eastAsia" w:ascii="宋体" w:hAnsi="宋体" w:eastAsia="宋体" w:cs="宋体"/>
          <w:b/>
          <w:color w:val="auto"/>
          <w:sz w:val="21"/>
          <w:szCs w:val="21"/>
          <w:highlight w:val="none"/>
        </w:rPr>
        <w:t>（2）商务条款偏离表</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标段）</w:t>
      </w:r>
      <w:bookmarkEnd w:id="106"/>
    </w:p>
    <w:p w14:paraId="3F02E9E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7FC90ED5">
      <w:pPr>
        <w:keepNext w:val="0"/>
        <w:keepLines w:val="0"/>
        <w:pageBreakBefore w:val="0"/>
        <w:kinsoku/>
        <w:wordWrap/>
        <w:overflowPunct/>
        <w:topLinePunct w:val="0"/>
        <w:autoSpaceDE/>
        <w:autoSpaceDN/>
        <w:bidi w:val="0"/>
        <w:adjustRightInd/>
        <w:snapToGrid w:val="0"/>
        <w:spacing w:line="360" w:lineRule="auto"/>
        <w:ind w:firstLine="63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采购编号：</w:t>
      </w:r>
    </w:p>
    <w:tbl>
      <w:tblPr>
        <w:tblStyle w:val="38"/>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30"/>
        <w:gridCol w:w="2948"/>
        <w:gridCol w:w="1959"/>
        <w:gridCol w:w="1842"/>
        <w:gridCol w:w="1578"/>
      </w:tblGrid>
      <w:tr w14:paraId="635AFD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blHeader/>
          <w:jc w:val="center"/>
        </w:trPr>
        <w:tc>
          <w:tcPr>
            <w:tcW w:w="730" w:type="dxa"/>
            <w:noWrap w:val="0"/>
            <w:vAlign w:val="center"/>
          </w:tcPr>
          <w:p w14:paraId="61C401D2">
            <w:pPr>
              <w:keepNext w:val="0"/>
              <w:keepLines w:val="0"/>
              <w:pageBreakBefore w:val="0"/>
              <w:kinsoku/>
              <w:wordWrap/>
              <w:overflowPunct/>
              <w:topLinePunct w:val="0"/>
              <w:autoSpaceDE/>
              <w:autoSpaceDN/>
              <w:bidi w:val="0"/>
              <w:adjustRightInd/>
              <w:snapToGrid w:val="0"/>
              <w:spacing w:before="156" w:after="156"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2948" w:type="dxa"/>
            <w:noWrap w:val="0"/>
            <w:vAlign w:val="center"/>
          </w:tcPr>
          <w:p w14:paraId="25AE9BD8">
            <w:pPr>
              <w:keepNext w:val="0"/>
              <w:keepLines w:val="0"/>
              <w:pageBreakBefore w:val="0"/>
              <w:kinsoku/>
              <w:wordWrap/>
              <w:overflowPunct/>
              <w:topLinePunct w:val="0"/>
              <w:autoSpaceDE/>
              <w:autoSpaceDN/>
              <w:bidi w:val="0"/>
              <w:adjustRightInd/>
              <w:snapToGrid w:val="0"/>
              <w:spacing w:before="156" w:after="156"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采购文件条目号</w:t>
            </w:r>
          </w:p>
        </w:tc>
        <w:tc>
          <w:tcPr>
            <w:tcW w:w="1959" w:type="dxa"/>
            <w:noWrap w:val="0"/>
            <w:vAlign w:val="center"/>
          </w:tcPr>
          <w:p w14:paraId="528EA40D">
            <w:pPr>
              <w:keepNext w:val="0"/>
              <w:keepLines w:val="0"/>
              <w:pageBreakBefore w:val="0"/>
              <w:kinsoku/>
              <w:wordWrap/>
              <w:overflowPunct/>
              <w:topLinePunct w:val="0"/>
              <w:autoSpaceDE/>
              <w:autoSpaceDN/>
              <w:bidi w:val="0"/>
              <w:adjustRightInd/>
              <w:snapToGrid w:val="0"/>
              <w:spacing w:before="156" w:after="156"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采购文件的商务条款</w:t>
            </w:r>
          </w:p>
        </w:tc>
        <w:tc>
          <w:tcPr>
            <w:tcW w:w="1842" w:type="dxa"/>
            <w:noWrap w:val="0"/>
            <w:vAlign w:val="center"/>
          </w:tcPr>
          <w:p w14:paraId="77CC712A">
            <w:pPr>
              <w:keepNext w:val="0"/>
              <w:keepLines w:val="0"/>
              <w:pageBreakBefore w:val="0"/>
              <w:kinsoku/>
              <w:wordWrap/>
              <w:overflowPunct/>
              <w:topLinePunct w:val="0"/>
              <w:autoSpaceDE/>
              <w:autoSpaceDN/>
              <w:bidi w:val="0"/>
              <w:adjustRightInd/>
              <w:snapToGrid w:val="0"/>
              <w:spacing w:before="156" w:after="156"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响应文件的商务条款</w:t>
            </w:r>
          </w:p>
        </w:tc>
        <w:tc>
          <w:tcPr>
            <w:tcW w:w="1578" w:type="dxa"/>
            <w:noWrap w:val="0"/>
            <w:vAlign w:val="center"/>
          </w:tcPr>
          <w:p w14:paraId="612FBAC5">
            <w:pPr>
              <w:keepNext w:val="0"/>
              <w:keepLines w:val="0"/>
              <w:pageBreakBefore w:val="0"/>
              <w:kinsoku/>
              <w:wordWrap/>
              <w:overflowPunct/>
              <w:topLinePunct w:val="0"/>
              <w:autoSpaceDE/>
              <w:autoSpaceDN/>
              <w:bidi w:val="0"/>
              <w:adjustRightInd/>
              <w:snapToGrid w:val="0"/>
              <w:spacing w:before="156" w:after="156"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说明</w:t>
            </w:r>
          </w:p>
        </w:tc>
      </w:tr>
      <w:tr w14:paraId="07C34B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730" w:type="dxa"/>
            <w:noWrap w:val="0"/>
          </w:tcPr>
          <w:p w14:paraId="0333C09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2948" w:type="dxa"/>
            <w:noWrap w:val="0"/>
          </w:tcPr>
          <w:p w14:paraId="7BDC348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服务期限</w:t>
            </w:r>
          </w:p>
        </w:tc>
        <w:tc>
          <w:tcPr>
            <w:tcW w:w="1959" w:type="dxa"/>
            <w:noWrap w:val="0"/>
          </w:tcPr>
          <w:p w14:paraId="1EA1AFE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42" w:type="dxa"/>
            <w:noWrap w:val="0"/>
          </w:tcPr>
          <w:p w14:paraId="190C001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578" w:type="dxa"/>
            <w:noWrap w:val="0"/>
          </w:tcPr>
          <w:p w14:paraId="124865C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4E89AF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730" w:type="dxa"/>
            <w:noWrap w:val="0"/>
          </w:tcPr>
          <w:p w14:paraId="749FA64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2948" w:type="dxa"/>
            <w:noWrap w:val="0"/>
          </w:tcPr>
          <w:p w14:paraId="45FDB8A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付款方式</w:t>
            </w:r>
          </w:p>
        </w:tc>
        <w:tc>
          <w:tcPr>
            <w:tcW w:w="1959" w:type="dxa"/>
            <w:noWrap w:val="0"/>
          </w:tcPr>
          <w:p w14:paraId="5C35ACF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42" w:type="dxa"/>
            <w:noWrap w:val="0"/>
          </w:tcPr>
          <w:p w14:paraId="2C0E910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578" w:type="dxa"/>
            <w:noWrap w:val="0"/>
          </w:tcPr>
          <w:p w14:paraId="390A61A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72F63E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730" w:type="dxa"/>
            <w:noWrap w:val="0"/>
          </w:tcPr>
          <w:p w14:paraId="0655285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2948" w:type="dxa"/>
            <w:noWrap w:val="0"/>
          </w:tcPr>
          <w:p w14:paraId="6774ED2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合同主要条款</w:t>
            </w:r>
          </w:p>
        </w:tc>
        <w:tc>
          <w:tcPr>
            <w:tcW w:w="1959" w:type="dxa"/>
            <w:noWrap w:val="0"/>
          </w:tcPr>
          <w:p w14:paraId="5FF4D9A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42" w:type="dxa"/>
            <w:noWrap w:val="0"/>
          </w:tcPr>
          <w:p w14:paraId="2045760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578" w:type="dxa"/>
            <w:noWrap w:val="0"/>
          </w:tcPr>
          <w:p w14:paraId="6BD282D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447876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730" w:type="dxa"/>
            <w:noWrap w:val="0"/>
          </w:tcPr>
          <w:p w14:paraId="51AB2B2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2948" w:type="dxa"/>
            <w:noWrap w:val="0"/>
          </w:tcPr>
          <w:p w14:paraId="128112B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其他商务要求</w:t>
            </w:r>
          </w:p>
        </w:tc>
        <w:tc>
          <w:tcPr>
            <w:tcW w:w="1959" w:type="dxa"/>
            <w:noWrap w:val="0"/>
          </w:tcPr>
          <w:p w14:paraId="3E3D5C4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42" w:type="dxa"/>
            <w:noWrap w:val="0"/>
          </w:tcPr>
          <w:p w14:paraId="0ADE531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578" w:type="dxa"/>
            <w:noWrap w:val="0"/>
          </w:tcPr>
          <w:p w14:paraId="0E1603B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r w14:paraId="4D1C70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730" w:type="dxa"/>
            <w:noWrap w:val="0"/>
          </w:tcPr>
          <w:p w14:paraId="6EBD140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tc>
        <w:tc>
          <w:tcPr>
            <w:tcW w:w="2948" w:type="dxa"/>
            <w:noWrap w:val="0"/>
          </w:tcPr>
          <w:p w14:paraId="3364528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tc>
        <w:tc>
          <w:tcPr>
            <w:tcW w:w="1959" w:type="dxa"/>
            <w:noWrap w:val="0"/>
          </w:tcPr>
          <w:p w14:paraId="3D5191C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842" w:type="dxa"/>
            <w:noWrap w:val="0"/>
          </w:tcPr>
          <w:p w14:paraId="1509090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1578" w:type="dxa"/>
            <w:noWrap w:val="0"/>
          </w:tcPr>
          <w:p w14:paraId="7338860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bl>
    <w:p w14:paraId="44688AD9">
      <w:pPr>
        <w:keepNext w:val="0"/>
        <w:keepLines w:val="0"/>
        <w:pageBreakBefore w:val="0"/>
        <w:kinsoku/>
        <w:wordWrap/>
        <w:overflowPunct/>
        <w:topLinePunct w:val="0"/>
        <w:autoSpaceDE/>
        <w:autoSpaceDN/>
        <w:bidi w:val="0"/>
        <w:adjustRightInd/>
        <w:snapToGrid w:val="0"/>
        <w:spacing w:line="360" w:lineRule="auto"/>
        <w:ind w:firstLine="315"/>
        <w:jc w:val="left"/>
        <w:textAlignment w:val="auto"/>
        <w:rPr>
          <w:rFonts w:hint="eastAsia" w:ascii="宋体" w:hAnsi="宋体" w:eastAsia="宋体" w:cs="宋体"/>
          <w:color w:val="auto"/>
          <w:sz w:val="21"/>
          <w:szCs w:val="21"/>
          <w:highlight w:val="none"/>
        </w:rPr>
      </w:pPr>
    </w:p>
    <w:p w14:paraId="5DAA0A63">
      <w:pPr>
        <w:keepNext w:val="0"/>
        <w:keepLines w:val="0"/>
        <w:pageBreakBefore w:val="0"/>
        <w:kinsoku/>
        <w:wordWrap/>
        <w:overflowPunct/>
        <w:topLinePunct w:val="0"/>
        <w:autoSpaceDE/>
        <w:autoSpaceDN/>
        <w:bidi w:val="0"/>
        <w:adjustRightInd/>
        <w:snapToGrid w:val="0"/>
        <w:spacing w:line="360" w:lineRule="auto"/>
        <w:ind w:firstLine="31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p>
    <w:p w14:paraId="7532ECEC">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w:t>
      </w:r>
      <w:r>
        <w:rPr>
          <w:rFonts w:hint="eastAsia" w:ascii="宋体" w:hAnsi="宋体" w:eastAsia="宋体" w:cs="宋体"/>
          <w:color w:val="auto"/>
          <w:spacing w:val="20"/>
          <w:sz w:val="21"/>
          <w:szCs w:val="21"/>
          <w:highlight w:val="none"/>
        </w:rPr>
        <w:t>单位</w:t>
      </w:r>
      <w:r>
        <w:rPr>
          <w:rFonts w:hint="eastAsia" w:ascii="宋体" w:hAnsi="宋体" w:eastAsia="宋体" w:cs="宋体"/>
          <w:color w:val="auto"/>
          <w:sz w:val="21"/>
          <w:szCs w:val="21"/>
          <w:highlight w:val="none"/>
        </w:rPr>
        <w:t>：（公章）</w:t>
      </w:r>
    </w:p>
    <w:p w14:paraId="018F184A">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r>
        <w:rPr>
          <w:rFonts w:hint="eastAsia" w:ascii="宋体" w:hAnsi="宋体" w:eastAsia="宋体" w:cs="宋体"/>
          <w:bCs/>
          <w:color w:val="auto"/>
          <w:sz w:val="21"/>
          <w:szCs w:val="21"/>
          <w:highlight w:val="none"/>
        </w:rPr>
        <w:t>：</w:t>
      </w:r>
    </w:p>
    <w:p w14:paraId="51A26C1B">
      <w:pPr>
        <w:keepNext w:val="0"/>
        <w:keepLines w:val="0"/>
        <w:pageBreakBefore w:val="0"/>
        <w:kinsoku/>
        <w:wordWrap/>
        <w:overflowPunct/>
        <w:topLinePunct w:val="0"/>
        <w:autoSpaceDE/>
        <w:autoSpaceDN/>
        <w:bidi w:val="0"/>
        <w:adjustRightInd/>
        <w:snapToGrid w:val="0"/>
        <w:spacing w:line="360" w:lineRule="auto"/>
        <w:ind w:firstLine="63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日期：</w:t>
      </w:r>
    </w:p>
    <w:p w14:paraId="70DAB02F">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5EE9F8EA">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5AB072A2">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144218A6">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6A6C4DD4">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4328F6B2">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51AB6811">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1BF51694">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6D2766EF">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1738A5EC">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63A6FB20">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0FA7253D">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0A0DAD93">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5D67C167">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b/>
          <w:bCs/>
          <w:color w:val="auto"/>
          <w:sz w:val="21"/>
          <w:szCs w:val="21"/>
          <w:highlight w:val="none"/>
        </w:rPr>
      </w:pPr>
    </w:p>
    <w:p w14:paraId="032BD89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1"/>
          <w:szCs w:val="21"/>
          <w:highlight w:val="none"/>
        </w:rPr>
      </w:pPr>
    </w:p>
    <w:p w14:paraId="1E9C3D1D">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rPr>
      </w:pPr>
      <w:bookmarkStart w:id="107" w:name="_Toc451"/>
      <w:r>
        <w:rPr>
          <w:rFonts w:hint="eastAsia" w:ascii="宋体" w:hAnsi="宋体" w:eastAsia="宋体" w:cs="宋体"/>
          <w:b/>
          <w:color w:val="auto"/>
          <w:sz w:val="21"/>
          <w:szCs w:val="21"/>
          <w:highlight w:val="none"/>
        </w:rPr>
        <w:t>附件6服务响应承诺书</w:t>
      </w:r>
      <w:bookmarkEnd w:id="107"/>
    </w:p>
    <w:p w14:paraId="5AD9CBB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服务响应承诺书</w:t>
      </w:r>
    </w:p>
    <w:p w14:paraId="51CDEEDA">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苏州市吴江区审计局</w:t>
      </w:r>
      <w:r>
        <w:rPr>
          <w:rFonts w:hint="eastAsia" w:ascii="宋体" w:hAnsi="宋体" w:eastAsia="宋体" w:cs="宋体"/>
          <w:color w:val="auto"/>
          <w:sz w:val="21"/>
          <w:szCs w:val="21"/>
          <w:highlight w:val="none"/>
        </w:rPr>
        <w:t>：</w:t>
      </w:r>
    </w:p>
    <w:p w14:paraId="36D48241">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为保证本次跟踪审计工作顺利开展和提高工作质量、效率，体现跟踪审计服务性质，我公司承诺如下：</w:t>
      </w:r>
    </w:p>
    <w:p w14:paraId="7F7A6866">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1.在服务期限内，我公司同意按采购文件规定的结算方式承接本次跟踪审计业务。</w:t>
      </w:r>
    </w:p>
    <w:p w14:paraId="16C9B3C6">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2.在服务期限内，我公司保证遵守采购人相关规章制度，按照项目需求和工作要求提供跟踪审计服务，接受苏州市吴江区审计局的考核、奖惩。</w:t>
      </w:r>
    </w:p>
    <w:p w14:paraId="0FB39960">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3.我公司承诺同意采购人制定的《苏州市吴江区审计局组织中介机构参与跟踪审计考核打分表》，在服务期限内，如未达到响应规定，接受相应的处理。</w:t>
      </w:r>
    </w:p>
    <w:p w14:paraId="2AD535AA">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4.我公司保证中标后，如发生紧急会议、突发情况等，需要紧急现场核实、现场审计的，相应的负责人及协审工程师务必在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分钟之内到达项目现场（服务响应时间），响应审计工作（报送文件、现场踏勘、参加会议等）。如未能到达服务响应时间要求，接受相应的处理。</w:t>
      </w:r>
    </w:p>
    <w:p w14:paraId="1A88C2B9">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p>
    <w:p w14:paraId="238E9F8F">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63A95BEC">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p>
    <w:p w14:paraId="2985BF8E">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磋商响应单位：（公章）</w:t>
      </w:r>
    </w:p>
    <w:p w14:paraId="7C451563">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51ED4D35">
      <w:pPr>
        <w:keepNext w:val="0"/>
        <w:keepLines w:val="0"/>
        <w:pageBreakBefore w:val="0"/>
        <w:kinsoku/>
        <w:wordWrap/>
        <w:overflowPunct/>
        <w:topLinePunct w:val="0"/>
        <w:autoSpaceDE/>
        <w:autoSpaceDN/>
        <w:bidi w:val="0"/>
        <w:adjustRightInd/>
        <w:snapToGrid w:val="0"/>
        <w:spacing w:line="360" w:lineRule="auto"/>
        <w:ind w:firstLine="63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3FC00E66">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p w14:paraId="5C7E9D5E">
      <w:pPr>
        <w:keepNext w:val="0"/>
        <w:keepLines w:val="0"/>
        <w:pageBreakBefore w:val="0"/>
        <w:kinsoku/>
        <w:wordWrap/>
        <w:overflowPunct/>
        <w:topLinePunct w:val="0"/>
        <w:autoSpaceDE/>
        <w:autoSpaceDN/>
        <w:bidi w:val="0"/>
        <w:adjustRightInd/>
        <w:snapToGrid w:val="0"/>
        <w:spacing w:line="360" w:lineRule="auto"/>
        <w:ind w:firstLine="420"/>
        <w:jc w:val="center"/>
        <w:textAlignment w:val="auto"/>
        <w:rPr>
          <w:rFonts w:hint="eastAsia" w:ascii="宋体" w:hAnsi="宋体" w:eastAsia="宋体" w:cs="宋体"/>
          <w:color w:val="auto"/>
          <w:sz w:val="21"/>
          <w:szCs w:val="21"/>
          <w:highlight w:val="none"/>
        </w:rPr>
      </w:pPr>
    </w:p>
    <w:p w14:paraId="2862270D">
      <w:pPr>
        <w:pStyle w:val="48"/>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p>
    <w:p w14:paraId="40D86D5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CE142F0">
      <w:pPr>
        <w:pStyle w:val="17"/>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29448BB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387169B">
      <w:pPr>
        <w:pStyle w:val="17"/>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308D9FE">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74A023D3">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2E076C6F">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5B8FB71">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34775D6">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E1DC295">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013F20B">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722BD2C7">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0B294CA">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0042DE4">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rPr>
      </w:pPr>
      <w:bookmarkStart w:id="108" w:name="_Toc22236"/>
      <w:r>
        <w:rPr>
          <w:rFonts w:hint="eastAsia" w:ascii="宋体" w:hAnsi="宋体" w:eastAsia="宋体" w:cs="宋体"/>
          <w:b/>
          <w:color w:val="auto"/>
          <w:sz w:val="21"/>
          <w:szCs w:val="21"/>
          <w:highlight w:val="none"/>
        </w:rPr>
        <w:t>附件7类似业绩一览表</w:t>
      </w:r>
      <w:bookmarkEnd w:id="108"/>
    </w:p>
    <w:p w14:paraId="47D25C9B">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rPr>
      </w:pPr>
      <w:bookmarkStart w:id="109" w:name="_Toc12245"/>
      <w:r>
        <w:rPr>
          <w:rFonts w:hint="eastAsia" w:ascii="宋体" w:hAnsi="宋体" w:eastAsia="宋体" w:cs="宋体"/>
          <w:b/>
          <w:color w:val="auto"/>
          <w:sz w:val="21"/>
          <w:szCs w:val="21"/>
          <w:highlight w:val="none"/>
        </w:rPr>
        <w:t>（1）</w:t>
      </w:r>
      <w:r>
        <w:rPr>
          <w:rFonts w:hint="eastAsia" w:ascii="宋体" w:hAnsi="宋体" w:eastAsia="宋体" w:cs="宋体"/>
          <w:b/>
          <w:bCs/>
          <w:color w:val="auto"/>
          <w:sz w:val="21"/>
          <w:szCs w:val="21"/>
          <w:highlight w:val="none"/>
        </w:rPr>
        <w:t>人员业绩</w:t>
      </w:r>
      <w:r>
        <w:rPr>
          <w:rFonts w:hint="eastAsia" w:ascii="宋体" w:hAnsi="宋体" w:eastAsia="宋体" w:cs="宋体"/>
          <w:b/>
          <w:color w:val="auto"/>
          <w:sz w:val="21"/>
          <w:szCs w:val="21"/>
          <w:highlight w:val="none"/>
        </w:rPr>
        <w:t>一览表</w:t>
      </w:r>
      <w:bookmarkEnd w:id="109"/>
    </w:p>
    <w:p w14:paraId="53A25BB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项目负责人业绩材料汇总表（</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标段）</w:t>
      </w:r>
    </w:p>
    <w:p w14:paraId="254C49A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p>
    <w:p w14:paraId="4781C70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项目负责人：</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p>
    <w:p w14:paraId="09312C0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tbl>
      <w:tblPr>
        <w:tblStyle w:val="38"/>
        <w:tblW w:w="46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
        <w:gridCol w:w="1836"/>
        <w:gridCol w:w="1636"/>
        <w:gridCol w:w="1561"/>
        <w:gridCol w:w="1984"/>
        <w:gridCol w:w="1133"/>
      </w:tblGrid>
      <w:tr w14:paraId="3CA7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 w:type="pct"/>
            <w:noWrap w:val="0"/>
            <w:vAlign w:val="center"/>
          </w:tcPr>
          <w:p w14:paraId="45CBE99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066" w:type="pct"/>
            <w:noWrap w:val="0"/>
            <w:vAlign w:val="center"/>
          </w:tcPr>
          <w:p w14:paraId="3255A1E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950" w:type="pct"/>
            <w:noWrap w:val="0"/>
            <w:vAlign w:val="center"/>
          </w:tcPr>
          <w:p w14:paraId="3C4C646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委托单位</w:t>
            </w:r>
          </w:p>
        </w:tc>
        <w:tc>
          <w:tcPr>
            <w:tcW w:w="906" w:type="pct"/>
            <w:noWrap w:val="0"/>
            <w:vAlign w:val="center"/>
          </w:tcPr>
          <w:p w14:paraId="2DC605F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1152" w:type="pct"/>
            <w:noWrap w:val="0"/>
            <w:vAlign w:val="center"/>
          </w:tcPr>
          <w:p w14:paraId="2361A61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项目金额（万元）</w:t>
            </w:r>
          </w:p>
        </w:tc>
        <w:tc>
          <w:tcPr>
            <w:tcW w:w="658" w:type="pct"/>
            <w:noWrap w:val="0"/>
            <w:vAlign w:val="center"/>
          </w:tcPr>
          <w:p w14:paraId="48B4BAE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B30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269" w:type="pct"/>
            <w:noWrap w:val="0"/>
            <w:vAlign w:val="center"/>
          </w:tcPr>
          <w:p w14:paraId="4C1A84E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66" w:type="pct"/>
            <w:noWrap w:val="0"/>
            <w:vAlign w:val="center"/>
          </w:tcPr>
          <w:p w14:paraId="7B3C837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50" w:type="pct"/>
            <w:noWrap w:val="0"/>
            <w:vAlign w:val="center"/>
          </w:tcPr>
          <w:p w14:paraId="65F6038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536F043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52" w:type="pct"/>
            <w:noWrap w:val="0"/>
            <w:vAlign w:val="center"/>
          </w:tcPr>
          <w:p w14:paraId="0755784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8" w:type="pct"/>
            <w:noWrap w:val="0"/>
            <w:vAlign w:val="center"/>
          </w:tcPr>
          <w:p w14:paraId="59B0663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836F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 w:type="pct"/>
            <w:noWrap w:val="0"/>
            <w:vAlign w:val="center"/>
          </w:tcPr>
          <w:p w14:paraId="2DD9B4D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66" w:type="pct"/>
            <w:noWrap w:val="0"/>
            <w:vAlign w:val="center"/>
          </w:tcPr>
          <w:p w14:paraId="230DF89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50" w:type="pct"/>
            <w:noWrap w:val="0"/>
            <w:vAlign w:val="center"/>
          </w:tcPr>
          <w:p w14:paraId="6B02D57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2B0E010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52" w:type="pct"/>
            <w:noWrap w:val="0"/>
            <w:vAlign w:val="center"/>
          </w:tcPr>
          <w:p w14:paraId="42E9814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8" w:type="pct"/>
            <w:noWrap w:val="0"/>
            <w:vAlign w:val="center"/>
          </w:tcPr>
          <w:p w14:paraId="289144B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0D59E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 w:type="pct"/>
            <w:noWrap w:val="0"/>
            <w:vAlign w:val="center"/>
          </w:tcPr>
          <w:p w14:paraId="199C022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66" w:type="pct"/>
            <w:noWrap w:val="0"/>
            <w:vAlign w:val="center"/>
          </w:tcPr>
          <w:p w14:paraId="40A0BBB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50" w:type="pct"/>
            <w:noWrap w:val="0"/>
            <w:vAlign w:val="center"/>
          </w:tcPr>
          <w:p w14:paraId="119C0A5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536EC5E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52" w:type="pct"/>
            <w:noWrap w:val="0"/>
            <w:vAlign w:val="center"/>
          </w:tcPr>
          <w:p w14:paraId="7C305A5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8" w:type="pct"/>
            <w:noWrap w:val="0"/>
            <w:vAlign w:val="center"/>
          </w:tcPr>
          <w:p w14:paraId="5A603E6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512B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 w:type="pct"/>
            <w:noWrap w:val="0"/>
            <w:vAlign w:val="center"/>
          </w:tcPr>
          <w:p w14:paraId="7723244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66" w:type="pct"/>
            <w:noWrap w:val="0"/>
            <w:vAlign w:val="center"/>
          </w:tcPr>
          <w:p w14:paraId="2499A08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50" w:type="pct"/>
            <w:noWrap w:val="0"/>
            <w:vAlign w:val="center"/>
          </w:tcPr>
          <w:p w14:paraId="5FB0CD2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2F61814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52" w:type="pct"/>
            <w:noWrap w:val="0"/>
            <w:vAlign w:val="center"/>
          </w:tcPr>
          <w:p w14:paraId="079B5CC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8" w:type="pct"/>
            <w:noWrap w:val="0"/>
            <w:vAlign w:val="center"/>
          </w:tcPr>
          <w:p w14:paraId="1E8C548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B2F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69" w:type="pct"/>
            <w:noWrap w:val="0"/>
            <w:vAlign w:val="center"/>
          </w:tcPr>
          <w:p w14:paraId="0DB3C48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66" w:type="pct"/>
            <w:noWrap w:val="0"/>
            <w:vAlign w:val="center"/>
          </w:tcPr>
          <w:p w14:paraId="3B711A1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50" w:type="pct"/>
            <w:noWrap w:val="0"/>
            <w:vAlign w:val="center"/>
          </w:tcPr>
          <w:p w14:paraId="4B091B1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0035277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152" w:type="pct"/>
            <w:noWrap w:val="0"/>
            <w:vAlign w:val="center"/>
          </w:tcPr>
          <w:p w14:paraId="331FF09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8" w:type="pct"/>
            <w:noWrap w:val="0"/>
            <w:vAlign w:val="center"/>
          </w:tcPr>
          <w:p w14:paraId="2DECFC3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bl>
    <w:p w14:paraId="5EAB626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EE14B6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累计完成金额为：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万元；累计完成个数为：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w:t>
      </w:r>
    </w:p>
    <w:p w14:paraId="15EA8718">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w:t>
      </w:r>
      <w:r>
        <w:rPr>
          <w:rFonts w:hint="eastAsia" w:ascii="宋体" w:hAnsi="宋体" w:eastAsia="宋体" w:cs="宋体"/>
          <w:color w:val="auto"/>
          <w:spacing w:val="20"/>
          <w:sz w:val="21"/>
          <w:szCs w:val="21"/>
          <w:highlight w:val="none"/>
        </w:rPr>
        <w:t>单位</w:t>
      </w:r>
      <w:r>
        <w:rPr>
          <w:rFonts w:hint="eastAsia" w:ascii="宋体" w:hAnsi="宋体" w:eastAsia="宋体" w:cs="宋体"/>
          <w:color w:val="auto"/>
          <w:sz w:val="21"/>
          <w:szCs w:val="21"/>
          <w:highlight w:val="none"/>
        </w:rPr>
        <w:t>：（公章）</w:t>
      </w:r>
    </w:p>
    <w:p w14:paraId="32AABD8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日期：</w:t>
      </w:r>
    </w:p>
    <w:p w14:paraId="0A5B69A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p>
    <w:p w14:paraId="30AB2DA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项目组其他成员（不含项目负责人）业绩材料汇总表（</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标段）</w:t>
      </w:r>
    </w:p>
    <w:p w14:paraId="17FEA7F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p>
    <w:p w14:paraId="11488E0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项目组其他成员：</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p>
    <w:p w14:paraId="3E17F85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tbl>
      <w:tblPr>
        <w:tblStyle w:val="38"/>
        <w:tblW w:w="45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1069"/>
        <w:gridCol w:w="1518"/>
        <w:gridCol w:w="1117"/>
        <w:gridCol w:w="1645"/>
        <w:gridCol w:w="1701"/>
        <w:gridCol w:w="993"/>
      </w:tblGrid>
      <w:tr w14:paraId="2A37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noWrap w:val="0"/>
            <w:vAlign w:val="center"/>
          </w:tcPr>
          <w:p w14:paraId="26F2137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631" w:type="pct"/>
            <w:noWrap w:val="0"/>
            <w:vAlign w:val="center"/>
          </w:tcPr>
          <w:p w14:paraId="4D135C5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成员姓名</w:t>
            </w:r>
          </w:p>
        </w:tc>
        <w:tc>
          <w:tcPr>
            <w:tcW w:w="896" w:type="pct"/>
            <w:noWrap w:val="0"/>
            <w:vAlign w:val="center"/>
          </w:tcPr>
          <w:p w14:paraId="20DF801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59" w:type="pct"/>
            <w:noWrap w:val="0"/>
            <w:vAlign w:val="center"/>
          </w:tcPr>
          <w:p w14:paraId="1A756E9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委托单位</w:t>
            </w:r>
          </w:p>
        </w:tc>
        <w:tc>
          <w:tcPr>
            <w:tcW w:w="971" w:type="pct"/>
            <w:noWrap w:val="0"/>
            <w:vAlign w:val="center"/>
          </w:tcPr>
          <w:p w14:paraId="372AB7D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1004" w:type="pct"/>
            <w:noWrap w:val="0"/>
            <w:vAlign w:val="center"/>
          </w:tcPr>
          <w:p w14:paraId="2E6C597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项目金额（万元）</w:t>
            </w:r>
          </w:p>
        </w:tc>
        <w:tc>
          <w:tcPr>
            <w:tcW w:w="586" w:type="pct"/>
            <w:noWrap w:val="0"/>
            <w:vAlign w:val="center"/>
          </w:tcPr>
          <w:p w14:paraId="5C76235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12EA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253" w:type="pct"/>
            <w:noWrap w:val="0"/>
            <w:vAlign w:val="center"/>
          </w:tcPr>
          <w:p w14:paraId="11B3711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31" w:type="pct"/>
            <w:noWrap w:val="0"/>
            <w:vAlign w:val="center"/>
          </w:tcPr>
          <w:p w14:paraId="2F4CDF2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96" w:type="pct"/>
            <w:noWrap w:val="0"/>
            <w:vAlign w:val="center"/>
          </w:tcPr>
          <w:p w14:paraId="20D3E00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9" w:type="pct"/>
            <w:noWrap w:val="0"/>
            <w:vAlign w:val="center"/>
          </w:tcPr>
          <w:p w14:paraId="683C742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71" w:type="pct"/>
            <w:noWrap w:val="0"/>
            <w:vAlign w:val="center"/>
          </w:tcPr>
          <w:p w14:paraId="578D495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pct"/>
            <w:noWrap w:val="0"/>
            <w:vAlign w:val="center"/>
          </w:tcPr>
          <w:p w14:paraId="4B68FA1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6" w:type="pct"/>
            <w:noWrap w:val="0"/>
            <w:vAlign w:val="center"/>
          </w:tcPr>
          <w:p w14:paraId="6134246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3B1E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3" w:type="pct"/>
            <w:noWrap w:val="0"/>
            <w:vAlign w:val="center"/>
          </w:tcPr>
          <w:p w14:paraId="0C0004E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31" w:type="pct"/>
            <w:noWrap w:val="0"/>
            <w:vAlign w:val="center"/>
          </w:tcPr>
          <w:p w14:paraId="39837C4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96" w:type="pct"/>
            <w:noWrap w:val="0"/>
            <w:vAlign w:val="center"/>
          </w:tcPr>
          <w:p w14:paraId="055B755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9" w:type="pct"/>
            <w:noWrap w:val="0"/>
            <w:vAlign w:val="center"/>
          </w:tcPr>
          <w:p w14:paraId="463B986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71" w:type="pct"/>
            <w:noWrap w:val="0"/>
            <w:vAlign w:val="center"/>
          </w:tcPr>
          <w:p w14:paraId="038290D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pct"/>
            <w:noWrap w:val="0"/>
            <w:vAlign w:val="center"/>
          </w:tcPr>
          <w:p w14:paraId="7092DBE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6" w:type="pct"/>
            <w:noWrap w:val="0"/>
            <w:vAlign w:val="center"/>
          </w:tcPr>
          <w:p w14:paraId="7324525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25F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3" w:type="pct"/>
            <w:noWrap w:val="0"/>
            <w:vAlign w:val="center"/>
          </w:tcPr>
          <w:p w14:paraId="769B69A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631" w:type="pct"/>
            <w:noWrap w:val="0"/>
            <w:vAlign w:val="center"/>
          </w:tcPr>
          <w:p w14:paraId="532898E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96" w:type="pct"/>
            <w:noWrap w:val="0"/>
            <w:vAlign w:val="center"/>
          </w:tcPr>
          <w:p w14:paraId="027EBAC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9" w:type="pct"/>
            <w:noWrap w:val="0"/>
            <w:vAlign w:val="center"/>
          </w:tcPr>
          <w:p w14:paraId="6CC1167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71" w:type="pct"/>
            <w:noWrap w:val="0"/>
            <w:vAlign w:val="center"/>
          </w:tcPr>
          <w:p w14:paraId="5D2AFE5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pct"/>
            <w:noWrap w:val="0"/>
            <w:vAlign w:val="center"/>
          </w:tcPr>
          <w:p w14:paraId="4C9B3F9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6" w:type="pct"/>
            <w:noWrap w:val="0"/>
            <w:vAlign w:val="center"/>
          </w:tcPr>
          <w:p w14:paraId="61EC81A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22A08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3" w:type="pct"/>
            <w:noWrap w:val="0"/>
            <w:vAlign w:val="center"/>
          </w:tcPr>
          <w:p w14:paraId="5059134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31" w:type="pct"/>
            <w:noWrap w:val="0"/>
            <w:vAlign w:val="center"/>
          </w:tcPr>
          <w:p w14:paraId="244BF98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96" w:type="pct"/>
            <w:noWrap w:val="0"/>
            <w:vAlign w:val="center"/>
          </w:tcPr>
          <w:p w14:paraId="2146D65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9" w:type="pct"/>
            <w:noWrap w:val="0"/>
            <w:vAlign w:val="center"/>
          </w:tcPr>
          <w:p w14:paraId="70DF0E9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71" w:type="pct"/>
            <w:noWrap w:val="0"/>
            <w:vAlign w:val="center"/>
          </w:tcPr>
          <w:p w14:paraId="4F48F26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pct"/>
            <w:noWrap w:val="0"/>
            <w:vAlign w:val="center"/>
          </w:tcPr>
          <w:p w14:paraId="5EE3849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6" w:type="pct"/>
            <w:noWrap w:val="0"/>
            <w:vAlign w:val="center"/>
          </w:tcPr>
          <w:p w14:paraId="0D8BADF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3602D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3" w:type="pct"/>
            <w:noWrap w:val="0"/>
            <w:vAlign w:val="center"/>
          </w:tcPr>
          <w:p w14:paraId="65BC881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31" w:type="pct"/>
            <w:noWrap w:val="0"/>
            <w:vAlign w:val="center"/>
          </w:tcPr>
          <w:p w14:paraId="01C0B69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96" w:type="pct"/>
            <w:noWrap w:val="0"/>
            <w:vAlign w:val="center"/>
          </w:tcPr>
          <w:p w14:paraId="7B1381C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59" w:type="pct"/>
            <w:noWrap w:val="0"/>
            <w:vAlign w:val="center"/>
          </w:tcPr>
          <w:p w14:paraId="3070F5B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71" w:type="pct"/>
            <w:noWrap w:val="0"/>
            <w:vAlign w:val="center"/>
          </w:tcPr>
          <w:p w14:paraId="7AB8D9E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04" w:type="pct"/>
            <w:noWrap w:val="0"/>
            <w:vAlign w:val="center"/>
          </w:tcPr>
          <w:p w14:paraId="687EA40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6" w:type="pct"/>
            <w:noWrap w:val="0"/>
            <w:vAlign w:val="center"/>
          </w:tcPr>
          <w:p w14:paraId="0CF3A64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bl>
    <w:p w14:paraId="5BF7864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62B46C5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累计完成金额为：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万元；</w:t>
      </w:r>
      <w:r>
        <w:rPr>
          <w:rFonts w:hint="eastAsia" w:ascii="宋体" w:hAnsi="宋体" w:eastAsia="宋体" w:cs="宋体"/>
          <w:color w:val="auto"/>
          <w:sz w:val="21"/>
          <w:szCs w:val="21"/>
          <w:highlight w:val="none"/>
          <w:lang w:val="zh-CN"/>
        </w:rPr>
        <w:t>累计</w:t>
      </w:r>
      <w:r>
        <w:rPr>
          <w:rFonts w:hint="eastAsia" w:ascii="宋体" w:hAnsi="宋体" w:eastAsia="宋体" w:cs="宋体"/>
          <w:color w:val="auto"/>
          <w:sz w:val="21"/>
          <w:szCs w:val="21"/>
          <w:highlight w:val="none"/>
        </w:rPr>
        <w:t>完成个数为：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w:t>
      </w:r>
    </w:p>
    <w:p w14:paraId="25EF5E9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CB9CCB8">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w:t>
      </w:r>
      <w:r>
        <w:rPr>
          <w:rFonts w:hint="eastAsia" w:ascii="宋体" w:hAnsi="宋体" w:eastAsia="宋体" w:cs="宋体"/>
          <w:color w:val="auto"/>
          <w:spacing w:val="20"/>
          <w:sz w:val="21"/>
          <w:szCs w:val="21"/>
          <w:highlight w:val="none"/>
        </w:rPr>
        <w:t>单位</w:t>
      </w:r>
      <w:r>
        <w:rPr>
          <w:rFonts w:hint="eastAsia" w:ascii="宋体" w:hAnsi="宋体" w:eastAsia="宋体" w:cs="宋体"/>
          <w:color w:val="auto"/>
          <w:sz w:val="21"/>
          <w:szCs w:val="21"/>
          <w:highlight w:val="none"/>
        </w:rPr>
        <w:t>：（公章）</w:t>
      </w:r>
    </w:p>
    <w:p w14:paraId="575CD95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日期：</w:t>
      </w:r>
    </w:p>
    <w:p w14:paraId="7B4B0E40">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rPr>
      </w:pPr>
      <w:bookmarkStart w:id="110" w:name="_Toc7949"/>
      <w:r>
        <w:rPr>
          <w:rFonts w:hint="eastAsia" w:ascii="宋体" w:hAnsi="宋体" w:eastAsia="宋体" w:cs="宋体"/>
          <w:b/>
          <w:color w:val="auto"/>
          <w:sz w:val="21"/>
          <w:szCs w:val="21"/>
          <w:highlight w:val="none"/>
        </w:rPr>
        <w:t>（2）</w:t>
      </w:r>
      <w:r>
        <w:rPr>
          <w:rFonts w:hint="eastAsia" w:ascii="宋体" w:hAnsi="宋体" w:eastAsia="宋体" w:cs="宋体"/>
          <w:b/>
          <w:bCs/>
          <w:color w:val="auto"/>
          <w:sz w:val="21"/>
          <w:szCs w:val="21"/>
          <w:highlight w:val="none"/>
        </w:rPr>
        <w:t>企业业绩</w:t>
      </w:r>
      <w:r>
        <w:rPr>
          <w:rFonts w:hint="eastAsia" w:ascii="宋体" w:hAnsi="宋体" w:eastAsia="宋体" w:cs="宋体"/>
          <w:b/>
          <w:color w:val="auto"/>
          <w:sz w:val="21"/>
          <w:szCs w:val="21"/>
          <w:highlight w:val="none"/>
        </w:rPr>
        <w:t>一览表</w:t>
      </w:r>
      <w:bookmarkEnd w:id="110"/>
    </w:p>
    <w:p w14:paraId="57B8C16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2FD3AEF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投标单位业绩材料汇总表（</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标段）</w:t>
      </w:r>
    </w:p>
    <w:tbl>
      <w:tblPr>
        <w:tblStyle w:val="38"/>
        <w:tblW w:w="46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
        <w:gridCol w:w="1518"/>
        <w:gridCol w:w="1561"/>
        <w:gridCol w:w="1843"/>
        <w:gridCol w:w="1843"/>
        <w:gridCol w:w="1416"/>
      </w:tblGrid>
      <w:tr w14:paraId="4563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 w:type="pct"/>
            <w:noWrap w:val="0"/>
            <w:vAlign w:val="center"/>
          </w:tcPr>
          <w:p w14:paraId="4A8779A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881" w:type="pct"/>
            <w:noWrap w:val="0"/>
            <w:vAlign w:val="center"/>
          </w:tcPr>
          <w:p w14:paraId="5C7464B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906" w:type="pct"/>
            <w:noWrap w:val="0"/>
            <w:vAlign w:val="center"/>
          </w:tcPr>
          <w:p w14:paraId="3BCA2CD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委托单位</w:t>
            </w:r>
          </w:p>
        </w:tc>
        <w:tc>
          <w:tcPr>
            <w:tcW w:w="1070" w:type="pct"/>
            <w:noWrap w:val="0"/>
            <w:vAlign w:val="center"/>
          </w:tcPr>
          <w:p w14:paraId="4441E89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1070" w:type="pct"/>
            <w:noWrap w:val="0"/>
            <w:vAlign w:val="center"/>
          </w:tcPr>
          <w:p w14:paraId="4EED5DB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项目金额（万元）</w:t>
            </w:r>
          </w:p>
        </w:tc>
        <w:tc>
          <w:tcPr>
            <w:tcW w:w="822" w:type="pct"/>
            <w:noWrap w:val="0"/>
            <w:vAlign w:val="center"/>
          </w:tcPr>
          <w:p w14:paraId="09BC6DE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7688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251" w:type="pct"/>
            <w:noWrap w:val="0"/>
            <w:vAlign w:val="center"/>
          </w:tcPr>
          <w:p w14:paraId="5D094FA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81" w:type="pct"/>
            <w:noWrap w:val="0"/>
            <w:vAlign w:val="center"/>
          </w:tcPr>
          <w:p w14:paraId="4201272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3228E58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05F03D8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59B93F6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22" w:type="pct"/>
            <w:noWrap w:val="0"/>
            <w:vAlign w:val="center"/>
          </w:tcPr>
          <w:p w14:paraId="4DBB3C4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1444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1" w:type="pct"/>
            <w:noWrap w:val="0"/>
            <w:vAlign w:val="center"/>
          </w:tcPr>
          <w:p w14:paraId="4F5E67E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881" w:type="pct"/>
            <w:noWrap w:val="0"/>
            <w:vAlign w:val="center"/>
          </w:tcPr>
          <w:p w14:paraId="4F8DC6E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343B073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0C6C16B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4822518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22" w:type="pct"/>
            <w:noWrap w:val="0"/>
            <w:vAlign w:val="center"/>
          </w:tcPr>
          <w:p w14:paraId="39EC1FA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3FE1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1" w:type="pct"/>
            <w:noWrap w:val="0"/>
            <w:vAlign w:val="center"/>
          </w:tcPr>
          <w:p w14:paraId="14D4C5A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881" w:type="pct"/>
            <w:noWrap w:val="0"/>
            <w:vAlign w:val="center"/>
          </w:tcPr>
          <w:p w14:paraId="14CFB5D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1DBC8A3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4394B1D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200BA69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22" w:type="pct"/>
            <w:noWrap w:val="0"/>
            <w:vAlign w:val="center"/>
          </w:tcPr>
          <w:p w14:paraId="058B896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3D82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1" w:type="pct"/>
            <w:noWrap w:val="0"/>
            <w:vAlign w:val="center"/>
          </w:tcPr>
          <w:p w14:paraId="1512AA1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81" w:type="pct"/>
            <w:noWrap w:val="0"/>
            <w:vAlign w:val="center"/>
          </w:tcPr>
          <w:p w14:paraId="523A8A9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690BCFF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37BA974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2261DB2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22" w:type="pct"/>
            <w:noWrap w:val="0"/>
            <w:vAlign w:val="center"/>
          </w:tcPr>
          <w:p w14:paraId="61A72E9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7CA7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1" w:type="pct"/>
            <w:noWrap w:val="0"/>
            <w:vAlign w:val="center"/>
          </w:tcPr>
          <w:p w14:paraId="023C14A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81" w:type="pct"/>
            <w:noWrap w:val="0"/>
            <w:vAlign w:val="center"/>
          </w:tcPr>
          <w:p w14:paraId="136C0E1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906" w:type="pct"/>
            <w:noWrap w:val="0"/>
            <w:vAlign w:val="center"/>
          </w:tcPr>
          <w:p w14:paraId="3F98DE9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27D9617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070" w:type="pct"/>
            <w:noWrap w:val="0"/>
            <w:vAlign w:val="center"/>
          </w:tcPr>
          <w:p w14:paraId="504DD59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22" w:type="pct"/>
            <w:noWrap w:val="0"/>
            <w:vAlign w:val="center"/>
          </w:tcPr>
          <w:p w14:paraId="25095F7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bl>
    <w:p w14:paraId="080F7AD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6D4CD2F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累计完成金额为：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万元；累计完成个数为：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w:t>
      </w:r>
    </w:p>
    <w:p w14:paraId="3B5A791E">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p w14:paraId="2ABC2A57">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w:t>
      </w:r>
      <w:r>
        <w:rPr>
          <w:rFonts w:hint="eastAsia" w:ascii="宋体" w:hAnsi="宋体" w:eastAsia="宋体" w:cs="宋体"/>
          <w:color w:val="auto"/>
          <w:spacing w:val="20"/>
          <w:sz w:val="21"/>
          <w:szCs w:val="21"/>
          <w:highlight w:val="none"/>
        </w:rPr>
        <w:t>单位</w:t>
      </w:r>
      <w:r>
        <w:rPr>
          <w:rFonts w:hint="eastAsia" w:ascii="宋体" w:hAnsi="宋体" w:eastAsia="宋体" w:cs="宋体"/>
          <w:color w:val="auto"/>
          <w:sz w:val="21"/>
          <w:szCs w:val="21"/>
          <w:highlight w:val="none"/>
        </w:rPr>
        <w:t>：（公章）</w:t>
      </w:r>
    </w:p>
    <w:p w14:paraId="61E19DB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日期：</w:t>
      </w:r>
    </w:p>
    <w:p w14:paraId="75639FC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5FF90B5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261F155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448EB41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71A54A7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224AFCC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5AC33F4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2B203F9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0AC25A7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0029746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032F1A1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0E40428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2D0C310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17E2574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733BB5E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6FA86C1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7905896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1"/>
          <w:szCs w:val="21"/>
          <w:highlight w:val="none"/>
        </w:rPr>
      </w:pPr>
    </w:p>
    <w:p w14:paraId="67D9758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8D49E6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F107BA0">
      <w:pPr>
        <w:keepNext w:val="0"/>
        <w:keepLines w:val="0"/>
        <w:pageBreakBefore w:val="0"/>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b/>
          <w:color w:val="auto"/>
          <w:sz w:val="21"/>
          <w:szCs w:val="21"/>
          <w:highlight w:val="none"/>
        </w:rPr>
      </w:pPr>
      <w:bookmarkStart w:id="111" w:name="_Toc6696"/>
      <w:r>
        <w:rPr>
          <w:rFonts w:hint="eastAsia" w:ascii="宋体" w:hAnsi="宋体" w:eastAsia="宋体" w:cs="宋体"/>
          <w:b/>
          <w:color w:val="auto"/>
          <w:sz w:val="21"/>
          <w:szCs w:val="21"/>
          <w:highlight w:val="none"/>
        </w:rPr>
        <w:t>（3）业绩证明材料</w:t>
      </w:r>
      <w:bookmarkEnd w:id="111"/>
    </w:p>
    <w:p w14:paraId="3BAC31E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7B223F2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业绩证明材料（个人明细表一）</w:t>
      </w:r>
    </w:p>
    <w:p w14:paraId="369B5C8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20EE0489">
      <w:pPr>
        <w:keepNext w:val="0"/>
        <w:keepLines w:val="0"/>
        <w:pageBreakBefore w:val="0"/>
        <w:kinsoku/>
        <w:wordWrap/>
        <w:overflowPunct/>
        <w:topLinePunct w:val="0"/>
        <w:autoSpaceDE/>
        <w:autoSpaceDN/>
        <w:bidi w:val="0"/>
        <w:adjustRightInd/>
        <w:snapToGrid w:val="0"/>
        <w:spacing w:line="360" w:lineRule="auto"/>
        <w:ind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兹证明以下项目由</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（委托单位）委派</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（中介</w:t>
      </w:r>
      <w:r>
        <w:rPr>
          <w:rFonts w:hint="eastAsia" w:ascii="宋体" w:hAnsi="宋体" w:eastAsia="宋体" w:cs="宋体"/>
          <w:b/>
          <w:color w:val="auto"/>
          <w:sz w:val="21"/>
          <w:szCs w:val="21"/>
          <w:highlight w:val="none"/>
          <w:lang w:val="en-US" w:eastAsia="zh-CN"/>
        </w:rPr>
        <w:t>名称</w:t>
      </w:r>
      <w:r>
        <w:rPr>
          <w:rFonts w:hint="eastAsia" w:ascii="宋体" w:hAnsi="宋体" w:eastAsia="宋体" w:cs="宋体"/>
          <w:b/>
          <w:color w:val="auto"/>
          <w:sz w:val="21"/>
          <w:szCs w:val="21"/>
          <w:highlight w:val="none"/>
        </w:rPr>
        <w:t>）负责跟踪审计，</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none"/>
          <w:lang w:val="en-US" w:eastAsia="zh-CN"/>
        </w:rPr>
        <w:t xml:space="preserve"> 在项目中担任项目负责人</w:t>
      </w:r>
      <w:r>
        <w:rPr>
          <w:rFonts w:hint="eastAsia" w:ascii="宋体" w:hAnsi="宋体" w:eastAsia="宋体" w:cs="宋体"/>
          <w:b/>
          <w:color w:val="auto"/>
          <w:sz w:val="21"/>
          <w:szCs w:val="21"/>
          <w:highlight w:val="none"/>
          <w:lang w:val="en-US" w:eastAsia="zh-CN"/>
        </w:rPr>
        <w:t>，</w:t>
      </w:r>
      <w:r>
        <w:rPr>
          <w:rFonts w:hint="eastAsia" w:ascii="宋体" w:hAnsi="宋体" w:eastAsia="宋体" w:cs="宋体"/>
          <w:b/>
          <w:color w:val="auto"/>
          <w:sz w:val="21"/>
          <w:szCs w:val="21"/>
          <w:highlight w:val="none"/>
        </w:rPr>
        <w:t>项目信息经查属实。</w:t>
      </w:r>
    </w:p>
    <w:tbl>
      <w:tblPr>
        <w:tblStyle w:val="38"/>
        <w:tblW w:w="44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
        <w:gridCol w:w="1105"/>
        <w:gridCol w:w="846"/>
        <w:gridCol w:w="706"/>
        <w:gridCol w:w="990"/>
        <w:gridCol w:w="1418"/>
        <w:gridCol w:w="850"/>
        <w:gridCol w:w="995"/>
        <w:gridCol w:w="990"/>
      </w:tblGrid>
      <w:tr w14:paraId="1EE1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noWrap w:val="0"/>
            <w:vAlign w:val="center"/>
          </w:tcPr>
          <w:p w14:paraId="34440BB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663" w:type="pct"/>
            <w:noWrap w:val="0"/>
            <w:vAlign w:val="center"/>
          </w:tcPr>
          <w:p w14:paraId="7D659CB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08" w:type="pct"/>
            <w:noWrap w:val="0"/>
            <w:vAlign w:val="center"/>
          </w:tcPr>
          <w:p w14:paraId="34AA1BE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委托单位</w:t>
            </w:r>
          </w:p>
        </w:tc>
        <w:tc>
          <w:tcPr>
            <w:tcW w:w="424" w:type="pct"/>
            <w:noWrap w:val="0"/>
            <w:vAlign w:val="center"/>
          </w:tcPr>
          <w:p w14:paraId="1E48F47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594" w:type="pct"/>
            <w:noWrap w:val="0"/>
            <w:vAlign w:val="center"/>
          </w:tcPr>
          <w:p w14:paraId="5027AAE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国有资金是否占控股或者主导地位</w:t>
            </w:r>
          </w:p>
        </w:tc>
        <w:tc>
          <w:tcPr>
            <w:tcW w:w="851" w:type="pct"/>
            <w:noWrap w:val="0"/>
            <w:vAlign w:val="center"/>
          </w:tcPr>
          <w:p w14:paraId="3A85948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项目金额（万元）</w:t>
            </w:r>
          </w:p>
        </w:tc>
        <w:tc>
          <w:tcPr>
            <w:tcW w:w="510" w:type="pct"/>
            <w:noWrap w:val="0"/>
            <w:vAlign w:val="center"/>
          </w:tcPr>
          <w:p w14:paraId="720FB0D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项目专业</w:t>
            </w:r>
          </w:p>
        </w:tc>
        <w:tc>
          <w:tcPr>
            <w:tcW w:w="597" w:type="pct"/>
            <w:noWrap w:val="0"/>
            <w:vAlign w:val="center"/>
          </w:tcPr>
          <w:p w14:paraId="12C0EF6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完成时间</w:t>
            </w:r>
          </w:p>
        </w:tc>
        <w:tc>
          <w:tcPr>
            <w:tcW w:w="595" w:type="pct"/>
            <w:noWrap w:val="0"/>
            <w:vAlign w:val="center"/>
          </w:tcPr>
          <w:p w14:paraId="673B1E2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720DF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259" w:type="pct"/>
            <w:noWrap w:val="0"/>
            <w:vAlign w:val="center"/>
          </w:tcPr>
          <w:p w14:paraId="0F0B563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63" w:type="pct"/>
            <w:noWrap w:val="0"/>
            <w:vAlign w:val="center"/>
          </w:tcPr>
          <w:p w14:paraId="6EA7CFA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660FAEE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24" w:type="pct"/>
            <w:noWrap w:val="0"/>
            <w:vAlign w:val="center"/>
          </w:tcPr>
          <w:p w14:paraId="4134697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4" w:type="pct"/>
            <w:noWrap w:val="0"/>
            <w:vAlign w:val="center"/>
          </w:tcPr>
          <w:p w14:paraId="6FB619D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51" w:type="pct"/>
            <w:noWrap w:val="0"/>
          </w:tcPr>
          <w:p w14:paraId="3B70443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10" w:type="pct"/>
            <w:noWrap w:val="0"/>
            <w:vAlign w:val="center"/>
          </w:tcPr>
          <w:p w14:paraId="035F191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7" w:type="pct"/>
            <w:noWrap w:val="0"/>
            <w:vAlign w:val="center"/>
          </w:tcPr>
          <w:p w14:paraId="155FFB6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5" w:type="pct"/>
            <w:noWrap w:val="0"/>
            <w:vAlign w:val="center"/>
          </w:tcPr>
          <w:p w14:paraId="078708B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101D1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9" w:type="pct"/>
            <w:noWrap w:val="0"/>
            <w:vAlign w:val="center"/>
          </w:tcPr>
          <w:p w14:paraId="395FCA9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63" w:type="pct"/>
            <w:noWrap w:val="0"/>
            <w:vAlign w:val="center"/>
          </w:tcPr>
          <w:p w14:paraId="4446302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74160D0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24" w:type="pct"/>
            <w:noWrap w:val="0"/>
            <w:vAlign w:val="center"/>
          </w:tcPr>
          <w:p w14:paraId="2AE124B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4" w:type="pct"/>
            <w:noWrap w:val="0"/>
            <w:vAlign w:val="center"/>
          </w:tcPr>
          <w:p w14:paraId="7804F36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51" w:type="pct"/>
            <w:noWrap w:val="0"/>
          </w:tcPr>
          <w:p w14:paraId="6A9C86A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10" w:type="pct"/>
            <w:noWrap w:val="0"/>
            <w:vAlign w:val="center"/>
          </w:tcPr>
          <w:p w14:paraId="1F8E954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7" w:type="pct"/>
            <w:noWrap w:val="0"/>
            <w:vAlign w:val="center"/>
          </w:tcPr>
          <w:p w14:paraId="4563E27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5" w:type="pct"/>
            <w:noWrap w:val="0"/>
            <w:vAlign w:val="center"/>
          </w:tcPr>
          <w:p w14:paraId="36DADAA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21425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9" w:type="pct"/>
            <w:noWrap w:val="0"/>
            <w:vAlign w:val="center"/>
          </w:tcPr>
          <w:p w14:paraId="064CB89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63" w:type="pct"/>
            <w:noWrap w:val="0"/>
            <w:vAlign w:val="center"/>
          </w:tcPr>
          <w:p w14:paraId="033D88B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591CF31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24" w:type="pct"/>
            <w:noWrap w:val="0"/>
            <w:vAlign w:val="center"/>
          </w:tcPr>
          <w:p w14:paraId="1C9C1DC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4" w:type="pct"/>
            <w:noWrap w:val="0"/>
            <w:vAlign w:val="center"/>
          </w:tcPr>
          <w:p w14:paraId="46BF05D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51" w:type="pct"/>
            <w:noWrap w:val="0"/>
          </w:tcPr>
          <w:p w14:paraId="510DA74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10" w:type="pct"/>
            <w:noWrap w:val="0"/>
            <w:vAlign w:val="center"/>
          </w:tcPr>
          <w:p w14:paraId="2020124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7" w:type="pct"/>
            <w:noWrap w:val="0"/>
            <w:vAlign w:val="center"/>
          </w:tcPr>
          <w:p w14:paraId="5D68E77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5" w:type="pct"/>
            <w:noWrap w:val="0"/>
            <w:vAlign w:val="center"/>
          </w:tcPr>
          <w:p w14:paraId="650915B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32F4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9" w:type="pct"/>
            <w:noWrap w:val="0"/>
            <w:vAlign w:val="center"/>
          </w:tcPr>
          <w:p w14:paraId="748F43D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63" w:type="pct"/>
            <w:noWrap w:val="0"/>
            <w:vAlign w:val="center"/>
          </w:tcPr>
          <w:p w14:paraId="376616C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505B57D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24" w:type="pct"/>
            <w:noWrap w:val="0"/>
            <w:vAlign w:val="center"/>
          </w:tcPr>
          <w:p w14:paraId="1994ADB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4" w:type="pct"/>
            <w:noWrap w:val="0"/>
            <w:vAlign w:val="center"/>
          </w:tcPr>
          <w:p w14:paraId="5A47B0B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51" w:type="pct"/>
            <w:noWrap w:val="0"/>
          </w:tcPr>
          <w:p w14:paraId="713B973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10" w:type="pct"/>
            <w:noWrap w:val="0"/>
            <w:vAlign w:val="center"/>
          </w:tcPr>
          <w:p w14:paraId="1FC7A14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7" w:type="pct"/>
            <w:noWrap w:val="0"/>
            <w:vAlign w:val="center"/>
          </w:tcPr>
          <w:p w14:paraId="04F983E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5" w:type="pct"/>
            <w:noWrap w:val="0"/>
            <w:vAlign w:val="center"/>
          </w:tcPr>
          <w:p w14:paraId="60D8835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65F2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9" w:type="pct"/>
            <w:noWrap w:val="0"/>
            <w:vAlign w:val="center"/>
          </w:tcPr>
          <w:p w14:paraId="5F956E1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63" w:type="pct"/>
            <w:noWrap w:val="0"/>
            <w:vAlign w:val="center"/>
          </w:tcPr>
          <w:p w14:paraId="34E05E6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4EECD97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24" w:type="pct"/>
            <w:noWrap w:val="0"/>
            <w:vAlign w:val="center"/>
          </w:tcPr>
          <w:p w14:paraId="5A7117E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4" w:type="pct"/>
            <w:noWrap w:val="0"/>
            <w:vAlign w:val="center"/>
          </w:tcPr>
          <w:p w14:paraId="5262A95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51" w:type="pct"/>
            <w:noWrap w:val="0"/>
          </w:tcPr>
          <w:p w14:paraId="4F60E12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10" w:type="pct"/>
            <w:noWrap w:val="0"/>
            <w:vAlign w:val="center"/>
          </w:tcPr>
          <w:p w14:paraId="6871375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7" w:type="pct"/>
            <w:noWrap w:val="0"/>
            <w:vAlign w:val="center"/>
          </w:tcPr>
          <w:p w14:paraId="28DBC02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5" w:type="pct"/>
            <w:noWrap w:val="0"/>
            <w:vAlign w:val="center"/>
          </w:tcPr>
          <w:p w14:paraId="33F4EC4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1A79A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59" w:type="pct"/>
            <w:noWrap w:val="0"/>
            <w:vAlign w:val="center"/>
          </w:tcPr>
          <w:p w14:paraId="47BB5BD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63" w:type="pct"/>
            <w:noWrap w:val="0"/>
            <w:vAlign w:val="center"/>
          </w:tcPr>
          <w:p w14:paraId="39CA5F9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245697C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24" w:type="pct"/>
            <w:noWrap w:val="0"/>
            <w:vAlign w:val="center"/>
          </w:tcPr>
          <w:p w14:paraId="7B73C39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4" w:type="pct"/>
            <w:noWrap w:val="0"/>
            <w:vAlign w:val="center"/>
          </w:tcPr>
          <w:p w14:paraId="2D35DCE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851" w:type="pct"/>
            <w:noWrap w:val="0"/>
          </w:tcPr>
          <w:p w14:paraId="0FC5F6C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10" w:type="pct"/>
            <w:noWrap w:val="0"/>
            <w:vAlign w:val="center"/>
          </w:tcPr>
          <w:p w14:paraId="2137CE9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7" w:type="pct"/>
            <w:noWrap w:val="0"/>
            <w:vAlign w:val="center"/>
          </w:tcPr>
          <w:p w14:paraId="69A0879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5" w:type="pct"/>
            <w:noWrap w:val="0"/>
            <w:vAlign w:val="center"/>
          </w:tcPr>
          <w:p w14:paraId="1207C12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bl>
    <w:p w14:paraId="363E74F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color w:val="auto"/>
          <w:sz w:val="21"/>
          <w:szCs w:val="21"/>
          <w:highlight w:val="none"/>
        </w:rPr>
      </w:pPr>
    </w:p>
    <w:p w14:paraId="3BCB145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284CEF5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1.项目金额填写跟踪审计项目实际跟审金额。</w:t>
      </w:r>
    </w:p>
    <w:p w14:paraId="729C4FB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2.项目专业填写土建类或市政类。</w:t>
      </w:r>
    </w:p>
    <w:p w14:paraId="7DF62FD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3.完成时间以跟踪审计结束时间为准。</w:t>
      </w:r>
    </w:p>
    <w:p w14:paraId="30D62C8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4.委托方对资料的真实性承担连带法律责任。</w:t>
      </w:r>
    </w:p>
    <w:p w14:paraId="20BB034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0DF0637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委托单位：（公章）</w:t>
      </w:r>
    </w:p>
    <w:p w14:paraId="6EC7330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8AEF5D0">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日期：</w:t>
      </w:r>
    </w:p>
    <w:p w14:paraId="3CDE4BF0">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p>
    <w:p w14:paraId="1F70F5FE">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p>
    <w:p w14:paraId="1423DC67">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p>
    <w:p w14:paraId="3C6DFF71">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p>
    <w:p w14:paraId="4FC6065F">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p>
    <w:p w14:paraId="5AF1AF91">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p>
    <w:p w14:paraId="3CB5A8BD">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bCs/>
          <w:color w:val="auto"/>
          <w:sz w:val="21"/>
          <w:szCs w:val="21"/>
          <w:highlight w:val="none"/>
        </w:rPr>
      </w:pPr>
    </w:p>
    <w:p w14:paraId="0B1949F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业绩证明材料（个人明细表二）</w:t>
      </w:r>
    </w:p>
    <w:p w14:paraId="0229253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01AF008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014E8A25">
      <w:pPr>
        <w:keepNext w:val="0"/>
        <w:keepLines w:val="0"/>
        <w:pageBreakBefore w:val="0"/>
        <w:kinsoku/>
        <w:wordWrap/>
        <w:overflowPunct/>
        <w:topLinePunct w:val="0"/>
        <w:autoSpaceDE/>
        <w:autoSpaceDN/>
        <w:bidi w:val="0"/>
        <w:adjustRightInd/>
        <w:snapToGrid w:val="0"/>
        <w:spacing w:line="360" w:lineRule="auto"/>
        <w:ind w:firstLine="421"/>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兹证明以下项目由</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（委托单位）委派</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（中介</w:t>
      </w:r>
      <w:r>
        <w:rPr>
          <w:rFonts w:hint="eastAsia" w:ascii="宋体" w:hAnsi="宋体" w:eastAsia="宋体" w:cs="宋体"/>
          <w:b/>
          <w:color w:val="auto"/>
          <w:sz w:val="21"/>
          <w:szCs w:val="21"/>
          <w:highlight w:val="none"/>
          <w:lang w:val="en-US" w:eastAsia="zh-CN"/>
        </w:rPr>
        <w:t>名称</w:t>
      </w:r>
      <w:r>
        <w:rPr>
          <w:rFonts w:hint="eastAsia" w:ascii="宋体" w:hAnsi="宋体" w:eastAsia="宋体" w:cs="宋体"/>
          <w:b/>
          <w:color w:val="auto"/>
          <w:sz w:val="21"/>
          <w:szCs w:val="21"/>
          <w:highlight w:val="none"/>
        </w:rPr>
        <w:t>）负责跟踪审计，</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none"/>
          <w:lang w:val="en-US" w:eastAsia="zh-CN"/>
        </w:rPr>
        <w:t>（人员）参与此项目</w:t>
      </w:r>
      <w:r>
        <w:rPr>
          <w:rFonts w:hint="eastAsia" w:ascii="宋体" w:hAnsi="宋体" w:eastAsia="宋体" w:cs="宋体"/>
          <w:b/>
          <w:color w:val="auto"/>
          <w:sz w:val="21"/>
          <w:szCs w:val="21"/>
          <w:highlight w:val="none"/>
          <w:lang w:val="en-US" w:eastAsia="zh-CN"/>
        </w:rPr>
        <w:t>，</w:t>
      </w:r>
      <w:r>
        <w:rPr>
          <w:rFonts w:hint="eastAsia" w:ascii="宋体" w:hAnsi="宋体" w:eastAsia="宋体" w:cs="宋体"/>
          <w:b/>
          <w:color w:val="auto"/>
          <w:sz w:val="21"/>
          <w:szCs w:val="21"/>
          <w:highlight w:val="none"/>
        </w:rPr>
        <w:t>项目信息经查属实。</w:t>
      </w:r>
    </w:p>
    <w:tbl>
      <w:tblPr>
        <w:tblStyle w:val="38"/>
        <w:tblW w:w="47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
        <w:gridCol w:w="891"/>
        <w:gridCol w:w="960"/>
        <w:gridCol w:w="860"/>
        <w:gridCol w:w="686"/>
        <w:gridCol w:w="1243"/>
        <w:gridCol w:w="853"/>
        <w:gridCol w:w="990"/>
        <w:gridCol w:w="995"/>
        <w:gridCol w:w="849"/>
      </w:tblGrid>
      <w:tr w14:paraId="48AA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 w:type="pct"/>
            <w:noWrap w:val="0"/>
            <w:vAlign w:val="center"/>
          </w:tcPr>
          <w:p w14:paraId="6A38ECC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08" w:type="pct"/>
            <w:noWrap w:val="0"/>
            <w:vAlign w:val="center"/>
          </w:tcPr>
          <w:p w14:paraId="757405D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成员姓名</w:t>
            </w:r>
          </w:p>
        </w:tc>
        <w:tc>
          <w:tcPr>
            <w:tcW w:w="547" w:type="pct"/>
            <w:noWrap w:val="0"/>
            <w:vAlign w:val="center"/>
          </w:tcPr>
          <w:p w14:paraId="3E6E715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491" w:type="pct"/>
            <w:noWrap w:val="0"/>
            <w:vAlign w:val="center"/>
          </w:tcPr>
          <w:p w14:paraId="700646D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委托单位</w:t>
            </w:r>
          </w:p>
        </w:tc>
        <w:tc>
          <w:tcPr>
            <w:tcW w:w="392" w:type="pct"/>
            <w:noWrap w:val="0"/>
            <w:vAlign w:val="center"/>
          </w:tcPr>
          <w:p w14:paraId="0A54A90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709" w:type="pct"/>
            <w:noWrap w:val="0"/>
            <w:vAlign w:val="center"/>
          </w:tcPr>
          <w:p w14:paraId="61DC618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国有资金是否占控股或者主导地位</w:t>
            </w:r>
          </w:p>
        </w:tc>
        <w:tc>
          <w:tcPr>
            <w:tcW w:w="487" w:type="pct"/>
            <w:noWrap w:val="0"/>
            <w:vAlign w:val="center"/>
          </w:tcPr>
          <w:p w14:paraId="413B20F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项目金额（万元）</w:t>
            </w:r>
          </w:p>
        </w:tc>
        <w:tc>
          <w:tcPr>
            <w:tcW w:w="565" w:type="pct"/>
            <w:noWrap w:val="0"/>
            <w:vAlign w:val="center"/>
          </w:tcPr>
          <w:p w14:paraId="35A2C79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项目专业</w:t>
            </w:r>
          </w:p>
        </w:tc>
        <w:tc>
          <w:tcPr>
            <w:tcW w:w="567" w:type="pct"/>
            <w:noWrap w:val="0"/>
            <w:vAlign w:val="center"/>
          </w:tcPr>
          <w:p w14:paraId="133220D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完成时间</w:t>
            </w:r>
          </w:p>
        </w:tc>
        <w:tc>
          <w:tcPr>
            <w:tcW w:w="485" w:type="pct"/>
            <w:noWrap w:val="0"/>
            <w:vAlign w:val="center"/>
          </w:tcPr>
          <w:p w14:paraId="46F9538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5914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244" w:type="pct"/>
            <w:noWrap w:val="0"/>
            <w:vAlign w:val="center"/>
          </w:tcPr>
          <w:p w14:paraId="76A5D8F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2D1CD0B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47" w:type="pct"/>
            <w:noWrap w:val="0"/>
            <w:vAlign w:val="center"/>
          </w:tcPr>
          <w:p w14:paraId="5A9A2EC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91" w:type="pct"/>
            <w:noWrap w:val="0"/>
            <w:vAlign w:val="center"/>
          </w:tcPr>
          <w:p w14:paraId="094931A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92" w:type="pct"/>
            <w:noWrap w:val="0"/>
            <w:vAlign w:val="center"/>
          </w:tcPr>
          <w:p w14:paraId="788E56C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09" w:type="pct"/>
            <w:noWrap w:val="0"/>
            <w:vAlign w:val="center"/>
          </w:tcPr>
          <w:p w14:paraId="0983C83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7" w:type="pct"/>
            <w:noWrap w:val="0"/>
          </w:tcPr>
          <w:p w14:paraId="3FBD206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5" w:type="pct"/>
            <w:noWrap w:val="0"/>
            <w:vAlign w:val="center"/>
          </w:tcPr>
          <w:p w14:paraId="6B8D76A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7" w:type="pct"/>
            <w:noWrap w:val="0"/>
            <w:vAlign w:val="center"/>
          </w:tcPr>
          <w:p w14:paraId="547E14D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5" w:type="pct"/>
            <w:noWrap w:val="0"/>
            <w:vAlign w:val="center"/>
          </w:tcPr>
          <w:p w14:paraId="6480C93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0001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44" w:type="pct"/>
            <w:noWrap w:val="0"/>
            <w:vAlign w:val="center"/>
          </w:tcPr>
          <w:p w14:paraId="600C343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766B44C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47" w:type="pct"/>
            <w:noWrap w:val="0"/>
            <w:vAlign w:val="center"/>
          </w:tcPr>
          <w:p w14:paraId="4E6ED26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91" w:type="pct"/>
            <w:noWrap w:val="0"/>
            <w:vAlign w:val="center"/>
          </w:tcPr>
          <w:p w14:paraId="4B1449C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92" w:type="pct"/>
            <w:noWrap w:val="0"/>
            <w:vAlign w:val="center"/>
          </w:tcPr>
          <w:p w14:paraId="27212C7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09" w:type="pct"/>
            <w:noWrap w:val="0"/>
            <w:vAlign w:val="center"/>
          </w:tcPr>
          <w:p w14:paraId="39253A1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7" w:type="pct"/>
            <w:noWrap w:val="0"/>
          </w:tcPr>
          <w:p w14:paraId="242EBDA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5" w:type="pct"/>
            <w:noWrap w:val="0"/>
            <w:vAlign w:val="center"/>
          </w:tcPr>
          <w:p w14:paraId="353284F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7" w:type="pct"/>
            <w:noWrap w:val="0"/>
            <w:vAlign w:val="center"/>
          </w:tcPr>
          <w:p w14:paraId="0C96B4E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5" w:type="pct"/>
            <w:noWrap w:val="0"/>
            <w:vAlign w:val="center"/>
          </w:tcPr>
          <w:p w14:paraId="714DC71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6250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44" w:type="pct"/>
            <w:noWrap w:val="0"/>
            <w:vAlign w:val="center"/>
          </w:tcPr>
          <w:p w14:paraId="6213BF4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674E481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47" w:type="pct"/>
            <w:noWrap w:val="0"/>
            <w:vAlign w:val="center"/>
          </w:tcPr>
          <w:p w14:paraId="1642BEF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91" w:type="pct"/>
            <w:noWrap w:val="0"/>
            <w:vAlign w:val="center"/>
          </w:tcPr>
          <w:p w14:paraId="2AAD299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92" w:type="pct"/>
            <w:noWrap w:val="0"/>
            <w:vAlign w:val="center"/>
          </w:tcPr>
          <w:p w14:paraId="02B929C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09" w:type="pct"/>
            <w:noWrap w:val="0"/>
            <w:vAlign w:val="center"/>
          </w:tcPr>
          <w:p w14:paraId="0C25206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7" w:type="pct"/>
            <w:noWrap w:val="0"/>
          </w:tcPr>
          <w:p w14:paraId="2C07092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5" w:type="pct"/>
            <w:noWrap w:val="0"/>
            <w:vAlign w:val="center"/>
          </w:tcPr>
          <w:p w14:paraId="60725BF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7" w:type="pct"/>
            <w:noWrap w:val="0"/>
            <w:vAlign w:val="center"/>
          </w:tcPr>
          <w:p w14:paraId="7A270B6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5" w:type="pct"/>
            <w:noWrap w:val="0"/>
            <w:vAlign w:val="center"/>
          </w:tcPr>
          <w:p w14:paraId="20A7262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0412A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44" w:type="pct"/>
            <w:noWrap w:val="0"/>
            <w:vAlign w:val="center"/>
          </w:tcPr>
          <w:p w14:paraId="68C7714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308E4E0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47" w:type="pct"/>
            <w:noWrap w:val="0"/>
            <w:vAlign w:val="center"/>
          </w:tcPr>
          <w:p w14:paraId="7554C47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91" w:type="pct"/>
            <w:noWrap w:val="0"/>
            <w:vAlign w:val="center"/>
          </w:tcPr>
          <w:p w14:paraId="012BDC2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92" w:type="pct"/>
            <w:noWrap w:val="0"/>
            <w:vAlign w:val="center"/>
          </w:tcPr>
          <w:p w14:paraId="2D80824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09" w:type="pct"/>
            <w:noWrap w:val="0"/>
            <w:vAlign w:val="center"/>
          </w:tcPr>
          <w:p w14:paraId="2624EEB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7" w:type="pct"/>
            <w:noWrap w:val="0"/>
          </w:tcPr>
          <w:p w14:paraId="4BDA378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5" w:type="pct"/>
            <w:noWrap w:val="0"/>
            <w:vAlign w:val="center"/>
          </w:tcPr>
          <w:p w14:paraId="31BC6C5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7" w:type="pct"/>
            <w:noWrap w:val="0"/>
            <w:vAlign w:val="center"/>
          </w:tcPr>
          <w:p w14:paraId="32E1C13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5" w:type="pct"/>
            <w:noWrap w:val="0"/>
            <w:vAlign w:val="center"/>
          </w:tcPr>
          <w:p w14:paraId="0E27874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4D27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44" w:type="pct"/>
            <w:noWrap w:val="0"/>
            <w:vAlign w:val="center"/>
          </w:tcPr>
          <w:p w14:paraId="1FD6902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60B0B55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47" w:type="pct"/>
            <w:noWrap w:val="0"/>
            <w:vAlign w:val="center"/>
          </w:tcPr>
          <w:p w14:paraId="721AB33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91" w:type="pct"/>
            <w:noWrap w:val="0"/>
            <w:vAlign w:val="center"/>
          </w:tcPr>
          <w:p w14:paraId="5709B41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92" w:type="pct"/>
            <w:noWrap w:val="0"/>
            <w:vAlign w:val="center"/>
          </w:tcPr>
          <w:p w14:paraId="5477FF1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09" w:type="pct"/>
            <w:noWrap w:val="0"/>
            <w:vAlign w:val="center"/>
          </w:tcPr>
          <w:p w14:paraId="2AB9D39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7" w:type="pct"/>
            <w:noWrap w:val="0"/>
          </w:tcPr>
          <w:p w14:paraId="17CE312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5" w:type="pct"/>
            <w:noWrap w:val="0"/>
            <w:vAlign w:val="center"/>
          </w:tcPr>
          <w:p w14:paraId="1442A7A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7" w:type="pct"/>
            <w:noWrap w:val="0"/>
            <w:vAlign w:val="center"/>
          </w:tcPr>
          <w:p w14:paraId="1B75FF2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5" w:type="pct"/>
            <w:noWrap w:val="0"/>
            <w:vAlign w:val="center"/>
          </w:tcPr>
          <w:p w14:paraId="19B3C0B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569D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44" w:type="pct"/>
            <w:noWrap w:val="0"/>
            <w:vAlign w:val="center"/>
          </w:tcPr>
          <w:p w14:paraId="3546568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08" w:type="pct"/>
            <w:noWrap w:val="0"/>
            <w:vAlign w:val="center"/>
          </w:tcPr>
          <w:p w14:paraId="4800E05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47" w:type="pct"/>
            <w:noWrap w:val="0"/>
            <w:vAlign w:val="center"/>
          </w:tcPr>
          <w:p w14:paraId="1B2B3B9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91" w:type="pct"/>
            <w:noWrap w:val="0"/>
            <w:vAlign w:val="center"/>
          </w:tcPr>
          <w:p w14:paraId="58F67FD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392" w:type="pct"/>
            <w:noWrap w:val="0"/>
            <w:vAlign w:val="center"/>
          </w:tcPr>
          <w:p w14:paraId="02E95B1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09" w:type="pct"/>
            <w:noWrap w:val="0"/>
            <w:vAlign w:val="center"/>
          </w:tcPr>
          <w:p w14:paraId="04E4A48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7" w:type="pct"/>
            <w:noWrap w:val="0"/>
          </w:tcPr>
          <w:p w14:paraId="7DA34F0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5" w:type="pct"/>
            <w:noWrap w:val="0"/>
            <w:vAlign w:val="center"/>
          </w:tcPr>
          <w:p w14:paraId="303377B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7" w:type="pct"/>
            <w:noWrap w:val="0"/>
            <w:vAlign w:val="center"/>
          </w:tcPr>
          <w:p w14:paraId="0550168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5" w:type="pct"/>
            <w:noWrap w:val="0"/>
            <w:vAlign w:val="center"/>
          </w:tcPr>
          <w:p w14:paraId="6AF6B73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bl>
    <w:p w14:paraId="0453D6A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9ED472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1.项目金额填写跟踪审计项目实际跟审金额。</w:t>
      </w:r>
    </w:p>
    <w:p w14:paraId="50C9AFB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2.项目专业填写土建类或市政类。</w:t>
      </w:r>
    </w:p>
    <w:p w14:paraId="6284062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3.完成时间以跟踪审计结束时间为准。</w:t>
      </w:r>
    </w:p>
    <w:p w14:paraId="11F0B5F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成员姓名指本项目的项目组其他成员姓名。</w:t>
      </w:r>
    </w:p>
    <w:p w14:paraId="5554306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 此表按申报人员分别独立提供。</w:t>
      </w:r>
    </w:p>
    <w:p w14:paraId="53E4C42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6.委托方对资料的真实性承担连带法律责任。</w:t>
      </w:r>
    </w:p>
    <w:p w14:paraId="407321B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CCFA93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2FBB5733">
      <w:pPr>
        <w:keepNext w:val="0"/>
        <w:keepLines w:val="0"/>
        <w:pageBreakBefore w:val="0"/>
        <w:kinsoku/>
        <w:wordWrap/>
        <w:overflowPunct/>
        <w:topLinePunct w:val="0"/>
        <w:autoSpaceDE/>
        <w:autoSpaceDN/>
        <w:bidi w:val="0"/>
        <w:adjustRightInd/>
        <w:snapToGrid w:val="0"/>
        <w:spacing w:line="360" w:lineRule="auto"/>
        <w:ind w:left="5040" w:hanging="50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委托单位：（公章）</w:t>
      </w:r>
    </w:p>
    <w:p w14:paraId="4C39359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EF788BC">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日期：</w:t>
      </w:r>
    </w:p>
    <w:p w14:paraId="2B8A9E34">
      <w:pPr>
        <w:pStyle w:val="17"/>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1D75943">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ABD106A">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247270E">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446D53D">
      <w:pPr>
        <w:pStyle w:val="1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134C20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4022792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业绩证明材料（单位）</w:t>
      </w:r>
    </w:p>
    <w:p w14:paraId="0E5410C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56A33CB5">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i/>
          <w:color w:val="auto"/>
          <w:sz w:val="21"/>
          <w:szCs w:val="21"/>
          <w:highlight w:val="none"/>
          <w:u w:val="singl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Cs w:val="21"/>
          <w:highlight w:val="none"/>
        </w:rPr>
        <w:t xml:space="preserve"> 兹证明以下项目由</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（委托单位）委派</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rPr>
        <w:t>（中介机构）负责跟踪审计</w:t>
      </w:r>
      <w:r>
        <w:rPr>
          <w:rFonts w:hint="eastAsia" w:ascii="宋体" w:hAnsi="宋体" w:eastAsia="宋体" w:cs="宋体"/>
          <w:b/>
          <w:color w:val="auto"/>
          <w:sz w:val="21"/>
          <w:szCs w:val="21"/>
          <w:highlight w:val="none"/>
          <w:lang w:val="en-US" w:eastAsia="zh-CN"/>
        </w:rPr>
        <w:t>，</w:t>
      </w:r>
      <w:r>
        <w:rPr>
          <w:rFonts w:hint="eastAsia" w:ascii="宋体" w:hAnsi="宋体" w:eastAsia="宋体" w:cs="宋体"/>
          <w:b/>
          <w:color w:val="auto"/>
          <w:sz w:val="21"/>
          <w:szCs w:val="21"/>
          <w:highlight w:val="none"/>
        </w:rPr>
        <w:t>项目信息经查属实。</w:t>
      </w:r>
    </w:p>
    <w:tbl>
      <w:tblPr>
        <w:tblStyle w:val="38"/>
        <w:tblW w:w="47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
        <w:gridCol w:w="1053"/>
        <w:gridCol w:w="1272"/>
        <w:gridCol w:w="1049"/>
        <w:gridCol w:w="1138"/>
        <w:gridCol w:w="966"/>
        <w:gridCol w:w="1030"/>
        <w:gridCol w:w="995"/>
        <w:gridCol w:w="848"/>
      </w:tblGrid>
      <w:tr w14:paraId="2720A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31" w:type="pct"/>
            <w:noWrap w:val="0"/>
            <w:vAlign w:val="center"/>
          </w:tcPr>
          <w:p w14:paraId="1266FB5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601" w:type="pct"/>
            <w:noWrap w:val="0"/>
            <w:vAlign w:val="center"/>
          </w:tcPr>
          <w:p w14:paraId="47DD340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25" w:type="pct"/>
            <w:noWrap w:val="0"/>
            <w:vAlign w:val="center"/>
          </w:tcPr>
          <w:p w14:paraId="1212C11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委托单位</w:t>
            </w:r>
          </w:p>
        </w:tc>
        <w:tc>
          <w:tcPr>
            <w:tcW w:w="599" w:type="pct"/>
            <w:noWrap w:val="0"/>
            <w:vAlign w:val="center"/>
          </w:tcPr>
          <w:p w14:paraId="7D3C070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649" w:type="pct"/>
            <w:noWrap w:val="0"/>
          </w:tcPr>
          <w:p w14:paraId="45C9463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国有资金是否占控股或者主导地位</w:t>
            </w:r>
          </w:p>
        </w:tc>
        <w:tc>
          <w:tcPr>
            <w:tcW w:w="551" w:type="pct"/>
            <w:noWrap w:val="0"/>
            <w:vAlign w:val="center"/>
          </w:tcPr>
          <w:p w14:paraId="3C9B45C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项目金额（万元）</w:t>
            </w:r>
          </w:p>
        </w:tc>
        <w:tc>
          <w:tcPr>
            <w:tcW w:w="588" w:type="pct"/>
            <w:noWrap w:val="0"/>
            <w:vAlign w:val="center"/>
          </w:tcPr>
          <w:p w14:paraId="7E8FBB9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项目专业</w:t>
            </w:r>
          </w:p>
        </w:tc>
        <w:tc>
          <w:tcPr>
            <w:tcW w:w="568" w:type="pct"/>
            <w:noWrap w:val="0"/>
            <w:vAlign w:val="center"/>
          </w:tcPr>
          <w:p w14:paraId="7CC223F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完成时间</w:t>
            </w:r>
          </w:p>
        </w:tc>
        <w:tc>
          <w:tcPr>
            <w:tcW w:w="484" w:type="pct"/>
            <w:noWrap w:val="0"/>
            <w:vAlign w:val="center"/>
          </w:tcPr>
          <w:p w14:paraId="3409352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36A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231" w:type="pct"/>
            <w:noWrap w:val="0"/>
            <w:vAlign w:val="center"/>
          </w:tcPr>
          <w:p w14:paraId="359E659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01" w:type="pct"/>
            <w:noWrap w:val="0"/>
            <w:vAlign w:val="center"/>
          </w:tcPr>
          <w:p w14:paraId="59CF8B9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25" w:type="pct"/>
            <w:noWrap w:val="0"/>
            <w:vAlign w:val="center"/>
          </w:tcPr>
          <w:p w14:paraId="1647C44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9" w:type="pct"/>
            <w:noWrap w:val="0"/>
            <w:vAlign w:val="center"/>
          </w:tcPr>
          <w:p w14:paraId="5DE4071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49" w:type="pct"/>
            <w:noWrap w:val="0"/>
          </w:tcPr>
          <w:p w14:paraId="695554A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51" w:type="pct"/>
            <w:noWrap w:val="0"/>
            <w:vAlign w:val="center"/>
          </w:tcPr>
          <w:p w14:paraId="75C102E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8" w:type="pct"/>
            <w:noWrap w:val="0"/>
            <w:vAlign w:val="center"/>
          </w:tcPr>
          <w:p w14:paraId="17DF7DD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8" w:type="pct"/>
            <w:noWrap w:val="0"/>
            <w:vAlign w:val="center"/>
          </w:tcPr>
          <w:p w14:paraId="0355A2F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4" w:type="pct"/>
            <w:noWrap w:val="0"/>
            <w:vAlign w:val="center"/>
          </w:tcPr>
          <w:p w14:paraId="2B0551D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027C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31" w:type="pct"/>
            <w:noWrap w:val="0"/>
            <w:vAlign w:val="center"/>
          </w:tcPr>
          <w:p w14:paraId="56C8D0E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01" w:type="pct"/>
            <w:noWrap w:val="0"/>
            <w:vAlign w:val="center"/>
          </w:tcPr>
          <w:p w14:paraId="0031B2C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25" w:type="pct"/>
            <w:noWrap w:val="0"/>
            <w:vAlign w:val="center"/>
          </w:tcPr>
          <w:p w14:paraId="5CECEA2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9" w:type="pct"/>
            <w:noWrap w:val="0"/>
            <w:vAlign w:val="center"/>
          </w:tcPr>
          <w:p w14:paraId="1C28F40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49" w:type="pct"/>
            <w:noWrap w:val="0"/>
          </w:tcPr>
          <w:p w14:paraId="59A919E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51" w:type="pct"/>
            <w:noWrap w:val="0"/>
            <w:vAlign w:val="center"/>
          </w:tcPr>
          <w:p w14:paraId="3AC2C3C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8" w:type="pct"/>
            <w:noWrap w:val="0"/>
            <w:vAlign w:val="center"/>
          </w:tcPr>
          <w:p w14:paraId="2F7AAB5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8" w:type="pct"/>
            <w:noWrap w:val="0"/>
            <w:vAlign w:val="center"/>
          </w:tcPr>
          <w:p w14:paraId="4CB72C0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4" w:type="pct"/>
            <w:noWrap w:val="0"/>
            <w:vAlign w:val="center"/>
          </w:tcPr>
          <w:p w14:paraId="6A5B022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19D8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31" w:type="pct"/>
            <w:noWrap w:val="0"/>
            <w:vAlign w:val="center"/>
          </w:tcPr>
          <w:p w14:paraId="06B5327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01" w:type="pct"/>
            <w:noWrap w:val="0"/>
            <w:vAlign w:val="center"/>
          </w:tcPr>
          <w:p w14:paraId="3FC6E02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25" w:type="pct"/>
            <w:noWrap w:val="0"/>
            <w:vAlign w:val="center"/>
          </w:tcPr>
          <w:p w14:paraId="3DC78FF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9" w:type="pct"/>
            <w:noWrap w:val="0"/>
            <w:vAlign w:val="center"/>
          </w:tcPr>
          <w:p w14:paraId="1B45D04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49" w:type="pct"/>
            <w:noWrap w:val="0"/>
          </w:tcPr>
          <w:p w14:paraId="562BAE0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51" w:type="pct"/>
            <w:noWrap w:val="0"/>
            <w:vAlign w:val="center"/>
          </w:tcPr>
          <w:p w14:paraId="5DC9588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8" w:type="pct"/>
            <w:noWrap w:val="0"/>
            <w:vAlign w:val="center"/>
          </w:tcPr>
          <w:p w14:paraId="1048A69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8" w:type="pct"/>
            <w:noWrap w:val="0"/>
            <w:vAlign w:val="center"/>
          </w:tcPr>
          <w:p w14:paraId="156F2CE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4" w:type="pct"/>
            <w:noWrap w:val="0"/>
            <w:vAlign w:val="center"/>
          </w:tcPr>
          <w:p w14:paraId="29D97A5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3690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31" w:type="pct"/>
            <w:noWrap w:val="0"/>
            <w:vAlign w:val="center"/>
          </w:tcPr>
          <w:p w14:paraId="19BB872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01" w:type="pct"/>
            <w:noWrap w:val="0"/>
            <w:vAlign w:val="center"/>
          </w:tcPr>
          <w:p w14:paraId="7C6AF38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25" w:type="pct"/>
            <w:noWrap w:val="0"/>
            <w:vAlign w:val="center"/>
          </w:tcPr>
          <w:p w14:paraId="61257F5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9" w:type="pct"/>
            <w:noWrap w:val="0"/>
            <w:vAlign w:val="center"/>
          </w:tcPr>
          <w:p w14:paraId="2EBEA3C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49" w:type="pct"/>
            <w:noWrap w:val="0"/>
          </w:tcPr>
          <w:p w14:paraId="010FBEB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51" w:type="pct"/>
            <w:noWrap w:val="0"/>
            <w:vAlign w:val="center"/>
          </w:tcPr>
          <w:p w14:paraId="115E3F1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8" w:type="pct"/>
            <w:noWrap w:val="0"/>
            <w:vAlign w:val="center"/>
          </w:tcPr>
          <w:p w14:paraId="237D1E4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8" w:type="pct"/>
            <w:noWrap w:val="0"/>
            <w:vAlign w:val="center"/>
          </w:tcPr>
          <w:p w14:paraId="1012DEF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4" w:type="pct"/>
            <w:noWrap w:val="0"/>
            <w:vAlign w:val="center"/>
          </w:tcPr>
          <w:p w14:paraId="26BC134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827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31" w:type="pct"/>
            <w:noWrap w:val="0"/>
            <w:vAlign w:val="center"/>
          </w:tcPr>
          <w:p w14:paraId="4C0FAD6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01" w:type="pct"/>
            <w:noWrap w:val="0"/>
            <w:vAlign w:val="center"/>
          </w:tcPr>
          <w:p w14:paraId="280EF6D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25" w:type="pct"/>
            <w:noWrap w:val="0"/>
            <w:vAlign w:val="center"/>
          </w:tcPr>
          <w:p w14:paraId="1A21811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9" w:type="pct"/>
            <w:noWrap w:val="0"/>
            <w:vAlign w:val="center"/>
          </w:tcPr>
          <w:p w14:paraId="76AB019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49" w:type="pct"/>
            <w:noWrap w:val="0"/>
          </w:tcPr>
          <w:p w14:paraId="4F6CFE9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51" w:type="pct"/>
            <w:noWrap w:val="0"/>
            <w:vAlign w:val="center"/>
          </w:tcPr>
          <w:p w14:paraId="3F343D6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8" w:type="pct"/>
            <w:noWrap w:val="0"/>
            <w:vAlign w:val="center"/>
          </w:tcPr>
          <w:p w14:paraId="1E3C5CE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8" w:type="pct"/>
            <w:noWrap w:val="0"/>
            <w:vAlign w:val="center"/>
          </w:tcPr>
          <w:p w14:paraId="15FC3DE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4" w:type="pct"/>
            <w:noWrap w:val="0"/>
            <w:vAlign w:val="center"/>
          </w:tcPr>
          <w:p w14:paraId="43643C4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40ED3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231" w:type="pct"/>
            <w:noWrap w:val="0"/>
            <w:vAlign w:val="center"/>
          </w:tcPr>
          <w:p w14:paraId="61F86D5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01" w:type="pct"/>
            <w:noWrap w:val="0"/>
            <w:vAlign w:val="center"/>
          </w:tcPr>
          <w:p w14:paraId="69AA796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725" w:type="pct"/>
            <w:noWrap w:val="0"/>
            <w:vAlign w:val="center"/>
          </w:tcPr>
          <w:p w14:paraId="08EBEB2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99" w:type="pct"/>
            <w:noWrap w:val="0"/>
            <w:vAlign w:val="center"/>
          </w:tcPr>
          <w:p w14:paraId="3FBDD90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649" w:type="pct"/>
            <w:noWrap w:val="0"/>
          </w:tcPr>
          <w:p w14:paraId="782715B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51" w:type="pct"/>
            <w:noWrap w:val="0"/>
            <w:vAlign w:val="center"/>
          </w:tcPr>
          <w:p w14:paraId="637D60B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88" w:type="pct"/>
            <w:noWrap w:val="0"/>
            <w:vAlign w:val="center"/>
          </w:tcPr>
          <w:p w14:paraId="3EF2D70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568" w:type="pct"/>
            <w:noWrap w:val="0"/>
            <w:vAlign w:val="center"/>
          </w:tcPr>
          <w:p w14:paraId="3DB6388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484" w:type="pct"/>
            <w:noWrap w:val="0"/>
            <w:vAlign w:val="center"/>
          </w:tcPr>
          <w:p w14:paraId="307C9424">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bl>
    <w:p w14:paraId="7C5BECD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01C46B4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5C4FC66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1.项目金额填写跟踪审计项目实际跟审金额。</w:t>
      </w:r>
    </w:p>
    <w:p w14:paraId="6DB3F22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2.项目专业填写土建类或市政类。</w:t>
      </w:r>
    </w:p>
    <w:p w14:paraId="235F4D7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3.完成时间以跟踪审计结束时间为准。</w:t>
      </w:r>
    </w:p>
    <w:p w14:paraId="36594FB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4.委托方对资料的真实性承担连带法律责任。</w:t>
      </w:r>
    </w:p>
    <w:p w14:paraId="029ABF2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1FE57C1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47893B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29988CB1">
      <w:pPr>
        <w:keepNext w:val="0"/>
        <w:keepLines w:val="0"/>
        <w:pageBreakBefore w:val="0"/>
        <w:kinsoku/>
        <w:wordWrap/>
        <w:overflowPunct/>
        <w:topLinePunct w:val="0"/>
        <w:autoSpaceDE/>
        <w:autoSpaceDN/>
        <w:bidi w:val="0"/>
        <w:adjustRightInd/>
        <w:snapToGrid w:val="0"/>
        <w:spacing w:line="360" w:lineRule="auto"/>
        <w:ind w:left="5040" w:hanging="50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委托单位：（公章）</w:t>
      </w:r>
    </w:p>
    <w:p w14:paraId="4F1E0FD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A61D384">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color w:val="auto"/>
          <w:spacing w:val="40"/>
          <w:sz w:val="21"/>
          <w:szCs w:val="21"/>
          <w:highlight w:val="none"/>
          <w:lang w:val="zh-CN"/>
        </w:rPr>
      </w:pPr>
      <w:r>
        <w:rPr>
          <w:rFonts w:hint="eastAsia" w:ascii="宋体" w:hAnsi="宋体" w:eastAsia="宋体" w:cs="宋体"/>
          <w:bCs/>
          <w:color w:val="auto"/>
          <w:sz w:val="21"/>
          <w:szCs w:val="21"/>
          <w:highlight w:val="none"/>
        </w:rPr>
        <w:t>日期：</w:t>
      </w:r>
    </w:p>
    <w:p w14:paraId="6EE62448">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422886F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7E6F9D32">
      <w:pPr>
        <w:pStyle w:val="17"/>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30B786B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40"/>
          <w:sz w:val="21"/>
          <w:szCs w:val="21"/>
          <w:highlight w:val="none"/>
          <w:lang w:val="zh-CN"/>
        </w:rPr>
      </w:pPr>
    </w:p>
    <w:p w14:paraId="3B0F4DB1">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color w:val="auto"/>
          <w:sz w:val="21"/>
          <w:szCs w:val="21"/>
          <w:highlight w:val="none"/>
        </w:rPr>
      </w:pPr>
    </w:p>
    <w:p w14:paraId="1F938816">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color w:val="auto"/>
          <w:sz w:val="21"/>
          <w:szCs w:val="21"/>
          <w:highlight w:val="none"/>
        </w:rPr>
      </w:pPr>
    </w:p>
    <w:p w14:paraId="4C344F87">
      <w:pPr>
        <w:pStyle w:val="226"/>
        <w:keepNext w:val="0"/>
        <w:keepLines w:val="0"/>
        <w:pageBreakBefore w:val="0"/>
        <w:kinsoku/>
        <w:wordWrap/>
        <w:overflowPunct/>
        <w:topLinePunct w:val="0"/>
        <w:autoSpaceDE/>
        <w:autoSpaceDN/>
        <w:bidi w:val="0"/>
        <w:adjustRightInd/>
        <w:snapToGrid w:val="0"/>
        <w:spacing w:line="360" w:lineRule="auto"/>
        <w:ind w:firstLine="0"/>
        <w:jc w:val="both"/>
        <w:textAlignment w:val="auto"/>
        <w:outlineLvl w:val="9"/>
        <w:rPr>
          <w:rFonts w:hint="eastAsia" w:ascii="宋体" w:hAnsi="宋体" w:eastAsia="宋体" w:cs="宋体"/>
          <w:color w:val="auto"/>
          <w:sz w:val="21"/>
          <w:szCs w:val="21"/>
          <w:highlight w:val="none"/>
        </w:rPr>
      </w:pPr>
    </w:p>
    <w:p w14:paraId="3B958BAA">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附件8服务实施方案</w:t>
      </w:r>
    </w:p>
    <w:p w14:paraId="71F32F8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服务实施方案</w:t>
      </w:r>
    </w:p>
    <w:tbl>
      <w:tblPr>
        <w:tblStyle w:val="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7"/>
      </w:tblGrid>
      <w:tr w14:paraId="3129B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4" w:hRule="atLeast"/>
        </w:trPr>
        <w:tc>
          <w:tcPr>
            <w:tcW w:w="5000" w:type="pct"/>
            <w:noWrap w:val="0"/>
          </w:tcPr>
          <w:p w14:paraId="6E5FBD40">
            <w:pPr>
              <w:keepNext w:val="0"/>
              <w:keepLines w:val="0"/>
              <w:pageBreakBefore w:val="0"/>
              <w:tabs>
                <w:tab w:val="left" w:pos="132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提示：</w:t>
            </w:r>
          </w:p>
          <w:p w14:paraId="62B481A3">
            <w:pPr>
              <w:keepNext w:val="0"/>
              <w:keepLines w:val="0"/>
              <w:pageBreakBefore w:val="0"/>
              <w:tabs>
                <w:tab w:val="left" w:pos="132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供应商应根据本次采购项目要求，对所投服务进行详细的说明与描述</w:t>
            </w:r>
            <w:r>
              <w:rPr>
                <w:rFonts w:hint="eastAsia" w:ascii="宋体" w:hAnsi="宋体" w:eastAsia="宋体" w:cs="宋体"/>
                <w:color w:val="auto"/>
                <w:sz w:val="21"/>
                <w:szCs w:val="21"/>
                <w:highlight w:val="none"/>
              </w:rPr>
              <w:t>。</w:t>
            </w:r>
          </w:p>
          <w:p w14:paraId="20CC41C9">
            <w:pPr>
              <w:keepNext w:val="0"/>
              <w:keepLines w:val="0"/>
              <w:pageBreakBefore w:val="0"/>
              <w:tabs>
                <w:tab w:val="left" w:pos="132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2.磋商供应商可根据自身情况编写，本页不够可另加页附后。</w:t>
            </w:r>
          </w:p>
        </w:tc>
      </w:tr>
      <w:tr w14:paraId="3122E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87" w:hRule="atLeast"/>
        </w:trPr>
        <w:tc>
          <w:tcPr>
            <w:tcW w:w="5000" w:type="pct"/>
            <w:noWrap w:val="0"/>
          </w:tcPr>
          <w:p w14:paraId="78A5C6D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2AB9B06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C53928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3B6695B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3553635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36B2153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8F674D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3B90BC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3AEEE3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48FD6D3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87BD4B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38DC67E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79759F8D">
            <w:pPr>
              <w:keepNext w:val="0"/>
              <w:keepLines w:val="0"/>
              <w:pageBreakBefore w:val="0"/>
              <w:kinsoku/>
              <w:wordWrap/>
              <w:overflowPunct/>
              <w:topLinePunct w:val="0"/>
              <w:autoSpaceDE/>
              <w:autoSpaceDN/>
              <w:bidi w:val="0"/>
              <w:adjustRightInd/>
              <w:snapToGrid w:val="0"/>
              <w:spacing w:line="360" w:lineRule="auto"/>
              <w:ind w:firstLine="4515"/>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单位名称（盖章）：   </w:t>
            </w:r>
            <w:r>
              <w:rPr>
                <w:rFonts w:hint="eastAsia" w:ascii="宋体" w:hAnsi="宋体" w:eastAsia="宋体" w:cs="宋体"/>
                <w:color w:val="auto"/>
                <w:sz w:val="21"/>
                <w:szCs w:val="21"/>
                <w:highlight w:val="none"/>
                <w:u w:val="single"/>
              </w:rPr>
              <w:t xml:space="preserve">                      </w:t>
            </w:r>
          </w:p>
          <w:p w14:paraId="3A0B0F3F">
            <w:pPr>
              <w:keepNext w:val="0"/>
              <w:keepLines w:val="0"/>
              <w:pageBreakBefore w:val="0"/>
              <w:kinsoku/>
              <w:wordWrap/>
              <w:overflowPunct/>
              <w:topLinePunct w:val="0"/>
              <w:autoSpaceDE/>
              <w:autoSpaceDN/>
              <w:bidi w:val="0"/>
              <w:adjustRightInd/>
              <w:snapToGrid w:val="0"/>
              <w:spacing w:line="360" w:lineRule="auto"/>
              <w:ind w:firstLine="4515"/>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u w:val="none"/>
              </w:rPr>
              <w:t xml:space="preserve">    </w:t>
            </w:r>
          </w:p>
        </w:tc>
      </w:tr>
    </w:tbl>
    <w:p w14:paraId="466883EB">
      <w:pPr>
        <w:pStyle w:val="226"/>
        <w:keepNext w:val="0"/>
        <w:keepLines w:val="0"/>
        <w:pageBreakBefore w:val="0"/>
        <w:kinsoku/>
        <w:wordWrap/>
        <w:overflowPunct/>
        <w:topLinePunct w:val="0"/>
        <w:autoSpaceDE/>
        <w:autoSpaceDN/>
        <w:bidi w:val="0"/>
        <w:adjustRightInd/>
        <w:snapToGrid w:val="0"/>
        <w:spacing w:line="360" w:lineRule="auto"/>
        <w:ind w:firstLine="0"/>
        <w:textAlignment w:val="auto"/>
        <w:outlineLvl w:val="9"/>
        <w:rPr>
          <w:rFonts w:hint="eastAsia" w:ascii="宋体" w:hAnsi="宋体" w:eastAsia="宋体" w:cs="宋体"/>
          <w:b/>
          <w:bCs/>
          <w:color w:val="auto"/>
          <w:sz w:val="21"/>
          <w:szCs w:val="21"/>
          <w:highlight w:val="none"/>
        </w:rPr>
      </w:pPr>
    </w:p>
    <w:p w14:paraId="5BD82CB2">
      <w:pPr>
        <w:pStyle w:val="226"/>
        <w:keepNext w:val="0"/>
        <w:keepLines w:val="0"/>
        <w:pageBreakBefore w:val="0"/>
        <w:kinsoku/>
        <w:wordWrap/>
        <w:overflowPunct/>
        <w:topLinePunct w:val="0"/>
        <w:autoSpaceDE/>
        <w:autoSpaceDN/>
        <w:bidi w:val="0"/>
        <w:adjustRightInd/>
        <w:snapToGrid w:val="0"/>
        <w:spacing w:line="360" w:lineRule="auto"/>
        <w:ind w:firstLine="0"/>
        <w:textAlignment w:val="auto"/>
        <w:outlineLvl w:val="9"/>
        <w:rPr>
          <w:rFonts w:hint="eastAsia" w:ascii="宋体" w:hAnsi="宋体" w:eastAsia="宋体" w:cs="宋体"/>
          <w:b/>
          <w:bCs/>
          <w:color w:val="auto"/>
          <w:sz w:val="21"/>
          <w:szCs w:val="21"/>
          <w:highlight w:val="none"/>
        </w:rPr>
      </w:pPr>
    </w:p>
    <w:p w14:paraId="52E96619">
      <w:pPr>
        <w:pStyle w:val="226"/>
        <w:keepNext w:val="0"/>
        <w:keepLines w:val="0"/>
        <w:pageBreakBefore w:val="0"/>
        <w:kinsoku/>
        <w:wordWrap/>
        <w:overflowPunct/>
        <w:topLinePunct w:val="0"/>
        <w:autoSpaceDE/>
        <w:autoSpaceDN/>
        <w:bidi w:val="0"/>
        <w:adjustRightInd/>
        <w:snapToGrid w:val="0"/>
        <w:spacing w:line="360" w:lineRule="auto"/>
        <w:ind w:firstLine="0"/>
        <w:textAlignment w:val="auto"/>
        <w:outlineLvl w:val="9"/>
        <w:rPr>
          <w:rFonts w:hint="eastAsia" w:ascii="宋体" w:hAnsi="宋体" w:eastAsia="宋体" w:cs="宋体"/>
          <w:b/>
          <w:bCs/>
          <w:color w:val="auto"/>
          <w:sz w:val="21"/>
          <w:szCs w:val="21"/>
          <w:highlight w:val="none"/>
        </w:rPr>
      </w:pPr>
    </w:p>
    <w:p w14:paraId="43B3F1A7">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bidi="ar-SA"/>
        </w:rPr>
        <w:t>附件9资格证明文件格式为参考，磋商响应单位可参照下述格式自制表格投标，但至少应包括下述</w:t>
      </w:r>
      <w:r>
        <w:rPr>
          <w:rFonts w:hint="eastAsia" w:ascii="宋体" w:hAnsi="宋体" w:eastAsia="宋体" w:cs="宋体"/>
          <w:b/>
          <w:bCs/>
          <w:color w:val="auto"/>
          <w:sz w:val="21"/>
          <w:szCs w:val="21"/>
          <w:highlight w:val="none"/>
        </w:rPr>
        <w:t>格式中的内容，没有参考格式的则可根据情况自行编制）</w:t>
      </w:r>
    </w:p>
    <w:p w14:paraId="7D92DE9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（1）关于资格文件的声明函</w:t>
      </w:r>
    </w:p>
    <w:p w14:paraId="679C016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3DE125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关于资格文件的声明函</w:t>
      </w:r>
    </w:p>
    <w:p w14:paraId="2615B19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DCD8C9">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招标活动进行投标。本公司所提交的响应文件中所有关于投标资格的文件、证明和陈述均是真实的、准确的、有效的。本公司愿意提供采购文件中要求的所有资料，本公司承诺我单位符合采购文件磋商响应单位的申请人资格要求。若与真实情况不符，本公司愿意承担由此而产生的一切后果。</w:t>
      </w:r>
    </w:p>
    <w:p w14:paraId="3A2C431F">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p>
    <w:p w14:paraId="2235B778">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p>
    <w:p w14:paraId="3EA7B6B7">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p>
    <w:p w14:paraId="06711C2C">
      <w:pPr>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rPr>
      </w:pPr>
    </w:p>
    <w:p w14:paraId="415E6963">
      <w:pPr>
        <w:pStyle w:val="319"/>
        <w:keepNext w:val="0"/>
        <w:keepLines w:val="0"/>
        <w:pageBreakBefore w:val="0"/>
        <w:kinsoku/>
        <w:wordWrap/>
        <w:overflowPunct/>
        <w:topLinePunct w:val="0"/>
        <w:autoSpaceDE/>
        <w:autoSpaceDN/>
        <w:bidi w:val="0"/>
        <w:adjustRightInd/>
        <w:snapToGrid w:val="0"/>
        <w:spacing w:line="360" w:lineRule="auto"/>
        <w:ind w:firstLine="493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磋商响应单位：（公章）</w:t>
      </w:r>
    </w:p>
    <w:p w14:paraId="7DB9001D">
      <w:pPr>
        <w:pStyle w:val="319"/>
        <w:keepNext w:val="0"/>
        <w:keepLines w:val="0"/>
        <w:pageBreakBefore w:val="0"/>
        <w:kinsoku/>
        <w:wordWrap/>
        <w:overflowPunct/>
        <w:topLinePunct w:val="0"/>
        <w:autoSpaceDE/>
        <w:autoSpaceDN/>
        <w:bidi w:val="0"/>
        <w:adjustRightInd/>
        <w:snapToGrid w:val="0"/>
        <w:spacing w:line="360" w:lineRule="auto"/>
        <w:ind w:firstLine="493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105837FF">
      <w:pPr>
        <w:keepNext w:val="0"/>
        <w:keepLines w:val="0"/>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3B19C32F">
      <w:pPr>
        <w:keepNext w:val="0"/>
        <w:keepLines w:val="0"/>
        <w:pageBreakBefore w:val="0"/>
        <w:kinsoku/>
        <w:wordWrap/>
        <w:overflowPunct/>
        <w:topLinePunct w:val="0"/>
        <w:autoSpaceDE/>
        <w:autoSpaceDN/>
        <w:bidi w:val="0"/>
        <w:adjustRightInd/>
        <w:snapToGrid w:val="0"/>
        <w:spacing w:line="360" w:lineRule="auto"/>
        <w:ind w:firstLine="480"/>
        <w:jc w:val="right"/>
        <w:textAlignment w:val="auto"/>
        <w:rPr>
          <w:rFonts w:hint="eastAsia" w:ascii="宋体" w:hAnsi="宋体" w:eastAsia="宋体" w:cs="宋体"/>
          <w:color w:val="auto"/>
          <w:sz w:val="21"/>
          <w:szCs w:val="21"/>
          <w:highlight w:val="none"/>
        </w:rPr>
      </w:pPr>
    </w:p>
    <w:p w14:paraId="55EB147D">
      <w:pPr>
        <w:keepNext w:val="0"/>
        <w:keepLines w:val="0"/>
        <w:pageBreakBefore w:val="0"/>
        <w:kinsoku/>
        <w:wordWrap/>
        <w:overflowPunct/>
        <w:topLinePunct w:val="0"/>
        <w:autoSpaceDE/>
        <w:autoSpaceDN/>
        <w:bidi w:val="0"/>
        <w:adjustRightInd/>
        <w:snapToGrid w:val="0"/>
        <w:spacing w:line="360" w:lineRule="auto"/>
        <w:ind w:firstLine="480"/>
        <w:jc w:val="right"/>
        <w:textAlignment w:val="auto"/>
        <w:rPr>
          <w:rFonts w:hint="eastAsia" w:ascii="宋体" w:hAnsi="宋体" w:eastAsia="宋体" w:cs="宋体"/>
          <w:color w:val="auto"/>
          <w:sz w:val="21"/>
          <w:szCs w:val="21"/>
          <w:highlight w:val="none"/>
        </w:rPr>
      </w:pPr>
    </w:p>
    <w:p w14:paraId="7ECFDF9D">
      <w:pPr>
        <w:keepNext w:val="0"/>
        <w:keepLines w:val="0"/>
        <w:pageBreakBefore w:val="0"/>
        <w:kinsoku/>
        <w:wordWrap/>
        <w:overflowPunct/>
        <w:topLinePunct w:val="0"/>
        <w:autoSpaceDE/>
        <w:autoSpaceDN/>
        <w:bidi w:val="0"/>
        <w:adjustRightInd/>
        <w:snapToGrid w:val="0"/>
        <w:spacing w:line="360" w:lineRule="auto"/>
        <w:ind w:firstLine="211"/>
        <w:textAlignment w:val="auto"/>
        <w:rPr>
          <w:rFonts w:hint="eastAsia" w:ascii="宋体" w:hAnsi="宋体" w:eastAsia="宋体" w:cs="宋体"/>
          <w:b/>
          <w:bCs/>
          <w:color w:val="auto"/>
          <w:sz w:val="21"/>
          <w:szCs w:val="21"/>
          <w:highlight w:val="none"/>
        </w:rPr>
      </w:pPr>
    </w:p>
    <w:p w14:paraId="06E1DBC6">
      <w:pPr>
        <w:keepNext w:val="0"/>
        <w:keepLines w:val="0"/>
        <w:pageBreakBefore w:val="0"/>
        <w:kinsoku/>
        <w:wordWrap/>
        <w:overflowPunct/>
        <w:topLinePunct w:val="0"/>
        <w:autoSpaceDE/>
        <w:autoSpaceDN/>
        <w:bidi w:val="0"/>
        <w:adjustRightInd/>
        <w:snapToGrid w:val="0"/>
        <w:spacing w:line="360" w:lineRule="auto"/>
        <w:ind w:firstLine="211"/>
        <w:textAlignment w:val="auto"/>
        <w:rPr>
          <w:rFonts w:hint="eastAsia" w:ascii="宋体" w:hAnsi="宋体" w:eastAsia="宋体" w:cs="宋体"/>
          <w:b/>
          <w:bCs/>
          <w:color w:val="auto"/>
          <w:sz w:val="21"/>
          <w:szCs w:val="21"/>
          <w:highlight w:val="none"/>
        </w:rPr>
      </w:pPr>
    </w:p>
    <w:p w14:paraId="7CC986F2">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40AB6FF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2FBE4ACD">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5D2108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FE26C72">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3C0E977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CF0EDE2">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F2B8CA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46D0539D">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4042442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5695727C">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4E231042">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142769FA">
      <w:pPr>
        <w:pStyle w:val="4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25E909E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C967DE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（2）磋商响应单位情况表</w:t>
      </w:r>
    </w:p>
    <w:p w14:paraId="481E965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响应单位基本情况表</w:t>
      </w:r>
    </w:p>
    <w:tbl>
      <w:tblPr>
        <w:tblStyle w:val="38"/>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800"/>
        <w:gridCol w:w="1980"/>
        <w:gridCol w:w="2340"/>
      </w:tblGrid>
      <w:tr w14:paraId="47F0F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988" w:type="dxa"/>
            <w:noWrap w:val="0"/>
            <w:vAlign w:val="center"/>
          </w:tcPr>
          <w:p w14:paraId="7F03931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w:t>
            </w:r>
          </w:p>
        </w:tc>
        <w:tc>
          <w:tcPr>
            <w:tcW w:w="1800" w:type="dxa"/>
            <w:noWrap w:val="0"/>
            <w:vAlign w:val="center"/>
          </w:tcPr>
          <w:p w14:paraId="62535FE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980" w:type="dxa"/>
            <w:noWrap w:val="0"/>
            <w:vAlign w:val="center"/>
          </w:tcPr>
          <w:p w14:paraId="0B6FE03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成立日期</w:t>
            </w:r>
          </w:p>
        </w:tc>
        <w:tc>
          <w:tcPr>
            <w:tcW w:w="2340" w:type="dxa"/>
            <w:noWrap w:val="0"/>
            <w:vAlign w:val="center"/>
          </w:tcPr>
          <w:p w14:paraId="695692F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69D26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2988" w:type="dxa"/>
            <w:noWrap w:val="0"/>
            <w:vAlign w:val="center"/>
          </w:tcPr>
          <w:p w14:paraId="69F113F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企业地址</w:t>
            </w:r>
          </w:p>
        </w:tc>
        <w:tc>
          <w:tcPr>
            <w:tcW w:w="1800" w:type="dxa"/>
            <w:noWrap w:val="0"/>
            <w:vAlign w:val="center"/>
          </w:tcPr>
          <w:p w14:paraId="4014513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980" w:type="dxa"/>
            <w:noWrap w:val="0"/>
            <w:vAlign w:val="center"/>
          </w:tcPr>
          <w:p w14:paraId="53A4176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w:t>
            </w:r>
          </w:p>
        </w:tc>
        <w:tc>
          <w:tcPr>
            <w:tcW w:w="2340" w:type="dxa"/>
            <w:noWrap w:val="0"/>
            <w:vAlign w:val="center"/>
          </w:tcPr>
          <w:p w14:paraId="7F6F6717">
            <w:pPr>
              <w:keepNext w:val="0"/>
              <w:keepLines w:val="0"/>
              <w:pageBreakBefore w:val="0"/>
              <w:kinsoku/>
              <w:wordWrap/>
              <w:overflowPunct/>
              <w:topLinePunct w:val="0"/>
              <w:autoSpaceDE/>
              <w:autoSpaceDN/>
              <w:bidi w:val="0"/>
              <w:adjustRightInd/>
              <w:snapToGrid w:val="0"/>
              <w:spacing w:line="360" w:lineRule="auto"/>
              <w:ind w:firstLine="12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r>
      <w:tr w14:paraId="6A72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2988" w:type="dxa"/>
            <w:noWrap w:val="0"/>
            <w:vAlign w:val="center"/>
          </w:tcPr>
          <w:p w14:paraId="1221389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6120" w:type="dxa"/>
            <w:gridSpan w:val="3"/>
            <w:noWrap w:val="0"/>
            <w:vAlign w:val="center"/>
          </w:tcPr>
          <w:p w14:paraId="7755E46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B8A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88" w:type="dxa"/>
            <w:noWrap w:val="0"/>
            <w:vAlign w:val="center"/>
          </w:tcPr>
          <w:p w14:paraId="676E069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职工人数</w:t>
            </w:r>
          </w:p>
        </w:tc>
        <w:tc>
          <w:tcPr>
            <w:tcW w:w="1800" w:type="dxa"/>
            <w:noWrap w:val="0"/>
            <w:vAlign w:val="center"/>
          </w:tcPr>
          <w:p w14:paraId="7957B93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1980" w:type="dxa"/>
            <w:noWrap w:val="0"/>
            <w:vAlign w:val="center"/>
          </w:tcPr>
          <w:p w14:paraId="662814E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其中：中高级</w:t>
            </w:r>
          </w:p>
          <w:p w14:paraId="400B643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以上职称的人数</w:t>
            </w:r>
          </w:p>
        </w:tc>
        <w:tc>
          <w:tcPr>
            <w:tcW w:w="2340" w:type="dxa"/>
            <w:noWrap w:val="0"/>
            <w:vAlign w:val="center"/>
          </w:tcPr>
          <w:p w14:paraId="5220E59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r>
      <w:tr w14:paraId="7E3B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2988" w:type="dxa"/>
            <w:noWrap w:val="0"/>
            <w:vAlign w:val="center"/>
          </w:tcPr>
          <w:p w14:paraId="05D356B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资产总计</w:t>
            </w:r>
          </w:p>
        </w:tc>
        <w:tc>
          <w:tcPr>
            <w:tcW w:w="1800" w:type="dxa"/>
            <w:noWrap w:val="0"/>
            <w:vAlign w:val="center"/>
          </w:tcPr>
          <w:p w14:paraId="3DD8F52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c>
          <w:tcPr>
            <w:tcW w:w="1980" w:type="dxa"/>
            <w:noWrap w:val="0"/>
            <w:vAlign w:val="center"/>
          </w:tcPr>
          <w:p w14:paraId="522E38C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净资产</w:t>
            </w:r>
          </w:p>
        </w:tc>
        <w:tc>
          <w:tcPr>
            <w:tcW w:w="2340" w:type="dxa"/>
            <w:noWrap w:val="0"/>
            <w:vAlign w:val="center"/>
          </w:tcPr>
          <w:p w14:paraId="0364ABCE">
            <w:pPr>
              <w:keepNext w:val="0"/>
              <w:keepLines w:val="0"/>
              <w:pageBreakBefore w:val="0"/>
              <w:kinsoku/>
              <w:wordWrap/>
              <w:overflowPunct/>
              <w:topLinePunct w:val="0"/>
              <w:autoSpaceDE/>
              <w:autoSpaceDN/>
              <w:bidi w:val="0"/>
              <w:adjustRightInd/>
              <w:snapToGrid w:val="0"/>
              <w:spacing w:line="360" w:lineRule="auto"/>
              <w:ind w:right="24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w:t>
            </w:r>
          </w:p>
        </w:tc>
      </w:tr>
      <w:tr w14:paraId="6FEED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88" w:type="dxa"/>
            <w:noWrap w:val="0"/>
            <w:vAlign w:val="center"/>
          </w:tcPr>
          <w:p w14:paraId="5426878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股东权益</w:t>
            </w:r>
          </w:p>
        </w:tc>
        <w:tc>
          <w:tcPr>
            <w:tcW w:w="1800" w:type="dxa"/>
            <w:noWrap w:val="0"/>
            <w:vAlign w:val="center"/>
          </w:tcPr>
          <w:p w14:paraId="45EF1E6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c>
          <w:tcPr>
            <w:tcW w:w="1980" w:type="dxa"/>
            <w:noWrap w:val="0"/>
            <w:vAlign w:val="center"/>
          </w:tcPr>
          <w:p w14:paraId="4E9661E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销售收入</w:t>
            </w:r>
          </w:p>
        </w:tc>
        <w:tc>
          <w:tcPr>
            <w:tcW w:w="2340" w:type="dxa"/>
            <w:noWrap w:val="0"/>
            <w:vAlign w:val="center"/>
          </w:tcPr>
          <w:p w14:paraId="57761318">
            <w:pPr>
              <w:keepNext w:val="0"/>
              <w:keepLines w:val="0"/>
              <w:pageBreakBefore w:val="0"/>
              <w:tabs>
                <w:tab w:val="left" w:pos="0"/>
              </w:tabs>
              <w:kinsoku/>
              <w:wordWrap/>
              <w:overflowPunct/>
              <w:topLinePunct w:val="0"/>
              <w:autoSpaceDE/>
              <w:autoSpaceDN/>
              <w:bidi w:val="0"/>
              <w:adjustRightInd/>
              <w:snapToGrid w:val="0"/>
              <w:spacing w:line="360" w:lineRule="auto"/>
              <w:ind w:firstLine="21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万元</w:t>
            </w:r>
          </w:p>
        </w:tc>
      </w:tr>
      <w:tr w14:paraId="3593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2988" w:type="dxa"/>
            <w:noWrap w:val="0"/>
            <w:vAlign w:val="center"/>
          </w:tcPr>
          <w:p w14:paraId="04965BC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实现利润</w:t>
            </w:r>
          </w:p>
        </w:tc>
        <w:tc>
          <w:tcPr>
            <w:tcW w:w="6120" w:type="dxa"/>
            <w:gridSpan w:val="3"/>
            <w:noWrap w:val="0"/>
            <w:vAlign w:val="center"/>
          </w:tcPr>
          <w:p w14:paraId="6188EF6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万元      </w:t>
            </w:r>
          </w:p>
        </w:tc>
      </w:tr>
      <w:tr w14:paraId="7E7F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88" w:type="dxa"/>
            <w:noWrap w:val="0"/>
            <w:vAlign w:val="center"/>
          </w:tcPr>
          <w:p w14:paraId="34581D0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营业面积</w:t>
            </w:r>
          </w:p>
        </w:tc>
        <w:tc>
          <w:tcPr>
            <w:tcW w:w="1800" w:type="dxa"/>
            <w:noWrap w:val="0"/>
            <w:vAlign w:val="center"/>
          </w:tcPr>
          <w:p w14:paraId="2BED222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平方米</w:t>
            </w:r>
          </w:p>
        </w:tc>
        <w:tc>
          <w:tcPr>
            <w:tcW w:w="1980" w:type="dxa"/>
            <w:noWrap w:val="0"/>
            <w:vAlign w:val="center"/>
          </w:tcPr>
          <w:p w14:paraId="43379AA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tc>
        <w:tc>
          <w:tcPr>
            <w:tcW w:w="2340" w:type="dxa"/>
            <w:noWrap w:val="0"/>
            <w:vAlign w:val="center"/>
          </w:tcPr>
          <w:p w14:paraId="27A4AD0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自有面积   平方米</w:t>
            </w:r>
          </w:p>
          <w:p w14:paraId="6EC1546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承租面积   平方米</w:t>
            </w:r>
          </w:p>
        </w:tc>
      </w:tr>
      <w:tr w14:paraId="47D5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88" w:type="dxa"/>
            <w:noWrap w:val="0"/>
          </w:tcPr>
          <w:p w14:paraId="798BEC6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近三年来完成或正在履行的重大合同情况</w:t>
            </w:r>
          </w:p>
        </w:tc>
        <w:tc>
          <w:tcPr>
            <w:tcW w:w="6120" w:type="dxa"/>
            <w:gridSpan w:val="3"/>
            <w:noWrap w:val="0"/>
          </w:tcPr>
          <w:p w14:paraId="24161E02">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14:paraId="01947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88" w:type="dxa"/>
            <w:noWrap w:val="0"/>
          </w:tcPr>
          <w:p w14:paraId="6A13993F">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最近3年内在经营过程中受到何种奖励或处分</w:t>
            </w:r>
          </w:p>
        </w:tc>
        <w:tc>
          <w:tcPr>
            <w:tcW w:w="6120" w:type="dxa"/>
            <w:gridSpan w:val="3"/>
            <w:noWrap w:val="0"/>
          </w:tcPr>
          <w:p w14:paraId="1BFDBA78">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（包括财政、工商、税务、物价、技监部门稽查情况和结果）</w:t>
            </w:r>
          </w:p>
        </w:tc>
      </w:tr>
      <w:tr w14:paraId="1379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88" w:type="dxa"/>
            <w:noWrap w:val="0"/>
          </w:tcPr>
          <w:p w14:paraId="3CAD40B6">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最近3年内有无因售假、售劣或是其他原因被消费者投诉或起诉的情况及说明</w:t>
            </w:r>
          </w:p>
        </w:tc>
        <w:tc>
          <w:tcPr>
            <w:tcW w:w="6120" w:type="dxa"/>
            <w:gridSpan w:val="3"/>
            <w:noWrap w:val="0"/>
          </w:tcPr>
          <w:p w14:paraId="0553BB7E">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（包括解决方式和结果）</w:t>
            </w:r>
          </w:p>
        </w:tc>
      </w:tr>
      <w:tr w14:paraId="62FCA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88" w:type="dxa"/>
            <w:noWrap w:val="0"/>
          </w:tcPr>
          <w:p w14:paraId="34EF599A">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参加政府采购活动前三年内，在经营活动中有无重大违法记录情况及说明</w:t>
            </w:r>
          </w:p>
        </w:tc>
        <w:tc>
          <w:tcPr>
            <w:tcW w:w="6120" w:type="dxa"/>
            <w:gridSpan w:val="3"/>
            <w:noWrap w:val="0"/>
          </w:tcPr>
          <w:p w14:paraId="4306E77E">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14:paraId="5129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2988" w:type="dxa"/>
            <w:noWrap w:val="0"/>
          </w:tcPr>
          <w:p w14:paraId="5BEBF050">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其他需要说明的情况</w:t>
            </w:r>
          </w:p>
        </w:tc>
        <w:tc>
          <w:tcPr>
            <w:tcW w:w="6120" w:type="dxa"/>
            <w:gridSpan w:val="3"/>
            <w:noWrap w:val="0"/>
          </w:tcPr>
          <w:p w14:paraId="19CC8BFF">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bl>
    <w:p w14:paraId="370990BC">
      <w:pPr>
        <w:pStyle w:val="319"/>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A2CF23F">
      <w:pPr>
        <w:pStyle w:val="319"/>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磋商响应单位：（公章）</w:t>
      </w:r>
    </w:p>
    <w:p w14:paraId="286084E6">
      <w:pPr>
        <w:pStyle w:val="319"/>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17B7340F">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60AC511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lang w:val="zh-CN"/>
        </w:rPr>
      </w:pPr>
    </w:p>
    <w:p w14:paraId="7C4AEA06">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7BC65D3A">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594BFC56">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4E022AB7">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5FC00421">
      <w:pPr>
        <w:pStyle w:val="338"/>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zh-CN"/>
        </w:rPr>
      </w:pPr>
    </w:p>
    <w:p w14:paraId="53046A50">
      <w:pPr>
        <w:keepNext w:val="0"/>
        <w:keepLines w:val="0"/>
        <w:pageBreakBefore w:val="0"/>
        <w:tabs>
          <w:tab w:val="left" w:pos="72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（3）中小企业声明函【不属于中小微企业单位的无需填写、递交】</w:t>
      </w:r>
    </w:p>
    <w:p w14:paraId="1DFF9FBD">
      <w:pPr>
        <w:pStyle w:val="277"/>
        <w:keepNext w:val="0"/>
        <w:keepLines w:val="0"/>
        <w:pageBreakBefore w:val="0"/>
        <w:kinsoku/>
        <w:wordWrap/>
        <w:overflowPunct/>
        <w:topLinePunct w:val="0"/>
        <w:autoSpaceDE/>
        <w:autoSpaceDN/>
        <w:bidi w:val="0"/>
        <w:adjustRightInd/>
        <w:snapToGrid w:val="0"/>
        <w:spacing w:line="360" w:lineRule="auto"/>
        <w:ind w:left="72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中小企业声明函（工程、服务）</w:t>
      </w:r>
    </w:p>
    <w:p w14:paraId="7A9E8770">
      <w:pPr>
        <w:pStyle w:val="232"/>
        <w:keepNext w:val="0"/>
        <w:keepLines w:val="0"/>
        <w:pageBreakBefore w:val="0"/>
        <w:kinsoku/>
        <w:wordWrap/>
        <w:overflowPunct/>
        <w:topLinePunct w:val="0"/>
        <w:autoSpaceDE/>
        <w:autoSpaceDN/>
        <w:bidi w:val="0"/>
        <w:adjustRightInd/>
        <w:snapToGrid w:val="0"/>
        <w:spacing w:line="360" w:lineRule="auto"/>
        <w:ind w:right="414" w:firstLine="412"/>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本公司（联合体）郑重声明，根据《政府采购促进中小企业发展管理办法》（财库﹝2020﹞46号）的规定，本公司（联合体）参加</w:t>
      </w:r>
      <w:r>
        <w:rPr>
          <w:rFonts w:hint="eastAsia" w:ascii="宋体" w:hAnsi="宋体" w:eastAsia="宋体" w:cs="宋体"/>
          <w:color w:val="auto"/>
          <w:spacing w:val="-2"/>
          <w:sz w:val="21"/>
          <w:szCs w:val="21"/>
          <w:highlight w:val="none"/>
          <w:u w:val="single"/>
        </w:rPr>
        <w:t>（单位名称）</w:t>
      </w:r>
      <w:r>
        <w:rPr>
          <w:rFonts w:hint="eastAsia" w:ascii="宋体" w:hAnsi="宋体" w:eastAsia="宋体" w:cs="宋体"/>
          <w:color w:val="auto"/>
          <w:spacing w:val="-2"/>
          <w:sz w:val="21"/>
          <w:szCs w:val="21"/>
          <w:highlight w:val="none"/>
        </w:rPr>
        <w:t>的</w:t>
      </w:r>
      <w:r>
        <w:rPr>
          <w:rFonts w:hint="eastAsia" w:ascii="宋体" w:hAnsi="宋体" w:eastAsia="宋体" w:cs="宋体"/>
          <w:color w:val="auto"/>
          <w:spacing w:val="-2"/>
          <w:sz w:val="21"/>
          <w:szCs w:val="21"/>
          <w:highlight w:val="none"/>
          <w:u w:val="single"/>
        </w:rPr>
        <w:t xml:space="preserve">   （项目名称）  （标段）</w:t>
      </w:r>
      <w:r>
        <w:rPr>
          <w:rFonts w:hint="eastAsia" w:ascii="宋体" w:hAnsi="宋体" w:eastAsia="宋体" w:cs="宋体"/>
          <w:color w:val="auto"/>
          <w:spacing w:val="-2"/>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AAEC8F4">
      <w:pPr>
        <w:pStyle w:val="232"/>
        <w:keepNext w:val="0"/>
        <w:keepLines w:val="0"/>
        <w:pageBreakBefore w:val="0"/>
        <w:kinsoku/>
        <w:wordWrap/>
        <w:overflowPunct/>
        <w:topLinePunct w:val="0"/>
        <w:autoSpaceDE/>
        <w:autoSpaceDN/>
        <w:bidi w:val="0"/>
        <w:adjustRightInd/>
        <w:snapToGrid w:val="0"/>
        <w:spacing w:before="11"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（采购文件中明确的所属行业）</w:t>
      </w:r>
      <w:r>
        <w:rPr>
          <w:rFonts w:hint="eastAsia" w:ascii="宋体" w:hAnsi="宋体" w:eastAsia="宋体" w:cs="宋体"/>
          <w:color w:val="auto"/>
          <w:sz w:val="21"/>
          <w:szCs w:val="21"/>
          <w:highlight w:val="none"/>
        </w:rPr>
        <w:t>；承建（承接）企业为</w:t>
      </w:r>
      <w:r>
        <w:rPr>
          <w:rFonts w:hint="eastAsia" w:ascii="宋体" w:hAnsi="宋体" w:eastAsia="宋体" w:cs="宋体"/>
          <w:color w:val="auto"/>
          <w:sz w:val="21"/>
          <w:szCs w:val="21"/>
          <w:highlight w:val="none"/>
          <w:u w:val="single"/>
        </w:rPr>
        <w:t>（企业名称）</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65C3C233">
      <w:pPr>
        <w:pStyle w:val="232"/>
        <w:keepNext w:val="0"/>
        <w:keepLines w:val="0"/>
        <w:pageBreakBefore w:val="0"/>
        <w:kinsoku/>
        <w:wordWrap/>
        <w:overflowPunct/>
        <w:topLinePunct w:val="0"/>
        <w:autoSpaceDE/>
        <w:autoSpaceDN/>
        <w:bidi w:val="0"/>
        <w:adjustRightInd/>
        <w:snapToGrid w:val="0"/>
        <w:spacing w:before="11"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（采购文件中明确的所属行业）</w:t>
      </w:r>
      <w:r>
        <w:rPr>
          <w:rFonts w:hint="eastAsia" w:ascii="宋体" w:hAnsi="宋体" w:eastAsia="宋体" w:cs="宋体"/>
          <w:color w:val="auto"/>
          <w:sz w:val="21"/>
          <w:szCs w:val="21"/>
          <w:highlight w:val="none"/>
        </w:rPr>
        <w:t>；承建（承接）企业为</w:t>
      </w:r>
      <w:r>
        <w:rPr>
          <w:rFonts w:hint="eastAsia" w:ascii="宋体" w:hAnsi="宋体" w:eastAsia="宋体" w:cs="宋体"/>
          <w:color w:val="auto"/>
          <w:sz w:val="21"/>
          <w:szCs w:val="21"/>
          <w:highlight w:val="none"/>
          <w:u w:val="single"/>
        </w:rPr>
        <w:t>（企业名称）</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1300241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3D30E38C">
      <w:pPr>
        <w:pStyle w:val="232"/>
        <w:keepNext w:val="0"/>
        <w:keepLines w:val="0"/>
        <w:pageBreakBefore w:val="0"/>
        <w:kinsoku/>
        <w:wordWrap/>
        <w:overflowPunct/>
        <w:topLinePunct w:val="0"/>
        <w:autoSpaceDE/>
        <w:autoSpaceDN/>
        <w:bidi w:val="0"/>
        <w:adjustRightInd/>
        <w:snapToGrid w:val="0"/>
        <w:spacing w:before="108" w:line="360" w:lineRule="auto"/>
        <w:ind w:right="417"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54507A2D">
      <w:pPr>
        <w:pStyle w:val="232"/>
        <w:keepNext w:val="0"/>
        <w:keepLines w:val="0"/>
        <w:pageBreakBefore w:val="0"/>
        <w:kinsoku/>
        <w:wordWrap/>
        <w:overflowPunct/>
        <w:topLinePunct w:val="0"/>
        <w:autoSpaceDE/>
        <w:autoSpaceDN/>
        <w:bidi w:val="0"/>
        <w:adjustRightInd/>
        <w:snapToGrid w:val="0"/>
        <w:spacing w:line="360" w:lineRule="auto"/>
        <w:ind w:right="375"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71D9A0F3">
      <w:pPr>
        <w:pStyle w:val="232"/>
        <w:keepNext w:val="0"/>
        <w:keepLines w:val="0"/>
        <w:pageBreakBefore w:val="0"/>
        <w:kinsoku/>
        <w:wordWrap/>
        <w:overflowPunct/>
        <w:topLinePunct w:val="0"/>
        <w:autoSpaceDE/>
        <w:autoSpaceDN/>
        <w:bidi w:val="0"/>
        <w:adjustRightInd/>
        <w:snapToGrid w:val="0"/>
        <w:spacing w:before="29" w:line="360" w:lineRule="auto"/>
        <w:ind w:right="2481"/>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7FAA3333">
      <w:pPr>
        <w:keepNext w:val="0"/>
        <w:keepLines w:val="0"/>
        <w:pageBreakBefore w:val="0"/>
        <w:tabs>
          <w:tab w:val="left" w:pos="72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05867E2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注：1.从业人员、营业收入、资产总额填报上一年度数据，无上一年度数据的新成立企业可不填报。</w:t>
      </w:r>
    </w:p>
    <w:p w14:paraId="048C9208">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pacing w:val="8"/>
          <w:sz w:val="21"/>
          <w:szCs w:val="21"/>
          <w:highlight w:val="none"/>
        </w:rPr>
      </w:pPr>
      <w:r>
        <w:rPr>
          <w:rFonts w:hint="eastAsia" w:ascii="宋体" w:hAnsi="宋体" w:eastAsia="宋体" w:cs="宋体"/>
          <w:color w:val="auto"/>
          <w:spacing w:val="8"/>
          <w:sz w:val="21"/>
          <w:szCs w:val="21"/>
          <w:highlight w:val="none"/>
        </w:rPr>
        <w:t>2.在服务采购项目中，服务由中小企业承接，即提供服务的人员为中小企业依照《中华人民共和国劳动合同法》订立劳动合同的从业人员。</w:t>
      </w:r>
      <w:r>
        <w:rPr>
          <w:rFonts w:hint="eastAsia" w:ascii="宋体" w:hAnsi="宋体" w:eastAsia="宋体" w:cs="宋体"/>
          <w:b/>
          <w:color w:val="auto"/>
          <w:spacing w:val="8"/>
          <w:sz w:val="21"/>
          <w:szCs w:val="21"/>
          <w:highlight w:val="none"/>
        </w:rPr>
        <w:t>服务类项目中供应商若使用退休人员，将不享受相应扶持政策。</w:t>
      </w:r>
    </w:p>
    <w:p w14:paraId="43C65AD7">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3.《中小企业声明函》中所填的行业应与本采购标的对应的中小企业划分标准所属行业一致，不一致的不可享受相应政策优惠。本采购标的对应的中小企业划分标准所属行业，以采购文件中具体规定为准。</w:t>
      </w:r>
    </w:p>
    <w:p w14:paraId="6FC42B5C">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pacing w:val="8"/>
          <w:sz w:val="21"/>
          <w:szCs w:val="21"/>
          <w:highlight w:val="none"/>
        </w:rPr>
      </w:pPr>
      <w:r>
        <w:rPr>
          <w:rFonts w:hint="eastAsia" w:ascii="宋体" w:hAnsi="宋体" w:eastAsia="宋体" w:cs="宋体"/>
          <w:color w:val="auto"/>
          <w:spacing w:val="8"/>
          <w:sz w:val="21"/>
          <w:szCs w:val="21"/>
          <w:highlight w:val="none"/>
        </w:rPr>
        <w:t>4.</w:t>
      </w:r>
      <w:r>
        <w:rPr>
          <w:rFonts w:hint="eastAsia" w:ascii="宋体" w:hAnsi="宋体" w:eastAsia="宋体" w:cs="宋体"/>
          <w:b/>
          <w:color w:val="auto"/>
          <w:spacing w:val="8"/>
          <w:sz w:val="21"/>
          <w:szCs w:val="21"/>
          <w:highlight w:val="none"/>
        </w:rPr>
        <w:t>如未对（中型企业、小型企业、微型企业）进行勾选，视同非小微企业，不可享受相应扶持政策。</w:t>
      </w:r>
    </w:p>
    <w:p w14:paraId="4077BC8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5.成交单位为中小企业的，《中小企业声明函》将随成交结果同时公告。</w:t>
      </w:r>
    </w:p>
    <w:p w14:paraId="0E485AC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71D9504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6D5365D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p>
    <w:p w14:paraId="0F1514E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附：中小企业划型标准规定</w:t>
      </w:r>
    </w:p>
    <w:p w14:paraId="7948732F">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（一）农、林、牧、渔业。</w:t>
      </w:r>
      <w:r>
        <w:rPr>
          <w:rFonts w:hint="eastAsia" w:ascii="宋体" w:hAnsi="宋体" w:eastAsia="宋体" w:cs="宋体"/>
          <w:color w:val="auto"/>
          <w:sz w:val="21"/>
          <w:szCs w:val="21"/>
          <w:highlight w:val="none"/>
        </w:rPr>
        <w:t>营业收入20000万元以下的为中小微型企业。其中，营业收入500万元及以上的为中型企业，营业收入50万元及以上的为小型企业，营业收入50万元以下的为微型企业。</w:t>
      </w:r>
    </w:p>
    <w:p w14:paraId="19126E31">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（二）工业。</w:t>
      </w:r>
      <w:r>
        <w:rPr>
          <w:rFonts w:hint="eastAsia" w:ascii="宋体" w:hAnsi="宋体" w:eastAsia="宋体" w:cs="宋体"/>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997CDA7">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（三）建筑业。</w:t>
      </w:r>
      <w:r>
        <w:rPr>
          <w:rFonts w:hint="eastAsia" w:ascii="宋体" w:hAnsi="宋体" w:eastAsia="宋体" w:cs="宋体"/>
          <w:color w:val="auto"/>
          <w:sz w:val="21"/>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9F242BE">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（四）批发业。</w:t>
      </w:r>
      <w:r>
        <w:rPr>
          <w:rFonts w:hint="eastAsia" w:ascii="宋体" w:hAnsi="宋体" w:eastAsia="宋体" w:cs="宋体"/>
          <w:color w:val="auto"/>
          <w:sz w:val="21"/>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DAF845">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（五）零售业。</w:t>
      </w:r>
      <w:r>
        <w:rPr>
          <w:rFonts w:hint="eastAsia" w:ascii="宋体" w:hAnsi="宋体" w:eastAsia="宋体" w:cs="宋体"/>
          <w:color w:val="auto"/>
          <w:sz w:val="21"/>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CF0349E">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（六）交通运输业。</w:t>
      </w:r>
      <w:r>
        <w:rPr>
          <w:rFonts w:hint="eastAsia" w:ascii="宋体" w:hAnsi="宋体" w:eastAsia="宋体" w:cs="宋体"/>
          <w:color w:val="auto"/>
          <w:sz w:val="21"/>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92C961">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（七）仓储业。</w:t>
      </w:r>
      <w:r>
        <w:rPr>
          <w:rFonts w:hint="eastAsia" w:ascii="宋体" w:hAnsi="宋体" w:eastAsia="宋体" w:cs="宋体"/>
          <w:color w:val="auto"/>
          <w:sz w:val="21"/>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BF70FD1">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（八）邮政业。</w:t>
      </w:r>
      <w:r>
        <w:rPr>
          <w:rFonts w:hint="eastAsia" w:ascii="宋体" w:hAnsi="宋体" w:eastAsia="宋体" w:cs="宋体"/>
          <w:color w:val="auto"/>
          <w:sz w:val="21"/>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BCEE430">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（九）住宿业。</w:t>
      </w:r>
      <w:r>
        <w:rPr>
          <w:rFonts w:hint="eastAsia" w:ascii="宋体"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DC0FCF">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（十）餐饮业。</w:t>
      </w:r>
      <w:r>
        <w:rPr>
          <w:rFonts w:hint="eastAsia" w:ascii="宋体"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7F795B">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（十一）信息传输业。</w:t>
      </w:r>
      <w:r>
        <w:rPr>
          <w:rFonts w:hint="eastAsia" w:ascii="宋体" w:hAnsi="宋体" w:eastAsia="宋体" w:cs="宋体"/>
          <w:color w:val="auto"/>
          <w:sz w:val="21"/>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0B345AF">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（十二）软件和信息技术服务业。</w:t>
      </w:r>
      <w:r>
        <w:rPr>
          <w:rFonts w:hint="eastAsia" w:ascii="宋体" w:hAnsi="宋体" w:eastAsia="宋体" w:cs="宋体"/>
          <w:color w:val="auto"/>
          <w:sz w:val="21"/>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B0FCAE4">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（十三）房地产开发经营。</w:t>
      </w:r>
      <w:r>
        <w:rPr>
          <w:rFonts w:hint="eastAsia" w:ascii="宋体" w:hAnsi="宋体" w:eastAsia="宋体" w:cs="宋体"/>
          <w:color w:val="auto"/>
          <w:sz w:val="21"/>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0CC6CAE">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（十四）物业管理。</w:t>
      </w:r>
      <w:r>
        <w:rPr>
          <w:rFonts w:hint="eastAsia" w:ascii="宋体" w:hAnsi="宋体" w:eastAsia="宋体" w:cs="宋体"/>
          <w:color w:val="auto"/>
          <w:sz w:val="21"/>
          <w:szCs w:val="21"/>
          <w:highlight w:val="none"/>
        </w:rPr>
        <w:t>从业人员1000人以下或营业收入5000万元以下的为中小微型企业。其中，从业人员</w:t>
      </w:r>
    </w:p>
    <w:p w14:paraId="6040C69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300人及以上，且营业收入1000万元及以上的为中型企业；从业人员100人及以上，且营业收入500万元及以上的为小型企业；从业人员100人以下或营业收入500万元以下的为微型企业。</w:t>
      </w:r>
    </w:p>
    <w:p w14:paraId="23974E5C">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（十五）租赁和商务服务业。</w:t>
      </w:r>
      <w:r>
        <w:rPr>
          <w:rFonts w:hint="eastAsia" w:ascii="宋体" w:hAnsi="宋体" w:eastAsia="宋体" w:cs="宋体"/>
          <w:color w:val="auto"/>
          <w:sz w:val="21"/>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4193BD3">
      <w:pPr>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（十六）其他未列明行业。</w:t>
      </w:r>
      <w:r>
        <w:rPr>
          <w:rFonts w:hint="eastAsia" w:ascii="宋体" w:hAnsi="宋体" w:eastAsia="宋体" w:cs="宋体"/>
          <w:color w:val="auto"/>
          <w:sz w:val="21"/>
          <w:szCs w:val="21"/>
          <w:highlight w:val="none"/>
        </w:rPr>
        <w:t>从业人员300人以下的为中小微型企业。其中，从业人员100人及以上的为中型企业；从业人员10人及以上的为小型企业；从业人员10人以下的为微型企业。</w:t>
      </w:r>
    </w:p>
    <w:p w14:paraId="6B995B10">
      <w:pPr>
        <w:pStyle w:val="265"/>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8655055">
      <w:pPr>
        <w:pStyle w:val="243"/>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21DF273B">
      <w:pPr>
        <w:pStyle w:val="244"/>
        <w:keepNext w:val="0"/>
        <w:keepLines w:val="0"/>
        <w:pageBreakBefore w:val="0"/>
        <w:kinsoku/>
        <w:wordWrap/>
        <w:overflowPunct/>
        <w:topLinePunct w:val="0"/>
        <w:autoSpaceDE/>
        <w:autoSpaceDN/>
        <w:bidi w:val="0"/>
        <w:adjustRightInd/>
        <w:snapToGrid w:val="0"/>
        <w:spacing w:line="360" w:lineRule="auto"/>
        <w:ind w:left="3360"/>
        <w:textAlignment w:val="auto"/>
        <w:rPr>
          <w:rFonts w:hint="eastAsia" w:ascii="宋体" w:hAnsi="宋体" w:eastAsia="宋体" w:cs="宋体"/>
          <w:color w:val="auto"/>
          <w:sz w:val="21"/>
          <w:szCs w:val="21"/>
          <w:highlight w:val="none"/>
        </w:rPr>
      </w:pPr>
    </w:p>
    <w:p w14:paraId="5CB20D0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B7A9D02">
      <w:pPr>
        <w:pStyle w:val="265"/>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D9E942E">
      <w:pPr>
        <w:pStyle w:val="243"/>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74D463AC">
      <w:pPr>
        <w:pStyle w:val="244"/>
        <w:keepNext w:val="0"/>
        <w:keepLines w:val="0"/>
        <w:pageBreakBefore w:val="0"/>
        <w:kinsoku/>
        <w:wordWrap/>
        <w:overflowPunct/>
        <w:topLinePunct w:val="0"/>
        <w:autoSpaceDE/>
        <w:autoSpaceDN/>
        <w:bidi w:val="0"/>
        <w:adjustRightInd/>
        <w:snapToGrid w:val="0"/>
        <w:spacing w:line="360" w:lineRule="auto"/>
        <w:ind w:left="3360"/>
        <w:textAlignment w:val="auto"/>
        <w:rPr>
          <w:rFonts w:hint="eastAsia" w:ascii="宋体" w:hAnsi="宋体" w:eastAsia="宋体" w:cs="宋体"/>
          <w:color w:val="auto"/>
          <w:sz w:val="21"/>
          <w:szCs w:val="21"/>
          <w:highlight w:val="none"/>
        </w:rPr>
      </w:pPr>
    </w:p>
    <w:p w14:paraId="5387713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4D985027">
      <w:pPr>
        <w:pStyle w:val="265"/>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6913F948">
      <w:pPr>
        <w:pStyle w:val="243"/>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171D1E4D">
      <w:pPr>
        <w:pStyle w:val="244"/>
        <w:keepNext w:val="0"/>
        <w:keepLines w:val="0"/>
        <w:pageBreakBefore w:val="0"/>
        <w:kinsoku/>
        <w:wordWrap/>
        <w:overflowPunct/>
        <w:topLinePunct w:val="0"/>
        <w:autoSpaceDE/>
        <w:autoSpaceDN/>
        <w:bidi w:val="0"/>
        <w:adjustRightInd/>
        <w:snapToGrid w:val="0"/>
        <w:spacing w:line="360" w:lineRule="auto"/>
        <w:ind w:left="3360"/>
        <w:textAlignment w:val="auto"/>
        <w:rPr>
          <w:rFonts w:hint="eastAsia" w:ascii="宋体" w:hAnsi="宋体" w:eastAsia="宋体" w:cs="宋体"/>
          <w:color w:val="auto"/>
          <w:sz w:val="21"/>
          <w:szCs w:val="21"/>
          <w:highlight w:val="none"/>
        </w:rPr>
      </w:pPr>
    </w:p>
    <w:p w14:paraId="2848DB19">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2B70BB3">
      <w:pPr>
        <w:pStyle w:val="265"/>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305ED10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（4）附件残疾人福利性单位声明函【不属于残疾人福利性单位的无需填写、递交】</w:t>
      </w:r>
    </w:p>
    <w:p w14:paraId="242F4D1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bookmarkStart w:id="112" w:name="OLE_LINK13"/>
      <w:bookmarkStart w:id="113" w:name="OLE_LINK14"/>
      <w:r>
        <w:rPr>
          <w:rFonts w:hint="eastAsia" w:ascii="宋体" w:hAnsi="宋体" w:eastAsia="宋体" w:cs="宋体"/>
          <w:color w:val="auto"/>
          <w:sz w:val="21"/>
          <w:szCs w:val="21"/>
          <w:highlight w:val="none"/>
        </w:rPr>
        <w:t>残疾人福利性单位声明函</w:t>
      </w:r>
      <w:bookmarkEnd w:id="112"/>
      <w:bookmarkEnd w:id="113"/>
    </w:p>
    <w:p w14:paraId="409B43A0">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CF6C03">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6D2D874D">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p>
    <w:p w14:paraId="6C3276D3">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p>
    <w:p w14:paraId="71905F2D">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p>
    <w:p w14:paraId="2D1809BA">
      <w:pPr>
        <w:keepNext w:val="0"/>
        <w:keepLines w:val="0"/>
        <w:pageBreakBefore w:val="0"/>
        <w:kinsoku/>
        <w:wordWrap/>
        <w:overflowPunct/>
        <w:topLinePunct w:val="0"/>
        <w:autoSpaceDE/>
        <w:autoSpaceDN/>
        <w:bidi w:val="0"/>
        <w:adjustRightInd/>
        <w:snapToGrid w:val="0"/>
        <w:spacing w:line="360" w:lineRule="auto"/>
        <w:ind w:firstLine="31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75CF1202">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B5B935C">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0014A02">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AE588B0">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BF7C736">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63A909A3">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6D55D46F">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37DAB4E0">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9FBEC22">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767727F">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54283174">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117E4BB5">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6EB7D107">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493DC177">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40DECBE">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1FD61F63">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ACA9A44">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67FC29A1">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F8A5686">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3AEF9D4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（5）监狱企业声明函【不属于监狱企业的无需填写、递交】</w:t>
      </w:r>
    </w:p>
    <w:p w14:paraId="705E7F7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F34170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监狱企业声明函</w:t>
      </w:r>
    </w:p>
    <w:p w14:paraId="53BE74F0">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本企业（单位）郑重声明下列事项（按照实际情况勾选或填空）：</w:t>
      </w:r>
    </w:p>
    <w:p w14:paraId="4F0E7B88">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本企业（单位）为直接供应商提供本企业（单位）的服务。</w:t>
      </w:r>
    </w:p>
    <w:p w14:paraId="70DE9013">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（请填写：是、不是）监狱企业。后附省级以上监狱管理局、戒毒管理局（含新疆生产建设兵团）出具的属于监狱企业的证明文件。</w:t>
      </w:r>
    </w:p>
    <w:p w14:paraId="7F9625CD">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2463340">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本企业（单位）对上述声明的真实性负责。如有虚假，将依法承担相应责任。</w:t>
      </w:r>
    </w:p>
    <w:p w14:paraId="080E3B17">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80"/>
        <w:jc w:val="left"/>
        <w:textAlignment w:val="auto"/>
        <w:rPr>
          <w:rFonts w:hint="eastAsia" w:ascii="宋体" w:hAnsi="宋体" w:eastAsia="宋体" w:cs="宋体"/>
          <w:color w:val="auto"/>
          <w:sz w:val="21"/>
          <w:szCs w:val="21"/>
          <w:highlight w:val="none"/>
        </w:rPr>
      </w:pPr>
    </w:p>
    <w:p w14:paraId="4035B741">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44"/>
        <w:jc w:val="center"/>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企业名称（盖章）：</w:t>
      </w:r>
    </w:p>
    <w:p w14:paraId="0490BE28">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44"/>
        <w:jc w:val="center"/>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日  期：</w:t>
      </w:r>
    </w:p>
    <w:p w14:paraId="3D1BDA4D">
      <w:pPr>
        <w:keepNext w:val="0"/>
        <w:keepLines w:val="0"/>
        <w:pageBreakBefore w:val="0"/>
        <w:tabs>
          <w:tab w:val="left" w:pos="25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备注：根据《关于政府采购支持监狱企业发展有关问题的通知》（财库〔2014〕68号）的通知规定，对属于监狱企业的供应商给予评审加分：</w:t>
      </w:r>
    </w:p>
    <w:p w14:paraId="47D4AFFF">
      <w:pPr>
        <w:keepNext w:val="0"/>
        <w:keepLines w:val="0"/>
        <w:pageBreakBefore w:val="0"/>
        <w:tabs>
          <w:tab w:val="left" w:pos="25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监狱企业视同小型、微型企业，享受评审中价格扣除等政府采购促进中小企业发展的政府采购政策。</w:t>
      </w:r>
    </w:p>
    <w:p w14:paraId="63F893A7">
      <w:pPr>
        <w:keepNext w:val="0"/>
        <w:keepLines w:val="0"/>
        <w:pageBreakBefore w:val="0"/>
        <w:tabs>
          <w:tab w:val="left" w:pos="25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符合条件的监狱企业参加磋商时，应当提供由省级以上监狱管理局、戒毒管理局（含新疆生产建设兵团）出具的属于监狱企业的证明文件，未提交则不享受相关价格扣除政策。中标、成交供应商为监狱企业的，采购人或者其委托的采购代理机构应当随中标、成交结果同时公告其《监狱企业声明函》，接受社会监督。</w:t>
      </w:r>
    </w:p>
    <w:p w14:paraId="6A0A6817">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AD3F3E7">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2E1537A6">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AB27A59">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1517EC7">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5146CBCD">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6F478D0">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DF05EFE">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0D4626AA">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32CA3172">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color w:val="auto"/>
          <w:sz w:val="21"/>
          <w:szCs w:val="21"/>
          <w:highlight w:val="none"/>
        </w:rPr>
      </w:pPr>
    </w:p>
    <w:p w14:paraId="7C195529">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附件</w:t>
      </w:r>
      <w:r>
        <w:rPr>
          <w:rFonts w:hint="eastAsia" w:ascii="宋体" w:hAnsi="宋体" w:eastAsia="宋体" w:cs="宋体"/>
          <w:b/>
          <w:color w:val="auto"/>
          <w:sz w:val="21"/>
          <w:szCs w:val="21"/>
          <w:highlight w:val="none"/>
          <w:lang w:val="en-US" w:eastAsia="zh-CN" w:bidi="ar-SA"/>
        </w:rPr>
        <w:t>10</w:t>
      </w:r>
      <w:r>
        <w:rPr>
          <w:rFonts w:hint="eastAsia" w:ascii="宋体" w:hAnsi="宋体" w:eastAsia="宋体" w:cs="宋体"/>
          <w:b/>
          <w:color w:val="auto"/>
          <w:sz w:val="21"/>
          <w:szCs w:val="21"/>
          <w:highlight w:val="none"/>
          <w:lang w:val="zh-CN" w:eastAsia="zh-CN" w:bidi="ar-SA"/>
        </w:rPr>
        <w:t>：磋商响应单位资格承诺书</w:t>
      </w:r>
    </w:p>
    <w:p w14:paraId="1B4DC8DC">
      <w:pPr>
        <w:keepNext w:val="0"/>
        <w:keepLines w:val="0"/>
        <w:pageBreakBefore w:val="0"/>
        <w:kinsoku/>
        <w:wordWrap/>
        <w:overflowPunct/>
        <w:topLinePunct w:val="0"/>
        <w:autoSpaceDE/>
        <w:autoSpaceDN/>
        <w:bidi w:val="0"/>
        <w:adjustRightInd/>
        <w:snapToGrid w:val="0"/>
        <w:spacing w:line="360" w:lineRule="auto"/>
        <w:ind w:firstLine="315"/>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项目名称：                             采购编号：             号</w:t>
      </w:r>
    </w:p>
    <w:tbl>
      <w:tblPr>
        <w:tblStyle w:val="38"/>
        <w:tblpPr w:leftFromText="180" w:rightFromText="180" w:vertAnchor="text" w:horzAnchor="page" w:tblpX="1533" w:tblpY="3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4"/>
        <w:gridCol w:w="2725"/>
        <w:gridCol w:w="1139"/>
        <w:gridCol w:w="4705"/>
      </w:tblGrid>
      <w:tr w14:paraId="06420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385" w:type="pct"/>
            <w:noWrap w:val="0"/>
            <w:vAlign w:val="center"/>
          </w:tcPr>
          <w:p w14:paraId="6170405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1467" w:type="pct"/>
            <w:noWrap w:val="0"/>
            <w:vAlign w:val="center"/>
          </w:tcPr>
          <w:p w14:paraId="5B95A14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响应单位部分资格要求</w:t>
            </w:r>
          </w:p>
        </w:tc>
        <w:tc>
          <w:tcPr>
            <w:tcW w:w="613" w:type="pct"/>
            <w:noWrap w:val="0"/>
            <w:vAlign w:val="center"/>
          </w:tcPr>
          <w:p w14:paraId="280A8B7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是否完全响应</w:t>
            </w:r>
          </w:p>
        </w:tc>
        <w:tc>
          <w:tcPr>
            <w:tcW w:w="2533" w:type="pct"/>
            <w:noWrap w:val="0"/>
            <w:vAlign w:val="center"/>
          </w:tcPr>
          <w:p w14:paraId="0ED3C61B">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备注</w:t>
            </w:r>
          </w:p>
        </w:tc>
      </w:tr>
      <w:tr w14:paraId="09817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385" w:type="pct"/>
            <w:noWrap w:val="0"/>
            <w:vAlign w:val="center"/>
          </w:tcPr>
          <w:p w14:paraId="0A963FB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67" w:type="pct"/>
            <w:noWrap w:val="0"/>
            <w:vAlign w:val="center"/>
          </w:tcPr>
          <w:p w14:paraId="7FAE67D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613" w:type="pct"/>
            <w:noWrap w:val="0"/>
            <w:vAlign w:val="center"/>
          </w:tcPr>
          <w:p w14:paraId="13D3A8C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2533" w:type="pct"/>
            <w:noWrap w:val="0"/>
            <w:vAlign w:val="center"/>
          </w:tcPr>
          <w:p w14:paraId="6F4A7811">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包括响应单位三证合一营业执照副本或民办非企业单位（法人）登记证书副本、社会团体法人登记证书副本或事业单位法人证书（注：公益一类事业单位、使用事业编制且由财政拨款保障的群团组织，不作为政府购买服务的承接主体）副本扫描件，自然人的身份证明。</w:t>
            </w:r>
          </w:p>
        </w:tc>
      </w:tr>
      <w:tr w14:paraId="47767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385" w:type="pct"/>
            <w:noWrap w:val="0"/>
            <w:vAlign w:val="center"/>
          </w:tcPr>
          <w:p w14:paraId="3AB4051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67" w:type="pct"/>
            <w:noWrap w:val="0"/>
            <w:vAlign w:val="center"/>
          </w:tcPr>
          <w:p w14:paraId="1882B92B">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p>
        </w:tc>
        <w:tc>
          <w:tcPr>
            <w:tcW w:w="613" w:type="pct"/>
            <w:noWrap w:val="0"/>
            <w:vAlign w:val="center"/>
          </w:tcPr>
          <w:p w14:paraId="5EBCA803">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c>
          <w:tcPr>
            <w:tcW w:w="2533" w:type="pct"/>
            <w:noWrap w:val="0"/>
            <w:vAlign w:val="center"/>
          </w:tcPr>
          <w:p w14:paraId="250EC4D5">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提供包括参加本次采购活动前的最新一期的年度会计报表或审计报告，其他组织、自然人及成立未满一年的法人应提供银行出具的资信证明</w:t>
            </w:r>
            <w:r>
              <w:rPr>
                <w:rFonts w:hint="eastAsia" w:ascii="宋体" w:hAnsi="宋体" w:eastAsia="宋体" w:cs="宋体"/>
                <w:color w:val="auto"/>
                <w:sz w:val="21"/>
                <w:szCs w:val="21"/>
                <w:highlight w:val="none"/>
              </w:rPr>
              <w:t>。</w:t>
            </w:r>
          </w:p>
        </w:tc>
      </w:tr>
      <w:tr w14:paraId="66BB5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385" w:type="pct"/>
            <w:noWrap w:val="0"/>
            <w:vAlign w:val="center"/>
          </w:tcPr>
          <w:p w14:paraId="71BB950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467" w:type="pct"/>
            <w:noWrap w:val="0"/>
            <w:vAlign w:val="center"/>
          </w:tcPr>
          <w:p w14:paraId="7E5FB3FE">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具有履行合同所必需的设备和专业技术能力；</w:t>
            </w:r>
          </w:p>
        </w:tc>
        <w:tc>
          <w:tcPr>
            <w:tcW w:w="613" w:type="pct"/>
            <w:noWrap w:val="0"/>
            <w:vAlign w:val="center"/>
          </w:tcPr>
          <w:p w14:paraId="276EC03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2533" w:type="pct"/>
            <w:noWrap w:val="0"/>
            <w:vAlign w:val="center"/>
          </w:tcPr>
          <w:p w14:paraId="279C6B9A">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提供具备履行合同所必需的设备和专业技术能力的证明材料或承诺。</w:t>
            </w:r>
          </w:p>
        </w:tc>
      </w:tr>
      <w:tr w14:paraId="14893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trPr>
        <w:tc>
          <w:tcPr>
            <w:tcW w:w="385" w:type="pct"/>
            <w:noWrap w:val="0"/>
            <w:vAlign w:val="center"/>
          </w:tcPr>
          <w:p w14:paraId="18F4EDA6">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467" w:type="pct"/>
            <w:noWrap w:val="0"/>
            <w:vAlign w:val="center"/>
          </w:tcPr>
          <w:p w14:paraId="44D537FA">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有依法缴纳税收和社会保障资金的良好记录；</w:t>
            </w:r>
          </w:p>
        </w:tc>
        <w:tc>
          <w:tcPr>
            <w:tcW w:w="613" w:type="pct"/>
            <w:noWrap w:val="0"/>
            <w:vAlign w:val="center"/>
          </w:tcPr>
          <w:p w14:paraId="7BF49B22">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2533" w:type="pct"/>
            <w:noWrap w:val="0"/>
            <w:vAlign w:val="center"/>
          </w:tcPr>
          <w:p w14:paraId="76AE9179">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p>
        </w:tc>
      </w:tr>
      <w:tr w14:paraId="2BB6A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385" w:type="pct"/>
            <w:noWrap w:val="0"/>
            <w:vAlign w:val="center"/>
          </w:tcPr>
          <w:p w14:paraId="74FDDDB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67" w:type="pct"/>
            <w:noWrap w:val="0"/>
            <w:vAlign w:val="center"/>
          </w:tcPr>
          <w:p w14:paraId="6E28FF3F">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Style w:val="313"/>
                <w:rFonts w:hint="eastAsia" w:ascii="宋体" w:hAnsi="宋体" w:eastAsia="宋体" w:cs="宋体"/>
                <w:color w:val="auto"/>
                <w:sz w:val="21"/>
                <w:szCs w:val="21"/>
                <w:highlight w:val="none"/>
              </w:rPr>
              <w:t>参加政府采购活动前三年内，在经营活动中没有重大违法记录。</w:t>
            </w:r>
          </w:p>
        </w:tc>
        <w:tc>
          <w:tcPr>
            <w:tcW w:w="613" w:type="pct"/>
            <w:noWrap w:val="0"/>
            <w:vAlign w:val="center"/>
          </w:tcPr>
          <w:p w14:paraId="048D0829">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2533" w:type="pct"/>
            <w:noWrap w:val="0"/>
            <w:vAlign w:val="center"/>
          </w:tcPr>
          <w:p w14:paraId="110AC611">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提供参加政府采购活动前三年内在经营活动中没有重大违法记录的书面声明。</w:t>
            </w:r>
          </w:p>
        </w:tc>
      </w:tr>
      <w:tr w14:paraId="1BC4B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385" w:type="pct"/>
            <w:noWrap w:val="0"/>
            <w:vAlign w:val="center"/>
          </w:tcPr>
          <w:p w14:paraId="48E708E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467" w:type="pct"/>
            <w:noWrap w:val="0"/>
            <w:vAlign w:val="center"/>
          </w:tcPr>
          <w:p w14:paraId="4672FF16">
            <w:pPr>
              <w:pStyle w:val="255"/>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法律、行政法规规定的其他条件；</w:t>
            </w:r>
          </w:p>
        </w:tc>
        <w:tc>
          <w:tcPr>
            <w:tcW w:w="613" w:type="pct"/>
            <w:noWrap w:val="0"/>
            <w:vAlign w:val="center"/>
          </w:tcPr>
          <w:p w14:paraId="3F1363A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2533" w:type="pct"/>
            <w:noWrap w:val="0"/>
            <w:vAlign w:val="center"/>
          </w:tcPr>
          <w:p w14:paraId="3A8D683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提供书面声明。</w:t>
            </w:r>
          </w:p>
        </w:tc>
      </w:tr>
      <w:tr w14:paraId="4781A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385" w:type="pct"/>
            <w:noWrap w:val="0"/>
            <w:vAlign w:val="center"/>
          </w:tcPr>
          <w:p w14:paraId="77664B0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467" w:type="pct"/>
            <w:noWrap w:val="0"/>
            <w:vAlign w:val="center"/>
          </w:tcPr>
          <w:p w14:paraId="1AF4F115">
            <w:pPr>
              <w:pStyle w:val="255"/>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合格响应单位特定要求（如有）</w:t>
            </w:r>
          </w:p>
        </w:tc>
        <w:tc>
          <w:tcPr>
            <w:tcW w:w="613" w:type="pct"/>
            <w:noWrap w:val="0"/>
            <w:vAlign w:val="center"/>
          </w:tcPr>
          <w:p w14:paraId="732DD49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p>
        </w:tc>
        <w:tc>
          <w:tcPr>
            <w:tcW w:w="2533" w:type="pct"/>
            <w:noWrap w:val="0"/>
            <w:vAlign w:val="center"/>
          </w:tcPr>
          <w:p w14:paraId="68E83B10">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如有要求须提供符合要求的资质证书等证明文件。</w:t>
            </w:r>
          </w:p>
        </w:tc>
      </w:tr>
      <w:tr w14:paraId="21104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trPr>
        <w:tc>
          <w:tcPr>
            <w:tcW w:w="385" w:type="pct"/>
            <w:noWrap w:val="0"/>
            <w:vAlign w:val="center"/>
          </w:tcPr>
          <w:p w14:paraId="6AFEDB65">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467" w:type="pct"/>
            <w:noWrap w:val="0"/>
            <w:vAlign w:val="center"/>
          </w:tcPr>
          <w:p w14:paraId="0288D80D">
            <w:pPr>
              <w:pStyle w:val="255"/>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相关</w:t>
            </w:r>
            <w:r>
              <w:rPr>
                <w:rFonts w:hint="eastAsia" w:ascii="宋体" w:hAnsi="宋体" w:eastAsia="宋体" w:cs="宋体"/>
                <w:color w:val="auto"/>
                <w:sz w:val="21"/>
                <w:szCs w:val="21"/>
                <w:highlight w:val="none"/>
                <w:lang w:val="zh-CN"/>
              </w:rPr>
              <w:t>承诺书</w:t>
            </w:r>
            <w:r>
              <w:rPr>
                <w:rFonts w:hint="eastAsia" w:ascii="宋体" w:hAnsi="宋体" w:eastAsia="宋体" w:cs="宋体"/>
                <w:color w:val="auto"/>
                <w:sz w:val="21"/>
                <w:szCs w:val="21"/>
                <w:highlight w:val="none"/>
              </w:rPr>
              <w:t>（如有）</w:t>
            </w:r>
          </w:p>
        </w:tc>
        <w:tc>
          <w:tcPr>
            <w:tcW w:w="613" w:type="pct"/>
            <w:noWrap w:val="0"/>
            <w:vAlign w:val="center"/>
          </w:tcPr>
          <w:p w14:paraId="1B733FE3">
            <w:pPr>
              <w:pStyle w:val="255"/>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color w:val="auto"/>
                <w:sz w:val="21"/>
                <w:szCs w:val="21"/>
                <w:highlight w:val="none"/>
              </w:rPr>
            </w:pPr>
          </w:p>
        </w:tc>
        <w:tc>
          <w:tcPr>
            <w:tcW w:w="2533" w:type="pct"/>
            <w:noWrap w:val="0"/>
            <w:vAlign w:val="center"/>
          </w:tcPr>
          <w:p w14:paraId="2915DE5D">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tc>
      </w:tr>
    </w:tbl>
    <w:p w14:paraId="4BEB9234">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磋商响应单位（公章）：</w:t>
      </w:r>
    </w:p>
    <w:p w14:paraId="691D0B2E">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        日期：    年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  日</w:t>
      </w:r>
    </w:p>
    <w:p w14:paraId="5E29AD95">
      <w:pPr>
        <w:pStyle w:val="308"/>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注：供应商未按照本表规定提供，则其响应文件视为无效。供应商未按采购要求逐一填写承诺事项或承诺内容任意一项填写“未实质性响应”，则其响应文件将被拒绝。</w:t>
      </w:r>
    </w:p>
    <w:p w14:paraId="5E7F53B8">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p>
    <w:p w14:paraId="0F0F615C">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声明函</w:t>
      </w:r>
    </w:p>
    <w:p w14:paraId="45243934">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7048F9E4">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我公司具备履行本项采购合同所必需的设备和专业技术能力。</w:t>
      </w:r>
    </w:p>
    <w:p w14:paraId="3D7C0D39">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p>
    <w:p w14:paraId="221BA86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p>
    <w:p w14:paraId="75A241C5">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p>
    <w:p w14:paraId="3CDF4F63">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p>
    <w:p w14:paraId="2E7CB32F">
      <w:pPr>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rPr>
      </w:pPr>
    </w:p>
    <w:p w14:paraId="556AF07D">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单位名称（盖章）：</w:t>
      </w:r>
    </w:p>
    <w:p w14:paraId="0BD60CF6">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20"/>
        <w:jc w:val="righ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    年  月  日</w:t>
      </w:r>
    </w:p>
    <w:p w14:paraId="19193CF6">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color w:val="auto"/>
          <w:sz w:val="21"/>
          <w:szCs w:val="21"/>
          <w:highlight w:val="none"/>
        </w:rPr>
      </w:pPr>
    </w:p>
    <w:p w14:paraId="4C9D1935">
      <w:pPr>
        <w:pStyle w:val="331"/>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en-US"/>
        </w:rPr>
      </w:pPr>
    </w:p>
    <w:p w14:paraId="27F66420">
      <w:pPr>
        <w:pStyle w:val="331"/>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en-US"/>
        </w:rPr>
      </w:pPr>
    </w:p>
    <w:p w14:paraId="67C75835">
      <w:pPr>
        <w:pStyle w:val="331"/>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en-US"/>
        </w:rPr>
      </w:pPr>
    </w:p>
    <w:p w14:paraId="2FFFB161">
      <w:pPr>
        <w:pStyle w:val="331"/>
        <w:keepNext w:val="0"/>
        <w:keepLines w:val="0"/>
        <w:pageBreakBefore w:val="0"/>
        <w:kinsoku/>
        <w:wordWrap/>
        <w:overflowPunct/>
        <w:topLinePunct w:val="0"/>
        <w:autoSpaceDE/>
        <w:autoSpaceDN/>
        <w:bidi w:val="0"/>
        <w:adjustRightInd/>
        <w:snapToGrid w:val="0"/>
        <w:spacing w:line="360" w:lineRule="auto"/>
        <w:ind w:firstLine="420"/>
        <w:textAlignment w:val="auto"/>
        <w:rPr>
          <w:rFonts w:hint="eastAsia" w:ascii="宋体" w:hAnsi="宋体" w:eastAsia="宋体" w:cs="宋体"/>
          <w:color w:val="auto"/>
          <w:sz w:val="21"/>
          <w:szCs w:val="21"/>
          <w:highlight w:val="none"/>
          <w:lang w:val="en-US"/>
        </w:rPr>
      </w:pPr>
    </w:p>
    <w:p w14:paraId="27B13AC6">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949"/>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参加政府采购活动前3年内在经营活动中没有重大违法记录的书面声明</w:t>
      </w:r>
    </w:p>
    <w:p w14:paraId="0A07246A">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p>
    <w:p w14:paraId="74731946">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p>
    <w:p w14:paraId="6F7B8267">
      <w:pPr>
        <w:pStyle w:val="232"/>
        <w:keepNext w:val="0"/>
        <w:keepLines w:val="0"/>
        <w:pageBreakBefore w:val="0"/>
        <w:tabs>
          <w:tab w:val="left" w:pos="525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声    明</w:t>
      </w:r>
    </w:p>
    <w:p w14:paraId="6AB28996">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p>
    <w:p w14:paraId="5C42E738">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72FE6FD3">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p>
    <w:p w14:paraId="21F6AD99">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p>
    <w:p w14:paraId="15C8729D">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p>
    <w:p w14:paraId="463512E0">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单位名称（盖章）：</w:t>
      </w:r>
    </w:p>
    <w:p w14:paraId="3E8C167B">
      <w:pPr>
        <w:keepNext w:val="0"/>
        <w:keepLines w:val="0"/>
        <w:pageBreakBefore w:val="0"/>
        <w:tabs>
          <w:tab w:val="left" w:pos="4860"/>
        </w:tabs>
        <w:kinsoku/>
        <w:wordWrap/>
        <w:overflowPunct/>
        <w:topLinePunct w:val="0"/>
        <w:autoSpaceDE/>
        <w:autoSpaceDN/>
        <w:bidi w:val="0"/>
        <w:adjustRightInd/>
        <w:snapToGrid w:val="0"/>
        <w:spacing w:line="360" w:lineRule="auto"/>
        <w:ind w:right="1560" w:firstLine="420"/>
        <w:jc w:val="righ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日期：    年  月  日</w:t>
      </w:r>
    </w:p>
    <w:p w14:paraId="184844E8">
      <w:pPr>
        <w:pStyle w:val="232"/>
        <w:keepNext w:val="0"/>
        <w:keepLines w:val="0"/>
        <w:pageBreakBefore w:val="0"/>
        <w:tabs>
          <w:tab w:val="left" w:pos="5250"/>
        </w:tabs>
        <w:kinsoku/>
        <w:wordWrap/>
        <w:overflowPunct/>
        <w:topLinePunct w:val="0"/>
        <w:autoSpaceDE/>
        <w:autoSpaceDN/>
        <w:bidi w:val="0"/>
        <w:adjustRightInd/>
        <w:snapToGrid w:val="0"/>
        <w:spacing w:line="360" w:lineRule="auto"/>
        <w:ind w:firstLine="440"/>
        <w:jc w:val="left"/>
        <w:textAlignment w:val="auto"/>
        <w:rPr>
          <w:rFonts w:hint="eastAsia" w:ascii="宋体" w:hAnsi="宋体" w:eastAsia="宋体" w:cs="宋体"/>
          <w:color w:val="auto"/>
          <w:sz w:val="21"/>
          <w:szCs w:val="21"/>
          <w:highlight w:val="none"/>
        </w:rPr>
      </w:pPr>
    </w:p>
    <w:p w14:paraId="567FBC3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color w:val="auto"/>
          <w:sz w:val="21"/>
          <w:szCs w:val="21"/>
          <w:highlight w:val="none"/>
          <w:lang w:val="zh-CN"/>
        </w:rPr>
      </w:pPr>
    </w:p>
    <w:p w14:paraId="226D3C71">
      <w:pPr>
        <w:pStyle w:val="226"/>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color w:val="auto"/>
          <w:sz w:val="21"/>
          <w:szCs w:val="21"/>
          <w:highlight w:val="none"/>
        </w:rPr>
      </w:pPr>
    </w:p>
    <w:p w14:paraId="5FA01BC3">
      <w:pPr>
        <w:pStyle w:val="226"/>
        <w:keepNext w:val="0"/>
        <w:keepLines w:val="0"/>
        <w:pageBreakBefore w:val="0"/>
        <w:kinsoku/>
        <w:wordWrap/>
        <w:overflowPunct/>
        <w:topLinePunct w:val="0"/>
        <w:autoSpaceDE/>
        <w:autoSpaceDN/>
        <w:bidi w:val="0"/>
        <w:adjustRightInd/>
        <w:snapToGrid w:val="0"/>
        <w:spacing w:line="360" w:lineRule="auto"/>
        <w:ind w:firstLine="422"/>
        <w:textAlignment w:val="auto"/>
        <w:rPr>
          <w:rFonts w:hint="eastAsia" w:ascii="宋体" w:hAnsi="宋体" w:eastAsia="宋体" w:cs="宋体"/>
          <w:b/>
          <w:color w:val="auto"/>
          <w:sz w:val="21"/>
          <w:szCs w:val="21"/>
          <w:highlight w:val="none"/>
        </w:rPr>
      </w:pPr>
    </w:p>
    <w:p w14:paraId="49C4BE43">
      <w:pPr>
        <w:pStyle w:val="226"/>
        <w:keepNext w:val="0"/>
        <w:keepLines w:val="0"/>
        <w:pageBreakBefore w:val="0"/>
        <w:kinsoku/>
        <w:wordWrap/>
        <w:overflowPunct/>
        <w:topLinePunct w:val="0"/>
        <w:autoSpaceDE/>
        <w:autoSpaceDN/>
        <w:bidi w:val="0"/>
        <w:adjustRightInd/>
        <w:snapToGrid w:val="0"/>
        <w:spacing w:line="360" w:lineRule="auto"/>
        <w:ind w:firstLine="0"/>
        <w:textAlignment w:val="auto"/>
        <w:outlineLvl w:val="9"/>
        <w:rPr>
          <w:rFonts w:hint="eastAsia" w:ascii="宋体" w:hAnsi="宋体" w:eastAsia="宋体" w:cs="宋体"/>
          <w:b/>
          <w:color w:val="auto"/>
          <w:sz w:val="21"/>
          <w:szCs w:val="21"/>
          <w:highlight w:val="none"/>
        </w:rPr>
      </w:pPr>
    </w:p>
    <w:p w14:paraId="7B05A7F2">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附件11：投标（响应）保证承诺书</w:t>
      </w:r>
    </w:p>
    <w:p w14:paraId="0C6BCCA2">
      <w:pPr>
        <w:pStyle w:val="226"/>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投标（响应）保证承诺书</w:t>
      </w:r>
    </w:p>
    <w:p w14:paraId="0EA87C2A">
      <w:pPr>
        <w:pStyle w:val="258"/>
        <w:keepNext w:val="0"/>
        <w:keepLines w:val="0"/>
        <w:pageBreakBefore w:val="0"/>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（采购代理机构名称）</w:t>
      </w:r>
    </w:p>
    <w:p w14:paraId="6A5A0FDB">
      <w:pPr>
        <w:pStyle w:val="258"/>
        <w:keepNext w:val="0"/>
        <w:keepLines w:val="0"/>
        <w:pageBreakBefore w:val="0"/>
        <w:kinsoku/>
        <w:wordWrap/>
        <w:overflowPunct/>
        <w:topLinePunct w:val="0"/>
        <w:autoSpaceDE/>
        <w:autoSpaceDN/>
        <w:bidi w:val="0"/>
        <w:adjustRightInd/>
        <w:snapToGrid w:val="0"/>
        <w:spacing w:before="0" w:after="0" w:line="360" w:lineRule="auto"/>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我（单位/本人，以下统称我单位）自愿参加</w:t>
      </w:r>
      <w:r>
        <w:rPr>
          <w:rFonts w:hint="eastAsia" w:ascii="宋体" w:hAnsi="宋体" w:eastAsia="宋体" w:cs="宋体"/>
          <w:color w:val="auto"/>
          <w:sz w:val="21"/>
          <w:szCs w:val="21"/>
          <w:highlight w:val="none"/>
          <w:u w:val="single"/>
        </w:rPr>
        <w:t>              （项目名称和采购编号）</w:t>
      </w:r>
      <w:r>
        <w:rPr>
          <w:rFonts w:hint="eastAsia" w:ascii="宋体" w:hAnsi="宋体" w:eastAsia="宋体" w:cs="宋体"/>
          <w:color w:val="auto"/>
          <w:sz w:val="21"/>
          <w:szCs w:val="21"/>
          <w:highlight w:val="none"/>
        </w:rPr>
        <w:t>的投标（响应）</w:t>
      </w:r>
      <w:r>
        <w:rPr>
          <w:rFonts w:hint="eastAsia" w:eastAsia="宋体" w:cs="宋体"/>
          <w:color w:val="auto"/>
          <w:sz w:val="21"/>
          <w:szCs w:val="21"/>
          <w:highlight w:val="none"/>
          <w:lang w:eastAsia="zh-CN"/>
        </w:rPr>
        <w:t>，</w:t>
      </w:r>
      <w:r>
        <w:rPr>
          <w:rFonts w:hint="eastAsia" w:ascii="宋体" w:hAnsi="宋体" w:eastAsia="宋体" w:cs="宋体"/>
          <w:color w:val="auto"/>
          <w:sz w:val="21"/>
          <w:szCs w:val="21"/>
          <w:highlight w:val="none"/>
        </w:rPr>
        <w:t>并做出如下承诺：</w:t>
      </w:r>
    </w:p>
    <w:p w14:paraId="4DC225A4">
      <w:pPr>
        <w:pStyle w:val="258"/>
        <w:keepNext w:val="0"/>
        <w:keepLines w:val="0"/>
        <w:pageBreakBefore w:val="0"/>
        <w:kinsoku/>
        <w:wordWrap/>
        <w:overflowPunct/>
        <w:topLinePunct w:val="0"/>
        <w:autoSpaceDE/>
        <w:autoSpaceDN/>
        <w:bidi w:val="0"/>
        <w:adjustRightInd/>
        <w:snapToGrid w:val="0"/>
        <w:spacing w:before="0" w:after="0" w:line="360" w:lineRule="auto"/>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一、除不可抗力外，我单位如果发生以下行为，将在行为发生的10个工作日内，向贵方</w:t>
      </w:r>
      <w:r>
        <w:rPr>
          <w:rFonts w:hint="eastAsia" w:ascii="宋体" w:hAnsi="宋体" w:eastAsia="宋体" w:cs="宋体"/>
          <w:color w:val="auto"/>
          <w:sz w:val="21"/>
          <w:szCs w:val="21"/>
          <w:highlight w:val="none"/>
          <w:u w:val="single"/>
        </w:rPr>
        <w:t>（或采购人）</w:t>
      </w:r>
      <w:r>
        <w:rPr>
          <w:rFonts w:hint="eastAsia" w:ascii="宋体" w:hAnsi="宋体" w:eastAsia="宋体" w:cs="宋体"/>
          <w:color w:val="auto"/>
          <w:sz w:val="21"/>
          <w:szCs w:val="21"/>
          <w:highlight w:val="none"/>
        </w:rPr>
        <w:t>支付本采购文件公布的预算金额（或最高限价）的2%作为违约赔偿金（数量不确定的单价采购须约定具体金额）。</w:t>
      </w:r>
    </w:p>
    <w:p w14:paraId="15B4BDC0">
      <w:pPr>
        <w:pStyle w:val="258"/>
        <w:keepNext w:val="0"/>
        <w:keepLines w:val="0"/>
        <w:pageBreakBefore w:val="0"/>
        <w:kinsoku/>
        <w:wordWrap/>
        <w:overflowPunct/>
        <w:topLinePunct w:val="0"/>
        <w:autoSpaceDE/>
        <w:autoSpaceDN/>
        <w:bidi w:val="0"/>
        <w:adjustRightInd/>
        <w:snapToGrid w:val="0"/>
        <w:spacing w:before="0" w:after="0" w:line="360" w:lineRule="auto"/>
        <w:ind w:firstLine="55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1.自投标（响应）截止时间至本项目发布中标（成交）公告为止，撤销投标（响应）；</w:t>
      </w:r>
    </w:p>
    <w:p w14:paraId="5CD556B7">
      <w:pPr>
        <w:pStyle w:val="258"/>
        <w:keepNext w:val="0"/>
        <w:keepLines w:val="0"/>
        <w:pageBreakBefore w:val="0"/>
        <w:kinsoku/>
        <w:wordWrap/>
        <w:overflowPunct/>
        <w:topLinePunct w:val="0"/>
        <w:autoSpaceDE/>
        <w:autoSpaceDN/>
        <w:bidi w:val="0"/>
        <w:adjustRightInd/>
        <w:snapToGrid w:val="0"/>
        <w:spacing w:before="0" w:after="0" w:line="360" w:lineRule="auto"/>
        <w:ind w:firstLine="55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2.中标（成交）后不依法与采购人签订合同；</w:t>
      </w:r>
    </w:p>
    <w:p w14:paraId="26557EDC">
      <w:pPr>
        <w:pStyle w:val="258"/>
        <w:keepNext w:val="0"/>
        <w:keepLines w:val="0"/>
        <w:pageBreakBefore w:val="0"/>
        <w:kinsoku/>
        <w:wordWrap/>
        <w:overflowPunct/>
        <w:topLinePunct w:val="0"/>
        <w:autoSpaceDE/>
        <w:autoSpaceDN/>
        <w:bidi w:val="0"/>
        <w:adjustRightInd/>
        <w:snapToGrid w:val="0"/>
        <w:spacing w:before="0" w:after="0" w:line="360" w:lineRule="auto"/>
        <w:ind w:firstLine="55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3.中标（成交）后不按本采购文件规定向采购人提交履约保证金（如有）；</w:t>
      </w:r>
    </w:p>
    <w:p w14:paraId="1B3A116A">
      <w:pPr>
        <w:pStyle w:val="258"/>
        <w:keepNext w:val="0"/>
        <w:keepLines w:val="0"/>
        <w:pageBreakBefore w:val="0"/>
        <w:kinsoku/>
        <w:wordWrap/>
        <w:overflowPunct/>
        <w:topLinePunct w:val="0"/>
        <w:autoSpaceDE/>
        <w:autoSpaceDN/>
        <w:bidi w:val="0"/>
        <w:adjustRightInd/>
        <w:snapToGrid w:val="0"/>
        <w:spacing w:before="0" w:after="0" w:line="360" w:lineRule="auto"/>
        <w:ind w:firstLine="55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4.中标（成交）后不按本采购文件规定向贵方缴纳采购代理费。</w:t>
      </w:r>
    </w:p>
    <w:p w14:paraId="3159B0EA">
      <w:pPr>
        <w:pStyle w:val="258"/>
        <w:keepNext w:val="0"/>
        <w:keepLines w:val="0"/>
        <w:pageBreakBefore w:val="0"/>
        <w:kinsoku/>
        <w:wordWrap/>
        <w:overflowPunct/>
        <w:topLinePunct w:val="0"/>
        <w:autoSpaceDE/>
        <w:autoSpaceDN/>
        <w:bidi w:val="0"/>
        <w:adjustRightInd/>
        <w:snapToGrid w:val="0"/>
        <w:spacing w:before="0" w:after="0" w:line="360" w:lineRule="auto"/>
        <w:ind w:firstLine="6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二、我单位知晓上述行为的法律后果，承认本承诺书作为贵方</w:t>
      </w:r>
      <w:r>
        <w:rPr>
          <w:rFonts w:hint="eastAsia" w:ascii="宋体" w:hAnsi="宋体" w:eastAsia="宋体" w:cs="宋体"/>
          <w:color w:val="auto"/>
          <w:sz w:val="21"/>
          <w:szCs w:val="21"/>
          <w:highlight w:val="none"/>
          <w:u w:val="single"/>
        </w:rPr>
        <w:t>（或采购人）</w:t>
      </w:r>
      <w:r>
        <w:rPr>
          <w:rFonts w:hint="eastAsia" w:ascii="宋体" w:hAnsi="宋体" w:eastAsia="宋体" w:cs="宋体"/>
          <w:color w:val="auto"/>
          <w:sz w:val="21"/>
          <w:szCs w:val="21"/>
          <w:highlight w:val="none"/>
        </w:rPr>
        <w:t>要求我单位履行违约赔偿义务的依据作用。</w:t>
      </w:r>
    </w:p>
    <w:p w14:paraId="7F4E4F5C">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投标（响应）人：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（盖公章）</w:t>
      </w:r>
    </w:p>
    <w:p w14:paraId="3800CDF4">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w:t>
      </w:r>
    </w:p>
    <w:p w14:paraId="71D9AE06">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 xml:space="preserve">               </w:t>
      </w:r>
    </w:p>
    <w:p w14:paraId="1F7860C7">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2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w:t>
      </w:r>
    </w:p>
    <w:p w14:paraId="669D6D2D">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2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电子邮件：</w:t>
      </w:r>
      <w:r>
        <w:rPr>
          <w:rFonts w:hint="eastAsia" w:ascii="宋体" w:hAnsi="宋体" w:eastAsia="宋体" w:cs="宋体"/>
          <w:color w:val="auto"/>
          <w:sz w:val="21"/>
          <w:szCs w:val="21"/>
          <w:highlight w:val="none"/>
          <w:u w:val="single"/>
        </w:rPr>
        <w:t>          </w:t>
      </w:r>
    </w:p>
    <w:p w14:paraId="633C445E">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w:t>
      </w:r>
    </w:p>
    <w:p w14:paraId="5BE46B9C">
      <w:pPr>
        <w:keepNext w:val="0"/>
        <w:keepLines w:val="0"/>
        <w:pageBreakBefore w:val="0"/>
        <w:widowControl/>
        <w:kinsoku/>
        <w:wordWrap/>
        <w:overflowPunct/>
        <w:topLinePunct w:val="0"/>
        <w:autoSpaceDE/>
        <w:autoSpaceDN/>
        <w:bidi w:val="0"/>
        <w:adjustRightInd/>
        <w:snapToGrid w:val="0"/>
        <w:spacing w:before="100" w:beforeAutospacing="1" w:after="100" w:afterAutospacing="1"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w:t>
      </w:r>
    </w:p>
    <w:p w14:paraId="17A58DB4">
      <w:pPr>
        <w:pStyle w:val="258"/>
        <w:keepNext w:val="0"/>
        <w:keepLines w:val="0"/>
        <w:pageBreakBefore w:val="0"/>
        <w:kinsoku/>
        <w:wordWrap/>
        <w:overflowPunct/>
        <w:topLinePunct w:val="0"/>
        <w:autoSpaceDE/>
        <w:autoSpaceDN/>
        <w:bidi w:val="0"/>
        <w:adjustRightInd/>
        <w:snapToGrid w:val="0"/>
        <w:spacing w:before="0" w:after="0"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p>
    <w:p w14:paraId="06CEAB95">
      <w:pPr>
        <w:pStyle w:val="226"/>
        <w:keepNext w:val="0"/>
        <w:keepLines w:val="0"/>
        <w:pageBreakBefore w:val="0"/>
        <w:kinsoku/>
        <w:wordWrap/>
        <w:overflowPunct/>
        <w:topLinePunct w:val="0"/>
        <w:autoSpaceDE/>
        <w:autoSpaceDN/>
        <w:bidi w:val="0"/>
        <w:adjustRightInd/>
        <w:snapToGrid w:val="0"/>
        <w:spacing w:line="360" w:lineRule="auto"/>
        <w:ind w:firstLine="0"/>
        <w:textAlignment w:val="auto"/>
        <w:rPr>
          <w:rFonts w:hint="eastAsia" w:ascii="宋体" w:hAnsi="宋体" w:eastAsia="宋体" w:cs="宋体"/>
          <w:b/>
          <w:bCs/>
          <w:color w:val="auto"/>
          <w:sz w:val="21"/>
          <w:szCs w:val="21"/>
          <w:highlight w:val="none"/>
          <w:lang w:val="zh-CN"/>
        </w:rPr>
      </w:pPr>
    </w:p>
    <w:p w14:paraId="49E5B592">
      <w:pPr>
        <w:keepNext w:val="0"/>
        <w:keepLines w:val="0"/>
        <w:pageBreakBefore w:val="0"/>
        <w:kinsoku/>
        <w:wordWrap/>
        <w:overflowPunct/>
        <w:topLinePunct w:val="0"/>
        <w:autoSpaceDE/>
        <w:autoSpaceDN/>
        <w:bidi w:val="0"/>
        <w:adjustRightInd/>
        <w:snapToGrid w:val="0"/>
        <w:spacing w:line="360" w:lineRule="auto"/>
        <w:jc w:val="left"/>
        <w:textAlignment w:val="auto"/>
        <w:outlineLvl w:val="1"/>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附件</w:t>
      </w:r>
      <w:r>
        <w:rPr>
          <w:rFonts w:hint="eastAsia" w:ascii="宋体" w:hAnsi="宋体" w:eastAsia="宋体" w:cs="宋体"/>
          <w:b/>
          <w:color w:val="auto"/>
          <w:sz w:val="21"/>
          <w:szCs w:val="21"/>
          <w:highlight w:val="none"/>
          <w:lang w:val="en-US" w:eastAsia="zh-CN" w:bidi="ar-SA"/>
        </w:rPr>
        <w:t>12</w:t>
      </w:r>
      <w:r>
        <w:rPr>
          <w:rFonts w:hint="eastAsia" w:ascii="宋体" w:hAnsi="宋体" w:eastAsia="宋体" w:cs="宋体"/>
          <w:b/>
          <w:color w:val="auto"/>
          <w:sz w:val="21"/>
          <w:szCs w:val="21"/>
          <w:highlight w:val="none"/>
          <w:lang w:val="zh-CN" w:eastAsia="zh-CN" w:bidi="ar-SA"/>
        </w:rPr>
        <w:t>：跟踪审计项目概况表</w:t>
      </w:r>
    </w:p>
    <w:tbl>
      <w:tblPr>
        <w:tblStyle w:val="39"/>
        <w:tblW w:w="87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7"/>
        <w:gridCol w:w="1447"/>
        <w:gridCol w:w="1527"/>
        <w:gridCol w:w="4449"/>
        <w:gridCol w:w="926"/>
      </w:tblGrid>
      <w:tr w14:paraId="1ED3E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417" w:type="dxa"/>
            <w:noWrap w:val="0"/>
            <w:vAlign w:val="center"/>
          </w:tcPr>
          <w:p w14:paraId="7B055F9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序号</w:t>
            </w:r>
          </w:p>
        </w:tc>
        <w:tc>
          <w:tcPr>
            <w:tcW w:w="1447" w:type="dxa"/>
            <w:noWrap w:val="0"/>
            <w:vAlign w:val="center"/>
          </w:tcPr>
          <w:p w14:paraId="212073C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项目名称</w:t>
            </w:r>
          </w:p>
        </w:tc>
        <w:tc>
          <w:tcPr>
            <w:tcW w:w="1527" w:type="dxa"/>
            <w:noWrap w:val="0"/>
            <w:vAlign w:val="center"/>
          </w:tcPr>
          <w:p w14:paraId="4E046823">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
                <w:color w:val="auto"/>
                <w:sz w:val="20"/>
                <w:szCs w:val="20"/>
                <w:highlight w:val="none"/>
                <w:lang w:val="en-US" w:eastAsia="zh-CN"/>
              </w:rPr>
            </w:pPr>
            <w:r>
              <w:rPr>
                <w:rFonts w:hint="eastAsia" w:ascii="宋体" w:hAnsi="宋体" w:eastAsia="宋体" w:cs="宋体"/>
                <w:b/>
                <w:color w:val="auto"/>
                <w:sz w:val="20"/>
                <w:szCs w:val="20"/>
                <w:highlight w:val="none"/>
                <w:lang w:val="en-US" w:eastAsia="zh-CN"/>
              </w:rPr>
              <w:t>工程造价（预算价）</w:t>
            </w:r>
          </w:p>
        </w:tc>
        <w:tc>
          <w:tcPr>
            <w:tcW w:w="4449" w:type="dxa"/>
            <w:noWrap w:val="0"/>
            <w:vAlign w:val="center"/>
          </w:tcPr>
          <w:p w14:paraId="72BE4B1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建设主要内容和规模</w:t>
            </w:r>
          </w:p>
        </w:tc>
        <w:tc>
          <w:tcPr>
            <w:tcW w:w="926" w:type="dxa"/>
            <w:noWrap w:val="0"/>
            <w:vAlign w:val="center"/>
          </w:tcPr>
          <w:p w14:paraId="4F853E6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地点</w:t>
            </w:r>
          </w:p>
        </w:tc>
      </w:tr>
      <w:tr w14:paraId="088E8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7" w:type="dxa"/>
            <w:noWrap w:val="0"/>
            <w:vAlign w:val="center"/>
          </w:tcPr>
          <w:p w14:paraId="070C3677">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1</w:t>
            </w:r>
          </w:p>
        </w:tc>
        <w:tc>
          <w:tcPr>
            <w:tcW w:w="1447" w:type="dxa"/>
            <w:shd w:val="clear" w:color="auto" w:fill="auto"/>
            <w:noWrap w:val="0"/>
            <w:vAlign w:val="center"/>
          </w:tcPr>
          <w:p w14:paraId="42AB54ED">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苏州市吴江经开区水质净化厂（新建日处理工业废水1.5万吨）项目</w:t>
            </w:r>
          </w:p>
        </w:tc>
        <w:tc>
          <w:tcPr>
            <w:tcW w:w="1527" w:type="dxa"/>
            <w:noWrap w:val="0"/>
            <w:vAlign w:val="center"/>
          </w:tcPr>
          <w:p w14:paraId="2AA18069">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27368.89万元</w:t>
            </w:r>
          </w:p>
        </w:tc>
        <w:tc>
          <w:tcPr>
            <w:tcW w:w="4449" w:type="dxa"/>
            <w:noWrap w:val="0"/>
            <w:vAlign w:val="center"/>
          </w:tcPr>
          <w:p w14:paraId="6DAF320E">
            <w:pPr>
              <w:keepNext w:val="0"/>
              <w:keepLines w:val="0"/>
              <w:pageBreakBefore w:val="0"/>
              <w:widowControl w:val="0"/>
              <w:kinsoku/>
              <w:wordWrap/>
              <w:overflowPunct/>
              <w:topLinePunct w:val="0"/>
              <w:autoSpaceDE/>
              <w:autoSpaceDN/>
              <w:bidi w:val="0"/>
              <w:adjustRightInd/>
              <w:snapToGrid w:val="0"/>
              <w:spacing w:line="360" w:lineRule="auto"/>
              <w:ind w:firstLine="400" w:firstLineChars="20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目占地面积约50亩，建筑面积约7000平方米，本项目包含排水、给水、中水、反应池、沉淀池、管理用房、污泥脱水机房、泵站、照明、配电间等建（构）筑物。厂外新建配套管网约70公里及配套设施。工业废水处理规模为日处理1.5万吨。 </w:t>
            </w:r>
          </w:p>
        </w:tc>
        <w:tc>
          <w:tcPr>
            <w:tcW w:w="926" w:type="dxa"/>
            <w:noWrap w:val="0"/>
            <w:vAlign w:val="center"/>
          </w:tcPr>
          <w:p w14:paraId="0E3CDB6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吴江龙津路以北，龙港路以东，龙腾路以南地块</w:t>
            </w:r>
          </w:p>
        </w:tc>
      </w:tr>
      <w:tr w14:paraId="6B94A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7" w:type="dxa"/>
            <w:noWrap w:val="0"/>
            <w:vAlign w:val="center"/>
          </w:tcPr>
          <w:p w14:paraId="34477BEA">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2</w:t>
            </w:r>
          </w:p>
        </w:tc>
        <w:tc>
          <w:tcPr>
            <w:tcW w:w="1447" w:type="dxa"/>
            <w:shd w:val="clear" w:color="auto" w:fill="auto"/>
            <w:noWrap w:val="0"/>
            <w:vAlign w:val="center"/>
          </w:tcPr>
          <w:p w14:paraId="611E3183">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0"/>
                <w:szCs w:val="20"/>
                <w:highlight w:val="none"/>
                <w:lang w:val="zh-CN" w:eastAsia="zh-CN" w:bidi="ar-SA"/>
              </w:rPr>
            </w:pPr>
            <w:r>
              <w:rPr>
                <w:rFonts w:hint="eastAsia" w:ascii="宋体" w:hAnsi="宋体" w:eastAsia="宋体" w:cs="宋体"/>
                <w:color w:val="auto"/>
                <w:sz w:val="20"/>
                <w:szCs w:val="20"/>
                <w:highlight w:val="none"/>
              </w:rPr>
              <w:t>苏州市吴江经开区产业园区基础设施工程（二期）二标段</w:t>
            </w:r>
          </w:p>
        </w:tc>
        <w:tc>
          <w:tcPr>
            <w:tcW w:w="1527" w:type="dxa"/>
            <w:noWrap w:val="0"/>
            <w:vAlign w:val="center"/>
          </w:tcPr>
          <w:p w14:paraId="1D8566EF">
            <w:pPr>
              <w:keepNext w:val="0"/>
              <w:keepLines w:val="0"/>
              <w:pageBreakBefore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21514.03万元</w:t>
            </w:r>
          </w:p>
        </w:tc>
        <w:tc>
          <w:tcPr>
            <w:tcW w:w="4449" w:type="dxa"/>
            <w:noWrap w:val="0"/>
            <w:vAlign w:val="center"/>
          </w:tcPr>
          <w:p w14:paraId="0FC5B10C">
            <w:pPr>
              <w:keepNext w:val="0"/>
              <w:keepLines w:val="0"/>
              <w:pageBreakBefore w:val="0"/>
              <w:kinsoku/>
              <w:wordWrap/>
              <w:overflowPunct/>
              <w:topLinePunct w:val="0"/>
              <w:autoSpaceDE/>
              <w:autoSpaceDN/>
              <w:bidi w:val="0"/>
              <w:adjustRightInd/>
              <w:snapToGrid w:val="0"/>
              <w:spacing w:line="360" w:lineRule="auto"/>
              <w:ind w:firstLine="400" w:firstLineChars="200"/>
              <w:jc w:val="left"/>
              <w:textAlignment w:val="auto"/>
              <w:rPr>
                <w:rFonts w:hint="eastAsia" w:ascii="宋体" w:hAnsi="宋体" w:eastAsia="宋体" w:cs="宋体"/>
                <w:b w:val="0"/>
                <w:bCs/>
                <w:color w:val="auto"/>
                <w:sz w:val="20"/>
                <w:szCs w:val="20"/>
                <w:highlight w:val="none"/>
              </w:rPr>
            </w:pPr>
            <w:r>
              <w:rPr>
                <w:rFonts w:hint="eastAsia" w:ascii="宋体" w:hAnsi="宋体" w:eastAsia="宋体" w:cs="宋体"/>
                <w:b w:val="0"/>
                <w:bCs/>
                <w:color w:val="auto"/>
                <w:sz w:val="20"/>
                <w:szCs w:val="20"/>
                <w:highlight w:val="none"/>
              </w:rPr>
              <w:t>道路全长约5711米，包括道路、桥梁、排水、景观绿化、交安设施等附属工程，共12条道路，排水最大管径DN1500mm，其中：湖滨北路（古塘路以南段）工程：道路等级为城市支路，全长约263米；云湾路（古塘路以南段）工程：道路等级为城市支路，全长约547米；云湖巷改造工程：道路等级为城市支路，全长约270米；云中路改造工程：道路等级为城市支路，全长约230米；泉山路工程：道路等级为城市支路，全长约675米；经三路（云龙大道-乌金路）工程：道路等级为城市支路，全长约519米；迈为、依工地块配套出入口道路工程：道路等级为城市支路，全长约230米；支路四（云龙大道以南、 富家路以西）：道路等级为城市支路，全长约300米；古塘路改造工程：道路等级为城市次干路，全长约376m米；庞山路（云梨路-湖心西路）工程：道路等级为城市次干路，全长约1226米；庞山路（湖心西路~运东大道）工程：道路等级为城市次干路，全长约495米，改造单跨20米桥梁一座；庞山路（运东大道-东太湖大道） 改造工程：道路等级为城市支路，全长约580米。</w:t>
            </w:r>
          </w:p>
        </w:tc>
        <w:tc>
          <w:tcPr>
            <w:tcW w:w="926" w:type="dxa"/>
            <w:noWrap w:val="0"/>
            <w:vAlign w:val="center"/>
          </w:tcPr>
          <w:p w14:paraId="73C31479">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吴江经济技术开发区</w:t>
            </w:r>
          </w:p>
        </w:tc>
      </w:tr>
    </w:tbl>
    <w:p w14:paraId="227DD83F">
      <w:pPr>
        <w:keepNext w:val="0"/>
        <w:keepLines w:val="0"/>
        <w:pageBreakBefore w:val="0"/>
        <w:kinsoku/>
        <w:wordWrap/>
        <w:overflowPunct/>
        <w:topLinePunct w:val="0"/>
        <w:autoSpaceDE/>
        <w:autoSpaceDN/>
        <w:bidi w:val="0"/>
        <w:adjustRightInd/>
        <w:snapToGrid w:val="0"/>
        <w:spacing w:line="360" w:lineRule="auto"/>
        <w:jc w:val="right"/>
        <w:textAlignment w:val="auto"/>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（全文完）</w:t>
      </w:r>
    </w:p>
    <w:sectPr>
      <w:pgSz w:w="11906" w:h="16838"/>
      <w:pgMar w:top="1440" w:right="1417" w:bottom="1134"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仿宋v.萀">
    <w:altName w:val="仿宋"/>
    <w:panose1 w:val="02010609060101010101"/>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CAC2C">
    <w:pPr>
      <w:pStyle w:val="24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42634CF">
                          <w:pPr>
                            <w:pStyle w:val="25"/>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bwvGNYBAACxAwAADgAAAGRycy9lMm9Eb2MueG1srVNLjtswDN0X6B0E&#10;7Rs7G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wbwvGNYBAACxAwAADgAAAAAAAAABACAAAAAe&#10;AQAAZHJzL2Uyb0RvYy54bWxQSwUGAAAAAAYABgBZAQAAZgUAAAAA&#10;">
              <v:fill on="f" focussize="0,0"/>
              <v:stroke on="f" joinstyle="miter"/>
              <v:imagedata o:title=""/>
              <o:lock v:ext="edit" aspectratio="f"/>
              <v:textbox inset="0mm,0mm,0mm,0mm" style="mso-fit-shape-to-text:t;">
                <w:txbxContent>
                  <w:p w14:paraId="442634CF">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2439F">
    <w:pPr>
      <w:pStyle w:val="247"/>
      <w:tabs>
        <w:tab w:val="left" w:pos="5625"/>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06AD25A6">
                          <w:pPr>
                            <w:pStyle w:val="2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k2Zl9YBAACxAwAADgAAAGRycy9lMm9Eb2MueG1srVNLjtswDN0X6B0E&#10;7Rs7w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kk2Zl9YBAACxAwAADgAAAAAAAAABACAAAAAe&#10;AQAAZHJzL2Uyb0RvYy54bWxQSwUGAAAAAAYABgBZAQAAZgUAAAAA&#10;">
              <v:fill on="f" focussize="0,0"/>
              <v:stroke on="f" joinstyle="miter"/>
              <v:imagedata o:title=""/>
              <o:lock v:ext="edit" aspectratio="f"/>
              <v:textbox inset="0mm,0mm,0mm,0mm" style="mso-fit-shape-to-text:t;">
                <w:txbxContent>
                  <w:p w14:paraId="06AD25A6">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40B7">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AC098F1">
                          <w:pPr>
                            <w:pStyle w:val="25"/>
                          </w:pPr>
                          <w:r>
                            <w:fldChar w:fldCharType="begin"/>
                          </w:r>
                          <w:r>
                            <w:instrText xml:space="preserve"> PAGE  \* MERGEFORMAT </w:instrText>
                          </w:r>
                          <w:r>
                            <w:fldChar w:fldCharType="separate"/>
                          </w:r>
                          <w:r>
                            <w:t>29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bIzKdYBAACxAwAADgAAAGRycy9lMm9Eb2MueG1srVNLjtswDN0X6B0E&#10;7Rs7AaY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ubIzKdYBAACxAwAADgAAAAAAAAABACAAAAAe&#10;AQAAZHJzL2Uyb0RvYy54bWxQSwUGAAAAAAYABgBZAQAAZgUAAAAA&#10;">
              <v:fill on="f" focussize="0,0"/>
              <v:stroke on="f" joinstyle="miter"/>
              <v:imagedata o:title=""/>
              <o:lock v:ext="edit" aspectratio="f"/>
              <v:textbox inset="0mm,0mm,0mm,0mm" style="mso-fit-shape-to-text:t;">
                <w:txbxContent>
                  <w:p w14:paraId="4AC098F1">
                    <w:pPr>
                      <w:pStyle w:val="2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0D0A7">
    <w:pPr>
      <w:pStyle w:val="2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B57D6D0">
                          <w:pPr>
                            <w:pStyle w:val="25"/>
                          </w:pPr>
                          <w:r>
                            <w:fldChar w:fldCharType="begin"/>
                          </w:r>
                          <w:r>
                            <w:instrText xml:space="preserve"> PAGE  \* MERGEFORMAT </w:instrText>
                          </w:r>
                          <w:r>
                            <w:fldChar w:fldCharType="separate"/>
                          </w:r>
                          <w:r>
                            <w:t>77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&#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CFtb0x1QEAALEDAAAOAAAAAAAAAAEAIAAAAB4B&#10;AABkcnMvZTJvRG9jLnhtbFBLBQYAAAAABgAGAFkBAABlBQAAAAA=&#10;">
              <v:fill on="f" focussize="0,0"/>
              <v:stroke on="f" joinstyle="miter"/>
              <v:imagedata o:title=""/>
              <o:lock v:ext="edit" aspectratio="f"/>
              <v:textbox inset="0mm,0mm,0mm,0mm" style="mso-fit-shape-to-text:t;">
                <w:txbxContent>
                  <w:p w14:paraId="2B57D6D0">
                    <w:pPr>
                      <w:pStyle w:val="25"/>
                    </w:pPr>
                    <w:r>
                      <w:fldChar w:fldCharType="begin"/>
                    </w:r>
                    <w:r>
                      <w:instrText xml:space="preserve"> PAGE  \* MERGEFORMAT </w:instrText>
                    </w:r>
                    <w:r>
                      <w:fldChar w:fldCharType="separate"/>
                    </w:r>
                    <w: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690E2">
    <w:pPr>
      <w:pStyle w:val="249"/>
      <w:pBdr>
        <w:bottom w:val="none" w:color="000000" w:sz="0" w:space="0"/>
      </w:pBdr>
      <w:jc w:val="both"/>
      <w:rPr>
        <w:rFonts w:hint="default"/>
        <w:u w:val="single"/>
        <w:lang w:val="en-US" w:eastAsia="zh-CN"/>
      </w:rPr>
    </w:pPr>
    <w:r>
      <w:rPr>
        <w:rFonts w:hint="eastAsia"/>
        <w:u w:val="single"/>
        <w:lang w:eastAsia="zh-CN"/>
      </w:rPr>
      <w:t>苏州达仁建设工程咨询有限公司</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编</w:t>
    </w:r>
    <w:r>
      <w:rPr>
        <w:rFonts w:hint="eastAsia"/>
        <w:u w:val="single"/>
      </w:rPr>
      <w:t>号：</w:t>
    </w:r>
    <w:r>
      <w:rPr>
        <w:rFonts w:hint="eastAsia"/>
        <w:u w:val="single"/>
        <w:lang w:eastAsia="zh-CN"/>
      </w:rPr>
      <w:t>JSZC-320509-SZDR-C2026-0007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FE00A">
    <w:pPr>
      <w:pStyle w:val="249"/>
      <w:pBdr>
        <w:bottom w:val="none" w:color="000000" w:sz="0" w:space="0"/>
      </w:pBdr>
      <w:jc w:val="both"/>
      <w:rPr>
        <w:rFonts w:hint="default"/>
        <w:u w:val="single"/>
        <w:lang w:val="en-US" w:eastAsia="zh-CN"/>
      </w:rPr>
    </w:pPr>
    <w:r>
      <w:rPr>
        <w:rFonts w:hint="eastAsia"/>
        <w:u w:val="single"/>
        <w:lang w:eastAsia="zh-CN"/>
      </w:rPr>
      <w:t>苏州达仁建设工程咨询有限公司</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编</w:t>
    </w:r>
    <w:r>
      <w:rPr>
        <w:rFonts w:hint="eastAsia"/>
        <w:u w:val="single"/>
        <w:lang w:eastAsia="zh-CN"/>
      </w:rPr>
      <w:t>号：JSZC-320509-SZDR-C2026-0007</w:t>
    </w:r>
    <w:r>
      <w:rPr>
        <w:rFonts w:hint="eastAsia"/>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章"/>
      <w:lvlJc w:val="left"/>
      <w:pPr>
        <w:ind w:left="4483" w:hanging="1080"/>
      </w:pPr>
    </w:lvl>
    <w:lvl w:ilvl="1" w:tentative="0">
      <w:start w:val="1"/>
      <w:numFmt w:val="lowerLetter"/>
      <w:lvlText w:val="%2)"/>
      <w:lvlJc w:val="left"/>
      <w:pPr>
        <w:ind w:left="4243" w:hanging="420"/>
      </w:pPr>
    </w:lvl>
    <w:lvl w:ilvl="2" w:tentative="0">
      <w:start w:val="1"/>
      <w:numFmt w:val="lowerRoman"/>
      <w:lvlText w:val="%3."/>
      <w:lvlJc w:val="right"/>
      <w:pPr>
        <w:ind w:left="4663" w:hanging="420"/>
      </w:pPr>
    </w:lvl>
    <w:lvl w:ilvl="3" w:tentative="0">
      <w:start w:val="1"/>
      <w:numFmt w:val="decimal"/>
      <w:lvlText w:val="%4."/>
      <w:lvlJc w:val="left"/>
      <w:pPr>
        <w:ind w:left="5083" w:hanging="420"/>
      </w:pPr>
    </w:lvl>
    <w:lvl w:ilvl="4" w:tentative="0">
      <w:start w:val="1"/>
      <w:numFmt w:val="lowerLetter"/>
      <w:lvlText w:val="%5)"/>
      <w:lvlJc w:val="left"/>
      <w:pPr>
        <w:ind w:left="5503" w:hanging="420"/>
      </w:pPr>
    </w:lvl>
    <w:lvl w:ilvl="5" w:tentative="0">
      <w:start w:val="1"/>
      <w:numFmt w:val="lowerRoman"/>
      <w:lvlText w:val="%6."/>
      <w:lvlJc w:val="right"/>
      <w:pPr>
        <w:ind w:left="5923" w:hanging="420"/>
      </w:pPr>
    </w:lvl>
    <w:lvl w:ilvl="6" w:tentative="0">
      <w:start w:val="1"/>
      <w:numFmt w:val="decimal"/>
      <w:lvlText w:val="%7."/>
      <w:lvlJc w:val="left"/>
      <w:pPr>
        <w:ind w:left="6343" w:hanging="420"/>
      </w:pPr>
    </w:lvl>
    <w:lvl w:ilvl="7" w:tentative="0">
      <w:start w:val="1"/>
      <w:numFmt w:val="lowerLetter"/>
      <w:lvlText w:val="%8)"/>
      <w:lvlJc w:val="left"/>
      <w:pPr>
        <w:ind w:left="6763" w:hanging="420"/>
      </w:pPr>
    </w:lvl>
    <w:lvl w:ilvl="8" w:tentative="0">
      <w:start w:val="1"/>
      <w:numFmt w:val="lowerRoman"/>
      <w:lvlText w:val="%9."/>
      <w:lvlJc w:val="right"/>
      <w:pPr>
        <w:ind w:left="7183" w:hanging="420"/>
      </w:pPr>
    </w:lvl>
  </w:abstractNum>
  <w:abstractNum w:abstractNumId="1">
    <w:nsid w:val="BF205925"/>
    <w:multiLevelType w:val="multilevel"/>
    <w:tmpl w:val="BF205925"/>
    <w:lvl w:ilvl="0" w:tentative="0">
      <w:start w:val="1"/>
      <w:numFmt w:val="japaneseCounting"/>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0DF1339"/>
    <w:multiLevelType w:val="singleLevel"/>
    <w:tmpl w:val="C0DF1339"/>
    <w:lvl w:ilvl="0" w:tentative="0">
      <w:start w:val="1"/>
      <w:numFmt w:val="decimal"/>
      <w:lvlText w:val="%1."/>
      <w:lvlJc w:val="left"/>
      <w:pPr>
        <w:tabs>
          <w:tab w:val="left" w:pos="312"/>
        </w:tabs>
      </w:pPr>
    </w:lvl>
  </w:abstractNum>
  <w:abstractNum w:abstractNumId="3">
    <w:nsid w:val="CF092B84"/>
    <w:multiLevelType w:val="multilevel"/>
    <w:tmpl w:val="CF092B84"/>
    <w:lvl w:ilvl="0" w:tentative="0">
      <w:start w:val="3"/>
      <w:numFmt w:val="decimal"/>
      <w:pStyle w:val="300"/>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E49DFF60"/>
    <w:multiLevelType w:val="singleLevel"/>
    <w:tmpl w:val="E49DFF60"/>
    <w:lvl w:ilvl="0" w:tentative="0">
      <w:start w:val="1"/>
      <w:numFmt w:val="decimal"/>
      <w:lvlText w:val="%1."/>
      <w:lvlJc w:val="left"/>
      <w:pPr>
        <w:tabs>
          <w:tab w:val="left" w:pos="312"/>
        </w:tabs>
      </w:pPr>
    </w:lvl>
  </w:abstractNum>
  <w:abstractNum w:abstractNumId="5">
    <w:nsid w:val="0053208E"/>
    <w:multiLevelType w:val="multilevel"/>
    <w:tmpl w:val="0053208E"/>
    <w:lvl w:ilvl="0" w:tentative="0">
      <w:start w:val="1"/>
      <w:numFmt w:val="japaneseCounting"/>
      <w:lvlText w:val="%1、"/>
      <w:lvlJc w:val="left"/>
      <w:pPr>
        <w:tabs>
          <w:tab w:val="left" w:pos="4123"/>
        </w:tabs>
        <w:ind w:left="4123" w:hanging="720"/>
      </w:pPr>
    </w:lvl>
    <w:lvl w:ilvl="1" w:tentative="0">
      <w:start w:val="1"/>
      <w:numFmt w:val="lowerLetter"/>
      <w:pStyle w:val="291"/>
      <w:lvlText w:val="%2)"/>
      <w:lvlJc w:val="left"/>
      <w:pPr>
        <w:tabs>
          <w:tab w:val="left" w:pos="4243"/>
        </w:tabs>
        <w:ind w:left="4243" w:hanging="420"/>
      </w:pPr>
    </w:lvl>
    <w:lvl w:ilvl="2" w:tentative="0">
      <w:start w:val="1"/>
      <w:numFmt w:val="lowerRoman"/>
      <w:lvlText w:val="%3."/>
      <w:lvlJc w:val="right"/>
      <w:pPr>
        <w:tabs>
          <w:tab w:val="left" w:pos="4663"/>
        </w:tabs>
        <w:ind w:left="4663" w:hanging="420"/>
      </w:pPr>
    </w:lvl>
    <w:lvl w:ilvl="3" w:tentative="0">
      <w:start w:val="1"/>
      <w:numFmt w:val="decimal"/>
      <w:lvlText w:val="%4."/>
      <w:lvlJc w:val="left"/>
      <w:pPr>
        <w:tabs>
          <w:tab w:val="left" w:pos="5083"/>
        </w:tabs>
        <w:ind w:left="5083" w:hanging="420"/>
      </w:pPr>
    </w:lvl>
    <w:lvl w:ilvl="4" w:tentative="0">
      <w:start w:val="1"/>
      <w:numFmt w:val="lowerLetter"/>
      <w:lvlText w:val="%5)"/>
      <w:lvlJc w:val="left"/>
      <w:pPr>
        <w:tabs>
          <w:tab w:val="left" w:pos="5503"/>
        </w:tabs>
        <w:ind w:left="5503" w:hanging="420"/>
      </w:pPr>
    </w:lvl>
    <w:lvl w:ilvl="5" w:tentative="0">
      <w:start w:val="1"/>
      <w:numFmt w:val="lowerRoman"/>
      <w:lvlText w:val="%6."/>
      <w:lvlJc w:val="right"/>
      <w:pPr>
        <w:tabs>
          <w:tab w:val="left" w:pos="5923"/>
        </w:tabs>
        <w:ind w:left="5923" w:hanging="420"/>
      </w:pPr>
    </w:lvl>
    <w:lvl w:ilvl="6" w:tentative="0">
      <w:start w:val="1"/>
      <w:numFmt w:val="decimal"/>
      <w:lvlText w:val="%7."/>
      <w:lvlJc w:val="left"/>
      <w:pPr>
        <w:tabs>
          <w:tab w:val="left" w:pos="6343"/>
        </w:tabs>
        <w:ind w:left="6343" w:hanging="420"/>
      </w:pPr>
    </w:lvl>
    <w:lvl w:ilvl="7" w:tentative="0">
      <w:start w:val="1"/>
      <w:numFmt w:val="lowerLetter"/>
      <w:lvlText w:val="%8)"/>
      <w:lvlJc w:val="left"/>
      <w:pPr>
        <w:tabs>
          <w:tab w:val="left" w:pos="6763"/>
        </w:tabs>
        <w:ind w:left="6763" w:hanging="420"/>
      </w:pPr>
    </w:lvl>
    <w:lvl w:ilvl="8" w:tentative="0">
      <w:start w:val="1"/>
      <w:numFmt w:val="lowerRoman"/>
      <w:lvlText w:val="%9."/>
      <w:lvlJc w:val="right"/>
      <w:pPr>
        <w:tabs>
          <w:tab w:val="left" w:pos="7183"/>
        </w:tabs>
        <w:ind w:left="7183" w:hanging="420"/>
      </w:pPr>
    </w:lvl>
  </w:abstractNum>
  <w:abstractNum w:abstractNumId="6">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japaneseCounting"/>
      <w:pStyle w:val="351"/>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3"/>
  </w:num>
  <w:num w:numId="3">
    <w:abstractNumId w:val="7"/>
  </w:num>
  <w:num w:numId="4">
    <w:abstractNumId w:val="1"/>
  </w:num>
  <w:num w:numId="5">
    <w:abstractNumId w:val="0"/>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92509"/>
    <w:rsid w:val="0029689A"/>
    <w:rsid w:val="002E1F6F"/>
    <w:rsid w:val="003550AC"/>
    <w:rsid w:val="003B5C6E"/>
    <w:rsid w:val="004B6AD5"/>
    <w:rsid w:val="005C4D2E"/>
    <w:rsid w:val="005D1948"/>
    <w:rsid w:val="005D3C24"/>
    <w:rsid w:val="005D63ED"/>
    <w:rsid w:val="00667ACA"/>
    <w:rsid w:val="006E6810"/>
    <w:rsid w:val="00761D56"/>
    <w:rsid w:val="007A6F63"/>
    <w:rsid w:val="00824069"/>
    <w:rsid w:val="009F2E6D"/>
    <w:rsid w:val="00A83AD0"/>
    <w:rsid w:val="00B06E28"/>
    <w:rsid w:val="00B52690"/>
    <w:rsid w:val="00BF706B"/>
    <w:rsid w:val="00C12DE3"/>
    <w:rsid w:val="00C603FA"/>
    <w:rsid w:val="00D074CA"/>
    <w:rsid w:val="00D40D69"/>
    <w:rsid w:val="00DC19CB"/>
    <w:rsid w:val="00DC5E6F"/>
    <w:rsid w:val="00DF14BB"/>
    <w:rsid w:val="00DF3269"/>
    <w:rsid w:val="00EC08D4"/>
    <w:rsid w:val="00EF16FF"/>
    <w:rsid w:val="00F72D49"/>
    <w:rsid w:val="00F841D9"/>
    <w:rsid w:val="00F9257D"/>
    <w:rsid w:val="012071E5"/>
    <w:rsid w:val="012375FA"/>
    <w:rsid w:val="0124747C"/>
    <w:rsid w:val="012651AE"/>
    <w:rsid w:val="01312D03"/>
    <w:rsid w:val="01431A4A"/>
    <w:rsid w:val="014632E9"/>
    <w:rsid w:val="014D28C9"/>
    <w:rsid w:val="014D4677"/>
    <w:rsid w:val="015654C1"/>
    <w:rsid w:val="016043AA"/>
    <w:rsid w:val="016519C1"/>
    <w:rsid w:val="016814B1"/>
    <w:rsid w:val="016A5229"/>
    <w:rsid w:val="016C0FA1"/>
    <w:rsid w:val="017936BE"/>
    <w:rsid w:val="017E2E02"/>
    <w:rsid w:val="018104CB"/>
    <w:rsid w:val="0183453D"/>
    <w:rsid w:val="018856AF"/>
    <w:rsid w:val="019B1886"/>
    <w:rsid w:val="01B6221C"/>
    <w:rsid w:val="01D03B06"/>
    <w:rsid w:val="01D31020"/>
    <w:rsid w:val="01D9415D"/>
    <w:rsid w:val="01DD1E9F"/>
    <w:rsid w:val="01E11822"/>
    <w:rsid w:val="01E7687A"/>
    <w:rsid w:val="01EB45BC"/>
    <w:rsid w:val="01EF572E"/>
    <w:rsid w:val="01F66ABD"/>
    <w:rsid w:val="01F80A87"/>
    <w:rsid w:val="01FD42EF"/>
    <w:rsid w:val="01FD7E4B"/>
    <w:rsid w:val="01FF4D18"/>
    <w:rsid w:val="020142D5"/>
    <w:rsid w:val="020E02AA"/>
    <w:rsid w:val="02104022"/>
    <w:rsid w:val="02111B48"/>
    <w:rsid w:val="021D04ED"/>
    <w:rsid w:val="021F4265"/>
    <w:rsid w:val="02225B04"/>
    <w:rsid w:val="022A0D1C"/>
    <w:rsid w:val="022B0E5C"/>
    <w:rsid w:val="023575E5"/>
    <w:rsid w:val="02421D02"/>
    <w:rsid w:val="024C492F"/>
    <w:rsid w:val="02551A35"/>
    <w:rsid w:val="02557C87"/>
    <w:rsid w:val="025A3A6A"/>
    <w:rsid w:val="025F28B4"/>
    <w:rsid w:val="0261487E"/>
    <w:rsid w:val="02647ECA"/>
    <w:rsid w:val="02691984"/>
    <w:rsid w:val="02753E85"/>
    <w:rsid w:val="027A5940"/>
    <w:rsid w:val="028440C8"/>
    <w:rsid w:val="028B1CBA"/>
    <w:rsid w:val="028D5673"/>
    <w:rsid w:val="02A037F9"/>
    <w:rsid w:val="02A4476B"/>
    <w:rsid w:val="02AB78A7"/>
    <w:rsid w:val="02AE1145"/>
    <w:rsid w:val="02BE3A7E"/>
    <w:rsid w:val="02CB3070"/>
    <w:rsid w:val="02CD1F13"/>
    <w:rsid w:val="02D0730E"/>
    <w:rsid w:val="02D36DFE"/>
    <w:rsid w:val="02D73025"/>
    <w:rsid w:val="02D93672"/>
    <w:rsid w:val="02DC07C0"/>
    <w:rsid w:val="02DD1A2B"/>
    <w:rsid w:val="02E72A08"/>
    <w:rsid w:val="02EB05EB"/>
    <w:rsid w:val="02EF77E1"/>
    <w:rsid w:val="03157416"/>
    <w:rsid w:val="031713E0"/>
    <w:rsid w:val="03174F3D"/>
    <w:rsid w:val="031E276F"/>
    <w:rsid w:val="0321400D"/>
    <w:rsid w:val="032338E1"/>
    <w:rsid w:val="0324150A"/>
    <w:rsid w:val="0328714A"/>
    <w:rsid w:val="03323B24"/>
    <w:rsid w:val="033755DF"/>
    <w:rsid w:val="033C0E47"/>
    <w:rsid w:val="033C49A3"/>
    <w:rsid w:val="033F7CB3"/>
    <w:rsid w:val="034026E5"/>
    <w:rsid w:val="0351077F"/>
    <w:rsid w:val="0361440A"/>
    <w:rsid w:val="036363D4"/>
    <w:rsid w:val="036D7252"/>
    <w:rsid w:val="03764359"/>
    <w:rsid w:val="038325D2"/>
    <w:rsid w:val="038500F8"/>
    <w:rsid w:val="03887BE8"/>
    <w:rsid w:val="038A570F"/>
    <w:rsid w:val="038A7E04"/>
    <w:rsid w:val="038C30FA"/>
    <w:rsid w:val="039B791C"/>
    <w:rsid w:val="039C3694"/>
    <w:rsid w:val="039C5442"/>
    <w:rsid w:val="03A10CAA"/>
    <w:rsid w:val="03A26EFC"/>
    <w:rsid w:val="03A42787"/>
    <w:rsid w:val="03C43031"/>
    <w:rsid w:val="03CC3F79"/>
    <w:rsid w:val="03CD1A9F"/>
    <w:rsid w:val="03D60954"/>
    <w:rsid w:val="03E94B2B"/>
    <w:rsid w:val="03EA7678"/>
    <w:rsid w:val="03F67248"/>
    <w:rsid w:val="0402799B"/>
    <w:rsid w:val="04071455"/>
    <w:rsid w:val="04082AD7"/>
    <w:rsid w:val="040C6A6B"/>
    <w:rsid w:val="040F2377"/>
    <w:rsid w:val="0410030A"/>
    <w:rsid w:val="0414147C"/>
    <w:rsid w:val="042518DB"/>
    <w:rsid w:val="04253689"/>
    <w:rsid w:val="04284F5F"/>
    <w:rsid w:val="04294F27"/>
    <w:rsid w:val="04335DA6"/>
    <w:rsid w:val="04363AE8"/>
    <w:rsid w:val="04390EE3"/>
    <w:rsid w:val="04463D2B"/>
    <w:rsid w:val="044C6E68"/>
    <w:rsid w:val="04504BAA"/>
    <w:rsid w:val="0458352F"/>
    <w:rsid w:val="04583A5F"/>
    <w:rsid w:val="045B44B4"/>
    <w:rsid w:val="04675A50"/>
    <w:rsid w:val="04695C6C"/>
    <w:rsid w:val="046B3792"/>
    <w:rsid w:val="04702B56"/>
    <w:rsid w:val="04813232"/>
    <w:rsid w:val="04874344"/>
    <w:rsid w:val="048D65BC"/>
    <w:rsid w:val="04A171B4"/>
    <w:rsid w:val="04A3117E"/>
    <w:rsid w:val="04A9250C"/>
    <w:rsid w:val="04A967B2"/>
    <w:rsid w:val="04B32944"/>
    <w:rsid w:val="04B36EE7"/>
    <w:rsid w:val="04B62533"/>
    <w:rsid w:val="04BF3ADE"/>
    <w:rsid w:val="04C70D83"/>
    <w:rsid w:val="04C74740"/>
    <w:rsid w:val="04D05CEB"/>
    <w:rsid w:val="04D17976"/>
    <w:rsid w:val="04E23328"/>
    <w:rsid w:val="04E9501D"/>
    <w:rsid w:val="04F73278"/>
    <w:rsid w:val="04F76DD4"/>
    <w:rsid w:val="04FC6AE0"/>
    <w:rsid w:val="05015EA4"/>
    <w:rsid w:val="050414F1"/>
    <w:rsid w:val="050D4546"/>
    <w:rsid w:val="051C2CDE"/>
    <w:rsid w:val="051C4A8C"/>
    <w:rsid w:val="051E6A56"/>
    <w:rsid w:val="052971A9"/>
    <w:rsid w:val="0530678A"/>
    <w:rsid w:val="05322502"/>
    <w:rsid w:val="05482E38"/>
    <w:rsid w:val="054D10EA"/>
    <w:rsid w:val="05500244"/>
    <w:rsid w:val="05524952"/>
    <w:rsid w:val="05551D4C"/>
    <w:rsid w:val="05573D16"/>
    <w:rsid w:val="05654966"/>
    <w:rsid w:val="057C458C"/>
    <w:rsid w:val="058C7E64"/>
    <w:rsid w:val="059D3E1F"/>
    <w:rsid w:val="05A607FA"/>
    <w:rsid w:val="05AA653C"/>
    <w:rsid w:val="05D84E57"/>
    <w:rsid w:val="05DE7F94"/>
    <w:rsid w:val="05E01F5E"/>
    <w:rsid w:val="05E27A84"/>
    <w:rsid w:val="05ED6429"/>
    <w:rsid w:val="05F23A3F"/>
    <w:rsid w:val="06190FCC"/>
    <w:rsid w:val="062260D2"/>
    <w:rsid w:val="06277B8D"/>
    <w:rsid w:val="062F1B50"/>
    <w:rsid w:val="06345E06"/>
    <w:rsid w:val="06362AC0"/>
    <w:rsid w:val="0636392C"/>
    <w:rsid w:val="063C49CA"/>
    <w:rsid w:val="063F4ED6"/>
    <w:rsid w:val="0644429B"/>
    <w:rsid w:val="06475B39"/>
    <w:rsid w:val="06514C09"/>
    <w:rsid w:val="065A1D10"/>
    <w:rsid w:val="066E7569"/>
    <w:rsid w:val="067B3A34"/>
    <w:rsid w:val="067B57E2"/>
    <w:rsid w:val="067F52D3"/>
    <w:rsid w:val="0680729D"/>
    <w:rsid w:val="06840B3B"/>
    <w:rsid w:val="068428E9"/>
    <w:rsid w:val="068B011B"/>
    <w:rsid w:val="068C5C42"/>
    <w:rsid w:val="068F06C2"/>
    <w:rsid w:val="06A905A2"/>
    <w:rsid w:val="06AB431A"/>
    <w:rsid w:val="06B55198"/>
    <w:rsid w:val="06B93983"/>
    <w:rsid w:val="06BA27AF"/>
    <w:rsid w:val="06BC02D5"/>
    <w:rsid w:val="06C158EB"/>
    <w:rsid w:val="06C21663"/>
    <w:rsid w:val="06C764CB"/>
    <w:rsid w:val="06CF19BA"/>
    <w:rsid w:val="06D66EBD"/>
    <w:rsid w:val="06DD024B"/>
    <w:rsid w:val="06DF2215"/>
    <w:rsid w:val="06EB6E0C"/>
    <w:rsid w:val="06EE6695"/>
    <w:rsid w:val="06F35CC1"/>
    <w:rsid w:val="06F832D7"/>
    <w:rsid w:val="07043A2A"/>
    <w:rsid w:val="070457D8"/>
    <w:rsid w:val="070E2DD2"/>
    <w:rsid w:val="07133C6D"/>
    <w:rsid w:val="0717375D"/>
    <w:rsid w:val="071A149F"/>
    <w:rsid w:val="071C0D73"/>
    <w:rsid w:val="07283BBC"/>
    <w:rsid w:val="07287718"/>
    <w:rsid w:val="072A23D5"/>
    <w:rsid w:val="074309F6"/>
    <w:rsid w:val="07464042"/>
    <w:rsid w:val="07481B68"/>
    <w:rsid w:val="0749768F"/>
    <w:rsid w:val="074A1D85"/>
    <w:rsid w:val="074E2EF7"/>
    <w:rsid w:val="07537A15"/>
    <w:rsid w:val="075449B1"/>
    <w:rsid w:val="075E785C"/>
    <w:rsid w:val="076D5A73"/>
    <w:rsid w:val="07706DBE"/>
    <w:rsid w:val="077C5CB6"/>
    <w:rsid w:val="07876E2F"/>
    <w:rsid w:val="07910380"/>
    <w:rsid w:val="079274FA"/>
    <w:rsid w:val="07996868"/>
    <w:rsid w:val="079B438E"/>
    <w:rsid w:val="079E5C2C"/>
    <w:rsid w:val="07AD40C1"/>
    <w:rsid w:val="07C1191B"/>
    <w:rsid w:val="07C71F52"/>
    <w:rsid w:val="07CB2B57"/>
    <w:rsid w:val="07CD6512"/>
    <w:rsid w:val="07D07459"/>
    <w:rsid w:val="07ED0962"/>
    <w:rsid w:val="07F25F78"/>
    <w:rsid w:val="07FB4E2D"/>
    <w:rsid w:val="08017F69"/>
    <w:rsid w:val="080261BB"/>
    <w:rsid w:val="08031F33"/>
    <w:rsid w:val="0822685D"/>
    <w:rsid w:val="08236C88"/>
    <w:rsid w:val="082C148A"/>
    <w:rsid w:val="08346591"/>
    <w:rsid w:val="08385709"/>
    <w:rsid w:val="08470072"/>
    <w:rsid w:val="08564759"/>
    <w:rsid w:val="08652BE4"/>
    <w:rsid w:val="0878647D"/>
    <w:rsid w:val="08872B64"/>
    <w:rsid w:val="08907C6B"/>
    <w:rsid w:val="08955281"/>
    <w:rsid w:val="089E3A0A"/>
    <w:rsid w:val="08B82D1E"/>
    <w:rsid w:val="08BF46E8"/>
    <w:rsid w:val="08D833C0"/>
    <w:rsid w:val="08D86F1C"/>
    <w:rsid w:val="08DA2C94"/>
    <w:rsid w:val="08E65ADD"/>
    <w:rsid w:val="08EC0C19"/>
    <w:rsid w:val="08F17FDE"/>
    <w:rsid w:val="090360D7"/>
    <w:rsid w:val="09103097"/>
    <w:rsid w:val="091343F8"/>
    <w:rsid w:val="091361A6"/>
    <w:rsid w:val="092263E9"/>
    <w:rsid w:val="09440A55"/>
    <w:rsid w:val="094641AB"/>
    <w:rsid w:val="09510A7C"/>
    <w:rsid w:val="095216D9"/>
    <w:rsid w:val="09540C99"/>
    <w:rsid w:val="095E54EB"/>
    <w:rsid w:val="09622C8A"/>
    <w:rsid w:val="0963712E"/>
    <w:rsid w:val="097529BD"/>
    <w:rsid w:val="09774E16"/>
    <w:rsid w:val="097924AD"/>
    <w:rsid w:val="097D1872"/>
    <w:rsid w:val="09866978"/>
    <w:rsid w:val="09903C9B"/>
    <w:rsid w:val="0992356F"/>
    <w:rsid w:val="099C20BF"/>
    <w:rsid w:val="09A137B2"/>
    <w:rsid w:val="09A3752A"/>
    <w:rsid w:val="09A84B40"/>
    <w:rsid w:val="09AB4631"/>
    <w:rsid w:val="09B55EFA"/>
    <w:rsid w:val="09BA00EB"/>
    <w:rsid w:val="09BA2AC6"/>
    <w:rsid w:val="09C0632E"/>
    <w:rsid w:val="09C13E54"/>
    <w:rsid w:val="09C63218"/>
    <w:rsid w:val="09CD0A4B"/>
    <w:rsid w:val="09D05E45"/>
    <w:rsid w:val="09D9119E"/>
    <w:rsid w:val="09E71B0D"/>
    <w:rsid w:val="09E813E1"/>
    <w:rsid w:val="09F77C68"/>
    <w:rsid w:val="09FB7366"/>
    <w:rsid w:val="0A03446D"/>
    <w:rsid w:val="0A0A2FD7"/>
    <w:rsid w:val="0A1E4E03"/>
    <w:rsid w:val="0A2166A1"/>
    <w:rsid w:val="0A2C751F"/>
    <w:rsid w:val="0A3463D4"/>
    <w:rsid w:val="0A454A85"/>
    <w:rsid w:val="0A4E0284"/>
    <w:rsid w:val="0A60366D"/>
    <w:rsid w:val="0A634F0B"/>
    <w:rsid w:val="0A636CB9"/>
    <w:rsid w:val="0A6C0264"/>
    <w:rsid w:val="0A6F565E"/>
    <w:rsid w:val="0A764C3F"/>
    <w:rsid w:val="0A7D7D7B"/>
    <w:rsid w:val="0A830604"/>
    <w:rsid w:val="0A8A2498"/>
    <w:rsid w:val="0A9434AF"/>
    <w:rsid w:val="0A951569"/>
    <w:rsid w:val="0AA23C86"/>
    <w:rsid w:val="0AA2487E"/>
    <w:rsid w:val="0AAF0151"/>
    <w:rsid w:val="0AB063A2"/>
    <w:rsid w:val="0AB1211B"/>
    <w:rsid w:val="0AB1291A"/>
    <w:rsid w:val="0AB67731"/>
    <w:rsid w:val="0AC534D0"/>
    <w:rsid w:val="0AC55D37"/>
    <w:rsid w:val="0AC955F7"/>
    <w:rsid w:val="0AC97464"/>
    <w:rsid w:val="0ACE05D7"/>
    <w:rsid w:val="0AD83203"/>
    <w:rsid w:val="0AE977B2"/>
    <w:rsid w:val="0AEA1189"/>
    <w:rsid w:val="0AEE6ECB"/>
    <w:rsid w:val="0AF50259"/>
    <w:rsid w:val="0AFD44E7"/>
    <w:rsid w:val="0B0009AC"/>
    <w:rsid w:val="0B0570D2"/>
    <w:rsid w:val="0B09160F"/>
    <w:rsid w:val="0B0E19AF"/>
    <w:rsid w:val="0B14713B"/>
    <w:rsid w:val="0B183F48"/>
    <w:rsid w:val="0B186B99"/>
    <w:rsid w:val="0B2226D0"/>
    <w:rsid w:val="0B2C09F5"/>
    <w:rsid w:val="0B316DB7"/>
    <w:rsid w:val="0B330D82"/>
    <w:rsid w:val="0B386398"/>
    <w:rsid w:val="0B3D39AE"/>
    <w:rsid w:val="0B552AA6"/>
    <w:rsid w:val="0B6B22C9"/>
    <w:rsid w:val="0B792C38"/>
    <w:rsid w:val="0B7A075E"/>
    <w:rsid w:val="0B8B64C8"/>
    <w:rsid w:val="0B8D2240"/>
    <w:rsid w:val="0B923CFA"/>
    <w:rsid w:val="0BA93E8B"/>
    <w:rsid w:val="0BB43C70"/>
    <w:rsid w:val="0BB66F9D"/>
    <w:rsid w:val="0BBF6171"/>
    <w:rsid w:val="0BC95965"/>
    <w:rsid w:val="0BDA2FAB"/>
    <w:rsid w:val="0BDE0CED"/>
    <w:rsid w:val="0BE300B2"/>
    <w:rsid w:val="0BE36304"/>
    <w:rsid w:val="0BE53C10"/>
    <w:rsid w:val="0BE67BA2"/>
    <w:rsid w:val="0BE856C8"/>
    <w:rsid w:val="0BEA58E4"/>
    <w:rsid w:val="0BF40F20"/>
    <w:rsid w:val="0BFC1173"/>
    <w:rsid w:val="0C01678A"/>
    <w:rsid w:val="0C0A3890"/>
    <w:rsid w:val="0C1856E4"/>
    <w:rsid w:val="0C1D53EF"/>
    <w:rsid w:val="0C2A7A8F"/>
    <w:rsid w:val="0C326EE1"/>
    <w:rsid w:val="0C405504"/>
    <w:rsid w:val="0C4274CE"/>
    <w:rsid w:val="0C476893"/>
    <w:rsid w:val="0C4A0131"/>
    <w:rsid w:val="0C525237"/>
    <w:rsid w:val="0C540FAF"/>
    <w:rsid w:val="0C566AD6"/>
    <w:rsid w:val="0C5B4ED4"/>
    <w:rsid w:val="0C5E598A"/>
    <w:rsid w:val="0C747FFC"/>
    <w:rsid w:val="0C776A4C"/>
    <w:rsid w:val="0C820360"/>
    <w:rsid w:val="0C882A07"/>
    <w:rsid w:val="0C994C14"/>
    <w:rsid w:val="0CAF61E6"/>
    <w:rsid w:val="0CB11F5E"/>
    <w:rsid w:val="0CBB4B8B"/>
    <w:rsid w:val="0CBD4DA7"/>
    <w:rsid w:val="0CC021A1"/>
    <w:rsid w:val="0CC25F19"/>
    <w:rsid w:val="0CD143AE"/>
    <w:rsid w:val="0CD81BE1"/>
    <w:rsid w:val="0CD8398F"/>
    <w:rsid w:val="0CE2480D"/>
    <w:rsid w:val="0CE916F8"/>
    <w:rsid w:val="0CEB6D41"/>
    <w:rsid w:val="0CF602B9"/>
    <w:rsid w:val="0CFD24DF"/>
    <w:rsid w:val="0D0137C9"/>
    <w:rsid w:val="0D0429D6"/>
    <w:rsid w:val="0D200E92"/>
    <w:rsid w:val="0D2210AE"/>
    <w:rsid w:val="0D3112F1"/>
    <w:rsid w:val="0D314E4D"/>
    <w:rsid w:val="0D460B9B"/>
    <w:rsid w:val="0D75742F"/>
    <w:rsid w:val="0D7A2C98"/>
    <w:rsid w:val="0D7D0092"/>
    <w:rsid w:val="0D993EF8"/>
    <w:rsid w:val="0DA675E9"/>
    <w:rsid w:val="0DB735A4"/>
    <w:rsid w:val="0DBA3094"/>
    <w:rsid w:val="0DC108C7"/>
    <w:rsid w:val="0DC21F49"/>
    <w:rsid w:val="0DC379D7"/>
    <w:rsid w:val="0DD904BC"/>
    <w:rsid w:val="0DEB5944"/>
    <w:rsid w:val="0DF76096"/>
    <w:rsid w:val="0DFA16E3"/>
    <w:rsid w:val="0E0A5DCA"/>
    <w:rsid w:val="0E121122"/>
    <w:rsid w:val="0E2624D8"/>
    <w:rsid w:val="0E325320"/>
    <w:rsid w:val="0E3B2427"/>
    <w:rsid w:val="0E4A08BC"/>
    <w:rsid w:val="0E52151F"/>
    <w:rsid w:val="0E590AFF"/>
    <w:rsid w:val="0E5C239D"/>
    <w:rsid w:val="0E6059EA"/>
    <w:rsid w:val="0E627828"/>
    <w:rsid w:val="0E666D78"/>
    <w:rsid w:val="0E76520D"/>
    <w:rsid w:val="0E7771D7"/>
    <w:rsid w:val="0E812106"/>
    <w:rsid w:val="0E855450"/>
    <w:rsid w:val="0E8611C8"/>
    <w:rsid w:val="0E8F2773"/>
    <w:rsid w:val="0E934402"/>
    <w:rsid w:val="0E981627"/>
    <w:rsid w:val="0E9E29B6"/>
    <w:rsid w:val="0EAF24CD"/>
    <w:rsid w:val="0EB45D35"/>
    <w:rsid w:val="0EBB70C4"/>
    <w:rsid w:val="0EBF2140"/>
    <w:rsid w:val="0EC6754C"/>
    <w:rsid w:val="0EC82A4F"/>
    <w:rsid w:val="0ECA37AB"/>
    <w:rsid w:val="0EDB7766"/>
    <w:rsid w:val="0EFA6AA1"/>
    <w:rsid w:val="0F024CF3"/>
    <w:rsid w:val="0F026AA1"/>
    <w:rsid w:val="0F052A35"/>
    <w:rsid w:val="0F0942D3"/>
    <w:rsid w:val="0F0D1A26"/>
    <w:rsid w:val="0F182768"/>
    <w:rsid w:val="0F1E29AB"/>
    <w:rsid w:val="0F205179"/>
    <w:rsid w:val="0F2B249C"/>
    <w:rsid w:val="0F360E40"/>
    <w:rsid w:val="0F380715"/>
    <w:rsid w:val="0F40581B"/>
    <w:rsid w:val="0F4B669A"/>
    <w:rsid w:val="0F4E652C"/>
    <w:rsid w:val="0F563291"/>
    <w:rsid w:val="0F580DB7"/>
    <w:rsid w:val="0F5B1FBE"/>
    <w:rsid w:val="0F5F3EF3"/>
    <w:rsid w:val="0F7200CA"/>
    <w:rsid w:val="0F7C2CF7"/>
    <w:rsid w:val="0F824086"/>
    <w:rsid w:val="0F8B118C"/>
    <w:rsid w:val="0F8C0A60"/>
    <w:rsid w:val="0F916077"/>
    <w:rsid w:val="0FA062BA"/>
    <w:rsid w:val="0FA97864"/>
    <w:rsid w:val="0FC14BAE"/>
    <w:rsid w:val="0FC621C4"/>
    <w:rsid w:val="0FC95811"/>
    <w:rsid w:val="0FCB1589"/>
    <w:rsid w:val="0FCB3337"/>
    <w:rsid w:val="0FCE2E27"/>
    <w:rsid w:val="0FD146C5"/>
    <w:rsid w:val="0FD22917"/>
    <w:rsid w:val="0FD84E0B"/>
    <w:rsid w:val="0FE4264A"/>
    <w:rsid w:val="0FE64614"/>
    <w:rsid w:val="0FF26B15"/>
    <w:rsid w:val="0FF54858"/>
    <w:rsid w:val="0FFB608E"/>
    <w:rsid w:val="0FFF56D6"/>
    <w:rsid w:val="10036F74"/>
    <w:rsid w:val="100B5E29"/>
    <w:rsid w:val="100E1475"/>
    <w:rsid w:val="10150A56"/>
    <w:rsid w:val="10152804"/>
    <w:rsid w:val="10165F74"/>
    <w:rsid w:val="10172A20"/>
    <w:rsid w:val="101C1DE4"/>
    <w:rsid w:val="102313C5"/>
    <w:rsid w:val="102B23D7"/>
    <w:rsid w:val="103E1D5B"/>
    <w:rsid w:val="10482BD9"/>
    <w:rsid w:val="104E5D16"/>
    <w:rsid w:val="10521CAA"/>
    <w:rsid w:val="105570A4"/>
    <w:rsid w:val="10593038"/>
    <w:rsid w:val="106317C1"/>
    <w:rsid w:val="106A6FF4"/>
    <w:rsid w:val="10710382"/>
    <w:rsid w:val="107A38C0"/>
    <w:rsid w:val="107B2FAF"/>
    <w:rsid w:val="107F4121"/>
    <w:rsid w:val="108A4FA0"/>
    <w:rsid w:val="108E10B6"/>
    <w:rsid w:val="109127D2"/>
    <w:rsid w:val="10953945"/>
    <w:rsid w:val="10A02A15"/>
    <w:rsid w:val="10A5002C"/>
    <w:rsid w:val="10A50CDB"/>
    <w:rsid w:val="10C34956"/>
    <w:rsid w:val="10CC55B8"/>
    <w:rsid w:val="10D64689"/>
    <w:rsid w:val="10D70136"/>
    <w:rsid w:val="10D91A83"/>
    <w:rsid w:val="10DB3A4D"/>
    <w:rsid w:val="10E50428"/>
    <w:rsid w:val="10E8616A"/>
    <w:rsid w:val="10EA1EE2"/>
    <w:rsid w:val="10F2465E"/>
    <w:rsid w:val="10F44B0F"/>
    <w:rsid w:val="10F80C10"/>
    <w:rsid w:val="10F90377"/>
    <w:rsid w:val="10F93ED3"/>
    <w:rsid w:val="10FB7C4C"/>
    <w:rsid w:val="1102547E"/>
    <w:rsid w:val="110E3E23"/>
    <w:rsid w:val="11131439"/>
    <w:rsid w:val="111B209C"/>
    <w:rsid w:val="1125116C"/>
    <w:rsid w:val="11333889"/>
    <w:rsid w:val="113F222E"/>
    <w:rsid w:val="114415F3"/>
    <w:rsid w:val="11457119"/>
    <w:rsid w:val="114C494B"/>
    <w:rsid w:val="114C66F9"/>
    <w:rsid w:val="11512479"/>
    <w:rsid w:val="11516BF6"/>
    <w:rsid w:val="115C7895"/>
    <w:rsid w:val="116E6670"/>
    <w:rsid w:val="117417AC"/>
    <w:rsid w:val="1187310D"/>
    <w:rsid w:val="118E7D16"/>
    <w:rsid w:val="11991213"/>
    <w:rsid w:val="11A26319"/>
    <w:rsid w:val="11AE2F10"/>
    <w:rsid w:val="11B5604C"/>
    <w:rsid w:val="11B60016"/>
    <w:rsid w:val="11B61DC5"/>
    <w:rsid w:val="11C646FD"/>
    <w:rsid w:val="11C95F9C"/>
    <w:rsid w:val="11CC15E8"/>
    <w:rsid w:val="11DF2FE2"/>
    <w:rsid w:val="11EA3D96"/>
    <w:rsid w:val="11F0177A"/>
    <w:rsid w:val="12015736"/>
    <w:rsid w:val="120B0362"/>
    <w:rsid w:val="12157C38"/>
    <w:rsid w:val="121C60CC"/>
    <w:rsid w:val="121E62E8"/>
    <w:rsid w:val="122B4561"/>
    <w:rsid w:val="12380A2C"/>
    <w:rsid w:val="123C49C0"/>
    <w:rsid w:val="123D337B"/>
    <w:rsid w:val="124B075F"/>
    <w:rsid w:val="1255782F"/>
    <w:rsid w:val="12575356"/>
    <w:rsid w:val="125F245C"/>
    <w:rsid w:val="126239DA"/>
    <w:rsid w:val="128D521B"/>
    <w:rsid w:val="12901BBE"/>
    <w:rsid w:val="129513D3"/>
    <w:rsid w:val="129C0FBA"/>
    <w:rsid w:val="129C545E"/>
    <w:rsid w:val="12A460C1"/>
    <w:rsid w:val="12A61726"/>
    <w:rsid w:val="12AF0CEE"/>
    <w:rsid w:val="12B502CE"/>
    <w:rsid w:val="12BB3B36"/>
    <w:rsid w:val="12C54E79"/>
    <w:rsid w:val="12D1335A"/>
    <w:rsid w:val="12DE15D3"/>
    <w:rsid w:val="12E36BE9"/>
    <w:rsid w:val="12EC690A"/>
    <w:rsid w:val="12EF558E"/>
    <w:rsid w:val="12F42BA4"/>
    <w:rsid w:val="130D1EB8"/>
    <w:rsid w:val="13174AE5"/>
    <w:rsid w:val="131E5E73"/>
    <w:rsid w:val="132A2A6A"/>
    <w:rsid w:val="134578A4"/>
    <w:rsid w:val="134712AF"/>
    <w:rsid w:val="13542B43"/>
    <w:rsid w:val="135A02D0"/>
    <w:rsid w:val="135F0966"/>
    <w:rsid w:val="1360648C"/>
    <w:rsid w:val="13622204"/>
    <w:rsid w:val="13623FB2"/>
    <w:rsid w:val="136715C8"/>
    <w:rsid w:val="13740E79"/>
    <w:rsid w:val="137439B9"/>
    <w:rsid w:val="13767A5D"/>
    <w:rsid w:val="137A57A0"/>
    <w:rsid w:val="137E6912"/>
    <w:rsid w:val="137F4B64"/>
    <w:rsid w:val="13826402"/>
    <w:rsid w:val="138403CC"/>
    <w:rsid w:val="13841114"/>
    <w:rsid w:val="13936861"/>
    <w:rsid w:val="13960100"/>
    <w:rsid w:val="139E0D62"/>
    <w:rsid w:val="13A36145"/>
    <w:rsid w:val="13A50343"/>
    <w:rsid w:val="13BA3984"/>
    <w:rsid w:val="13C7475D"/>
    <w:rsid w:val="13CA1B57"/>
    <w:rsid w:val="13CD1DFA"/>
    <w:rsid w:val="13D44784"/>
    <w:rsid w:val="13D50C28"/>
    <w:rsid w:val="13D80718"/>
    <w:rsid w:val="13DB629F"/>
    <w:rsid w:val="13F310AE"/>
    <w:rsid w:val="13F84916"/>
    <w:rsid w:val="13FF5CA5"/>
    <w:rsid w:val="140E5EE8"/>
    <w:rsid w:val="14101C60"/>
    <w:rsid w:val="14123C2A"/>
    <w:rsid w:val="14327E28"/>
    <w:rsid w:val="143F1847"/>
    <w:rsid w:val="14465682"/>
    <w:rsid w:val="14477FE7"/>
    <w:rsid w:val="144C07BE"/>
    <w:rsid w:val="145F6743"/>
    <w:rsid w:val="14661880"/>
    <w:rsid w:val="146B50E8"/>
    <w:rsid w:val="14726477"/>
    <w:rsid w:val="14812B5E"/>
    <w:rsid w:val="14863CD0"/>
    <w:rsid w:val="14891A12"/>
    <w:rsid w:val="148B578A"/>
    <w:rsid w:val="14952165"/>
    <w:rsid w:val="149634DA"/>
    <w:rsid w:val="14A3156B"/>
    <w:rsid w:val="14A34882"/>
    <w:rsid w:val="14AB3CAB"/>
    <w:rsid w:val="14C15ED1"/>
    <w:rsid w:val="14D507B4"/>
    <w:rsid w:val="14E426FB"/>
    <w:rsid w:val="14E56F92"/>
    <w:rsid w:val="14F926F4"/>
    <w:rsid w:val="14FE50FD"/>
    <w:rsid w:val="15023C9F"/>
    <w:rsid w:val="15121A08"/>
    <w:rsid w:val="15155054"/>
    <w:rsid w:val="15190FE8"/>
    <w:rsid w:val="151B4AF5"/>
    <w:rsid w:val="151B4D60"/>
    <w:rsid w:val="151E288C"/>
    <w:rsid w:val="152139F9"/>
    <w:rsid w:val="152143B8"/>
    <w:rsid w:val="15325C06"/>
    <w:rsid w:val="1542409B"/>
    <w:rsid w:val="15433117"/>
    <w:rsid w:val="1548367B"/>
    <w:rsid w:val="15567B46"/>
    <w:rsid w:val="156758B0"/>
    <w:rsid w:val="156947AC"/>
    <w:rsid w:val="15763D45"/>
    <w:rsid w:val="157E0E4B"/>
    <w:rsid w:val="157E6EF5"/>
    <w:rsid w:val="15823158"/>
    <w:rsid w:val="158A5A42"/>
    <w:rsid w:val="158F12AA"/>
    <w:rsid w:val="15961DF8"/>
    <w:rsid w:val="159E26D3"/>
    <w:rsid w:val="159E5049"/>
    <w:rsid w:val="15A46B04"/>
    <w:rsid w:val="15A5462A"/>
    <w:rsid w:val="15B11221"/>
    <w:rsid w:val="15B17473"/>
    <w:rsid w:val="15BA6B35"/>
    <w:rsid w:val="15BF56EC"/>
    <w:rsid w:val="15CC605B"/>
    <w:rsid w:val="15CF16A7"/>
    <w:rsid w:val="15D8055B"/>
    <w:rsid w:val="15E2587E"/>
    <w:rsid w:val="15E909BB"/>
    <w:rsid w:val="15EC4D86"/>
    <w:rsid w:val="15F31839"/>
    <w:rsid w:val="15F829AC"/>
    <w:rsid w:val="15FA6724"/>
    <w:rsid w:val="15FB249C"/>
    <w:rsid w:val="16005D04"/>
    <w:rsid w:val="16021A3F"/>
    <w:rsid w:val="160457F4"/>
    <w:rsid w:val="160E6673"/>
    <w:rsid w:val="16161084"/>
    <w:rsid w:val="161A0B74"/>
    <w:rsid w:val="161C3A76"/>
    <w:rsid w:val="162C08A7"/>
    <w:rsid w:val="16351E52"/>
    <w:rsid w:val="163559AE"/>
    <w:rsid w:val="163634D4"/>
    <w:rsid w:val="164D0F49"/>
    <w:rsid w:val="165247B2"/>
    <w:rsid w:val="166B13D0"/>
    <w:rsid w:val="16704C38"/>
    <w:rsid w:val="1674297A"/>
    <w:rsid w:val="167D1983"/>
    <w:rsid w:val="168D57EA"/>
    <w:rsid w:val="168E2390"/>
    <w:rsid w:val="16900E36"/>
    <w:rsid w:val="169A7F07"/>
    <w:rsid w:val="16AB5C70"/>
    <w:rsid w:val="16AE4E44"/>
    <w:rsid w:val="16B234A2"/>
    <w:rsid w:val="16B90C56"/>
    <w:rsid w:val="16B94831"/>
    <w:rsid w:val="16D056D6"/>
    <w:rsid w:val="16E55626"/>
    <w:rsid w:val="16E56387"/>
    <w:rsid w:val="16F21AF1"/>
    <w:rsid w:val="16F5338F"/>
    <w:rsid w:val="1703785A"/>
    <w:rsid w:val="170830C2"/>
    <w:rsid w:val="17125CEF"/>
    <w:rsid w:val="17283764"/>
    <w:rsid w:val="172A3039"/>
    <w:rsid w:val="172F064F"/>
    <w:rsid w:val="173619DD"/>
    <w:rsid w:val="17485BB5"/>
    <w:rsid w:val="1752258F"/>
    <w:rsid w:val="17575DF8"/>
    <w:rsid w:val="1776002C"/>
    <w:rsid w:val="17836BED"/>
    <w:rsid w:val="178F10EE"/>
    <w:rsid w:val="179D7CAF"/>
    <w:rsid w:val="17A50911"/>
    <w:rsid w:val="17AD5A18"/>
    <w:rsid w:val="17AE3C6A"/>
    <w:rsid w:val="17B2302E"/>
    <w:rsid w:val="17B6697B"/>
    <w:rsid w:val="17BB1EE3"/>
    <w:rsid w:val="17DA4A5F"/>
    <w:rsid w:val="17F66765"/>
    <w:rsid w:val="17FD6AF1"/>
    <w:rsid w:val="18037974"/>
    <w:rsid w:val="18075128"/>
    <w:rsid w:val="1809187D"/>
    <w:rsid w:val="180A4C18"/>
    <w:rsid w:val="181276B9"/>
    <w:rsid w:val="1813447D"/>
    <w:rsid w:val="18135A10"/>
    <w:rsid w:val="181D494B"/>
    <w:rsid w:val="182A7068"/>
    <w:rsid w:val="182C1032"/>
    <w:rsid w:val="182C2DE0"/>
    <w:rsid w:val="182E6B59"/>
    <w:rsid w:val="182F467F"/>
    <w:rsid w:val="183840EC"/>
    <w:rsid w:val="18420856"/>
    <w:rsid w:val="18495740"/>
    <w:rsid w:val="184A3267"/>
    <w:rsid w:val="184E2D57"/>
    <w:rsid w:val="18550589"/>
    <w:rsid w:val="186500A0"/>
    <w:rsid w:val="18652FC2"/>
    <w:rsid w:val="186E51A7"/>
    <w:rsid w:val="18722EE9"/>
    <w:rsid w:val="187327BD"/>
    <w:rsid w:val="18814EDA"/>
    <w:rsid w:val="18825528"/>
    <w:rsid w:val="18866995"/>
    <w:rsid w:val="188744BB"/>
    <w:rsid w:val="1888270D"/>
    <w:rsid w:val="18910E95"/>
    <w:rsid w:val="18950986"/>
    <w:rsid w:val="18972950"/>
    <w:rsid w:val="189746FE"/>
    <w:rsid w:val="18A32F63"/>
    <w:rsid w:val="18AE37F5"/>
    <w:rsid w:val="18B2778A"/>
    <w:rsid w:val="18B74DA0"/>
    <w:rsid w:val="18BC33A1"/>
    <w:rsid w:val="18C41FB0"/>
    <w:rsid w:val="18C43019"/>
    <w:rsid w:val="18C80D5B"/>
    <w:rsid w:val="18CE5ABA"/>
    <w:rsid w:val="18D019BE"/>
    <w:rsid w:val="18D53478"/>
    <w:rsid w:val="18DF42F7"/>
    <w:rsid w:val="18E35B95"/>
    <w:rsid w:val="18F36E6F"/>
    <w:rsid w:val="18FA6C07"/>
    <w:rsid w:val="18FE29CF"/>
    <w:rsid w:val="190855FC"/>
    <w:rsid w:val="190B6E9A"/>
    <w:rsid w:val="190E24E6"/>
    <w:rsid w:val="1912647A"/>
    <w:rsid w:val="19157D18"/>
    <w:rsid w:val="194F322A"/>
    <w:rsid w:val="19573E8D"/>
    <w:rsid w:val="195D6994"/>
    <w:rsid w:val="195E346D"/>
    <w:rsid w:val="196071E6"/>
    <w:rsid w:val="196178B0"/>
    <w:rsid w:val="197C1B46"/>
    <w:rsid w:val="19882298"/>
    <w:rsid w:val="198F1879"/>
    <w:rsid w:val="199450E1"/>
    <w:rsid w:val="199E7D0E"/>
    <w:rsid w:val="19A1335A"/>
    <w:rsid w:val="19A277FE"/>
    <w:rsid w:val="19A30E80"/>
    <w:rsid w:val="19A75E26"/>
    <w:rsid w:val="19A76BC3"/>
    <w:rsid w:val="19AA0461"/>
    <w:rsid w:val="19AF3CC9"/>
    <w:rsid w:val="19B04509"/>
    <w:rsid w:val="19B4308D"/>
    <w:rsid w:val="19BE215E"/>
    <w:rsid w:val="19C257AA"/>
    <w:rsid w:val="19D865F5"/>
    <w:rsid w:val="19D90D46"/>
    <w:rsid w:val="19DD0836"/>
    <w:rsid w:val="19E00326"/>
    <w:rsid w:val="19E25E4D"/>
    <w:rsid w:val="19EC2827"/>
    <w:rsid w:val="19EC6CCB"/>
    <w:rsid w:val="19F94F44"/>
    <w:rsid w:val="19FB0CBC"/>
    <w:rsid w:val="1A0A1BA4"/>
    <w:rsid w:val="1A0E09F0"/>
    <w:rsid w:val="1A147FD0"/>
    <w:rsid w:val="1A2A15A2"/>
    <w:rsid w:val="1A2A3350"/>
    <w:rsid w:val="1A2E2E40"/>
    <w:rsid w:val="1A2E7004"/>
    <w:rsid w:val="1A4563DB"/>
    <w:rsid w:val="1A4E34E2"/>
    <w:rsid w:val="1A5403CD"/>
    <w:rsid w:val="1A5F0B3B"/>
    <w:rsid w:val="1A693E78"/>
    <w:rsid w:val="1A734CF7"/>
    <w:rsid w:val="1A7F2286"/>
    <w:rsid w:val="1A815666"/>
    <w:rsid w:val="1A9469A8"/>
    <w:rsid w:val="1A9A6727"/>
    <w:rsid w:val="1AA43102"/>
    <w:rsid w:val="1AA94BBC"/>
    <w:rsid w:val="1AAF4A8F"/>
    <w:rsid w:val="1AB8095B"/>
    <w:rsid w:val="1AB84DFF"/>
    <w:rsid w:val="1AD5775F"/>
    <w:rsid w:val="1ADC6D40"/>
    <w:rsid w:val="1AE14356"/>
    <w:rsid w:val="1AE94FB9"/>
    <w:rsid w:val="1AED589C"/>
    <w:rsid w:val="1AF2684C"/>
    <w:rsid w:val="1AF35E37"/>
    <w:rsid w:val="1AF91F50"/>
    <w:rsid w:val="1AFD0A64"/>
    <w:rsid w:val="1B02285F"/>
    <w:rsid w:val="1B041DF3"/>
    <w:rsid w:val="1B09565B"/>
    <w:rsid w:val="1B0B1E6A"/>
    <w:rsid w:val="1B1738D4"/>
    <w:rsid w:val="1B1F6C2C"/>
    <w:rsid w:val="1B281F85"/>
    <w:rsid w:val="1B2D36A3"/>
    <w:rsid w:val="1B320932"/>
    <w:rsid w:val="1B3721C8"/>
    <w:rsid w:val="1B3A5AA4"/>
    <w:rsid w:val="1B3B1CB8"/>
    <w:rsid w:val="1B3E3557"/>
    <w:rsid w:val="1B3F107D"/>
    <w:rsid w:val="1B3F2E2B"/>
    <w:rsid w:val="1B4E306E"/>
    <w:rsid w:val="1B544B28"/>
    <w:rsid w:val="1B610FF3"/>
    <w:rsid w:val="1B634D6B"/>
    <w:rsid w:val="1B6A434C"/>
    <w:rsid w:val="1B7E1BA5"/>
    <w:rsid w:val="1B9063B3"/>
    <w:rsid w:val="1B9C202B"/>
    <w:rsid w:val="1BBE6445"/>
    <w:rsid w:val="1BCF0653"/>
    <w:rsid w:val="1BD6378F"/>
    <w:rsid w:val="1BE0016A"/>
    <w:rsid w:val="1BE7599C"/>
    <w:rsid w:val="1BEC2FB3"/>
    <w:rsid w:val="1BED0AD9"/>
    <w:rsid w:val="1BFB5471"/>
    <w:rsid w:val="1C055E22"/>
    <w:rsid w:val="1C093B64"/>
    <w:rsid w:val="1C2A3ADB"/>
    <w:rsid w:val="1C314E69"/>
    <w:rsid w:val="1C47468D"/>
    <w:rsid w:val="1C47643B"/>
    <w:rsid w:val="1C4921B3"/>
    <w:rsid w:val="1C512E16"/>
    <w:rsid w:val="1C523CD7"/>
    <w:rsid w:val="1C536B8E"/>
    <w:rsid w:val="1C556DAA"/>
    <w:rsid w:val="1C5B5A42"/>
    <w:rsid w:val="1C5D3A88"/>
    <w:rsid w:val="1C6E1C1A"/>
    <w:rsid w:val="1C7D00AF"/>
    <w:rsid w:val="1C7D3C0B"/>
    <w:rsid w:val="1C850D11"/>
    <w:rsid w:val="1C876837"/>
    <w:rsid w:val="1C8C3BB7"/>
    <w:rsid w:val="1C8E5E18"/>
    <w:rsid w:val="1C931CF1"/>
    <w:rsid w:val="1C9B1C69"/>
    <w:rsid w:val="1CA218C3"/>
    <w:rsid w:val="1CA76EDA"/>
    <w:rsid w:val="1CB515F6"/>
    <w:rsid w:val="1CB6711D"/>
    <w:rsid w:val="1CB87339"/>
    <w:rsid w:val="1CC7757C"/>
    <w:rsid w:val="1CCF0851"/>
    <w:rsid w:val="1CD31A7D"/>
    <w:rsid w:val="1CE343B6"/>
    <w:rsid w:val="1CE67A02"/>
    <w:rsid w:val="1CE819CC"/>
    <w:rsid w:val="1CF2284B"/>
    <w:rsid w:val="1CF71A15"/>
    <w:rsid w:val="1CFF6D16"/>
    <w:rsid w:val="1D0D1432"/>
    <w:rsid w:val="1D1979CC"/>
    <w:rsid w:val="1D1A58FD"/>
    <w:rsid w:val="1D216723"/>
    <w:rsid w:val="1D293D92"/>
    <w:rsid w:val="1D2B3667"/>
    <w:rsid w:val="1D2E3157"/>
    <w:rsid w:val="1D3249F5"/>
    <w:rsid w:val="1D3764AF"/>
    <w:rsid w:val="1D3C5874"/>
    <w:rsid w:val="1D506137"/>
    <w:rsid w:val="1D725739"/>
    <w:rsid w:val="1D7A639C"/>
    <w:rsid w:val="1D7F1C04"/>
    <w:rsid w:val="1D884F5D"/>
    <w:rsid w:val="1D8B67FB"/>
    <w:rsid w:val="1D9C4564"/>
    <w:rsid w:val="1D9E652E"/>
    <w:rsid w:val="1DA02FD0"/>
    <w:rsid w:val="1DAA4ED3"/>
    <w:rsid w:val="1DAC0C4B"/>
    <w:rsid w:val="1DAD49C3"/>
    <w:rsid w:val="1DAD6772"/>
    <w:rsid w:val="1DAE3F9A"/>
    <w:rsid w:val="1DAF4298"/>
    <w:rsid w:val="1DB16276"/>
    <w:rsid w:val="1DBC0763"/>
    <w:rsid w:val="1DBE44DB"/>
    <w:rsid w:val="1DC15D79"/>
    <w:rsid w:val="1DCB6BF8"/>
    <w:rsid w:val="1DEA1774"/>
    <w:rsid w:val="1DED3012"/>
    <w:rsid w:val="1DED6B6E"/>
    <w:rsid w:val="1DF919B7"/>
    <w:rsid w:val="1E0C3498"/>
    <w:rsid w:val="1E18008F"/>
    <w:rsid w:val="1E19756E"/>
    <w:rsid w:val="1E1E4F79"/>
    <w:rsid w:val="1E262080"/>
    <w:rsid w:val="1E285DF8"/>
    <w:rsid w:val="1E2E78B2"/>
    <w:rsid w:val="1E301F4B"/>
    <w:rsid w:val="1E34479D"/>
    <w:rsid w:val="1E454BFC"/>
    <w:rsid w:val="1E4C5F8A"/>
    <w:rsid w:val="1E4E3AB1"/>
    <w:rsid w:val="1E5170FD"/>
    <w:rsid w:val="1E5A22DA"/>
    <w:rsid w:val="1E652BA8"/>
    <w:rsid w:val="1E8C751D"/>
    <w:rsid w:val="1E8E0351"/>
    <w:rsid w:val="1E91399D"/>
    <w:rsid w:val="1E977540"/>
    <w:rsid w:val="1E9E5891"/>
    <w:rsid w:val="1EA062D6"/>
    <w:rsid w:val="1EAC6A29"/>
    <w:rsid w:val="1EB728F0"/>
    <w:rsid w:val="1EBF49AE"/>
    <w:rsid w:val="1EC2624D"/>
    <w:rsid w:val="1EC27FFB"/>
    <w:rsid w:val="1EC65D3D"/>
    <w:rsid w:val="1EE00481"/>
    <w:rsid w:val="1EFF4DAB"/>
    <w:rsid w:val="1F070103"/>
    <w:rsid w:val="1F071EB1"/>
    <w:rsid w:val="1F0979D8"/>
    <w:rsid w:val="1F152820"/>
    <w:rsid w:val="1F1A0416"/>
    <w:rsid w:val="1F220A99"/>
    <w:rsid w:val="1F2951AD"/>
    <w:rsid w:val="1F3A2287"/>
    <w:rsid w:val="1F45125A"/>
    <w:rsid w:val="1F4B4494"/>
    <w:rsid w:val="1F505606"/>
    <w:rsid w:val="1F552C1D"/>
    <w:rsid w:val="1F5570C1"/>
    <w:rsid w:val="1F7532BF"/>
    <w:rsid w:val="1F7F5EEC"/>
    <w:rsid w:val="1F882FF2"/>
    <w:rsid w:val="1F94485C"/>
    <w:rsid w:val="1F9A2D26"/>
    <w:rsid w:val="1FA871F0"/>
    <w:rsid w:val="1FBA6C9A"/>
    <w:rsid w:val="1FBF278C"/>
    <w:rsid w:val="1FC16504"/>
    <w:rsid w:val="1FC5234A"/>
    <w:rsid w:val="1FC61D6D"/>
    <w:rsid w:val="1FCF0C21"/>
    <w:rsid w:val="1FD31DC3"/>
    <w:rsid w:val="1FD46237"/>
    <w:rsid w:val="1FEA7809"/>
    <w:rsid w:val="1FF24910"/>
    <w:rsid w:val="1FF37588"/>
    <w:rsid w:val="1FF73CD4"/>
    <w:rsid w:val="20054643"/>
    <w:rsid w:val="200D34F7"/>
    <w:rsid w:val="20112F2C"/>
    <w:rsid w:val="20144886"/>
    <w:rsid w:val="201B3E66"/>
    <w:rsid w:val="201B5C14"/>
    <w:rsid w:val="201B79FF"/>
    <w:rsid w:val="20230F6D"/>
    <w:rsid w:val="202645B9"/>
    <w:rsid w:val="202C1558"/>
    <w:rsid w:val="202C7E22"/>
    <w:rsid w:val="20384A18"/>
    <w:rsid w:val="203D202F"/>
    <w:rsid w:val="205D4343"/>
    <w:rsid w:val="20601879"/>
    <w:rsid w:val="206550E2"/>
    <w:rsid w:val="206F32C6"/>
    <w:rsid w:val="207C25DC"/>
    <w:rsid w:val="207D067D"/>
    <w:rsid w:val="208F03B0"/>
    <w:rsid w:val="20943C19"/>
    <w:rsid w:val="20A83220"/>
    <w:rsid w:val="20B00A53"/>
    <w:rsid w:val="20B10327"/>
    <w:rsid w:val="20B47E17"/>
    <w:rsid w:val="20BB73F7"/>
    <w:rsid w:val="20C20786"/>
    <w:rsid w:val="20C462AC"/>
    <w:rsid w:val="20C55B80"/>
    <w:rsid w:val="20C77B4A"/>
    <w:rsid w:val="20D12B0B"/>
    <w:rsid w:val="20D364EF"/>
    <w:rsid w:val="20E701EC"/>
    <w:rsid w:val="20E8770D"/>
    <w:rsid w:val="20EA188C"/>
    <w:rsid w:val="20F14BC7"/>
    <w:rsid w:val="20F6042F"/>
    <w:rsid w:val="20F91DC3"/>
    <w:rsid w:val="20FF1092"/>
    <w:rsid w:val="21052421"/>
    <w:rsid w:val="2107473E"/>
    <w:rsid w:val="211A2370"/>
    <w:rsid w:val="211D3C0E"/>
    <w:rsid w:val="2120725A"/>
    <w:rsid w:val="21354AB4"/>
    <w:rsid w:val="2136082C"/>
    <w:rsid w:val="21374CD0"/>
    <w:rsid w:val="214B42D7"/>
    <w:rsid w:val="21537630"/>
    <w:rsid w:val="216A69E1"/>
    <w:rsid w:val="21783778"/>
    <w:rsid w:val="219043E0"/>
    <w:rsid w:val="2190618E"/>
    <w:rsid w:val="2197751D"/>
    <w:rsid w:val="21997739"/>
    <w:rsid w:val="219B0F11"/>
    <w:rsid w:val="219E4A96"/>
    <w:rsid w:val="21AB2FC8"/>
    <w:rsid w:val="21B87493"/>
    <w:rsid w:val="21C4408A"/>
    <w:rsid w:val="21D73DBD"/>
    <w:rsid w:val="21F04E7F"/>
    <w:rsid w:val="220A381E"/>
    <w:rsid w:val="221548E5"/>
    <w:rsid w:val="221D6484"/>
    <w:rsid w:val="221E7C3E"/>
    <w:rsid w:val="22202C8C"/>
    <w:rsid w:val="22244B28"/>
    <w:rsid w:val="222A579A"/>
    <w:rsid w:val="222F7A24"/>
    <w:rsid w:val="22317971"/>
    <w:rsid w:val="22347461"/>
    <w:rsid w:val="22350AE4"/>
    <w:rsid w:val="223A2D60"/>
    <w:rsid w:val="223C421A"/>
    <w:rsid w:val="22471B27"/>
    <w:rsid w:val="22543660"/>
    <w:rsid w:val="225D6BA6"/>
    <w:rsid w:val="22673393"/>
    <w:rsid w:val="226A4C31"/>
    <w:rsid w:val="226D64CF"/>
    <w:rsid w:val="22873A35"/>
    <w:rsid w:val="228D0920"/>
    <w:rsid w:val="228D623B"/>
    <w:rsid w:val="229067C3"/>
    <w:rsid w:val="22963C78"/>
    <w:rsid w:val="22A00653"/>
    <w:rsid w:val="22A75E85"/>
    <w:rsid w:val="22AF0896"/>
    <w:rsid w:val="22B8169F"/>
    <w:rsid w:val="22C500B9"/>
    <w:rsid w:val="22C81958"/>
    <w:rsid w:val="22D02936"/>
    <w:rsid w:val="22D16A5E"/>
    <w:rsid w:val="22E72F77"/>
    <w:rsid w:val="22F17100"/>
    <w:rsid w:val="22F34C27"/>
    <w:rsid w:val="230C5CE8"/>
    <w:rsid w:val="230C7A96"/>
    <w:rsid w:val="231177A3"/>
    <w:rsid w:val="23127C96"/>
    <w:rsid w:val="23137077"/>
    <w:rsid w:val="2318643B"/>
    <w:rsid w:val="231D7EF5"/>
    <w:rsid w:val="233627D5"/>
    <w:rsid w:val="233E161A"/>
    <w:rsid w:val="23452FA8"/>
    <w:rsid w:val="234C4337"/>
    <w:rsid w:val="23527841"/>
    <w:rsid w:val="2355768F"/>
    <w:rsid w:val="235F050E"/>
    <w:rsid w:val="23675615"/>
    <w:rsid w:val="2378512C"/>
    <w:rsid w:val="23825FAA"/>
    <w:rsid w:val="238735C1"/>
    <w:rsid w:val="239A32F4"/>
    <w:rsid w:val="23A05A18"/>
    <w:rsid w:val="23A3664D"/>
    <w:rsid w:val="23A45F21"/>
    <w:rsid w:val="23AA2C0B"/>
    <w:rsid w:val="23AB3753"/>
    <w:rsid w:val="23CB16FF"/>
    <w:rsid w:val="23D031BA"/>
    <w:rsid w:val="23D07F22"/>
    <w:rsid w:val="23D902C0"/>
    <w:rsid w:val="23EE3640"/>
    <w:rsid w:val="23F22B88"/>
    <w:rsid w:val="24013373"/>
    <w:rsid w:val="2406098A"/>
    <w:rsid w:val="24092228"/>
    <w:rsid w:val="240D3AC6"/>
    <w:rsid w:val="2419493C"/>
    <w:rsid w:val="241A2687"/>
    <w:rsid w:val="24224AB6"/>
    <w:rsid w:val="242A0B1C"/>
    <w:rsid w:val="242B6642"/>
    <w:rsid w:val="245C2C9F"/>
    <w:rsid w:val="246851A0"/>
    <w:rsid w:val="247022A7"/>
    <w:rsid w:val="247104F9"/>
    <w:rsid w:val="248024EA"/>
    <w:rsid w:val="24967E12"/>
    <w:rsid w:val="249C4E4A"/>
    <w:rsid w:val="24A106B2"/>
    <w:rsid w:val="24A361D8"/>
    <w:rsid w:val="24A85EE5"/>
    <w:rsid w:val="24C3687B"/>
    <w:rsid w:val="24CC3981"/>
    <w:rsid w:val="24CF521F"/>
    <w:rsid w:val="24CF6FCD"/>
    <w:rsid w:val="24D02576"/>
    <w:rsid w:val="24D26ABE"/>
    <w:rsid w:val="24D35AF2"/>
    <w:rsid w:val="24D6035C"/>
    <w:rsid w:val="24E30CCB"/>
    <w:rsid w:val="24F05029"/>
    <w:rsid w:val="24F536AF"/>
    <w:rsid w:val="24F72435"/>
    <w:rsid w:val="24FA6740"/>
    <w:rsid w:val="250174C1"/>
    <w:rsid w:val="250273A3"/>
    <w:rsid w:val="25070E5D"/>
    <w:rsid w:val="250C7A19"/>
    <w:rsid w:val="25180974"/>
    <w:rsid w:val="251E1D03"/>
    <w:rsid w:val="25203CCD"/>
    <w:rsid w:val="25287F65"/>
    <w:rsid w:val="252E1F46"/>
    <w:rsid w:val="253A3592"/>
    <w:rsid w:val="253B28B5"/>
    <w:rsid w:val="253D487F"/>
    <w:rsid w:val="25423C43"/>
    <w:rsid w:val="25494FD2"/>
    <w:rsid w:val="254A2AF8"/>
    <w:rsid w:val="254E2E44"/>
    <w:rsid w:val="255414CA"/>
    <w:rsid w:val="25551BC9"/>
    <w:rsid w:val="25760785"/>
    <w:rsid w:val="25781413"/>
    <w:rsid w:val="257C0AB4"/>
    <w:rsid w:val="25916DB0"/>
    <w:rsid w:val="25981AB5"/>
    <w:rsid w:val="25A20B86"/>
    <w:rsid w:val="25B20DC9"/>
    <w:rsid w:val="25B74631"/>
    <w:rsid w:val="25B85CB3"/>
    <w:rsid w:val="25C24D84"/>
    <w:rsid w:val="25C44658"/>
    <w:rsid w:val="25C96113"/>
    <w:rsid w:val="25DA4C26"/>
    <w:rsid w:val="25DE362C"/>
    <w:rsid w:val="25E60A73"/>
    <w:rsid w:val="25ED3C47"/>
    <w:rsid w:val="25EE5B79"/>
    <w:rsid w:val="25EF37FB"/>
    <w:rsid w:val="25F50CB6"/>
    <w:rsid w:val="25FA6A8B"/>
    <w:rsid w:val="2601616B"/>
    <w:rsid w:val="26040EF9"/>
    <w:rsid w:val="260B2287"/>
    <w:rsid w:val="260D4251"/>
    <w:rsid w:val="26105AEF"/>
    <w:rsid w:val="26123616"/>
    <w:rsid w:val="262275D1"/>
    <w:rsid w:val="262E5F76"/>
    <w:rsid w:val="26345C82"/>
    <w:rsid w:val="26357304"/>
    <w:rsid w:val="26393298"/>
    <w:rsid w:val="263C4B36"/>
    <w:rsid w:val="264659B5"/>
    <w:rsid w:val="264E03C6"/>
    <w:rsid w:val="2652435A"/>
    <w:rsid w:val="26526108"/>
    <w:rsid w:val="265754CC"/>
    <w:rsid w:val="265B5E13"/>
    <w:rsid w:val="2661459D"/>
    <w:rsid w:val="26675B0F"/>
    <w:rsid w:val="266D2F42"/>
    <w:rsid w:val="267918E7"/>
    <w:rsid w:val="26794A16"/>
    <w:rsid w:val="267D0359"/>
    <w:rsid w:val="267F31B6"/>
    <w:rsid w:val="26802C75"/>
    <w:rsid w:val="26881B2A"/>
    <w:rsid w:val="2695315B"/>
    <w:rsid w:val="269B7AAF"/>
    <w:rsid w:val="26A60202"/>
    <w:rsid w:val="26A85D28"/>
    <w:rsid w:val="26AA5F44"/>
    <w:rsid w:val="26B172D2"/>
    <w:rsid w:val="26B50445"/>
    <w:rsid w:val="26BB3CAD"/>
    <w:rsid w:val="26CA0394"/>
    <w:rsid w:val="26D27E26"/>
    <w:rsid w:val="26D71E4A"/>
    <w:rsid w:val="26D7485F"/>
    <w:rsid w:val="26E1123A"/>
    <w:rsid w:val="26EA4592"/>
    <w:rsid w:val="26EA6341"/>
    <w:rsid w:val="26F61189"/>
    <w:rsid w:val="26F62F37"/>
    <w:rsid w:val="26F64CE5"/>
    <w:rsid w:val="26F7280B"/>
    <w:rsid w:val="27007912"/>
    <w:rsid w:val="27054F28"/>
    <w:rsid w:val="270F224B"/>
    <w:rsid w:val="270F3FF9"/>
    <w:rsid w:val="271B3332"/>
    <w:rsid w:val="271D6716"/>
    <w:rsid w:val="27475541"/>
    <w:rsid w:val="27565784"/>
    <w:rsid w:val="277327DA"/>
    <w:rsid w:val="2778394C"/>
    <w:rsid w:val="277976C4"/>
    <w:rsid w:val="277D0F63"/>
    <w:rsid w:val="277F117F"/>
    <w:rsid w:val="27800A53"/>
    <w:rsid w:val="27893DAB"/>
    <w:rsid w:val="278B7B24"/>
    <w:rsid w:val="27983C83"/>
    <w:rsid w:val="27A44741"/>
    <w:rsid w:val="27AB1F74"/>
    <w:rsid w:val="27B150B0"/>
    <w:rsid w:val="27B34984"/>
    <w:rsid w:val="27B506FD"/>
    <w:rsid w:val="27B841B7"/>
    <w:rsid w:val="27B8643F"/>
    <w:rsid w:val="27BA21B7"/>
    <w:rsid w:val="27BD1CA7"/>
    <w:rsid w:val="27CB7F20"/>
    <w:rsid w:val="27CE17BE"/>
    <w:rsid w:val="27D36DD5"/>
    <w:rsid w:val="27D86AE1"/>
    <w:rsid w:val="27DA63B5"/>
    <w:rsid w:val="27DC037F"/>
    <w:rsid w:val="27E309B7"/>
    <w:rsid w:val="27F0056F"/>
    <w:rsid w:val="27F82CDF"/>
    <w:rsid w:val="27F8683B"/>
    <w:rsid w:val="281178FD"/>
    <w:rsid w:val="28235FAE"/>
    <w:rsid w:val="28277120"/>
    <w:rsid w:val="282F4953"/>
    <w:rsid w:val="28302479"/>
    <w:rsid w:val="28305FD5"/>
    <w:rsid w:val="28355CE1"/>
    <w:rsid w:val="283830DC"/>
    <w:rsid w:val="283E4B96"/>
    <w:rsid w:val="284D302B"/>
    <w:rsid w:val="284E28FF"/>
    <w:rsid w:val="28550131"/>
    <w:rsid w:val="285C14C0"/>
    <w:rsid w:val="286D547B"/>
    <w:rsid w:val="286F2FA1"/>
    <w:rsid w:val="28706D19"/>
    <w:rsid w:val="28722A91"/>
    <w:rsid w:val="28840408"/>
    <w:rsid w:val="288B76AF"/>
    <w:rsid w:val="288F0997"/>
    <w:rsid w:val="28920A3E"/>
    <w:rsid w:val="28B27332"/>
    <w:rsid w:val="28B77873"/>
    <w:rsid w:val="28C130D1"/>
    <w:rsid w:val="28C50E13"/>
    <w:rsid w:val="28D728F5"/>
    <w:rsid w:val="28DF17A9"/>
    <w:rsid w:val="28E53263"/>
    <w:rsid w:val="28F416F8"/>
    <w:rsid w:val="28F57442"/>
    <w:rsid w:val="28FD67FF"/>
    <w:rsid w:val="29013255"/>
    <w:rsid w:val="2919115F"/>
    <w:rsid w:val="292024ED"/>
    <w:rsid w:val="2934651F"/>
    <w:rsid w:val="29373393"/>
    <w:rsid w:val="294066EC"/>
    <w:rsid w:val="29420A80"/>
    <w:rsid w:val="294361DC"/>
    <w:rsid w:val="29464CEE"/>
    <w:rsid w:val="294E6051"/>
    <w:rsid w:val="29514455"/>
    <w:rsid w:val="29543F45"/>
    <w:rsid w:val="29634188"/>
    <w:rsid w:val="296E14AB"/>
    <w:rsid w:val="29785E86"/>
    <w:rsid w:val="298962E5"/>
    <w:rsid w:val="29930F11"/>
    <w:rsid w:val="29946A38"/>
    <w:rsid w:val="29955CC7"/>
    <w:rsid w:val="299627B0"/>
    <w:rsid w:val="29A7676B"/>
    <w:rsid w:val="29AC3D81"/>
    <w:rsid w:val="29AE5D4B"/>
    <w:rsid w:val="29AF20F4"/>
    <w:rsid w:val="29B12F1C"/>
    <w:rsid w:val="29BE7EDC"/>
    <w:rsid w:val="29C9048F"/>
    <w:rsid w:val="29CE1F49"/>
    <w:rsid w:val="29D137E8"/>
    <w:rsid w:val="29D15596"/>
    <w:rsid w:val="29D33A72"/>
    <w:rsid w:val="29D86924"/>
    <w:rsid w:val="29E452C9"/>
    <w:rsid w:val="29E7300B"/>
    <w:rsid w:val="2A0616E3"/>
    <w:rsid w:val="2A0B4F4C"/>
    <w:rsid w:val="2A0C4820"/>
    <w:rsid w:val="2A0F02AA"/>
    <w:rsid w:val="2A104310"/>
    <w:rsid w:val="2A111E36"/>
    <w:rsid w:val="2A17569E"/>
    <w:rsid w:val="2A1E01A9"/>
    <w:rsid w:val="2A24682F"/>
    <w:rsid w:val="2A261D85"/>
    <w:rsid w:val="2A2D713F"/>
    <w:rsid w:val="2A2E4796"/>
    <w:rsid w:val="2A331DAD"/>
    <w:rsid w:val="2A3A75DF"/>
    <w:rsid w:val="2A426494"/>
    <w:rsid w:val="2A48258A"/>
    <w:rsid w:val="2A495A74"/>
    <w:rsid w:val="2A4D7312"/>
    <w:rsid w:val="2A7C19A5"/>
    <w:rsid w:val="2A7C3754"/>
    <w:rsid w:val="2A81520E"/>
    <w:rsid w:val="2A9951C0"/>
    <w:rsid w:val="2AA1167C"/>
    <w:rsid w:val="2AA8279A"/>
    <w:rsid w:val="2AA9206F"/>
    <w:rsid w:val="2AB4113F"/>
    <w:rsid w:val="2ABE1FBE"/>
    <w:rsid w:val="2ABF1892"/>
    <w:rsid w:val="2ABF7AE4"/>
    <w:rsid w:val="2AC944BF"/>
    <w:rsid w:val="2ACA1805"/>
    <w:rsid w:val="2AD43590"/>
    <w:rsid w:val="2AD5551A"/>
    <w:rsid w:val="2AE31A25"/>
    <w:rsid w:val="2AF61758"/>
    <w:rsid w:val="2B011EAB"/>
    <w:rsid w:val="2B054C24"/>
    <w:rsid w:val="2B057BED"/>
    <w:rsid w:val="2B073965"/>
    <w:rsid w:val="2B1C4F36"/>
    <w:rsid w:val="2B2838DB"/>
    <w:rsid w:val="2B3E30FF"/>
    <w:rsid w:val="2B457FE9"/>
    <w:rsid w:val="2B51698E"/>
    <w:rsid w:val="2B5D3585"/>
    <w:rsid w:val="2B606BD1"/>
    <w:rsid w:val="2B667F60"/>
    <w:rsid w:val="2B6910C5"/>
    <w:rsid w:val="2B6C1A1A"/>
    <w:rsid w:val="2B77216D"/>
    <w:rsid w:val="2B7E52A9"/>
    <w:rsid w:val="2B852ADC"/>
    <w:rsid w:val="2B8F395A"/>
    <w:rsid w:val="2B932BBB"/>
    <w:rsid w:val="2B9D6077"/>
    <w:rsid w:val="2BA016C4"/>
    <w:rsid w:val="2BA72A52"/>
    <w:rsid w:val="2BAC1E16"/>
    <w:rsid w:val="2BB04CB3"/>
    <w:rsid w:val="2BB84C5F"/>
    <w:rsid w:val="2BBE1B4A"/>
    <w:rsid w:val="2BC03067"/>
    <w:rsid w:val="2BC32A58"/>
    <w:rsid w:val="2BC70369"/>
    <w:rsid w:val="2BCA6741"/>
    <w:rsid w:val="2BD4136D"/>
    <w:rsid w:val="2BDA4BD6"/>
    <w:rsid w:val="2BDB094E"/>
    <w:rsid w:val="2BDD0222"/>
    <w:rsid w:val="2BE55328"/>
    <w:rsid w:val="2BE70660"/>
    <w:rsid w:val="2BEA293F"/>
    <w:rsid w:val="2BFA0DD4"/>
    <w:rsid w:val="2C0734F1"/>
    <w:rsid w:val="2C0D5456"/>
    <w:rsid w:val="2C0F23A5"/>
    <w:rsid w:val="2C153E60"/>
    <w:rsid w:val="2C210A56"/>
    <w:rsid w:val="2C354526"/>
    <w:rsid w:val="2C3F712F"/>
    <w:rsid w:val="2C5524AE"/>
    <w:rsid w:val="2C66290D"/>
    <w:rsid w:val="2C68486B"/>
    <w:rsid w:val="2C6C351A"/>
    <w:rsid w:val="2C7217DF"/>
    <w:rsid w:val="2C7843EE"/>
    <w:rsid w:val="2C7C3EDF"/>
    <w:rsid w:val="2C7D37B3"/>
    <w:rsid w:val="2C7F752B"/>
    <w:rsid w:val="2C845095"/>
    <w:rsid w:val="2C896F9E"/>
    <w:rsid w:val="2C8B5ED0"/>
    <w:rsid w:val="2C9A4365"/>
    <w:rsid w:val="2CA174A1"/>
    <w:rsid w:val="2CAD22EA"/>
    <w:rsid w:val="2CAD23A4"/>
    <w:rsid w:val="2CB03B88"/>
    <w:rsid w:val="2CB5119F"/>
    <w:rsid w:val="2CBF5B79"/>
    <w:rsid w:val="2CC203FD"/>
    <w:rsid w:val="2CC82C80"/>
    <w:rsid w:val="2CCD0296"/>
    <w:rsid w:val="2CCD473A"/>
    <w:rsid w:val="2CDC672B"/>
    <w:rsid w:val="2CE43832"/>
    <w:rsid w:val="2CE576B8"/>
    <w:rsid w:val="2CF021D7"/>
    <w:rsid w:val="2CF0667B"/>
    <w:rsid w:val="2CF30BCC"/>
    <w:rsid w:val="2CF47F19"/>
    <w:rsid w:val="2CFF102D"/>
    <w:rsid w:val="2D085772"/>
    <w:rsid w:val="2D0D0FDB"/>
    <w:rsid w:val="2D1026FA"/>
    <w:rsid w:val="2D177764"/>
    <w:rsid w:val="2D1A7254"/>
    <w:rsid w:val="2D377E06"/>
    <w:rsid w:val="2D4B565F"/>
    <w:rsid w:val="2D4D7629"/>
    <w:rsid w:val="2D5653ED"/>
    <w:rsid w:val="2D5B7F98"/>
    <w:rsid w:val="2D6A0D07"/>
    <w:rsid w:val="2D6F35DC"/>
    <w:rsid w:val="2D6F75A0"/>
    <w:rsid w:val="2D7050C6"/>
    <w:rsid w:val="2D8079FF"/>
    <w:rsid w:val="2D8A6187"/>
    <w:rsid w:val="2D960FD0"/>
    <w:rsid w:val="2D9708A4"/>
    <w:rsid w:val="2DA03343"/>
    <w:rsid w:val="2DA82AB1"/>
    <w:rsid w:val="2DB43204"/>
    <w:rsid w:val="2DB94CBF"/>
    <w:rsid w:val="2DC31699"/>
    <w:rsid w:val="2DC72F38"/>
    <w:rsid w:val="2DC84F02"/>
    <w:rsid w:val="2DCD229F"/>
    <w:rsid w:val="2DD815E9"/>
    <w:rsid w:val="2DE41D3C"/>
    <w:rsid w:val="2DE95C61"/>
    <w:rsid w:val="2DED6716"/>
    <w:rsid w:val="2DFE26D1"/>
    <w:rsid w:val="2DFF6B75"/>
    <w:rsid w:val="2DFF7E04"/>
    <w:rsid w:val="2E0065CE"/>
    <w:rsid w:val="2E045F3A"/>
    <w:rsid w:val="2E0D299D"/>
    <w:rsid w:val="2E112405"/>
    <w:rsid w:val="2E2959A0"/>
    <w:rsid w:val="2E382087"/>
    <w:rsid w:val="2E405D27"/>
    <w:rsid w:val="2E431003"/>
    <w:rsid w:val="2E4415F5"/>
    <w:rsid w:val="2E4C168F"/>
    <w:rsid w:val="2E532A1D"/>
    <w:rsid w:val="2E620EB2"/>
    <w:rsid w:val="2E652751"/>
    <w:rsid w:val="2E76670C"/>
    <w:rsid w:val="2E786928"/>
    <w:rsid w:val="2E823302"/>
    <w:rsid w:val="2E825006"/>
    <w:rsid w:val="2E8E614B"/>
    <w:rsid w:val="2E8E7EF9"/>
    <w:rsid w:val="2E9077CD"/>
    <w:rsid w:val="2E9A064C"/>
    <w:rsid w:val="2EA30912"/>
    <w:rsid w:val="2EA43279"/>
    <w:rsid w:val="2EA84BA8"/>
    <w:rsid w:val="2EAB0AAB"/>
    <w:rsid w:val="2EAB5D1F"/>
    <w:rsid w:val="2EAC037F"/>
    <w:rsid w:val="2EB931C8"/>
    <w:rsid w:val="2EBA0CEE"/>
    <w:rsid w:val="2EBA484A"/>
    <w:rsid w:val="2EBE07DF"/>
    <w:rsid w:val="2EDA6C9B"/>
    <w:rsid w:val="2EE1627B"/>
    <w:rsid w:val="2EEB0EA8"/>
    <w:rsid w:val="2EF22236"/>
    <w:rsid w:val="2F0A0C8E"/>
    <w:rsid w:val="2F416D1A"/>
    <w:rsid w:val="2F48361F"/>
    <w:rsid w:val="2F4A3E20"/>
    <w:rsid w:val="2F4D1B62"/>
    <w:rsid w:val="2F575E37"/>
    <w:rsid w:val="2F5E57C2"/>
    <w:rsid w:val="2F5E78CC"/>
    <w:rsid w:val="2F64514D"/>
    <w:rsid w:val="2F6D7B0F"/>
    <w:rsid w:val="2F7A7919"/>
    <w:rsid w:val="2F7D786F"/>
    <w:rsid w:val="2F8337D6"/>
    <w:rsid w:val="2F8C268B"/>
    <w:rsid w:val="2F8C4439"/>
    <w:rsid w:val="2F947791"/>
    <w:rsid w:val="2F9B0B20"/>
    <w:rsid w:val="2F9B28CE"/>
    <w:rsid w:val="2FB219C5"/>
    <w:rsid w:val="2FBE65BC"/>
    <w:rsid w:val="2FC02334"/>
    <w:rsid w:val="2FC11140"/>
    <w:rsid w:val="2FC33BD3"/>
    <w:rsid w:val="2FCC2A87"/>
    <w:rsid w:val="2FD162F0"/>
    <w:rsid w:val="2FD22068"/>
    <w:rsid w:val="2FDB3E92"/>
    <w:rsid w:val="2FDB716E"/>
    <w:rsid w:val="2FE029D7"/>
    <w:rsid w:val="2FE46399"/>
    <w:rsid w:val="30071D11"/>
    <w:rsid w:val="30075FDB"/>
    <w:rsid w:val="300F506A"/>
    <w:rsid w:val="301574EF"/>
    <w:rsid w:val="30176275"/>
    <w:rsid w:val="30182170"/>
    <w:rsid w:val="30191A45"/>
    <w:rsid w:val="301D7787"/>
    <w:rsid w:val="30332B06"/>
    <w:rsid w:val="303348B4"/>
    <w:rsid w:val="303F594F"/>
    <w:rsid w:val="30422D49"/>
    <w:rsid w:val="304D174B"/>
    <w:rsid w:val="30556F21"/>
    <w:rsid w:val="305667F5"/>
    <w:rsid w:val="305807BF"/>
    <w:rsid w:val="30647164"/>
    <w:rsid w:val="30662EDC"/>
    <w:rsid w:val="3069477A"/>
    <w:rsid w:val="30766E97"/>
    <w:rsid w:val="307B44AD"/>
    <w:rsid w:val="30896BCA"/>
    <w:rsid w:val="308C0468"/>
    <w:rsid w:val="30913CD1"/>
    <w:rsid w:val="309D61D2"/>
    <w:rsid w:val="30A6152A"/>
    <w:rsid w:val="30A77050"/>
    <w:rsid w:val="30AD0B0B"/>
    <w:rsid w:val="30B26121"/>
    <w:rsid w:val="30B86170"/>
    <w:rsid w:val="30C714A1"/>
    <w:rsid w:val="30E57BC8"/>
    <w:rsid w:val="30E67B79"/>
    <w:rsid w:val="30EE4C7F"/>
    <w:rsid w:val="30F009F7"/>
    <w:rsid w:val="30FF0C3A"/>
    <w:rsid w:val="30FF6E8C"/>
    <w:rsid w:val="310A77EA"/>
    <w:rsid w:val="310D3357"/>
    <w:rsid w:val="311961A0"/>
    <w:rsid w:val="31362E4A"/>
    <w:rsid w:val="313A1C72"/>
    <w:rsid w:val="31436D79"/>
    <w:rsid w:val="31480833"/>
    <w:rsid w:val="314D7BF8"/>
    <w:rsid w:val="314F1BC2"/>
    <w:rsid w:val="31554CFE"/>
    <w:rsid w:val="31572824"/>
    <w:rsid w:val="31594303"/>
    <w:rsid w:val="315C4AA4"/>
    <w:rsid w:val="316136A3"/>
    <w:rsid w:val="31660CB9"/>
    <w:rsid w:val="31745184"/>
    <w:rsid w:val="31772EC7"/>
    <w:rsid w:val="31800A61"/>
    <w:rsid w:val="31833619"/>
    <w:rsid w:val="318A49A8"/>
    <w:rsid w:val="31B61C41"/>
    <w:rsid w:val="31B77767"/>
    <w:rsid w:val="31BB7257"/>
    <w:rsid w:val="31C12394"/>
    <w:rsid w:val="31CA56EC"/>
    <w:rsid w:val="31CD6F8B"/>
    <w:rsid w:val="31EA3BF2"/>
    <w:rsid w:val="31F84007"/>
    <w:rsid w:val="31FE7144"/>
    <w:rsid w:val="320209E2"/>
    <w:rsid w:val="32024B1C"/>
    <w:rsid w:val="32081D71"/>
    <w:rsid w:val="320A5AE9"/>
    <w:rsid w:val="32121533"/>
    <w:rsid w:val="321524B8"/>
    <w:rsid w:val="321B5F48"/>
    <w:rsid w:val="321E3342"/>
    <w:rsid w:val="323352EB"/>
    <w:rsid w:val="323668DE"/>
    <w:rsid w:val="32470AEB"/>
    <w:rsid w:val="324803BF"/>
    <w:rsid w:val="325B6344"/>
    <w:rsid w:val="327318E0"/>
    <w:rsid w:val="32780CA4"/>
    <w:rsid w:val="32891103"/>
    <w:rsid w:val="328C4750"/>
    <w:rsid w:val="3291620A"/>
    <w:rsid w:val="32943604"/>
    <w:rsid w:val="329F4483"/>
    <w:rsid w:val="32A45F3D"/>
    <w:rsid w:val="32A47CEB"/>
    <w:rsid w:val="32A73338"/>
    <w:rsid w:val="32B31CDC"/>
    <w:rsid w:val="32B75C71"/>
    <w:rsid w:val="32D1066D"/>
    <w:rsid w:val="32D3412D"/>
    <w:rsid w:val="32E97DF4"/>
    <w:rsid w:val="32F02F31"/>
    <w:rsid w:val="32F32A21"/>
    <w:rsid w:val="32FB3683"/>
    <w:rsid w:val="32FF3174"/>
    <w:rsid w:val="33072028"/>
    <w:rsid w:val="3308789D"/>
    <w:rsid w:val="330B7D6A"/>
    <w:rsid w:val="33105381"/>
    <w:rsid w:val="331603E4"/>
    <w:rsid w:val="331F7372"/>
    <w:rsid w:val="33260700"/>
    <w:rsid w:val="33291F9F"/>
    <w:rsid w:val="3333106F"/>
    <w:rsid w:val="333746BC"/>
    <w:rsid w:val="333A0650"/>
    <w:rsid w:val="333F17C2"/>
    <w:rsid w:val="33491B2B"/>
    <w:rsid w:val="3350629C"/>
    <w:rsid w:val="33574D5E"/>
    <w:rsid w:val="33633703"/>
    <w:rsid w:val="33661445"/>
    <w:rsid w:val="33664FA1"/>
    <w:rsid w:val="337771AE"/>
    <w:rsid w:val="337C2A16"/>
    <w:rsid w:val="33843679"/>
    <w:rsid w:val="338631D6"/>
    <w:rsid w:val="338D077F"/>
    <w:rsid w:val="339064C2"/>
    <w:rsid w:val="33995376"/>
    <w:rsid w:val="33B2468A"/>
    <w:rsid w:val="33C1667B"/>
    <w:rsid w:val="33D44600"/>
    <w:rsid w:val="33E74334"/>
    <w:rsid w:val="33E81E5A"/>
    <w:rsid w:val="34052A0C"/>
    <w:rsid w:val="34140EA1"/>
    <w:rsid w:val="34207846"/>
    <w:rsid w:val="342F5CDB"/>
    <w:rsid w:val="34425A0E"/>
    <w:rsid w:val="344352E2"/>
    <w:rsid w:val="3445105A"/>
    <w:rsid w:val="34473024"/>
    <w:rsid w:val="345B262C"/>
    <w:rsid w:val="346045FB"/>
    <w:rsid w:val="34623382"/>
    <w:rsid w:val="346E6803"/>
    <w:rsid w:val="34711E4F"/>
    <w:rsid w:val="34841338"/>
    <w:rsid w:val="34841780"/>
    <w:rsid w:val="34880F47"/>
    <w:rsid w:val="348E2A01"/>
    <w:rsid w:val="34983880"/>
    <w:rsid w:val="349F69BC"/>
    <w:rsid w:val="34A044E2"/>
    <w:rsid w:val="34A75871"/>
    <w:rsid w:val="34B41D3C"/>
    <w:rsid w:val="34B955A4"/>
    <w:rsid w:val="34BF2BBB"/>
    <w:rsid w:val="34D128EE"/>
    <w:rsid w:val="34DB1C6D"/>
    <w:rsid w:val="34E00D83"/>
    <w:rsid w:val="34E72409"/>
    <w:rsid w:val="34F565DC"/>
    <w:rsid w:val="34F8431E"/>
    <w:rsid w:val="34F96D78"/>
    <w:rsid w:val="34FA3BF3"/>
    <w:rsid w:val="350B22A4"/>
    <w:rsid w:val="35151DC2"/>
    <w:rsid w:val="35170C48"/>
    <w:rsid w:val="351C000D"/>
    <w:rsid w:val="351F3659"/>
    <w:rsid w:val="352765C3"/>
    <w:rsid w:val="352C5D76"/>
    <w:rsid w:val="352E7146"/>
    <w:rsid w:val="35374E47"/>
    <w:rsid w:val="35431A3E"/>
    <w:rsid w:val="35447564"/>
    <w:rsid w:val="35450A4F"/>
    <w:rsid w:val="35571045"/>
    <w:rsid w:val="355C48AD"/>
    <w:rsid w:val="35610116"/>
    <w:rsid w:val="356279EA"/>
    <w:rsid w:val="356F60BD"/>
    <w:rsid w:val="3578720D"/>
    <w:rsid w:val="357D7750"/>
    <w:rsid w:val="357F67EE"/>
    <w:rsid w:val="35847960"/>
    <w:rsid w:val="35900570"/>
    <w:rsid w:val="35973B37"/>
    <w:rsid w:val="359B768F"/>
    <w:rsid w:val="35A16764"/>
    <w:rsid w:val="35AB313F"/>
    <w:rsid w:val="35AC6E48"/>
    <w:rsid w:val="35B02AD7"/>
    <w:rsid w:val="35B31A2A"/>
    <w:rsid w:val="35B46497"/>
    <w:rsid w:val="35BB5A78"/>
    <w:rsid w:val="35BC70FA"/>
    <w:rsid w:val="35BF4E3C"/>
    <w:rsid w:val="35C0308E"/>
    <w:rsid w:val="35C11503"/>
    <w:rsid w:val="35C83CF1"/>
    <w:rsid w:val="35D15757"/>
    <w:rsid w:val="35D22DC1"/>
    <w:rsid w:val="35ED3757"/>
    <w:rsid w:val="360016DD"/>
    <w:rsid w:val="360A2438"/>
    <w:rsid w:val="360D5BA8"/>
    <w:rsid w:val="361231BE"/>
    <w:rsid w:val="361C228F"/>
    <w:rsid w:val="362353CB"/>
    <w:rsid w:val="3632560E"/>
    <w:rsid w:val="363B2715"/>
    <w:rsid w:val="363C648D"/>
    <w:rsid w:val="363E3FB3"/>
    <w:rsid w:val="364610BA"/>
    <w:rsid w:val="36637EBD"/>
    <w:rsid w:val="366559E4"/>
    <w:rsid w:val="366D46DB"/>
    <w:rsid w:val="366E2AEA"/>
    <w:rsid w:val="367125DA"/>
    <w:rsid w:val="3671336D"/>
    <w:rsid w:val="36714388"/>
    <w:rsid w:val="367252E0"/>
    <w:rsid w:val="36743E79"/>
    <w:rsid w:val="36813DF9"/>
    <w:rsid w:val="3692525E"/>
    <w:rsid w:val="3699568D"/>
    <w:rsid w:val="3699743B"/>
    <w:rsid w:val="36AC716F"/>
    <w:rsid w:val="36AF3103"/>
    <w:rsid w:val="36AF4EB1"/>
    <w:rsid w:val="36C204FE"/>
    <w:rsid w:val="36CE17DB"/>
    <w:rsid w:val="36E903C3"/>
    <w:rsid w:val="36F210B1"/>
    <w:rsid w:val="36F9612C"/>
    <w:rsid w:val="37103BA1"/>
    <w:rsid w:val="37210348"/>
    <w:rsid w:val="37215DAE"/>
    <w:rsid w:val="372413FB"/>
    <w:rsid w:val="373A0C1E"/>
    <w:rsid w:val="373A29CC"/>
    <w:rsid w:val="37405B09"/>
    <w:rsid w:val="3747333B"/>
    <w:rsid w:val="374E6478"/>
    <w:rsid w:val="375515B4"/>
    <w:rsid w:val="3756532C"/>
    <w:rsid w:val="376513F0"/>
    <w:rsid w:val="37677539"/>
    <w:rsid w:val="377759CE"/>
    <w:rsid w:val="37797999"/>
    <w:rsid w:val="377A101B"/>
    <w:rsid w:val="377D0B0B"/>
    <w:rsid w:val="378D6FA0"/>
    <w:rsid w:val="379522F8"/>
    <w:rsid w:val="37991DE9"/>
    <w:rsid w:val="379C5435"/>
    <w:rsid w:val="37A8202C"/>
    <w:rsid w:val="37AB62E1"/>
    <w:rsid w:val="37AC4521"/>
    <w:rsid w:val="37AD7642"/>
    <w:rsid w:val="37B02C8E"/>
    <w:rsid w:val="37B24C58"/>
    <w:rsid w:val="37B620F4"/>
    <w:rsid w:val="37BC7885"/>
    <w:rsid w:val="37C14E9C"/>
    <w:rsid w:val="37C93D50"/>
    <w:rsid w:val="37CA01F4"/>
    <w:rsid w:val="37D008E3"/>
    <w:rsid w:val="37D03331"/>
    <w:rsid w:val="37DE3C9F"/>
    <w:rsid w:val="37DF5322"/>
    <w:rsid w:val="37E1109A"/>
    <w:rsid w:val="37E706C5"/>
    <w:rsid w:val="37EA2644"/>
    <w:rsid w:val="37F00807"/>
    <w:rsid w:val="37F0752F"/>
    <w:rsid w:val="37F708BD"/>
    <w:rsid w:val="37FD3EE3"/>
    <w:rsid w:val="38070BF9"/>
    <w:rsid w:val="38082ACA"/>
    <w:rsid w:val="380A05F1"/>
    <w:rsid w:val="380B4369"/>
    <w:rsid w:val="38126F8A"/>
    <w:rsid w:val="381F0AD4"/>
    <w:rsid w:val="38207E14"/>
    <w:rsid w:val="3821593A"/>
    <w:rsid w:val="38367638"/>
    <w:rsid w:val="384358B1"/>
    <w:rsid w:val="38471845"/>
    <w:rsid w:val="38563836"/>
    <w:rsid w:val="38593326"/>
    <w:rsid w:val="385D3B87"/>
    <w:rsid w:val="386A541B"/>
    <w:rsid w:val="38735A0D"/>
    <w:rsid w:val="3888244C"/>
    <w:rsid w:val="388C7258"/>
    <w:rsid w:val="388D1185"/>
    <w:rsid w:val="388D1222"/>
    <w:rsid w:val="388D46D6"/>
    <w:rsid w:val="388F6D48"/>
    <w:rsid w:val="38953CE0"/>
    <w:rsid w:val="389C3213"/>
    <w:rsid w:val="389D1465"/>
    <w:rsid w:val="38A058F5"/>
    <w:rsid w:val="38AA5930"/>
    <w:rsid w:val="38B22A36"/>
    <w:rsid w:val="38B4055C"/>
    <w:rsid w:val="38C2711D"/>
    <w:rsid w:val="38CF5396"/>
    <w:rsid w:val="38D155B2"/>
    <w:rsid w:val="38D66725"/>
    <w:rsid w:val="38E928FC"/>
    <w:rsid w:val="38E946AA"/>
    <w:rsid w:val="38EE7F12"/>
    <w:rsid w:val="38FD1F03"/>
    <w:rsid w:val="38FE7A29"/>
    <w:rsid w:val="38FF4281"/>
    <w:rsid w:val="39047736"/>
    <w:rsid w:val="391B05DB"/>
    <w:rsid w:val="392513D1"/>
    <w:rsid w:val="392A5822"/>
    <w:rsid w:val="39333B77"/>
    <w:rsid w:val="3934169D"/>
    <w:rsid w:val="39352CB6"/>
    <w:rsid w:val="39386D6D"/>
    <w:rsid w:val="39495149"/>
    <w:rsid w:val="394C2E8B"/>
    <w:rsid w:val="3951224F"/>
    <w:rsid w:val="39567866"/>
    <w:rsid w:val="395835DE"/>
    <w:rsid w:val="395872A2"/>
    <w:rsid w:val="395A1104"/>
    <w:rsid w:val="395B49D1"/>
    <w:rsid w:val="39627FB8"/>
    <w:rsid w:val="39657AA9"/>
    <w:rsid w:val="39671A73"/>
    <w:rsid w:val="39691347"/>
    <w:rsid w:val="39763A64"/>
    <w:rsid w:val="39783C80"/>
    <w:rsid w:val="398C14D9"/>
    <w:rsid w:val="399A3BF6"/>
    <w:rsid w:val="399A59A4"/>
    <w:rsid w:val="39B20F40"/>
    <w:rsid w:val="39BB3AC3"/>
    <w:rsid w:val="39BD18DE"/>
    <w:rsid w:val="39BF365D"/>
    <w:rsid w:val="39C72511"/>
    <w:rsid w:val="39D32C64"/>
    <w:rsid w:val="39D7459C"/>
    <w:rsid w:val="39DC1817"/>
    <w:rsid w:val="39DC420F"/>
    <w:rsid w:val="39DE7F87"/>
    <w:rsid w:val="39E15381"/>
    <w:rsid w:val="39E61E32"/>
    <w:rsid w:val="39EA4612"/>
    <w:rsid w:val="39F72DF7"/>
    <w:rsid w:val="39F83928"/>
    <w:rsid w:val="39FA4695"/>
    <w:rsid w:val="39FD0947"/>
    <w:rsid w:val="39FD5F33"/>
    <w:rsid w:val="39FF7EFD"/>
    <w:rsid w:val="3A0C5E4C"/>
    <w:rsid w:val="3A1846C8"/>
    <w:rsid w:val="3A192D6D"/>
    <w:rsid w:val="3A26548A"/>
    <w:rsid w:val="3A3E0A25"/>
    <w:rsid w:val="3A414072"/>
    <w:rsid w:val="3A500759"/>
    <w:rsid w:val="3A6A03E3"/>
    <w:rsid w:val="3A6D130B"/>
    <w:rsid w:val="3A751F6D"/>
    <w:rsid w:val="3A816B64"/>
    <w:rsid w:val="3A9B19D4"/>
    <w:rsid w:val="3AA7481D"/>
    <w:rsid w:val="3AA840F1"/>
    <w:rsid w:val="3AAC1E33"/>
    <w:rsid w:val="3AAD21B4"/>
    <w:rsid w:val="3AB02FA5"/>
    <w:rsid w:val="3AB504FA"/>
    <w:rsid w:val="3AB64A60"/>
    <w:rsid w:val="3ABD7878"/>
    <w:rsid w:val="3AC727C9"/>
    <w:rsid w:val="3ACA7503"/>
    <w:rsid w:val="3ACF398B"/>
    <w:rsid w:val="3ADC3D9A"/>
    <w:rsid w:val="3AE72E6B"/>
    <w:rsid w:val="3AFE01B5"/>
    <w:rsid w:val="3B130672"/>
    <w:rsid w:val="3B1B48C3"/>
    <w:rsid w:val="3B223EA3"/>
    <w:rsid w:val="3B293484"/>
    <w:rsid w:val="3B29564C"/>
    <w:rsid w:val="3B2A2D58"/>
    <w:rsid w:val="3B3140E6"/>
    <w:rsid w:val="3B3B26B4"/>
    <w:rsid w:val="3B404329"/>
    <w:rsid w:val="3B443E1A"/>
    <w:rsid w:val="3B471B5C"/>
    <w:rsid w:val="3B4756B8"/>
    <w:rsid w:val="3B4A51A8"/>
    <w:rsid w:val="3B4D4259"/>
    <w:rsid w:val="3B4F27BE"/>
    <w:rsid w:val="3B563B4D"/>
    <w:rsid w:val="3B5A0FA4"/>
    <w:rsid w:val="3B677B08"/>
    <w:rsid w:val="3B691AD2"/>
    <w:rsid w:val="3B8701AA"/>
    <w:rsid w:val="3B934DA1"/>
    <w:rsid w:val="3BA23236"/>
    <w:rsid w:val="3BA40D5C"/>
    <w:rsid w:val="3BA932EE"/>
    <w:rsid w:val="3BAD60C9"/>
    <w:rsid w:val="3BB15227"/>
    <w:rsid w:val="3BB16FD5"/>
    <w:rsid w:val="3BB24DE0"/>
    <w:rsid w:val="3BB32D4D"/>
    <w:rsid w:val="3BB60406"/>
    <w:rsid w:val="3BB70A8F"/>
    <w:rsid w:val="3BC36985"/>
    <w:rsid w:val="3BCD02B3"/>
    <w:rsid w:val="3BD75940"/>
    <w:rsid w:val="3BE5784E"/>
    <w:rsid w:val="3BE70C49"/>
    <w:rsid w:val="3BF5780A"/>
    <w:rsid w:val="3BF70E8C"/>
    <w:rsid w:val="3BF82E56"/>
    <w:rsid w:val="3BFC46F4"/>
    <w:rsid w:val="3C026603"/>
    <w:rsid w:val="3C0B4937"/>
    <w:rsid w:val="3C0E2679"/>
    <w:rsid w:val="3C17152E"/>
    <w:rsid w:val="3C1C08F2"/>
    <w:rsid w:val="3C2459F9"/>
    <w:rsid w:val="3C28373B"/>
    <w:rsid w:val="3C2E6878"/>
    <w:rsid w:val="3C30439E"/>
    <w:rsid w:val="3C363BF4"/>
    <w:rsid w:val="3C3C0F95"/>
    <w:rsid w:val="3C3F2833"/>
    <w:rsid w:val="3C423D71"/>
    <w:rsid w:val="3C432323"/>
    <w:rsid w:val="3C447E49"/>
    <w:rsid w:val="3C566C8A"/>
    <w:rsid w:val="3C5A3112"/>
    <w:rsid w:val="3C65673D"/>
    <w:rsid w:val="3C667DC0"/>
    <w:rsid w:val="3C681D8A"/>
    <w:rsid w:val="3C683B38"/>
    <w:rsid w:val="3C6D114E"/>
    <w:rsid w:val="3C805325"/>
    <w:rsid w:val="3C814BF9"/>
    <w:rsid w:val="3C88242C"/>
    <w:rsid w:val="3C926E07"/>
    <w:rsid w:val="3CA43C97"/>
    <w:rsid w:val="3CB7061B"/>
    <w:rsid w:val="3CB7686D"/>
    <w:rsid w:val="3CB82FDB"/>
    <w:rsid w:val="3CB925E5"/>
    <w:rsid w:val="3CCF3BB7"/>
    <w:rsid w:val="3CE07B72"/>
    <w:rsid w:val="3CE21B3C"/>
    <w:rsid w:val="3CE37662"/>
    <w:rsid w:val="3CE8111C"/>
    <w:rsid w:val="3CF03B2D"/>
    <w:rsid w:val="3CFD4BC8"/>
    <w:rsid w:val="3CFF6EF1"/>
    <w:rsid w:val="3D015D3A"/>
    <w:rsid w:val="3D107E76"/>
    <w:rsid w:val="3D145DC3"/>
    <w:rsid w:val="3D17214E"/>
    <w:rsid w:val="3D202664"/>
    <w:rsid w:val="3D2739F3"/>
    <w:rsid w:val="3D2757A1"/>
    <w:rsid w:val="3D37175C"/>
    <w:rsid w:val="3D3F6549"/>
    <w:rsid w:val="3D42082D"/>
    <w:rsid w:val="3D4C5207"/>
    <w:rsid w:val="3D4F2F4A"/>
    <w:rsid w:val="3D4F4CF8"/>
    <w:rsid w:val="3D5642D8"/>
    <w:rsid w:val="3D5D5666"/>
    <w:rsid w:val="3D5E74BC"/>
    <w:rsid w:val="3D6407A3"/>
    <w:rsid w:val="3D65276D"/>
    <w:rsid w:val="3D6C58AA"/>
    <w:rsid w:val="3D741660"/>
    <w:rsid w:val="3D74475E"/>
    <w:rsid w:val="3D7B789B"/>
    <w:rsid w:val="3D9848F1"/>
    <w:rsid w:val="3DA037A5"/>
    <w:rsid w:val="3DA6700D"/>
    <w:rsid w:val="3DA74B34"/>
    <w:rsid w:val="3DAE5EC2"/>
    <w:rsid w:val="3DB16F47"/>
    <w:rsid w:val="3DB80AEF"/>
    <w:rsid w:val="3DC15BF5"/>
    <w:rsid w:val="3DCB7AF0"/>
    <w:rsid w:val="3DD40558"/>
    <w:rsid w:val="3DD443B6"/>
    <w:rsid w:val="3E031002"/>
    <w:rsid w:val="3E1877DF"/>
    <w:rsid w:val="3E1A3557"/>
    <w:rsid w:val="3E1A786F"/>
    <w:rsid w:val="3E1C2E2C"/>
    <w:rsid w:val="3E246184"/>
    <w:rsid w:val="3E3839DE"/>
    <w:rsid w:val="3E3D0FF4"/>
    <w:rsid w:val="3E46434D"/>
    <w:rsid w:val="3E467EA9"/>
    <w:rsid w:val="3E506F79"/>
    <w:rsid w:val="3E524A9F"/>
    <w:rsid w:val="3E6B5B61"/>
    <w:rsid w:val="3E7E5894"/>
    <w:rsid w:val="3E894239"/>
    <w:rsid w:val="3E8D3D29"/>
    <w:rsid w:val="3E91333C"/>
    <w:rsid w:val="3E9204BF"/>
    <w:rsid w:val="3E9E2047"/>
    <w:rsid w:val="3E9E5F37"/>
    <w:rsid w:val="3EA66B99"/>
    <w:rsid w:val="3EB035E6"/>
    <w:rsid w:val="3EC05EAD"/>
    <w:rsid w:val="3ECB6600"/>
    <w:rsid w:val="3ED731F7"/>
    <w:rsid w:val="3ED8395B"/>
    <w:rsid w:val="3ED94336"/>
    <w:rsid w:val="3EDA4ED4"/>
    <w:rsid w:val="3EDA6843"/>
    <w:rsid w:val="3EDC080D"/>
    <w:rsid w:val="3EE33949"/>
    <w:rsid w:val="3EE405BD"/>
    <w:rsid w:val="3EFB5137"/>
    <w:rsid w:val="3F033FEC"/>
    <w:rsid w:val="3F11495A"/>
    <w:rsid w:val="3F116709"/>
    <w:rsid w:val="3F1955BD"/>
    <w:rsid w:val="3F1B1335"/>
    <w:rsid w:val="3F1E0E25"/>
    <w:rsid w:val="3F2006FA"/>
    <w:rsid w:val="3F20694C"/>
    <w:rsid w:val="3F26232B"/>
    <w:rsid w:val="3F373C95"/>
    <w:rsid w:val="3F395C5F"/>
    <w:rsid w:val="3F397A0D"/>
    <w:rsid w:val="3F4802E2"/>
    <w:rsid w:val="3F4A39C9"/>
    <w:rsid w:val="3F4D34B9"/>
    <w:rsid w:val="3F512FA9"/>
    <w:rsid w:val="3F520ACF"/>
    <w:rsid w:val="3F52287D"/>
    <w:rsid w:val="3F577277"/>
    <w:rsid w:val="3F5860E5"/>
    <w:rsid w:val="3F5D7BA0"/>
    <w:rsid w:val="3F620D12"/>
    <w:rsid w:val="3F6525B0"/>
    <w:rsid w:val="3F6F51DD"/>
    <w:rsid w:val="3F762A0F"/>
    <w:rsid w:val="3F7E18C4"/>
    <w:rsid w:val="3F8844F1"/>
    <w:rsid w:val="3F8F587F"/>
    <w:rsid w:val="3F9410E8"/>
    <w:rsid w:val="3F9E5AC2"/>
    <w:rsid w:val="3F9F0CF0"/>
    <w:rsid w:val="3FA4132B"/>
    <w:rsid w:val="3FAD2204"/>
    <w:rsid w:val="3FAD415A"/>
    <w:rsid w:val="3FB47094"/>
    <w:rsid w:val="3FBB0422"/>
    <w:rsid w:val="3FC27A03"/>
    <w:rsid w:val="3FC75019"/>
    <w:rsid w:val="3FC92B3F"/>
    <w:rsid w:val="3FCC0881"/>
    <w:rsid w:val="3FD634AE"/>
    <w:rsid w:val="3FE756BB"/>
    <w:rsid w:val="3FEF631E"/>
    <w:rsid w:val="3FF676AC"/>
    <w:rsid w:val="3FF81676"/>
    <w:rsid w:val="400022D9"/>
    <w:rsid w:val="4001677D"/>
    <w:rsid w:val="4004038F"/>
    <w:rsid w:val="40041DC9"/>
    <w:rsid w:val="40083317"/>
    <w:rsid w:val="401069C0"/>
    <w:rsid w:val="40161AFD"/>
    <w:rsid w:val="40354679"/>
    <w:rsid w:val="403A57EB"/>
    <w:rsid w:val="40420B44"/>
    <w:rsid w:val="404228F2"/>
    <w:rsid w:val="40463747"/>
    <w:rsid w:val="404B3E9C"/>
    <w:rsid w:val="4056719A"/>
    <w:rsid w:val="40582115"/>
    <w:rsid w:val="4061546E"/>
    <w:rsid w:val="40662A84"/>
    <w:rsid w:val="40907B01"/>
    <w:rsid w:val="409C64A6"/>
    <w:rsid w:val="40A23390"/>
    <w:rsid w:val="40A85D7C"/>
    <w:rsid w:val="40AD2461"/>
    <w:rsid w:val="40B530C4"/>
    <w:rsid w:val="40B97058"/>
    <w:rsid w:val="40BA6EBE"/>
    <w:rsid w:val="40BE0F76"/>
    <w:rsid w:val="40C1415E"/>
    <w:rsid w:val="40C142CB"/>
    <w:rsid w:val="40CF35E1"/>
    <w:rsid w:val="40D45C40"/>
    <w:rsid w:val="40D75730"/>
    <w:rsid w:val="40F736DC"/>
    <w:rsid w:val="410127AD"/>
    <w:rsid w:val="41076FBE"/>
    <w:rsid w:val="410D1152"/>
    <w:rsid w:val="41184CDA"/>
    <w:rsid w:val="411C3143"/>
    <w:rsid w:val="412F48FF"/>
    <w:rsid w:val="41395AA3"/>
    <w:rsid w:val="41441021"/>
    <w:rsid w:val="41452699"/>
    <w:rsid w:val="41566D3D"/>
    <w:rsid w:val="41597EF3"/>
    <w:rsid w:val="416666BA"/>
    <w:rsid w:val="417E204F"/>
    <w:rsid w:val="418238EE"/>
    <w:rsid w:val="418C2A9A"/>
    <w:rsid w:val="419A3FAE"/>
    <w:rsid w:val="419B49AF"/>
    <w:rsid w:val="419D0727"/>
    <w:rsid w:val="419D24D5"/>
    <w:rsid w:val="41AF2209"/>
    <w:rsid w:val="41B6005B"/>
    <w:rsid w:val="41D43A1D"/>
    <w:rsid w:val="41DA2A3C"/>
    <w:rsid w:val="41E740AD"/>
    <w:rsid w:val="41F8595E"/>
    <w:rsid w:val="41FF6CEC"/>
    <w:rsid w:val="42010CB6"/>
    <w:rsid w:val="420132A7"/>
    <w:rsid w:val="420F77F0"/>
    <w:rsid w:val="42134546"/>
    <w:rsid w:val="42164036"/>
    <w:rsid w:val="421F4207"/>
    <w:rsid w:val="42213106"/>
    <w:rsid w:val="4226071D"/>
    <w:rsid w:val="423F7B2F"/>
    <w:rsid w:val="424010B3"/>
    <w:rsid w:val="42426621"/>
    <w:rsid w:val="4246491B"/>
    <w:rsid w:val="424C5BA2"/>
    <w:rsid w:val="42521512"/>
    <w:rsid w:val="4252548F"/>
    <w:rsid w:val="42613D77"/>
    <w:rsid w:val="42642FF3"/>
    <w:rsid w:val="42725710"/>
    <w:rsid w:val="4278084D"/>
    <w:rsid w:val="4286740D"/>
    <w:rsid w:val="428C42F8"/>
    <w:rsid w:val="4292190E"/>
    <w:rsid w:val="429441C6"/>
    <w:rsid w:val="42AA04E2"/>
    <w:rsid w:val="42AB0C22"/>
    <w:rsid w:val="42AD499A"/>
    <w:rsid w:val="42B555FD"/>
    <w:rsid w:val="42BF022A"/>
    <w:rsid w:val="42C66D34"/>
    <w:rsid w:val="42CC5625"/>
    <w:rsid w:val="42D9578F"/>
    <w:rsid w:val="42DB23BC"/>
    <w:rsid w:val="42E14644"/>
    <w:rsid w:val="42E421CA"/>
    <w:rsid w:val="42FD3BF5"/>
    <w:rsid w:val="42FE0D52"/>
    <w:rsid w:val="430345BA"/>
    <w:rsid w:val="43095949"/>
    <w:rsid w:val="431762B8"/>
    <w:rsid w:val="43193DDE"/>
    <w:rsid w:val="43212C92"/>
    <w:rsid w:val="43324E9F"/>
    <w:rsid w:val="433E1A96"/>
    <w:rsid w:val="433E7706"/>
    <w:rsid w:val="434150E2"/>
    <w:rsid w:val="434626F9"/>
    <w:rsid w:val="434E26FB"/>
    <w:rsid w:val="43557B07"/>
    <w:rsid w:val="43792ACE"/>
    <w:rsid w:val="437E00E5"/>
    <w:rsid w:val="43814017"/>
    <w:rsid w:val="438E0F66"/>
    <w:rsid w:val="4392593E"/>
    <w:rsid w:val="439671DC"/>
    <w:rsid w:val="43A6660D"/>
    <w:rsid w:val="43AB2A94"/>
    <w:rsid w:val="43B458B4"/>
    <w:rsid w:val="43C55D14"/>
    <w:rsid w:val="43CC52F4"/>
    <w:rsid w:val="43CE06CA"/>
    <w:rsid w:val="43D47D05"/>
    <w:rsid w:val="43D63A7D"/>
    <w:rsid w:val="43DB1093"/>
    <w:rsid w:val="43DE0B83"/>
    <w:rsid w:val="43E02B4D"/>
    <w:rsid w:val="43EC5A7C"/>
    <w:rsid w:val="43F263DD"/>
    <w:rsid w:val="43F3462F"/>
    <w:rsid w:val="43F565F9"/>
    <w:rsid w:val="43F62371"/>
    <w:rsid w:val="43F6411F"/>
    <w:rsid w:val="43FB7987"/>
    <w:rsid w:val="43FD36FF"/>
    <w:rsid w:val="440700DA"/>
    <w:rsid w:val="440D3A32"/>
    <w:rsid w:val="441402FB"/>
    <w:rsid w:val="44166A5A"/>
    <w:rsid w:val="44213CB5"/>
    <w:rsid w:val="44223166"/>
    <w:rsid w:val="44315157"/>
    <w:rsid w:val="443C797B"/>
    <w:rsid w:val="443D3AFC"/>
    <w:rsid w:val="44421112"/>
    <w:rsid w:val="445C4E37"/>
    <w:rsid w:val="445F34B4"/>
    <w:rsid w:val="44654E01"/>
    <w:rsid w:val="44663053"/>
    <w:rsid w:val="447514E8"/>
    <w:rsid w:val="44784B34"/>
    <w:rsid w:val="447D039C"/>
    <w:rsid w:val="448160DE"/>
    <w:rsid w:val="44896D41"/>
    <w:rsid w:val="448C05DF"/>
    <w:rsid w:val="448C6831"/>
    <w:rsid w:val="44901E7E"/>
    <w:rsid w:val="44934F90"/>
    <w:rsid w:val="44956565"/>
    <w:rsid w:val="44965CD9"/>
    <w:rsid w:val="44A504D3"/>
    <w:rsid w:val="44BA15F0"/>
    <w:rsid w:val="44BC0EC5"/>
    <w:rsid w:val="44C45FCB"/>
    <w:rsid w:val="44C85ABB"/>
    <w:rsid w:val="44E919BB"/>
    <w:rsid w:val="44E95A32"/>
    <w:rsid w:val="44ED504B"/>
    <w:rsid w:val="44F05012"/>
    <w:rsid w:val="44F20D8A"/>
    <w:rsid w:val="44F248E6"/>
    <w:rsid w:val="44F56185"/>
    <w:rsid w:val="450D34CE"/>
    <w:rsid w:val="450D7972"/>
    <w:rsid w:val="451C7BB5"/>
    <w:rsid w:val="451E1B7F"/>
    <w:rsid w:val="45244CBC"/>
    <w:rsid w:val="452C3E8A"/>
    <w:rsid w:val="452F5B3A"/>
    <w:rsid w:val="45352A25"/>
    <w:rsid w:val="453942C3"/>
    <w:rsid w:val="453D30B5"/>
    <w:rsid w:val="454509A3"/>
    <w:rsid w:val="454E56C4"/>
    <w:rsid w:val="45505AB1"/>
    <w:rsid w:val="456A0921"/>
    <w:rsid w:val="456A4DC4"/>
    <w:rsid w:val="456F23DB"/>
    <w:rsid w:val="4577303D"/>
    <w:rsid w:val="457C4AF8"/>
    <w:rsid w:val="457C68A6"/>
    <w:rsid w:val="457D73B7"/>
    <w:rsid w:val="45800144"/>
    <w:rsid w:val="458F65D9"/>
    <w:rsid w:val="45921C25"/>
    <w:rsid w:val="459C0CF6"/>
    <w:rsid w:val="45A32084"/>
    <w:rsid w:val="45A71B75"/>
    <w:rsid w:val="45AD256B"/>
    <w:rsid w:val="45AD7395"/>
    <w:rsid w:val="45B47DEE"/>
    <w:rsid w:val="45B918A8"/>
    <w:rsid w:val="45B93656"/>
    <w:rsid w:val="45BB117C"/>
    <w:rsid w:val="45BE0C6C"/>
    <w:rsid w:val="45D24718"/>
    <w:rsid w:val="45DC07AB"/>
    <w:rsid w:val="45E06E35"/>
    <w:rsid w:val="45E21865"/>
    <w:rsid w:val="45EC3A2B"/>
    <w:rsid w:val="45EF19CA"/>
    <w:rsid w:val="45F20916"/>
    <w:rsid w:val="45F70027"/>
    <w:rsid w:val="45FB6FE8"/>
    <w:rsid w:val="46012F69"/>
    <w:rsid w:val="460139DA"/>
    <w:rsid w:val="46077070"/>
    <w:rsid w:val="4609638B"/>
    <w:rsid w:val="461A2CA3"/>
    <w:rsid w:val="46236D21"/>
    <w:rsid w:val="46293F7E"/>
    <w:rsid w:val="46295027"/>
    <w:rsid w:val="462A6302"/>
    <w:rsid w:val="46325C21"/>
    <w:rsid w:val="463351B6"/>
    <w:rsid w:val="46367BC0"/>
    <w:rsid w:val="46401681"/>
    <w:rsid w:val="464B69A4"/>
    <w:rsid w:val="46547170"/>
    <w:rsid w:val="466F579B"/>
    <w:rsid w:val="467D0B27"/>
    <w:rsid w:val="46841EB6"/>
    <w:rsid w:val="46893028"/>
    <w:rsid w:val="468C72C9"/>
    <w:rsid w:val="469B2D5C"/>
    <w:rsid w:val="46A41C10"/>
    <w:rsid w:val="46A936CA"/>
    <w:rsid w:val="46A95479"/>
    <w:rsid w:val="46AA2F9F"/>
    <w:rsid w:val="46B362F7"/>
    <w:rsid w:val="46B43DEC"/>
    <w:rsid w:val="46BD7176"/>
    <w:rsid w:val="46CA3DCA"/>
    <w:rsid w:val="46CC3936"/>
    <w:rsid w:val="46D36999"/>
    <w:rsid w:val="46D467C4"/>
    <w:rsid w:val="46D5626E"/>
    <w:rsid w:val="46DC75FC"/>
    <w:rsid w:val="46DF533E"/>
    <w:rsid w:val="46E12E64"/>
    <w:rsid w:val="46E14C12"/>
    <w:rsid w:val="46E42955"/>
    <w:rsid w:val="46F661E4"/>
    <w:rsid w:val="470703F1"/>
    <w:rsid w:val="4712301E"/>
    <w:rsid w:val="471A45C8"/>
    <w:rsid w:val="471C5C4A"/>
    <w:rsid w:val="472745EF"/>
    <w:rsid w:val="473016F6"/>
    <w:rsid w:val="4734568A"/>
    <w:rsid w:val="47356D0C"/>
    <w:rsid w:val="473F5DDD"/>
    <w:rsid w:val="47431429"/>
    <w:rsid w:val="474433F3"/>
    <w:rsid w:val="47503B46"/>
    <w:rsid w:val="47507FEA"/>
    <w:rsid w:val="4760647F"/>
    <w:rsid w:val="47694C08"/>
    <w:rsid w:val="477375C7"/>
    <w:rsid w:val="47777325"/>
    <w:rsid w:val="47867568"/>
    <w:rsid w:val="4791488A"/>
    <w:rsid w:val="479559FD"/>
    <w:rsid w:val="479C6D8B"/>
    <w:rsid w:val="47A0687C"/>
    <w:rsid w:val="47A125F4"/>
    <w:rsid w:val="47A619B8"/>
    <w:rsid w:val="47A66166"/>
    <w:rsid w:val="47B642F1"/>
    <w:rsid w:val="47C6205A"/>
    <w:rsid w:val="47CD163B"/>
    <w:rsid w:val="47D227AD"/>
    <w:rsid w:val="47D44777"/>
    <w:rsid w:val="47D91D8D"/>
    <w:rsid w:val="47DE1152"/>
    <w:rsid w:val="47FE17F4"/>
    <w:rsid w:val="480B0368"/>
    <w:rsid w:val="4812529F"/>
    <w:rsid w:val="481A105A"/>
    <w:rsid w:val="482254E2"/>
    <w:rsid w:val="48254FD3"/>
    <w:rsid w:val="48256D81"/>
    <w:rsid w:val="482A4397"/>
    <w:rsid w:val="482C010F"/>
    <w:rsid w:val="48496326"/>
    <w:rsid w:val="484C07B1"/>
    <w:rsid w:val="48517B76"/>
    <w:rsid w:val="48621D83"/>
    <w:rsid w:val="48655C56"/>
    <w:rsid w:val="48657AC5"/>
    <w:rsid w:val="486A0C38"/>
    <w:rsid w:val="486A50DB"/>
    <w:rsid w:val="48757D08"/>
    <w:rsid w:val="487E46E3"/>
    <w:rsid w:val="487E54FB"/>
    <w:rsid w:val="48861F15"/>
    <w:rsid w:val="488717E9"/>
    <w:rsid w:val="48945CB4"/>
    <w:rsid w:val="48AA54D8"/>
    <w:rsid w:val="48BC6665"/>
    <w:rsid w:val="48C43A71"/>
    <w:rsid w:val="48CC36A0"/>
    <w:rsid w:val="48CE11C6"/>
    <w:rsid w:val="48CE7418"/>
    <w:rsid w:val="48D72771"/>
    <w:rsid w:val="48DA7B6B"/>
    <w:rsid w:val="48DF5182"/>
    <w:rsid w:val="48E649AE"/>
    <w:rsid w:val="48E76F6B"/>
    <w:rsid w:val="48EC789E"/>
    <w:rsid w:val="48F14EB5"/>
    <w:rsid w:val="4910358D"/>
    <w:rsid w:val="49117305"/>
    <w:rsid w:val="491C0184"/>
    <w:rsid w:val="4929464F"/>
    <w:rsid w:val="493C2436"/>
    <w:rsid w:val="4942433F"/>
    <w:rsid w:val="49431BB4"/>
    <w:rsid w:val="49584F34"/>
    <w:rsid w:val="49647D7D"/>
    <w:rsid w:val="496833C9"/>
    <w:rsid w:val="497004D0"/>
    <w:rsid w:val="49730464"/>
    <w:rsid w:val="497F6965"/>
    <w:rsid w:val="498A4734"/>
    <w:rsid w:val="498E0956"/>
    <w:rsid w:val="499A554C"/>
    <w:rsid w:val="499E6C57"/>
    <w:rsid w:val="49A11DCC"/>
    <w:rsid w:val="49A5461D"/>
    <w:rsid w:val="49BC2984"/>
    <w:rsid w:val="49BE748D"/>
    <w:rsid w:val="49C3230F"/>
    <w:rsid w:val="49CF51F6"/>
    <w:rsid w:val="49D40A5E"/>
    <w:rsid w:val="49D51330"/>
    <w:rsid w:val="49D72799"/>
    <w:rsid w:val="49D97E23"/>
    <w:rsid w:val="49E07403"/>
    <w:rsid w:val="49E6291A"/>
    <w:rsid w:val="49E86A9E"/>
    <w:rsid w:val="49EA6E16"/>
    <w:rsid w:val="49F64E79"/>
    <w:rsid w:val="4A007AA5"/>
    <w:rsid w:val="4A0155CC"/>
    <w:rsid w:val="4A0A26D2"/>
    <w:rsid w:val="4A125911"/>
    <w:rsid w:val="4A301A0D"/>
    <w:rsid w:val="4A314103"/>
    <w:rsid w:val="4A435BE4"/>
    <w:rsid w:val="4A4628E8"/>
    <w:rsid w:val="4A477482"/>
    <w:rsid w:val="4A5120AF"/>
    <w:rsid w:val="4A566D20"/>
    <w:rsid w:val="4A5B700A"/>
    <w:rsid w:val="4A6C0C97"/>
    <w:rsid w:val="4A722025"/>
    <w:rsid w:val="4A757BB4"/>
    <w:rsid w:val="4A881849"/>
    <w:rsid w:val="4A8B6CE7"/>
    <w:rsid w:val="4A9401EE"/>
    <w:rsid w:val="4A9B77CE"/>
    <w:rsid w:val="4AA30431"/>
    <w:rsid w:val="4AA93C99"/>
    <w:rsid w:val="4AAC19DB"/>
    <w:rsid w:val="4ABA5EA6"/>
    <w:rsid w:val="4ACA3C0F"/>
    <w:rsid w:val="4ACB2B41"/>
    <w:rsid w:val="4AD35E1A"/>
    <w:rsid w:val="4AD666AF"/>
    <w:rsid w:val="4AD77C59"/>
    <w:rsid w:val="4AE20F59"/>
    <w:rsid w:val="4AE271AB"/>
    <w:rsid w:val="4AE42F23"/>
    <w:rsid w:val="4AF62C56"/>
    <w:rsid w:val="4AF8490A"/>
    <w:rsid w:val="4AFB1CF7"/>
    <w:rsid w:val="4AFB557E"/>
    <w:rsid w:val="4AFF1B0B"/>
    <w:rsid w:val="4B0B4954"/>
    <w:rsid w:val="4B1C4ECA"/>
    <w:rsid w:val="4B223A4B"/>
    <w:rsid w:val="4B2A63DE"/>
    <w:rsid w:val="4B3519D1"/>
    <w:rsid w:val="4B386DCB"/>
    <w:rsid w:val="4B3A6FE7"/>
    <w:rsid w:val="4B3D6AD7"/>
    <w:rsid w:val="4B5C51AF"/>
    <w:rsid w:val="4B5F07FC"/>
    <w:rsid w:val="4B62209A"/>
    <w:rsid w:val="4B6B7E57"/>
    <w:rsid w:val="4B6D116B"/>
    <w:rsid w:val="4B771FE9"/>
    <w:rsid w:val="4B773D97"/>
    <w:rsid w:val="4B7818BD"/>
    <w:rsid w:val="4B78366B"/>
    <w:rsid w:val="4B7C13AE"/>
    <w:rsid w:val="4B7C7600"/>
    <w:rsid w:val="4B7F49FA"/>
    <w:rsid w:val="4B893ACB"/>
    <w:rsid w:val="4B941C34"/>
    <w:rsid w:val="4B95246F"/>
    <w:rsid w:val="4B9A5CD8"/>
    <w:rsid w:val="4B9C0C9C"/>
    <w:rsid w:val="4BA206E8"/>
    <w:rsid w:val="4BA61A6D"/>
    <w:rsid w:val="4BAD5A0B"/>
    <w:rsid w:val="4BAE0BB6"/>
    <w:rsid w:val="4BB02E05"/>
    <w:rsid w:val="4BB74194"/>
    <w:rsid w:val="4BC93EC7"/>
    <w:rsid w:val="4BCB2B40"/>
    <w:rsid w:val="4BD302E8"/>
    <w:rsid w:val="4BD411EA"/>
    <w:rsid w:val="4BDE3E16"/>
    <w:rsid w:val="4BE44913"/>
    <w:rsid w:val="4BEE392E"/>
    <w:rsid w:val="4BF058F8"/>
    <w:rsid w:val="4BF076A6"/>
    <w:rsid w:val="4BF453E8"/>
    <w:rsid w:val="4BFC604B"/>
    <w:rsid w:val="4C0F2222"/>
    <w:rsid w:val="4C107D48"/>
    <w:rsid w:val="4C167EC0"/>
    <w:rsid w:val="4C174D62"/>
    <w:rsid w:val="4C2130F3"/>
    <w:rsid w:val="4C2C2DD4"/>
    <w:rsid w:val="4C312198"/>
    <w:rsid w:val="4C3262BB"/>
    <w:rsid w:val="4C404189"/>
    <w:rsid w:val="4C431ECB"/>
    <w:rsid w:val="4C516396"/>
    <w:rsid w:val="4C523EBC"/>
    <w:rsid w:val="4C5B5467"/>
    <w:rsid w:val="4C675DE6"/>
    <w:rsid w:val="4C6E567F"/>
    <w:rsid w:val="4C711F79"/>
    <w:rsid w:val="4C8229F4"/>
    <w:rsid w:val="4C87625C"/>
    <w:rsid w:val="4C891FD4"/>
    <w:rsid w:val="4C8C3872"/>
    <w:rsid w:val="4C8D3147"/>
    <w:rsid w:val="4C935807"/>
    <w:rsid w:val="4C997D3D"/>
    <w:rsid w:val="4C9B5863"/>
    <w:rsid w:val="4C9D782D"/>
    <w:rsid w:val="4CA301C9"/>
    <w:rsid w:val="4CA536CC"/>
    <w:rsid w:val="4CA54934"/>
    <w:rsid w:val="4CAA1F4A"/>
    <w:rsid w:val="4CAE1A3B"/>
    <w:rsid w:val="4CAF130F"/>
    <w:rsid w:val="4CB608EF"/>
    <w:rsid w:val="4CC56D84"/>
    <w:rsid w:val="4CE1117D"/>
    <w:rsid w:val="4CE70AA9"/>
    <w:rsid w:val="4CEC4311"/>
    <w:rsid w:val="4CF03E01"/>
    <w:rsid w:val="4CF45FCD"/>
    <w:rsid w:val="4CF9711C"/>
    <w:rsid w:val="4CFA2DD6"/>
    <w:rsid w:val="4D0A2F51"/>
    <w:rsid w:val="4D135D42"/>
    <w:rsid w:val="4D150064"/>
    <w:rsid w:val="4D16138E"/>
    <w:rsid w:val="4D175F8A"/>
    <w:rsid w:val="4D227D33"/>
    <w:rsid w:val="4D245859"/>
    <w:rsid w:val="4D283CA5"/>
    <w:rsid w:val="4D3161C8"/>
    <w:rsid w:val="4D333CEE"/>
    <w:rsid w:val="4D403020"/>
    <w:rsid w:val="4D5015E7"/>
    <w:rsid w:val="4D5E08FC"/>
    <w:rsid w:val="4D6471EF"/>
    <w:rsid w:val="4D7B242B"/>
    <w:rsid w:val="4D7F6F33"/>
    <w:rsid w:val="4D8F3F46"/>
    <w:rsid w:val="4D950505"/>
    <w:rsid w:val="4D956757"/>
    <w:rsid w:val="4D970721"/>
    <w:rsid w:val="4D9C3C64"/>
    <w:rsid w:val="4DAE5F5E"/>
    <w:rsid w:val="4DB03590"/>
    <w:rsid w:val="4DB210B7"/>
    <w:rsid w:val="4DB27309"/>
    <w:rsid w:val="4DB52955"/>
    <w:rsid w:val="4DB56DF9"/>
    <w:rsid w:val="4DBA6E7C"/>
    <w:rsid w:val="4DC82688"/>
    <w:rsid w:val="4DCA6127"/>
    <w:rsid w:val="4DCC44CA"/>
    <w:rsid w:val="4DCD4142"/>
    <w:rsid w:val="4DE374C2"/>
    <w:rsid w:val="4DEF40B9"/>
    <w:rsid w:val="4DF01BDF"/>
    <w:rsid w:val="4DF55447"/>
    <w:rsid w:val="4DFA2A5E"/>
    <w:rsid w:val="4DFE60AA"/>
    <w:rsid w:val="4E035DB6"/>
    <w:rsid w:val="4E1C4782"/>
    <w:rsid w:val="4E257ADB"/>
    <w:rsid w:val="4E2B0E69"/>
    <w:rsid w:val="4E2F0959"/>
    <w:rsid w:val="4E3C3076"/>
    <w:rsid w:val="4E3F66C2"/>
    <w:rsid w:val="4E52289A"/>
    <w:rsid w:val="4E5618F2"/>
    <w:rsid w:val="4E5A52AA"/>
    <w:rsid w:val="4E5C54C6"/>
    <w:rsid w:val="4E6B74B7"/>
    <w:rsid w:val="4E7229C3"/>
    <w:rsid w:val="4E726A98"/>
    <w:rsid w:val="4E7520E4"/>
    <w:rsid w:val="4E7C32D2"/>
    <w:rsid w:val="4E8862BB"/>
    <w:rsid w:val="4E8F13F8"/>
    <w:rsid w:val="4E9407BC"/>
    <w:rsid w:val="4EA12ED9"/>
    <w:rsid w:val="4EAC01FC"/>
    <w:rsid w:val="4EC015B1"/>
    <w:rsid w:val="4EC72940"/>
    <w:rsid w:val="4ED65279"/>
    <w:rsid w:val="4ED82D9F"/>
    <w:rsid w:val="4EDB6B6F"/>
    <w:rsid w:val="4EE07EA5"/>
    <w:rsid w:val="4EE670FE"/>
    <w:rsid w:val="4EF83441"/>
    <w:rsid w:val="4F0A6CD0"/>
    <w:rsid w:val="4F0E67C1"/>
    <w:rsid w:val="4F1A35E2"/>
    <w:rsid w:val="4F22226C"/>
    <w:rsid w:val="4F24484D"/>
    <w:rsid w:val="4F2935FA"/>
    <w:rsid w:val="4F2F6737"/>
    <w:rsid w:val="4F336227"/>
    <w:rsid w:val="4F423F95"/>
    <w:rsid w:val="4F455F5A"/>
    <w:rsid w:val="4F4C72E9"/>
    <w:rsid w:val="4F5543EF"/>
    <w:rsid w:val="4F560168"/>
    <w:rsid w:val="4F676753"/>
    <w:rsid w:val="4F6F4D85"/>
    <w:rsid w:val="4F836083"/>
    <w:rsid w:val="4F894099"/>
    <w:rsid w:val="4F912F4E"/>
    <w:rsid w:val="4F9B5B7A"/>
    <w:rsid w:val="4FA40ED3"/>
    <w:rsid w:val="4FA669F9"/>
    <w:rsid w:val="4FAB400F"/>
    <w:rsid w:val="4FAE6A0C"/>
    <w:rsid w:val="4FB54E8E"/>
    <w:rsid w:val="4FB629B4"/>
    <w:rsid w:val="4FC60E49"/>
    <w:rsid w:val="4FCE5F50"/>
    <w:rsid w:val="4FD23C92"/>
    <w:rsid w:val="4FD80B7D"/>
    <w:rsid w:val="4FD95020"/>
    <w:rsid w:val="4FDC039B"/>
    <w:rsid w:val="4FEB6B02"/>
    <w:rsid w:val="4FFD05E3"/>
    <w:rsid w:val="50151DD1"/>
    <w:rsid w:val="501A5E16"/>
    <w:rsid w:val="501B3C78"/>
    <w:rsid w:val="501E0C85"/>
    <w:rsid w:val="501E4797"/>
    <w:rsid w:val="50282F8E"/>
    <w:rsid w:val="50286CD9"/>
    <w:rsid w:val="502E3957"/>
    <w:rsid w:val="503C110B"/>
    <w:rsid w:val="504306EC"/>
    <w:rsid w:val="50483F54"/>
    <w:rsid w:val="5052092F"/>
    <w:rsid w:val="50642410"/>
    <w:rsid w:val="506503BB"/>
    <w:rsid w:val="50677322"/>
    <w:rsid w:val="50720FD1"/>
    <w:rsid w:val="507A1C34"/>
    <w:rsid w:val="507C3BFE"/>
    <w:rsid w:val="50811B32"/>
    <w:rsid w:val="508D7BB9"/>
    <w:rsid w:val="509C604E"/>
    <w:rsid w:val="50AF18DD"/>
    <w:rsid w:val="50B11AF9"/>
    <w:rsid w:val="50B26500"/>
    <w:rsid w:val="50B26775"/>
    <w:rsid w:val="50BB0282"/>
    <w:rsid w:val="50BE5FC4"/>
    <w:rsid w:val="50CF01D2"/>
    <w:rsid w:val="50F32112"/>
    <w:rsid w:val="5100038B"/>
    <w:rsid w:val="51165E00"/>
    <w:rsid w:val="51234079"/>
    <w:rsid w:val="51254295"/>
    <w:rsid w:val="51275918"/>
    <w:rsid w:val="51380BCD"/>
    <w:rsid w:val="51387B25"/>
    <w:rsid w:val="513A1AEF"/>
    <w:rsid w:val="51452242"/>
    <w:rsid w:val="51463280"/>
    <w:rsid w:val="514A5AAA"/>
    <w:rsid w:val="514E559A"/>
    <w:rsid w:val="514E65F3"/>
    <w:rsid w:val="514F62E4"/>
    <w:rsid w:val="515406D7"/>
    <w:rsid w:val="516052CE"/>
    <w:rsid w:val="516528E4"/>
    <w:rsid w:val="5167665C"/>
    <w:rsid w:val="51791EEB"/>
    <w:rsid w:val="517B5C63"/>
    <w:rsid w:val="517F39A6"/>
    <w:rsid w:val="519D3E2C"/>
    <w:rsid w:val="51A0391C"/>
    <w:rsid w:val="51A451BA"/>
    <w:rsid w:val="51A95109"/>
    <w:rsid w:val="51AC5E5D"/>
    <w:rsid w:val="51B7313F"/>
    <w:rsid w:val="51C413B8"/>
    <w:rsid w:val="51CB0999"/>
    <w:rsid w:val="51D33CF1"/>
    <w:rsid w:val="51DD06CC"/>
    <w:rsid w:val="51E657D3"/>
    <w:rsid w:val="51E82F6F"/>
    <w:rsid w:val="51F0037B"/>
    <w:rsid w:val="51F021AD"/>
    <w:rsid w:val="51F04317"/>
    <w:rsid w:val="51F31C9E"/>
    <w:rsid w:val="51F55A16"/>
    <w:rsid w:val="51FB0B52"/>
    <w:rsid w:val="52081BED"/>
    <w:rsid w:val="5208399B"/>
    <w:rsid w:val="52141834"/>
    <w:rsid w:val="521A722A"/>
    <w:rsid w:val="522462FB"/>
    <w:rsid w:val="52281131"/>
    <w:rsid w:val="525564B4"/>
    <w:rsid w:val="52595FA5"/>
    <w:rsid w:val="525B28BD"/>
    <w:rsid w:val="5260237F"/>
    <w:rsid w:val="52614E59"/>
    <w:rsid w:val="52662470"/>
    <w:rsid w:val="526B217C"/>
    <w:rsid w:val="529C2335"/>
    <w:rsid w:val="529F5982"/>
    <w:rsid w:val="52AB07CA"/>
    <w:rsid w:val="52B15DE1"/>
    <w:rsid w:val="52B61649"/>
    <w:rsid w:val="52B7716F"/>
    <w:rsid w:val="52C13B4A"/>
    <w:rsid w:val="52C33D66"/>
    <w:rsid w:val="52CA29FF"/>
    <w:rsid w:val="52D23FA9"/>
    <w:rsid w:val="52E77A54"/>
    <w:rsid w:val="52EE4A1B"/>
    <w:rsid w:val="52F1442F"/>
    <w:rsid w:val="52FF0538"/>
    <w:rsid w:val="530028C4"/>
    <w:rsid w:val="53005FBA"/>
    <w:rsid w:val="530323B4"/>
    <w:rsid w:val="530C3017"/>
    <w:rsid w:val="531243A6"/>
    <w:rsid w:val="531427A3"/>
    <w:rsid w:val="531445C2"/>
    <w:rsid w:val="53204D14"/>
    <w:rsid w:val="532B216B"/>
    <w:rsid w:val="5334256E"/>
    <w:rsid w:val="53397B84"/>
    <w:rsid w:val="533D3EEC"/>
    <w:rsid w:val="534529CD"/>
    <w:rsid w:val="53456529"/>
    <w:rsid w:val="53463A85"/>
    <w:rsid w:val="534A7FE3"/>
    <w:rsid w:val="534D3630"/>
    <w:rsid w:val="53570BC7"/>
    <w:rsid w:val="53603363"/>
    <w:rsid w:val="536A41E2"/>
    <w:rsid w:val="53733096"/>
    <w:rsid w:val="5382777D"/>
    <w:rsid w:val="538C05FC"/>
    <w:rsid w:val="538C4158"/>
    <w:rsid w:val="5394300C"/>
    <w:rsid w:val="539C385A"/>
    <w:rsid w:val="53B536AF"/>
    <w:rsid w:val="53BF452D"/>
    <w:rsid w:val="53C47D96"/>
    <w:rsid w:val="53CF48A7"/>
    <w:rsid w:val="53DD2C05"/>
    <w:rsid w:val="53E421E6"/>
    <w:rsid w:val="53F02939"/>
    <w:rsid w:val="53F046E7"/>
    <w:rsid w:val="53F8359B"/>
    <w:rsid w:val="540C73F1"/>
    <w:rsid w:val="54120B01"/>
    <w:rsid w:val="541E3671"/>
    <w:rsid w:val="54267F9B"/>
    <w:rsid w:val="542B571F"/>
    <w:rsid w:val="542E520F"/>
    <w:rsid w:val="54336CC9"/>
    <w:rsid w:val="543C16DA"/>
    <w:rsid w:val="543C3DD0"/>
    <w:rsid w:val="543C792C"/>
    <w:rsid w:val="544D14DF"/>
    <w:rsid w:val="544E58B1"/>
    <w:rsid w:val="544E765F"/>
    <w:rsid w:val="545033D7"/>
    <w:rsid w:val="54534C76"/>
    <w:rsid w:val="545C7FCE"/>
    <w:rsid w:val="54615FF5"/>
    <w:rsid w:val="547215A0"/>
    <w:rsid w:val="5472334E"/>
    <w:rsid w:val="54752E3E"/>
    <w:rsid w:val="547A66A6"/>
    <w:rsid w:val="5486329D"/>
    <w:rsid w:val="54877D10"/>
    <w:rsid w:val="54882B71"/>
    <w:rsid w:val="548968E9"/>
    <w:rsid w:val="548D6A45"/>
    <w:rsid w:val="5495703C"/>
    <w:rsid w:val="54A84FC1"/>
    <w:rsid w:val="54AA6F8B"/>
    <w:rsid w:val="54B25E40"/>
    <w:rsid w:val="54B41BB8"/>
    <w:rsid w:val="54B971CF"/>
    <w:rsid w:val="54C618EB"/>
    <w:rsid w:val="54C94F38"/>
    <w:rsid w:val="54CA13DC"/>
    <w:rsid w:val="54D1276A"/>
    <w:rsid w:val="54D97871"/>
    <w:rsid w:val="54DC110F"/>
    <w:rsid w:val="54DC2EBD"/>
    <w:rsid w:val="54DE6C35"/>
    <w:rsid w:val="54E0475B"/>
    <w:rsid w:val="54E12281"/>
    <w:rsid w:val="54E16725"/>
    <w:rsid w:val="54F75F49"/>
    <w:rsid w:val="55047989"/>
    <w:rsid w:val="5505540A"/>
    <w:rsid w:val="550D12C8"/>
    <w:rsid w:val="551663CF"/>
    <w:rsid w:val="551C775D"/>
    <w:rsid w:val="55216B22"/>
    <w:rsid w:val="55222FC6"/>
    <w:rsid w:val="55286102"/>
    <w:rsid w:val="552A1E7A"/>
    <w:rsid w:val="552B174F"/>
    <w:rsid w:val="552F7491"/>
    <w:rsid w:val="55306D65"/>
    <w:rsid w:val="554D7917"/>
    <w:rsid w:val="555E38D2"/>
    <w:rsid w:val="5560481F"/>
    <w:rsid w:val="5563713A"/>
    <w:rsid w:val="557F21C6"/>
    <w:rsid w:val="558A0B6B"/>
    <w:rsid w:val="558E2409"/>
    <w:rsid w:val="558F7F2F"/>
    <w:rsid w:val="55A0213D"/>
    <w:rsid w:val="55B47996"/>
    <w:rsid w:val="55C0633B"/>
    <w:rsid w:val="55C220B3"/>
    <w:rsid w:val="55C6781D"/>
    <w:rsid w:val="55D13859"/>
    <w:rsid w:val="55DB13C7"/>
    <w:rsid w:val="55DF4A13"/>
    <w:rsid w:val="55E72F2E"/>
    <w:rsid w:val="55EB785C"/>
    <w:rsid w:val="55F61D5C"/>
    <w:rsid w:val="56076140"/>
    <w:rsid w:val="560F1140"/>
    <w:rsid w:val="561346BC"/>
    <w:rsid w:val="56161BD4"/>
    <w:rsid w:val="561623FF"/>
    <w:rsid w:val="561843C9"/>
    <w:rsid w:val="565076BF"/>
    <w:rsid w:val="56521689"/>
    <w:rsid w:val="565E627F"/>
    <w:rsid w:val="565F3DA6"/>
    <w:rsid w:val="565F7902"/>
    <w:rsid w:val="56630BCA"/>
    <w:rsid w:val="56682C5A"/>
    <w:rsid w:val="566B274A"/>
    <w:rsid w:val="56837A94"/>
    <w:rsid w:val="568C3F8D"/>
    <w:rsid w:val="569E772A"/>
    <w:rsid w:val="56A812A9"/>
    <w:rsid w:val="56A95021"/>
    <w:rsid w:val="56B063AF"/>
    <w:rsid w:val="56D24578"/>
    <w:rsid w:val="56D26C7F"/>
    <w:rsid w:val="56E36785"/>
    <w:rsid w:val="56E90AA3"/>
    <w:rsid w:val="56F02C50"/>
    <w:rsid w:val="56F20776"/>
    <w:rsid w:val="56F94A4A"/>
    <w:rsid w:val="56FC33A3"/>
    <w:rsid w:val="5721105B"/>
    <w:rsid w:val="5728763B"/>
    <w:rsid w:val="572C012C"/>
    <w:rsid w:val="572D17AE"/>
    <w:rsid w:val="573669A4"/>
    <w:rsid w:val="573945F7"/>
    <w:rsid w:val="573B5393"/>
    <w:rsid w:val="574134AB"/>
    <w:rsid w:val="57460AC2"/>
    <w:rsid w:val="574D00A2"/>
    <w:rsid w:val="575823DC"/>
    <w:rsid w:val="57650F48"/>
    <w:rsid w:val="577F75DE"/>
    <w:rsid w:val="57831D16"/>
    <w:rsid w:val="578A6C00"/>
    <w:rsid w:val="578A6E9D"/>
    <w:rsid w:val="578D049F"/>
    <w:rsid w:val="57947A7F"/>
    <w:rsid w:val="57A51C8C"/>
    <w:rsid w:val="57A53A3A"/>
    <w:rsid w:val="57A852D8"/>
    <w:rsid w:val="57AF6667"/>
    <w:rsid w:val="57B974E6"/>
    <w:rsid w:val="57BF2D4E"/>
    <w:rsid w:val="57CA6C3D"/>
    <w:rsid w:val="57CC0FC7"/>
    <w:rsid w:val="57CE2F91"/>
    <w:rsid w:val="57DB3900"/>
    <w:rsid w:val="57E52089"/>
    <w:rsid w:val="57FB365A"/>
    <w:rsid w:val="57FF139C"/>
    <w:rsid w:val="581A4428"/>
    <w:rsid w:val="581D1822"/>
    <w:rsid w:val="581F559B"/>
    <w:rsid w:val="58294405"/>
    <w:rsid w:val="5829466B"/>
    <w:rsid w:val="583D0117"/>
    <w:rsid w:val="584E5E80"/>
    <w:rsid w:val="5851771E"/>
    <w:rsid w:val="58586CFE"/>
    <w:rsid w:val="585B234B"/>
    <w:rsid w:val="585B2F03"/>
    <w:rsid w:val="585D60C3"/>
    <w:rsid w:val="58670CF0"/>
    <w:rsid w:val="586D09FC"/>
    <w:rsid w:val="58767185"/>
    <w:rsid w:val="588841FA"/>
    <w:rsid w:val="588E2720"/>
    <w:rsid w:val="58920462"/>
    <w:rsid w:val="589C4E3D"/>
    <w:rsid w:val="58A15BF6"/>
    <w:rsid w:val="58A40196"/>
    <w:rsid w:val="58A65CBC"/>
    <w:rsid w:val="58AB4B55"/>
    <w:rsid w:val="58AE4B70"/>
    <w:rsid w:val="58B24661"/>
    <w:rsid w:val="58C223CA"/>
    <w:rsid w:val="58CA0FB8"/>
    <w:rsid w:val="58CD3249"/>
    <w:rsid w:val="58CF5213"/>
    <w:rsid w:val="58D00F8B"/>
    <w:rsid w:val="58E01999"/>
    <w:rsid w:val="58EB36CF"/>
    <w:rsid w:val="58F21EBB"/>
    <w:rsid w:val="58FC3B2E"/>
    <w:rsid w:val="590616F5"/>
    <w:rsid w:val="59080725"/>
    <w:rsid w:val="591470C9"/>
    <w:rsid w:val="59154BEF"/>
    <w:rsid w:val="5919023C"/>
    <w:rsid w:val="591B0458"/>
    <w:rsid w:val="591E1CF6"/>
    <w:rsid w:val="59205A6E"/>
    <w:rsid w:val="592866D1"/>
    <w:rsid w:val="59352B9C"/>
    <w:rsid w:val="59373B6B"/>
    <w:rsid w:val="594159E5"/>
    <w:rsid w:val="59484FC5"/>
    <w:rsid w:val="594D6137"/>
    <w:rsid w:val="594F1EAF"/>
    <w:rsid w:val="5952374E"/>
    <w:rsid w:val="595F3062"/>
    <w:rsid w:val="59637709"/>
    <w:rsid w:val="597162CA"/>
    <w:rsid w:val="597E7408"/>
    <w:rsid w:val="59837DAB"/>
    <w:rsid w:val="599154FE"/>
    <w:rsid w:val="599C4E7C"/>
    <w:rsid w:val="59A3044D"/>
    <w:rsid w:val="59A33FA9"/>
    <w:rsid w:val="59A71CEC"/>
    <w:rsid w:val="59A73A9A"/>
    <w:rsid w:val="59A87812"/>
    <w:rsid w:val="59AB20A1"/>
    <w:rsid w:val="59AC3230"/>
    <w:rsid w:val="59B166C6"/>
    <w:rsid w:val="59BD150F"/>
    <w:rsid w:val="59CF1242"/>
    <w:rsid w:val="59D423B5"/>
    <w:rsid w:val="59D601F1"/>
    <w:rsid w:val="59DB7BE7"/>
    <w:rsid w:val="59DF76D7"/>
    <w:rsid w:val="59E051FD"/>
    <w:rsid w:val="59FB3DE5"/>
    <w:rsid w:val="59FF38D6"/>
    <w:rsid w:val="5A0A5DD6"/>
    <w:rsid w:val="5A145A8B"/>
    <w:rsid w:val="5A2A46CB"/>
    <w:rsid w:val="5A2C3F9F"/>
    <w:rsid w:val="5A4168EC"/>
    <w:rsid w:val="5A44753A"/>
    <w:rsid w:val="5A47527D"/>
    <w:rsid w:val="5A4C2893"/>
    <w:rsid w:val="5A4E660B"/>
    <w:rsid w:val="5A511C57"/>
    <w:rsid w:val="5A557999"/>
    <w:rsid w:val="5A5A4FB0"/>
    <w:rsid w:val="5A5D684E"/>
    <w:rsid w:val="5A623E64"/>
    <w:rsid w:val="5A6574B1"/>
    <w:rsid w:val="5A755946"/>
    <w:rsid w:val="5A7A11AE"/>
    <w:rsid w:val="5A7D47FA"/>
    <w:rsid w:val="5A807D1E"/>
    <w:rsid w:val="5A8E07B6"/>
    <w:rsid w:val="5A9658BC"/>
    <w:rsid w:val="5A9A3496"/>
    <w:rsid w:val="5AA30F9C"/>
    <w:rsid w:val="5AA71877"/>
    <w:rsid w:val="5AAB75B9"/>
    <w:rsid w:val="5AAE70AA"/>
    <w:rsid w:val="5AB3021C"/>
    <w:rsid w:val="5AB83A84"/>
    <w:rsid w:val="5ABA15AB"/>
    <w:rsid w:val="5ABB1768"/>
    <w:rsid w:val="5AC97A40"/>
    <w:rsid w:val="5ADE0A23"/>
    <w:rsid w:val="5AE825BC"/>
    <w:rsid w:val="5AEE323C"/>
    <w:rsid w:val="5AFA22EF"/>
    <w:rsid w:val="5AFF0F58"/>
    <w:rsid w:val="5B0373F5"/>
    <w:rsid w:val="5B070568"/>
    <w:rsid w:val="5B0D3DD0"/>
    <w:rsid w:val="5B15697F"/>
    <w:rsid w:val="5B1C4013"/>
    <w:rsid w:val="5B2E3D47"/>
    <w:rsid w:val="5B3475AF"/>
    <w:rsid w:val="5B4A5024"/>
    <w:rsid w:val="5B4D241F"/>
    <w:rsid w:val="5B4F263B"/>
    <w:rsid w:val="5B553EE5"/>
    <w:rsid w:val="5B5C08B4"/>
    <w:rsid w:val="5B5E0F00"/>
    <w:rsid w:val="5B5E287E"/>
    <w:rsid w:val="5B6B6D49"/>
    <w:rsid w:val="5B761E9C"/>
    <w:rsid w:val="5B7976B8"/>
    <w:rsid w:val="5B7A6F8C"/>
    <w:rsid w:val="5B8027F4"/>
    <w:rsid w:val="5B8D6CBF"/>
    <w:rsid w:val="5B8E577B"/>
    <w:rsid w:val="5B8F47E5"/>
    <w:rsid w:val="5B9E2C7A"/>
    <w:rsid w:val="5BA069F2"/>
    <w:rsid w:val="5BA31A66"/>
    <w:rsid w:val="5BA629EB"/>
    <w:rsid w:val="5BA67D81"/>
    <w:rsid w:val="5BB95D06"/>
    <w:rsid w:val="5BBB7CD0"/>
    <w:rsid w:val="5BC07095"/>
    <w:rsid w:val="5BC87CF7"/>
    <w:rsid w:val="5BCB46CA"/>
    <w:rsid w:val="5BCB77E7"/>
    <w:rsid w:val="5BCC4E29"/>
    <w:rsid w:val="5BCC5A39"/>
    <w:rsid w:val="5BD7618C"/>
    <w:rsid w:val="5BDB7004"/>
    <w:rsid w:val="5BDE751B"/>
    <w:rsid w:val="5BE06819"/>
    <w:rsid w:val="5BE32D83"/>
    <w:rsid w:val="5BE54D4D"/>
    <w:rsid w:val="5BE82147"/>
    <w:rsid w:val="5BEA5EBF"/>
    <w:rsid w:val="5BEC60DC"/>
    <w:rsid w:val="5BEC7E8A"/>
    <w:rsid w:val="5BF44F90"/>
    <w:rsid w:val="5BF907F8"/>
    <w:rsid w:val="5BFE5E0F"/>
    <w:rsid w:val="5C025303"/>
    <w:rsid w:val="5C0351D3"/>
    <w:rsid w:val="5C040806"/>
    <w:rsid w:val="5C2515ED"/>
    <w:rsid w:val="5C2A09B2"/>
    <w:rsid w:val="5C34586C"/>
    <w:rsid w:val="5C3655A9"/>
    <w:rsid w:val="5C381321"/>
    <w:rsid w:val="5C3F18E4"/>
    <w:rsid w:val="5C3F445D"/>
    <w:rsid w:val="5C447CC6"/>
    <w:rsid w:val="5C48772A"/>
    <w:rsid w:val="5C4F0418"/>
    <w:rsid w:val="5C502358"/>
    <w:rsid w:val="5C5123E2"/>
    <w:rsid w:val="5C5617A7"/>
    <w:rsid w:val="5C5A1297"/>
    <w:rsid w:val="5C5E240A"/>
    <w:rsid w:val="5C6A5252"/>
    <w:rsid w:val="5C6D49B2"/>
    <w:rsid w:val="5C6E51CE"/>
    <w:rsid w:val="5C7834CB"/>
    <w:rsid w:val="5C981DBF"/>
    <w:rsid w:val="5C9A1694"/>
    <w:rsid w:val="5C9B365E"/>
    <w:rsid w:val="5C9F6CAA"/>
    <w:rsid w:val="5CA22C3E"/>
    <w:rsid w:val="5CA4708A"/>
    <w:rsid w:val="5CA97B29"/>
    <w:rsid w:val="5CAC604F"/>
    <w:rsid w:val="5CAD799A"/>
    <w:rsid w:val="5CAE3391"/>
    <w:rsid w:val="5CB163A0"/>
    <w:rsid w:val="5CD050B5"/>
    <w:rsid w:val="5CD5091E"/>
    <w:rsid w:val="5CD728E8"/>
    <w:rsid w:val="5CE91D7D"/>
    <w:rsid w:val="5CED3EB9"/>
    <w:rsid w:val="5CFF599B"/>
    <w:rsid w:val="5D153410"/>
    <w:rsid w:val="5D156F6C"/>
    <w:rsid w:val="5D1A0A26"/>
    <w:rsid w:val="5D331AE8"/>
    <w:rsid w:val="5D3D64C3"/>
    <w:rsid w:val="5D3F048D"/>
    <w:rsid w:val="5D445AA3"/>
    <w:rsid w:val="5D4635C9"/>
    <w:rsid w:val="5D465377"/>
    <w:rsid w:val="5D467A6D"/>
    <w:rsid w:val="5D6C05C8"/>
    <w:rsid w:val="5D6D6DA8"/>
    <w:rsid w:val="5D7874FB"/>
    <w:rsid w:val="5D79574D"/>
    <w:rsid w:val="5D83481E"/>
    <w:rsid w:val="5D8A5BAC"/>
    <w:rsid w:val="5D8D11F8"/>
    <w:rsid w:val="5D942587"/>
    <w:rsid w:val="5D951E96"/>
    <w:rsid w:val="5DAE407C"/>
    <w:rsid w:val="5DB46785"/>
    <w:rsid w:val="5DB76275"/>
    <w:rsid w:val="5DBD55D9"/>
    <w:rsid w:val="5DCB1D21"/>
    <w:rsid w:val="5DCB3ACF"/>
    <w:rsid w:val="5DCC17F7"/>
    <w:rsid w:val="5DCC7F73"/>
    <w:rsid w:val="5DCD7847"/>
    <w:rsid w:val="5DD72473"/>
    <w:rsid w:val="5DE03A1E"/>
    <w:rsid w:val="5DE352BC"/>
    <w:rsid w:val="5DE4797B"/>
    <w:rsid w:val="5DE60909"/>
    <w:rsid w:val="5DEF1EB3"/>
    <w:rsid w:val="5DF43025"/>
    <w:rsid w:val="5DFB0858"/>
    <w:rsid w:val="5DFE20F6"/>
    <w:rsid w:val="5E005E6E"/>
    <w:rsid w:val="5E08087F"/>
    <w:rsid w:val="5E084D23"/>
    <w:rsid w:val="5E127950"/>
    <w:rsid w:val="5E135BA1"/>
    <w:rsid w:val="5E1C257C"/>
    <w:rsid w:val="5E222D7F"/>
    <w:rsid w:val="5E2D162C"/>
    <w:rsid w:val="5E33213F"/>
    <w:rsid w:val="5E3922A0"/>
    <w:rsid w:val="5E453881"/>
    <w:rsid w:val="5E483371"/>
    <w:rsid w:val="5E5166CA"/>
    <w:rsid w:val="5E5A2ED9"/>
    <w:rsid w:val="5E5B41DD"/>
    <w:rsid w:val="5E5D6E1D"/>
    <w:rsid w:val="5E5F0DE7"/>
    <w:rsid w:val="5E604B5F"/>
    <w:rsid w:val="5E6D024E"/>
    <w:rsid w:val="5E6F4DA2"/>
    <w:rsid w:val="5E781EA8"/>
    <w:rsid w:val="5E7F4FE5"/>
    <w:rsid w:val="5E820631"/>
    <w:rsid w:val="5E822A4A"/>
    <w:rsid w:val="5E895323"/>
    <w:rsid w:val="5E9465B6"/>
    <w:rsid w:val="5EA031AD"/>
    <w:rsid w:val="5EAA5DDA"/>
    <w:rsid w:val="5EB86749"/>
    <w:rsid w:val="5EBA601D"/>
    <w:rsid w:val="5EBD78BB"/>
    <w:rsid w:val="5EC23124"/>
    <w:rsid w:val="5EDB5F93"/>
    <w:rsid w:val="5EE4309A"/>
    <w:rsid w:val="5EE475B9"/>
    <w:rsid w:val="5EF32937"/>
    <w:rsid w:val="5EF534F9"/>
    <w:rsid w:val="5EF84D97"/>
    <w:rsid w:val="5EFB03E4"/>
    <w:rsid w:val="5EFC4888"/>
    <w:rsid w:val="5F0E0117"/>
    <w:rsid w:val="5F1D035A"/>
    <w:rsid w:val="5F2142EE"/>
    <w:rsid w:val="5F2711D9"/>
    <w:rsid w:val="5F385194"/>
    <w:rsid w:val="5F3E6C4E"/>
    <w:rsid w:val="5F41673E"/>
    <w:rsid w:val="5F494D5F"/>
    <w:rsid w:val="5F4973A1"/>
    <w:rsid w:val="5F6D308F"/>
    <w:rsid w:val="5F7206A6"/>
    <w:rsid w:val="5F796BB3"/>
    <w:rsid w:val="5F7D1D36"/>
    <w:rsid w:val="5F906D7E"/>
    <w:rsid w:val="5F922AF6"/>
    <w:rsid w:val="5F9C3975"/>
    <w:rsid w:val="5FB213EA"/>
    <w:rsid w:val="5FC44C79"/>
    <w:rsid w:val="5FCC673D"/>
    <w:rsid w:val="5FE01AB3"/>
    <w:rsid w:val="5FFC3909"/>
    <w:rsid w:val="600532C8"/>
    <w:rsid w:val="600C0AFA"/>
    <w:rsid w:val="60275934"/>
    <w:rsid w:val="60285208"/>
    <w:rsid w:val="60395667"/>
    <w:rsid w:val="60457B68"/>
    <w:rsid w:val="60477D84"/>
    <w:rsid w:val="60553F98"/>
    <w:rsid w:val="6057789C"/>
    <w:rsid w:val="607522CE"/>
    <w:rsid w:val="607E307A"/>
    <w:rsid w:val="60830691"/>
    <w:rsid w:val="608B78E2"/>
    <w:rsid w:val="608D150F"/>
    <w:rsid w:val="609D1752"/>
    <w:rsid w:val="60A24FBB"/>
    <w:rsid w:val="60A31B19"/>
    <w:rsid w:val="60A9459B"/>
    <w:rsid w:val="60B13450"/>
    <w:rsid w:val="60B8658C"/>
    <w:rsid w:val="60CF16E3"/>
    <w:rsid w:val="60EA0710"/>
    <w:rsid w:val="60F82E2D"/>
    <w:rsid w:val="60FE43B8"/>
    <w:rsid w:val="61016185"/>
    <w:rsid w:val="61077514"/>
    <w:rsid w:val="610B0DB2"/>
    <w:rsid w:val="611F485D"/>
    <w:rsid w:val="6126799A"/>
    <w:rsid w:val="612C0D28"/>
    <w:rsid w:val="613320B7"/>
    <w:rsid w:val="61377D95"/>
    <w:rsid w:val="6142054C"/>
    <w:rsid w:val="614538A0"/>
    <w:rsid w:val="614E5143"/>
    <w:rsid w:val="61572249"/>
    <w:rsid w:val="615C0620"/>
    <w:rsid w:val="615F2EAC"/>
    <w:rsid w:val="6162474A"/>
    <w:rsid w:val="616B7AA3"/>
    <w:rsid w:val="616F07FA"/>
    <w:rsid w:val="61751E71"/>
    <w:rsid w:val="617821BF"/>
    <w:rsid w:val="617F354E"/>
    <w:rsid w:val="61860438"/>
    <w:rsid w:val="61907509"/>
    <w:rsid w:val="61915F1E"/>
    <w:rsid w:val="61923281"/>
    <w:rsid w:val="61932B55"/>
    <w:rsid w:val="619B42AF"/>
    <w:rsid w:val="619D4372"/>
    <w:rsid w:val="619F774C"/>
    <w:rsid w:val="61A62889"/>
    <w:rsid w:val="61A84853"/>
    <w:rsid w:val="61B56F70"/>
    <w:rsid w:val="61B73BDF"/>
    <w:rsid w:val="61B9080E"/>
    <w:rsid w:val="61BA6334"/>
    <w:rsid w:val="61BE0D38"/>
    <w:rsid w:val="61C3168D"/>
    <w:rsid w:val="61CA707C"/>
    <w:rsid w:val="61CB6793"/>
    <w:rsid w:val="61DF3FED"/>
    <w:rsid w:val="61E41603"/>
    <w:rsid w:val="61E74036"/>
    <w:rsid w:val="61E84C4F"/>
    <w:rsid w:val="61F636C4"/>
    <w:rsid w:val="61FF01EB"/>
    <w:rsid w:val="620121B5"/>
    <w:rsid w:val="62031A89"/>
    <w:rsid w:val="6206395E"/>
    <w:rsid w:val="620B6B90"/>
    <w:rsid w:val="62141EE8"/>
    <w:rsid w:val="62165C60"/>
    <w:rsid w:val="621C2B4B"/>
    <w:rsid w:val="621E2D67"/>
    <w:rsid w:val="62205C3F"/>
    <w:rsid w:val="6221580D"/>
    <w:rsid w:val="62265778"/>
    <w:rsid w:val="622A5268"/>
    <w:rsid w:val="623936FD"/>
    <w:rsid w:val="62402CDD"/>
    <w:rsid w:val="624D0F56"/>
    <w:rsid w:val="62522A10"/>
    <w:rsid w:val="6252656D"/>
    <w:rsid w:val="6267026A"/>
    <w:rsid w:val="626D33A6"/>
    <w:rsid w:val="626F5370"/>
    <w:rsid w:val="62712E97"/>
    <w:rsid w:val="62775FD3"/>
    <w:rsid w:val="62782477"/>
    <w:rsid w:val="627B5AC3"/>
    <w:rsid w:val="627C4C22"/>
    <w:rsid w:val="628030DA"/>
    <w:rsid w:val="62AE5E99"/>
    <w:rsid w:val="62BF00A6"/>
    <w:rsid w:val="62C467EA"/>
    <w:rsid w:val="62E32048"/>
    <w:rsid w:val="62EA2C49"/>
    <w:rsid w:val="62EB67A0"/>
    <w:rsid w:val="62EE2739"/>
    <w:rsid w:val="62F6339C"/>
    <w:rsid w:val="62FA7330"/>
    <w:rsid w:val="63016CD4"/>
    <w:rsid w:val="63035AB9"/>
    <w:rsid w:val="630737FB"/>
    <w:rsid w:val="63133F4E"/>
    <w:rsid w:val="63155F18"/>
    <w:rsid w:val="631A37CF"/>
    <w:rsid w:val="6321792E"/>
    <w:rsid w:val="63226E50"/>
    <w:rsid w:val="63377F11"/>
    <w:rsid w:val="633A597E"/>
    <w:rsid w:val="633B34A5"/>
    <w:rsid w:val="63402869"/>
    <w:rsid w:val="635307EE"/>
    <w:rsid w:val="635822A8"/>
    <w:rsid w:val="635F3637"/>
    <w:rsid w:val="6367429A"/>
    <w:rsid w:val="636F378B"/>
    <w:rsid w:val="637013A0"/>
    <w:rsid w:val="63715118"/>
    <w:rsid w:val="638B61DA"/>
    <w:rsid w:val="639A01CB"/>
    <w:rsid w:val="63A728E8"/>
    <w:rsid w:val="63AD6150"/>
    <w:rsid w:val="63AE1EC8"/>
    <w:rsid w:val="63B32720"/>
    <w:rsid w:val="63B76FCF"/>
    <w:rsid w:val="63C45248"/>
    <w:rsid w:val="63CB65D6"/>
    <w:rsid w:val="63D25BB7"/>
    <w:rsid w:val="63E31B72"/>
    <w:rsid w:val="63E6217C"/>
    <w:rsid w:val="63EE0517"/>
    <w:rsid w:val="63EE6769"/>
    <w:rsid w:val="63F024E1"/>
    <w:rsid w:val="63F06D02"/>
    <w:rsid w:val="63F975E8"/>
    <w:rsid w:val="63FC6E29"/>
    <w:rsid w:val="64104931"/>
    <w:rsid w:val="64177A6E"/>
    <w:rsid w:val="641920C5"/>
    <w:rsid w:val="642503DD"/>
    <w:rsid w:val="64261D20"/>
    <w:rsid w:val="64283A29"/>
    <w:rsid w:val="64287ECD"/>
    <w:rsid w:val="642B52C7"/>
    <w:rsid w:val="642E6B65"/>
    <w:rsid w:val="643248A8"/>
    <w:rsid w:val="64405216"/>
    <w:rsid w:val="64410F8F"/>
    <w:rsid w:val="64482C14"/>
    <w:rsid w:val="64591E34"/>
    <w:rsid w:val="645B3DFE"/>
    <w:rsid w:val="645E569D"/>
    <w:rsid w:val="64713DD8"/>
    <w:rsid w:val="64794284"/>
    <w:rsid w:val="647B7FFD"/>
    <w:rsid w:val="647E7AED"/>
    <w:rsid w:val="648C045C"/>
    <w:rsid w:val="64917820"/>
    <w:rsid w:val="649B069F"/>
    <w:rsid w:val="64A532CB"/>
    <w:rsid w:val="64A944EE"/>
    <w:rsid w:val="64AD03D2"/>
    <w:rsid w:val="64AF16BF"/>
    <w:rsid w:val="64B05BB8"/>
    <w:rsid w:val="64B368F6"/>
    <w:rsid w:val="64B4350F"/>
    <w:rsid w:val="64C51278"/>
    <w:rsid w:val="64EF4547"/>
    <w:rsid w:val="650023C2"/>
    <w:rsid w:val="65037FF2"/>
    <w:rsid w:val="65046244"/>
    <w:rsid w:val="650A312E"/>
    <w:rsid w:val="65113350"/>
    <w:rsid w:val="652512FD"/>
    <w:rsid w:val="6531196D"/>
    <w:rsid w:val="65426D6C"/>
    <w:rsid w:val="65457634"/>
    <w:rsid w:val="65474383"/>
    <w:rsid w:val="65476131"/>
    <w:rsid w:val="654900FB"/>
    <w:rsid w:val="65622F6B"/>
    <w:rsid w:val="656E190F"/>
    <w:rsid w:val="657213FC"/>
    <w:rsid w:val="6578453C"/>
    <w:rsid w:val="657D2B36"/>
    <w:rsid w:val="65850E7C"/>
    <w:rsid w:val="65896749"/>
    <w:rsid w:val="65A17F37"/>
    <w:rsid w:val="65A43583"/>
    <w:rsid w:val="65AB66C0"/>
    <w:rsid w:val="65B80DDC"/>
    <w:rsid w:val="65B8702E"/>
    <w:rsid w:val="65C8332D"/>
    <w:rsid w:val="65C9123C"/>
    <w:rsid w:val="65CE0600"/>
    <w:rsid w:val="65DC4ACB"/>
    <w:rsid w:val="65E6594A"/>
    <w:rsid w:val="65EE2A50"/>
    <w:rsid w:val="65F67457"/>
    <w:rsid w:val="65F75DA9"/>
    <w:rsid w:val="66100C18"/>
    <w:rsid w:val="661B4993"/>
    <w:rsid w:val="661E3335"/>
    <w:rsid w:val="66326DE1"/>
    <w:rsid w:val="663A30CA"/>
    <w:rsid w:val="66414053"/>
    <w:rsid w:val="66522FDF"/>
    <w:rsid w:val="66524D8D"/>
    <w:rsid w:val="66540B05"/>
    <w:rsid w:val="665D1B75"/>
    <w:rsid w:val="66693F13"/>
    <w:rsid w:val="66794A10"/>
    <w:rsid w:val="668A5502"/>
    <w:rsid w:val="669C06FE"/>
    <w:rsid w:val="66A12093"/>
    <w:rsid w:val="66A34FF2"/>
    <w:rsid w:val="66B15F58"/>
    <w:rsid w:val="66B21CD0"/>
    <w:rsid w:val="66BA2932"/>
    <w:rsid w:val="66BC48FC"/>
    <w:rsid w:val="66BE2423"/>
    <w:rsid w:val="66CA526B"/>
    <w:rsid w:val="66CB2AEA"/>
    <w:rsid w:val="66DB2FD4"/>
    <w:rsid w:val="66E005EB"/>
    <w:rsid w:val="66E77BCB"/>
    <w:rsid w:val="67050051"/>
    <w:rsid w:val="670F0ED0"/>
    <w:rsid w:val="671578AF"/>
    <w:rsid w:val="67191D4F"/>
    <w:rsid w:val="671D1438"/>
    <w:rsid w:val="671D35ED"/>
    <w:rsid w:val="67221143"/>
    <w:rsid w:val="6723497B"/>
    <w:rsid w:val="67256946"/>
    <w:rsid w:val="672901E4"/>
    <w:rsid w:val="673752E8"/>
    <w:rsid w:val="67387A63"/>
    <w:rsid w:val="67430B73"/>
    <w:rsid w:val="67452B44"/>
    <w:rsid w:val="67530DBD"/>
    <w:rsid w:val="67650AF0"/>
    <w:rsid w:val="67672ABA"/>
    <w:rsid w:val="676B363C"/>
    <w:rsid w:val="6779459B"/>
    <w:rsid w:val="677F7E04"/>
    <w:rsid w:val="67874F0A"/>
    <w:rsid w:val="67892A30"/>
    <w:rsid w:val="678F3DBF"/>
    <w:rsid w:val="679D028A"/>
    <w:rsid w:val="67A05FCC"/>
    <w:rsid w:val="67A07D7A"/>
    <w:rsid w:val="67A1421E"/>
    <w:rsid w:val="67A555B6"/>
    <w:rsid w:val="67AE2497"/>
    <w:rsid w:val="67BF615D"/>
    <w:rsid w:val="67C279C8"/>
    <w:rsid w:val="67C972D1"/>
    <w:rsid w:val="67CE3081"/>
    <w:rsid w:val="67D30F67"/>
    <w:rsid w:val="67DF4D46"/>
    <w:rsid w:val="67E934CF"/>
    <w:rsid w:val="67EC1211"/>
    <w:rsid w:val="67F307F2"/>
    <w:rsid w:val="67F81964"/>
    <w:rsid w:val="680622D3"/>
    <w:rsid w:val="6808604B"/>
    <w:rsid w:val="681C3547"/>
    <w:rsid w:val="68272F3B"/>
    <w:rsid w:val="682D7860"/>
    <w:rsid w:val="683230C8"/>
    <w:rsid w:val="6833299C"/>
    <w:rsid w:val="68420E31"/>
    <w:rsid w:val="68464DC5"/>
    <w:rsid w:val="684E5A28"/>
    <w:rsid w:val="685079F2"/>
    <w:rsid w:val="68523A33"/>
    <w:rsid w:val="6857373E"/>
    <w:rsid w:val="68685BD7"/>
    <w:rsid w:val="688A4CB2"/>
    <w:rsid w:val="689C2C37"/>
    <w:rsid w:val="68A13DAA"/>
    <w:rsid w:val="68A66D41"/>
    <w:rsid w:val="68AB2E7A"/>
    <w:rsid w:val="68AB4314"/>
    <w:rsid w:val="68AC53C7"/>
    <w:rsid w:val="68B25FB7"/>
    <w:rsid w:val="68C83A2C"/>
    <w:rsid w:val="68CE02CC"/>
    <w:rsid w:val="68E00D76"/>
    <w:rsid w:val="68E87C2B"/>
    <w:rsid w:val="68ED6FEF"/>
    <w:rsid w:val="68EF0FB9"/>
    <w:rsid w:val="68EF720B"/>
    <w:rsid w:val="68F71C1C"/>
    <w:rsid w:val="68F77E6E"/>
    <w:rsid w:val="690F3409"/>
    <w:rsid w:val="690F51B7"/>
    <w:rsid w:val="69147E90"/>
    <w:rsid w:val="691B3B5C"/>
    <w:rsid w:val="691E364C"/>
    <w:rsid w:val="69270753"/>
    <w:rsid w:val="692C5D69"/>
    <w:rsid w:val="692F7608"/>
    <w:rsid w:val="693764BC"/>
    <w:rsid w:val="69382960"/>
    <w:rsid w:val="693B767D"/>
    <w:rsid w:val="69450BD9"/>
    <w:rsid w:val="69455C6D"/>
    <w:rsid w:val="69603C65"/>
    <w:rsid w:val="69680FFD"/>
    <w:rsid w:val="696848C8"/>
    <w:rsid w:val="696B6C9C"/>
    <w:rsid w:val="69787200"/>
    <w:rsid w:val="69796AD5"/>
    <w:rsid w:val="697D0373"/>
    <w:rsid w:val="69807E63"/>
    <w:rsid w:val="69877444"/>
    <w:rsid w:val="6994390F"/>
    <w:rsid w:val="69A41DA4"/>
    <w:rsid w:val="69AA4EE0"/>
    <w:rsid w:val="69AC0C58"/>
    <w:rsid w:val="69AE4EDC"/>
    <w:rsid w:val="69B0699A"/>
    <w:rsid w:val="69D65CD5"/>
    <w:rsid w:val="69E403F2"/>
    <w:rsid w:val="69E77EE2"/>
    <w:rsid w:val="69F0323B"/>
    <w:rsid w:val="69F20F61"/>
    <w:rsid w:val="69F30635"/>
    <w:rsid w:val="69FE02E4"/>
    <w:rsid w:val="6A002D52"/>
    <w:rsid w:val="6A0C16F7"/>
    <w:rsid w:val="6A114F5F"/>
    <w:rsid w:val="6A242EE4"/>
    <w:rsid w:val="6A3D42E7"/>
    <w:rsid w:val="6A3F35DF"/>
    <w:rsid w:val="6A42336B"/>
    <w:rsid w:val="6A4964A7"/>
    <w:rsid w:val="6A4D0376"/>
    <w:rsid w:val="6A537326"/>
    <w:rsid w:val="6A570BC4"/>
    <w:rsid w:val="6A5F5CCB"/>
    <w:rsid w:val="6A6652AB"/>
    <w:rsid w:val="6A696B49"/>
    <w:rsid w:val="6A7379C8"/>
    <w:rsid w:val="6A8120E5"/>
    <w:rsid w:val="6A885221"/>
    <w:rsid w:val="6A8E035E"/>
    <w:rsid w:val="6A984F72"/>
    <w:rsid w:val="6A99742E"/>
    <w:rsid w:val="6A9C2A7B"/>
    <w:rsid w:val="6A9E4A45"/>
    <w:rsid w:val="6A9F256B"/>
    <w:rsid w:val="6AA14535"/>
    <w:rsid w:val="6ABA55F7"/>
    <w:rsid w:val="6AC00E5F"/>
    <w:rsid w:val="6AC43F90"/>
    <w:rsid w:val="6ACD0E86"/>
    <w:rsid w:val="6AD40E1E"/>
    <w:rsid w:val="6AD83E47"/>
    <w:rsid w:val="6ADF4062"/>
    <w:rsid w:val="6AE01AE3"/>
    <w:rsid w:val="6AE663EC"/>
    <w:rsid w:val="6AEC1179"/>
    <w:rsid w:val="6AEF52A0"/>
    <w:rsid w:val="6B00125C"/>
    <w:rsid w:val="6B056872"/>
    <w:rsid w:val="6B0D2453"/>
    <w:rsid w:val="6B2B66DF"/>
    <w:rsid w:val="6B317667"/>
    <w:rsid w:val="6B32518D"/>
    <w:rsid w:val="6B364C7D"/>
    <w:rsid w:val="6B3709F5"/>
    <w:rsid w:val="6B39476E"/>
    <w:rsid w:val="6B43383E"/>
    <w:rsid w:val="6B4C26F3"/>
    <w:rsid w:val="6B4F3F91"/>
    <w:rsid w:val="6B80746E"/>
    <w:rsid w:val="6B811C71"/>
    <w:rsid w:val="6B9145AA"/>
    <w:rsid w:val="6B961BC0"/>
    <w:rsid w:val="6B981494"/>
    <w:rsid w:val="6BA63E2B"/>
    <w:rsid w:val="6BA75B7B"/>
    <w:rsid w:val="6BAD3293"/>
    <w:rsid w:val="6BB40298"/>
    <w:rsid w:val="6BB92001"/>
    <w:rsid w:val="6BBD674A"/>
    <w:rsid w:val="6BBF2EC5"/>
    <w:rsid w:val="6BD149A6"/>
    <w:rsid w:val="6BDD159D"/>
    <w:rsid w:val="6BDD334B"/>
    <w:rsid w:val="6BE96194"/>
    <w:rsid w:val="6BF3491C"/>
    <w:rsid w:val="6BFD579B"/>
    <w:rsid w:val="6C0C1E82"/>
    <w:rsid w:val="6C133210"/>
    <w:rsid w:val="6C2B055A"/>
    <w:rsid w:val="6C2C7E2E"/>
    <w:rsid w:val="6C384A25"/>
    <w:rsid w:val="6C3A254B"/>
    <w:rsid w:val="6C411B2C"/>
    <w:rsid w:val="6C4B6506"/>
    <w:rsid w:val="6C4E249B"/>
    <w:rsid w:val="6C507FC1"/>
    <w:rsid w:val="6C5630FD"/>
    <w:rsid w:val="6C586E75"/>
    <w:rsid w:val="6C6121CE"/>
    <w:rsid w:val="6C6756D8"/>
    <w:rsid w:val="6C6B0957"/>
    <w:rsid w:val="6C7C3929"/>
    <w:rsid w:val="6C7E6B4A"/>
    <w:rsid w:val="6C8163CC"/>
    <w:rsid w:val="6C871509"/>
    <w:rsid w:val="6C8B724B"/>
    <w:rsid w:val="6C9003BD"/>
    <w:rsid w:val="6C9500C9"/>
    <w:rsid w:val="6C97174C"/>
    <w:rsid w:val="6CAE6A95"/>
    <w:rsid w:val="6CB25A9E"/>
    <w:rsid w:val="6CBB00EF"/>
    <w:rsid w:val="6CC10EBE"/>
    <w:rsid w:val="6CD02EB0"/>
    <w:rsid w:val="6CD26C28"/>
    <w:rsid w:val="6CDC3602"/>
    <w:rsid w:val="6CED3FF7"/>
    <w:rsid w:val="6CF748E0"/>
    <w:rsid w:val="6CFD7212"/>
    <w:rsid w:val="6D06067F"/>
    <w:rsid w:val="6D0A63C2"/>
    <w:rsid w:val="6D12171A"/>
    <w:rsid w:val="6D1234C8"/>
    <w:rsid w:val="6D196605"/>
    <w:rsid w:val="6D1A412B"/>
    <w:rsid w:val="6D1B5B49"/>
    <w:rsid w:val="6D266F73"/>
    <w:rsid w:val="6D2A0812"/>
    <w:rsid w:val="6D374CDD"/>
    <w:rsid w:val="6D401DE3"/>
    <w:rsid w:val="6D5E7031"/>
    <w:rsid w:val="6D667370"/>
    <w:rsid w:val="6D7221B9"/>
    <w:rsid w:val="6D725D15"/>
    <w:rsid w:val="6D761CA9"/>
    <w:rsid w:val="6D8048D6"/>
    <w:rsid w:val="6D8C5028"/>
    <w:rsid w:val="6D8C6249"/>
    <w:rsid w:val="6D9B34BE"/>
    <w:rsid w:val="6DA32372"/>
    <w:rsid w:val="6DA71E62"/>
    <w:rsid w:val="6DA93E2C"/>
    <w:rsid w:val="6DAA1953"/>
    <w:rsid w:val="6DB36A59"/>
    <w:rsid w:val="6DB82591"/>
    <w:rsid w:val="6DB85E1E"/>
    <w:rsid w:val="6DBE71AC"/>
    <w:rsid w:val="6DC02F24"/>
    <w:rsid w:val="6DC5678C"/>
    <w:rsid w:val="6DC76061"/>
    <w:rsid w:val="6DD10C8D"/>
    <w:rsid w:val="6DD56E3A"/>
    <w:rsid w:val="6DD8201C"/>
    <w:rsid w:val="6DDD5884"/>
    <w:rsid w:val="6DE24C48"/>
    <w:rsid w:val="6DE9247B"/>
    <w:rsid w:val="6DF95579"/>
    <w:rsid w:val="6E072901"/>
    <w:rsid w:val="6E0C76AD"/>
    <w:rsid w:val="6E147427"/>
    <w:rsid w:val="6E1B63AC"/>
    <w:rsid w:val="6E1B6DB2"/>
    <w:rsid w:val="6E1D2124"/>
    <w:rsid w:val="6E337B9A"/>
    <w:rsid w:val="6E386F5E"/>
    <w:rsid w:val="6E414065"/>
    <w:rsid w:val="6E4753F3"/>
    <w:rsid w:val="6E510020"/>
    <w:rsid w:val="6E557B10"/>
    <w:rsid w:val="6E5813AF"/>
    <w:rsid w:val="6E600263"/>
    <w:rsid w:val="6E647D53"/>
    <w:rsid w:val="6E6B2034"/>
    <w:rsid w:val="6E7066F8"/>
    <w:rsid w:val="6E731D44"/>
    <w:rsid w:val="6E7361E8"/>
    <w:rsid w:val="6E7647D3"/>
    <w:rsid w:val="6E865F1C"/>
    <w:rsid w:val="6E900B48"/>
    <w:rsid w:val="6E906D9A"/>
    <w:rsid w:val="6E9A5523"/>
    <w:rsid w:val="6EA0288E"/>
    <w:rsid w:val="6EB505AF"/>
    <w:rsid w:val="6EC425A0"/>
    <w:rsid w:val="6EC922AC"/>
    <w:rsid w:val="6ECC2CBC"/>
    <w:rsid w:val="6ED36561"/>
    <w:rsid w:val="6ED461E0"/>
    <w:rsid w:val="6EE844E0"/>
    <w:rsid w:val="6EF410D7"/>
    <w:rsid w:val="6EFA6420"/>
    <w:rsid w:val="6F0E7CBF"/>
    <w:rsid w:val="6F2474E3"/>
    <w:rsid w:val="6F2579BF"/>
    <w:rsid w:val="6F2614AD"/>
    <w:rsid w:val="6F2C3427"/>
    <w:rsid w:val="6F332507"/>
    <w:rsid w:val="6F3911E0"/>
    <w:rsid w:val="6F4B2CC1"/>
    <w:rsid w:val="6F7A7FF3"/>
    <w:rsid w:val="6F7B35A7"/>
    <w:rsid w:val="6F8561D3"/>
    <w:rsid w:val="6F8A6D33"/>
    <w:rsid w:val="6F8B1310"/>
    <w:rsid w:val="6FAA79E8"/>
    <w:rsid w:val="6FB865A9"/>
    <w:rsid w:val="6FBE3493"/>
    <w:rsid w:val="6FC04EE4"/>
    <w:rsid w:val="6FC84312"/>
    <w:rsid w:val="6FDD2296"/>
    <w:rsid w:val="6FE0340A"/>
    <w:rsid w:val="6FE55124"/>
    <w:rsid w:val="6FE949B4"/>
    <w:rsid w:val="6FEE6B24"/>
    <w:rsid w:val="6FF60E7F"/>
    <w:rsid w:val="6FF96343"/>
    <w:rsid w:val="7003534A"/>
    <w:rsid w:val="700E441B"/>
    <w:rsid w:val="70182BA3"/>
    <w:rsid w:val="703379DD"/>
    <w:rsid w:val="703B0F88"/>
    <w:rsid w:val="7040034C"/>
    <w:rsid w:val="70566167"/>
    <w:rsid w:val="70590C59"/>
    <w:rsid w:val="705A140E"/>
    <w:rsid w:val="706758D9"/>
    <w:rsid w:val="706E6C67"/>
    <w:rsid w:val="70710506"/>
    <w:rsid w:val="70840239"/>
    <w:rsid w:val="70981F36"/>
    <w:rsid w:val="70992649"/>
    <w:rsid w:val="709C34A3"/>
    <w:rsid w:val="70AB3A18"/>
    <w:rsid w:val="70B36D70"/>
    <w:rsid w:val="70BC3E77"/>
    <w:rsid w:val="70C745CA"/>
    <w:rsid w:val="70C920F0"/>
    <w:rsid w:val="70D66204"/>
    <w:rsid w:val="70DA254F"/>
    <w:rsid w:val="70E85CD8"/>
    <w:rsid w:val="70F03B20"/>
    <w:rsid w:val="710475CC"/>
    <w:rsid w:val="71092E34"/>
    <w:rsid w:val="71241A1C"/>
    <w:rsid w:val="7127344C"/>
    <w:rsid w:val="712D6B22"/>
    <w:rsid w:val="713A2FED"/>
    <w:rsid w:val="713E488C"/>
    <w:rsid w:val="713F0604"/>
    <w:rsid w:val="71443B44"/>
    <w:rsid w:val="714B5D87"/>
    <w:rsid w:val="71500A63"/>
    <w:rsid w:val="715C6C86"/>
    <w:rsid w:val="71665B90"/>
    <w:rsid w:val="716B13F9"/>
    <w:rsid w:val="716B18C0"/>
    <w:rsid w:val="717007BD"/>
    <w:rsid w:val="71704C61"/>
    <w:rsid w:val="71705FC9"/>
    <w:rsid w:val="71706E29"/>
    <w:rsid w:val="71777D9E"/>
    <w:rsid w:val="717B788E"/>
    <w:rsid w:val="717F6C52"/>
    <w:rsid w:val="71804EA4"/>
    <w:rsid w:val="719170B1"/>
    <w:rsid w:val="719B1CDE"/>
    <w:rsid w:val="719B7F30"/>
    <w:rsid w:val="71B15694"/>
    <w:rsid w:val="71C11019"/>
    <w:rsid w:val="71C1726B"/>
    <w:rsid w:val="71C64881"/>
    <w:rsid w:val="71E73175"/>
    <w:rsid w:val="71F633B8"/>
    <w:rsid w:val="71FC02A3"/>
    <w:rsid w:val="71FE04BF"/>
    <w:rsid w:val="71FE33CD"/>
    <w:rsid w:val="72037883"/>
    <w:rsid w:val="720A0C12"/>
    <w:rsid w:val="72133F6A"/>
    <w:rsid w:val="721910BE"/>
    <w:rsid w:val="722021E3"/>
    <w:rsid w:val="72225745"/>
    <w:rsid w:val="72312642"/>
    <w:rsid w:val="72323CC5"/>
    <w:rsid w:val="7251017E"/>
    <w:rsid w:val="725D3437"/>
    <w:rsid w:val="72624542"/>
    <w:rsid w:val="726A345E"/>
    <w:rsid w:val="727B566C"/>
    <w:rsid w:val="7298621E"/>
    <w:rsid w:val="72A03324"/>
    <w:rsid w:val="72A526E9"/>
    <w:rsid w:val="72A76461"/>
    <w:rsid w:val="72B8241C"/>
    <w:rsid w:val="72C34258"/>
    <w:rsid w:val="72C94956"/>
    <w:rsid w:val="72CC4119"/>
    <w:rsid w:val="72CE1C3F"/>
    <w:rsid w:val="72D37256"/>
    <w:rsid w:val="72D66D46"/>
    <w:rsid w:val="72D81BBC"/>
    <w:rsid w:val="72DD6326"/>
    <w:rsid w:val="72E15E16"/>
    <w:rsid w:val="72E41463"/>
    <w:rsid w:val="72F53670"/>
    <w:rsid w:val="72F83160"/>
    <w:rsid w:val="73013DC3"/>
    <w:rsid w:val="73045661"/>
    <w:rsid w:val="730B4C41"/>
    <w:rsid w:val="73102258"/>
    <w:rsid w:val="7318735E"/>
    <w:rsid w:val="732C709D"/>
    <w:rsid w:val="733221CE"/>
    <w:rsid w:val="734B3290"/>
    <w:rsid w:val="735008A6"/>
    <w:rsid w:val="73541EA7"/>
    <w:rsid w:val="735B3FA5"/>
    <w:rsid w:val="735D0D8C"/>
    <w:rsid w:val="73685BF0"/>
    <w:rsid w:val="73697BBA"/>
    <w:rsid w:val="736A1540"/>
    <w:rsid w:val="73905147"/>
    <w:rsid w:val="73927111"/>
    <w:rsid w:val="739C1D3D"/>
    <w:rsid w:val="739E1612"/>
    <w:rsid w:val="739E7864"/>
    <w:rsid w:val="73A44F2A"/>
    <w:rsid w:val="73A905BB"/>
    <w:rsid w:val="73AB0CD2"/>
    <w:rsid w:val="73AE76D8"/>
    <w:rsid w:val="73AF1A71"/>
    <w:rsid w:val="73AF381F"/>
    <w:rsid w:val="73B21561"/>
    <w:rsid w:val="73BC23E0"/>
    <w:rsid w:val="73BE3A62"/>
    <w:rsid w:val="73C51294"/>
    <w:rsid w:val="73C53042"/>
    <w:rsid w:val="73D019E7"/>
    <w:rsid w:val="73DC65DE"/>
    <w:rsid w:val="73E368AE"/>
    <w:rsid w:val="73EB6821"/>
    <w:rsid w:val="73EC4A73"/>
    <w:rsid w:val="73F05BE5"/>
    <w:rsid w:val="741B7106"/>
    <w:rsid w:val="74315F51"/>
    <w:rsid w:val="743326A2"/>
    <w:rsid w:val="74353182"/>
    <w:rsid w:val="7447614D"/>
    <w:rsid w:val="745A55F3"/>
    <w:rsid w:val="746F1D15"/>
    <w:rsid w:val="747405C4"/>
    <w:rsid w:val="7479207F"/>
    <w:rsid w:val="74793E2D"/>
    <w:rsid w:val="748051BB"/>
    <w:rsid w:val="74956EB9"/>
    <w:rsid w:val="74974B33"/>
    <w:rsid w:val="74982505"/>
    <w:rsid w:val="749A05DB"/>
    <w:rsid w:val="74A0760B"/>
    <w:rsid w:val="74A76BEC"/>
    <w:rsid w:val="74B60BDD"/>
    <w:rsid w:val="74BA06CD"/>
    <w:rsid w:val="74C12A19"/>
    <w:rsid w:val="74C16CDF"/>
    <w:rsid w:val="74C257D4"/>
    <w:rsid w:val="74C74B98"/>
    <w:rsid w:val="74C90910"/>
    <w:rsid w:val="74C96B62"/>
    <w:rsid w:val="74EF65B0"/>
    <w:rsid w:val="74F040EF"/>
    <w:rsid w:val="75063912"/>
    <w:rsid w:val="750B717B"/>
    <w:rsid w:val="750F3E1D"/>
    <w:rsid w:val="7510653F"/>
    <w:rsid w:val="75181898"/>
    <w:rsid w:val="75183646"/>
    <w:rsid w:val="751C145E"/>
    <w:rsid w:val="751D3132"/>
    <w:rsid w:val="7522503C"/>
    <w:rsid w:val="753541F8"/>
    <w:rsid w:val="753871DF"/>
    <w:rsid w:val="753C7334"/>
    <w:rsid w:val="75436915"/>
    <w:rsid w:val="754601B3"/>
    <w:rsid w:val="754B3A1B"/>
    <w:rsid w:val="754D1541"/>
    <w:rsid w:val="754E7067"/>
    <w:rsid w:val="75530B22"/>
    <w:rsid w:val="75550D0E"/>
    <w:rsid w:val="755D72AA"/>
    <w:rsid w:val="75614FED"/>
    <w:rsid w:val="756939EE"/>
    <w:rsid w:val="756B7C19"/>
    <w:rsid w:val="75742F72"/>
    <w:rsid w:val="757545F4"/>
    <w:rsid w:val="757A4300"/>
    <w:rsid w:val="757D16FB"/>
    <w:rsid w:val="757F36C5"/>
    <w:rsid w:val="757F7954"/>
    <w:rsid w:val="75862CA5"/>
    <w:rsid w:val="758919FB"/>
    <w:rsid w:val="758B02BC"/>
    <w:rsid w:val="758E56B6"/>
    <w:rsid w:val="759058D2"/>
    <w:rsid w:val="75907680"/>
    <w:rsid w:val="759233F8"/>
    <w:rsid w:val="75932CCC"/>
    <w:rsid w:val="75AE7B06"/>
    <w:rsid w:val="75AF26A1"/>
    <w:rsid w:val="75C94940"/>
    <w:rsid w:val="75CE1F56"/>
    <w:rsid w:val="75D94B83"/>
    <w:rsid w:val="76065B94"/>
    <w:rsid w:val="76096233"/>
    <w:rsid w:val="760B6D06"/>
    <w:rsid w:val="760D6F22"/>
    <w:rsid w:val="7614205F"/>
    <w:rsid w:val="761E6A3A"/>
    <w:rsid w:val="763149BF"/>
    <w:rsid w:val="763428FA"/>
    <w:rsid w:val="763E70DC"/>
    <w:rsid w:val="764010A6"/>
    <w:rsid w:val="765661D4"/>
    <w:rsid w:val="76636B42"/>
    <w:rsid w:val="76655B13"/>
    <w:rsid w:val="76684494"/>
    <w:rsid w:val="766D79C1"/>
    <w:rsid w:val="76766876"/>
    <w:rsid w:val="767945B8"/>
    <w:rsid w:val="767955ED"/>
    <w:rsid w:val="767A306F"/>
    <w:rsid w:val="767C19B2"/>
    <w:rsid w:val="768014A2"/>
    <w:rsid w:val="76830F93"/>
    <w:rsid w:val="768960A6"/>
    <w:rsid w:val="76944BF2"/>
    <w:rsid w:val="76A51934"/>
    <w:rsid w:val="76AC04E9"/>
    <w:rsid w:val="76B4739E"/>
    <w:rsid w:val="76B579D0"/>
    <w:rsid w:val="76B61BCF"/>
    <w:rsid w:val="76CA6BC2"/>
    <w:rsid w:val="76D417EE"/>
    <w:rsid w:val="76E97048"/>
    <w:rsid w:val="76F105F2"/>
    <w:rsid w:val="76F31C74"/>
    <w:rsid w:val="77062C53"/>
    <w:rsid w:val="77065E4C"/>
    <w:rsid w:val="771147F0"/>
    <w:rsid w:val="77116A65"/>
    <w:rsid w:val="771340C5"/>
    <w:rsid w:val="77162EED"/>
    <w:rsid w:val="771741F2"/>
    <w:rsid w:val="7730731A"/>
    <w:rsid w:val="77376CA5"/>
    <w:rsid w:val="77386D5F"/>
    <w:rsid w:val="773F4EBA"/>
    <w:rsid w:val="774150D6"/>
    <w:rsid w:val="774424D0"/>
    <w:rsid w:val="774B1AB0"/>
    <w:rsid w:val="776B3F01"/>
    <w:rsid w:val="77810DF6"/>
    <w:rsid w:val="77866A24"/>
    <w:rsid w:val="778744A6"/>
    <w:rsid w:val="778E4093"/>
    <w:rsid w:val="7791148D"/>
    <w:rsid w:val="77925931"/>
    <w:rsid w:val="77935205"/>
    <w:rsid w:val="77B91110"/>
    <w:rsid w:val="77BC6EFE"/>
    <w:rsid w:val="77C90C27"/>
    <w:rsid w:val="77CA50CB"/>
    <w:rsid w:val="77DE2925"/>
    <w:rsid w:val="77E2713E"/>
    <w:rsid w:val="77E872FF"/>
    <w:rsid w:val="77E9454A"/>
    <w:rsid w:val="77F03860"/>
    <w:rsid w:val="77F04406"/>
    <w:rsid w:val="78146346"/>
    <w:rsid w:val="78153E6C"/>
    <w:rsid w:val="78176AF1"/>
    <w:rsid w:val="78197E01"/>
    <w:rsid w:val="781C169F"/>
    <w:rsid w:val="78306EF8"/>
    <w:rsid w:val="783C3AEF"/>
    <w:rsid w:val="783C764B"/>
    <w:rsid w:val="78436C2C"/>
    <w:rsid w:val="784A1D68"/>
    <w:rsid w:val="787212BF"/>
    <w:rsid w:val="78760DAF"/>
    <w:rsid w:val="787E7C64"/>
    <w:rsid w:val="7883136E"/>
    <w:rsid w:val="78874D6A"/>
    <w:rsid w:val="788A6608"/>
    <w:rsid w:val="78931961"/>
    <w:rsid w:val="78947487"/>
    <w:rsid w:val="78994A9D"/>
    <w:rsid w:val="789D27E0"/>
    <w:rsid w:val="78A3591C"/>
    <w:rsid w:val="78A4286B"/>
    <w:rsid w:val="78A551F0"/>
    <w:rsid w:val="78B6041B"/>
    <w:rsid w:val="78B638A1"/>
    <w:rsid w:val="78B75E9C"/>
    <w:rsid w:val="78BF7A25"/>
    <w:rsid w:val="78C31B1A"/>
    <w:rsid w:val="78C551B2"/>
    <w:rsid w:val="78C80EDF"/>
    <w:rsid w:val="78C935D5"/>
    <w:rsid w:val="78CC43CD"/>
    <w:rsid w:val="78CE2999"/>
    <w:rsid w:val="78CF4963"/>
    <w:rsid w:val="78DA2881"/>
    <w:rsid w:val="78E57CE3"/>
    <w:rsid w:val="78EE6B97"/>
    <w:rsid w:val="78EF46BD"/>
    <w:rsid w:val="78F73E07"/>
    <w:rsid w:val="78FE6611"/>
    <w:rsid w:val="79004B1D"/>
    <w:rsid w:val="79052133"/>
    <w:rsid w:val="790C34C1"/>
    <w:rsid w:val="790E2D96"/>
    <w:rsid w:val="79112886"/>
    <w:rsid w:val="79132AA2"/>
    <w:rsid w:val="791344A9"/>
    <w:rsid w:val="79142376"/>
    <w:rsid w:val="791A5BDE"/>
    <w:rsid w:val="79297BCF"/>
    <w:rsid w:val="79366790"/>
    <w:rsid w:val="79440EAD"/>
    <w:rsid w:val="79460900"/>
    <w:rsid w:val="795D1EAD"/>
    <w:rsid w:val="796230E1"/>
    <w:rsid w:val="79690914"/>
    <w:rsid w:val="796B112B"/>
    <w:rsid w:val="796E1A86"/>
    <w:rsid w:val="797C23F5"/>
    <w:rsid w:val="79825532"/>
    <w:rsid w:val="7984574E"/>
    <w:rsid w:val="7986452E"/>
    <w:rsid w:val="798B16F8"/>
    <w:rsid w:val="799040F2"/>
    <w:rsid w:val="799139C7"/>
    <w:rsid w:val="7997722F"/>
    <w:rsid w:val="79A05E1A"/>
    <w:rsid w:val="79A33E26"/>
    <w:rsid w:val="79A74F98"/>
    <w:rsid w:val="79A90D10"/>
    <w:rsid w:val="79BC4EE7"/>
    <w:rsid w:val="79BC6C95"/>
    <w:rsid w:val="79BF22E2"/>
    <w:rsid w:val="79C67B14"/>
    <w:rsid w:val="79D35D8D"/>
    <w:rsid w:val="79D51B05"/>
    <w:rsid w:val="79EB1329"/>
    <w:rsid w:val="79F226B7"/>
    <w:rsid w:val="79F3642F"/>
    <w:rsid w:val="79F77CCE"/>
    <w:rsid w:val="79FE105C"/>
    <w:rsid w:val="7A04063C"/>
    <w:rsid w:val="7A081EDB"/>
    <w:rsid w:val="7A091FC6"/>
    <w:rsid w:val="7A0F14BB"/>
    <w:rsid w:val="7A186D5D"/>
    <w:rsid w:val="7A211BEB"/>
    <w:rsid w:val="7A214D4A"/>
    <w:rsid w:val="7A2F7467"/>
    <w:rsid w:val="7A311E86"/>
    <w:rsid w:val="7A392094"/>
    <w:rsid w:val="7A412AB0"/>
    <w:rsid w:val="7A480529"/>
    <w:rsid w:val="7A680BCB"/>
    <w:rsid w:val="7A6A4943"/>
    <w:rsid w:val="7A6D61E2"/>
    <w:rsid w:val="7A7206F1"/>
    <w:rsid w:val="7A730732"/>
    <w:rsid w:val="7A794B87"/>
    <w:rsid w:val="7A805F15"/>
    <w:rsid w:val="7A831561"/>
    <w:rsid w:val="7A85352B"/>
    <w:rsid w:val="7A8772A3"/>
    <w:rsid w:val="7AAA4D40"/>
    <w:rsid w:val="7AB67B89"/>
    <w:rsid w:val="7ABC51E6"/>
    <w:rsid w:val="7AC04563"/>
    <w:rsid w:val="7AC878BC"/>
    <w:rsid w:val="7AE3772B"/>
    <w:rsid w:val="7AE75F94"/>
    <w:rsid w:val="7AEC00ED"/>
    <w:rsid w:val="7AEF309B"/>
    <w:rsid w:val="7AF366E7"/>
    <w:rsid w:val="7AF91823"/>
    <w:rsid w:val="7AFD3B58"/>
    <w:rsid w:val="7AFE6E3A"/>
    <w:rsid w:val="7B045ED3"/>
    <w:rsid w:val="7B072192"/>
    <w:rsid w:val="7B113011"/>
    <w:rsid w:val="7B164183"/>
    <w:rsid w:val="7B1D7C08"/>
    <w:rsid w:val="7B205002"/>
    <w:rsid w:val="7B2F16E9"/>
    <w:rsid w:val="7B315461"/>
    <w:rsid w:val="7B3F7B7E"/>
    <w:rsid w:val="7B51165F"/>
    <w:rsid w:val="7B533629"/>
    <w:rsid w:val="7B580C40"/>
    <w:rsid w:val="7B590514"/>
    <w:rsid w:val="7B6E2211"/>
    <w:rsid w:val="7B7A2964"/>
    <w:rsid w:val="7B7B048A"/>
    <w:rsid w:val="7B851309"/>
    <w:rsid w:val="7B86755B"/>
    <w:rsid w:val="7B876E2F"/>
    <w:rsid w:val="7B8C2698"/>
    <w:rsid w:val="7B921E06"/>
    <w:rsid w:val="7B95154C"/>
    <w:rsid w:val="7B9A0769"/>
    <w:rsid w:val="7B9A5BD4"/>
    <w:rsid w:val="7BA479E1"/>
    <w:rsid w:val="7BB51BEE"/>
    <w:rsid w:val="7BC25EC9"/>
    <w:rsid w:val="7BC41E31"/>
    <w:rsid w:val="7BC736D0"/>
    <w:rsid w:val="7BD04C7A"/>
    <w:rsid w:val="7BD1454E"/>
    <w:rsid w:val="7BDA78A7"/>
    <w:rsid w:val="7BDF0A19"/>
    <w:rsid w:val="7BE61DA8"/>
    <w:rsid w:val="7BE67FFA"/>
    <w:rsid w:val="7BED75DA"/>
    <w:rsid w:val="7BFD5343"/>
    <w:rsid w:val="7C0D1A2A"/>
    <w:rsid w:val="7C0D37D8"/>
    <w:rsid w:val="7C1D7794"/>
    <w:rsid w:val="7C23124E"/>
    <w:rsid w:val="7C2B0102"/>
    <w:rsid w:val="7C30396B"/>
    <w:rsid w:val="7C32323F"/>
    <w:rsid w:val="7C3A64E7"/>
    <w:rsid w:val="7C413482"/>
    <w:rsid w:val="7C482A62"/>
    <w:rsid w:val="7C4D1E27"/>
    <w:rsid w:val="7C4E5B9F"/>
    <w:rsid w:val="7C52568F"/>
    <w:rsid w:val="7C5C650E"/>
    <w:rsid w:val="7C647170"/>
    <w:rsid w:val="7C686C61"/>
    <w:rsid w:val="7C6A0C2B"/>
    <w:rsid w:val="7C6B6751"/>
    <w:rsid w:val="7C6D24C9"/>
    <w:rsid w:val="7C701FB9"/>
    <w:rsid w:val="7C75312C"/>
    <w:rsid w:val="7C772DC5"/>
    <w:rsid w:val="7C7970C0"/>
    <w:rsid w:val="7C7C44BA"/>
    <w:rsid w:val="7C7E6484"/>
    <w:rsid w:val="7C8141C6"/>
    <w:rsid w:val="7C8D2B6B"/>
    <w:rsid w:val="7C8D4919"/>
    <w:rsid w:val="7C945CA8"/>
    <w:rsid w:val="7CA3413D"/>
    <w:rsid w:val="7CAB4D9F"/>
    <w:rsid w:val="7CB1685A"/>
    <w:rsid w:val="7CB50FA6"/>
    <w:rsid w:val="7CBA4FE2"/>
    <w:rsid w:val="7CC3658D"/>
    <w:rsid w:val="7CD12A58"/>
    <w:rsid w:val="7CDC31AB"/>
    <w:rsid w:val="7CFB2319"/>
    <w:rsid w:val="7D060228"/>
    <w:rsid w:val="7D0D4954"/>
    <w:rsid w:val="7D0F0FB9"/>
    <w:rsid w:val="7D124E1E"/>
    <w:rsid w:val="7D1312C2"/>
    <w:rsid w:val="7D142945"/>
    <w:rsid w:val="7D1F26B5"/>
    <w:rsid w:val="7D24527D"/>
    <w:rsid w:val="7D2B5066"/>
    <w:rsid w:val="7D2D1C58"/>
    <w:rsid w:val="7D2F59D0"/>
    <w:rsid w:val="7D360E79"/>
    <w:rsid w:val="7D380D29"/>
    <w:rsid w:val="7D3D00ED"/>
    <w:rsid w:val="7D423956"/>
    <w:rsid w:val="7D492F64"/>
    <w:rsid w:val="7D4F6073"/>
    <w:rsid w:val="7D513B99"/>
    <w:rsid w:val="7D52346D"/>
    <w:rsid w:val="7D5E0064"/>
    <w:rsid w:val="7D637428"/>
    <w:rsid w:val="7D657644"/>
    <w:rsid w:val="7D692A50"/>
    <w:rsid w:val="7D6E02A7"/>
    <w:rsid w:val="7D6E474B"/>
    <w:rsid w:val="7D781125"/>
    <w:rsid w:val="7D7A3EEC"/>
    <w:rsid w:val="7D80447E"/>
    <w:rsid w:val="7D8A2C07"/>
    <w:rsid w:val="7D8E6B9B"/>
    <w:rsid w:val="7D972197"/>
    <w:rsid w:val="7D9D293A"/>
    <w:rsid w:val="7D9E2DD0"/>
    <w:rsid w:val="7DA0242A"/>
    <w:rsid w:val="7DAA32A9"/>
    <w:rsid w:val="7DB06B11"/>
    <w:rsid w:val="7DB54128"/>
    <w:rsid w:val="7DBA10EA"/>
    <w:rsid w:val="7DBC2663"/>
    <w:rsid w:val="7DBD4D8A"/>
    <w:rsid w:val="7DBF6D54"/>
    <w:rsid w:val="7DC205F3"/>
    <w:rsid w:val="7DC9372F"/>
    <w:rsid w:val="7DCA4A14"/>
    <w:rsid w:val="7DCC1471"/>
    <w:rsid w:val="7DCE343B"/>
    <w:rsid w:val="7DD520D4"/>
    <w:rsid w:val="7DDD367E"/>
    <w:rsid w:val="7DE1316F"/>
    <w:rsid w:val="7DED1B13"/>
    <w:rsid w:val="7DF24E2F"/>
    <w:rsid w:val="7DF2712A"/>
    <w:rsid w:val="7DFD5ACF"/>
    <w:rsid w:val="7E001BC6"/>
    <w:rsid w:val="7E026C41"/>
    <w:rsid w:val="7E0724A9"/>
    <w:rsid w:val="7E094473"/>
    <w:rsid w:val="7E096221"/>
    <w:rsid w:val="7E0B727F"/>
    <w:rsid w:val="7E192908"/>
    <w:rsid w:val="7E1A3F8B"/>
    <w:rsid w:val="7E2120FB"/>
    <w:rsid w:val="7E24305B"/>
    <w:rsid w:val="7E266DD3"/>
    <w:rsid w:val="7E353820"/>
    <w:rsid w:val="7E3A287F"/>
    <w:rsid w:val="7E435D95"/>
    <w:rsid w:val="7E5C27F5"/>
    <w:rsid w:val="7E5C45A3"/>
    <w:rsid w:val="7E611BB9"/>
    <w:rsid w:val="7E7538B7"/>
    <w:rsid w:val="7E775881"/>
    <w:rsid w:val="7E7F64E4"/>
    <w:rsid w:val="7E861620"/>
    <w:rsid w:val="7E8B30DA"/>
    <w:rsid w:val="7EDC1B88"/>
    <w:rsid w:val="7EDC3936"/>
    <w:rsid w:val="7EF42A2E"/>
    <w:rsid w:val="7EF90044"/>
    <w:rsid w:val="7EFB1E05"/>
    <w:rsid w:val="7F0A04A3"/>
    <w:rsid w:val="7F1429AC"/>
    <w:rsid w:val="7F1430D0"/>
    <w:rsid w:val="7F1B26B0"/>
    <w:rsid w:val="7F216F25"/>
    <w:rsid w:val="7F21759B"/>
    <w:rsid w:val="7F343772"/>
    <w:rsid w:val="7F390D5A"/>
    <w:rsid w:val="7F3C3B4D"/>
    <w:rsid w:val="7F413799"/>
    <w:rsid w:val="7F437511"/>
    <w:rsid w:val="7F47040C"/>
    <w:rsid w:val="7F4D213E"/>
    <w:rsid w:val="7F547E3F"/>
    <w:rsid w:val="7F572FBC"/>
    <w:rsid w:val="7F575330"/>
    <w:rsid w:val="7F5931D8"/>
    <w:rsid w:val="7F601E71"/>
    <w:rsid w:val="7F616CA1"/>
    <w:rsid w:val="7F73429A"/>
    <w:rsid w:val="7F737DF6"/>
    <w:rsid w:val="7F741DC0"/>
    <w:rsid w:val="7F74591C"/>
    <w:rsid w:val="7F7678E7"/>
    <w:rsid w:val="7F8042C1"/>
    <w:rsid w:val="7F875650"/>
    <w:rsid w:val="7F8A16CD"/>
    <w:rsid w:val="7F930498"/>
    <w:rsid w:val="7F98785D"/>
    <w:rsid w:val="7F993EE6"/>
    <w:rsid w:val="7F9D4E73"/>
    <w:rsid w:val="7FA2692E"/>
    <w:rsid w:val="7FA36202"/>
    <w:rsid w:val="7FAE0E2E"/>
    <w:rsid w:val="7FAF4BA7"/>
    <w:rsid w:val="7FB07955"/>
    <w:rsid w:val="7FB95B5C"/>
    <w:rsid w:val="7FC63AB1"/>
    <w:rsid w:val="7FC70142"/>
    <w:rsid w:val="7FCA378E"/>
    <w:rsid w:val="7FD13DE3"/>
    <w:rsid w:val="7FD36AE7"/>
    <w:rsid w:val="7FD5285F"/>
    <w:rsid w:val="7FD82DA2"/>
    <w:rsid w:val="7FD91C23"/>
    <w:rsid w:val="7FD92BEC"/>
    <w:rsid w:val="7FDA7E75"/>
    <w:rsid w:val="7FE05AD5"/>
    <w:rsid w:val="7FE9206A"/>
    <w:rsid w:val="7FF3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微软雅黑" w:cs="Times New Roman"/>
      <w:sz w:val="21"/>
      <w:szCs w:val="24"/>
      <w:lang w:val="en-US" w:eastAsia="zh-CN" w:bidi="ar-SA"/>
    </w:rPr>
  </w:style>
  <w:style w:type="paragraph" w:styleId="2">
    <w:name w:val="heading 1"/>
    <w:basedOn w:val="1"/>
    <w:next w:val="1"/>
    <w:link w:val="6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0"/>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7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4"/>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widowControl/>
      <w:ind w:firstLine="420"/>
      <w:jc w:val="left"/>
    </w:pPr>
    <w:rPr>
      <w:rFonts w:eastAsia="楷体_GB2312"/>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next w:val="1"/>
    <w:qFormat/>
    <w:uiPriority w:val="0"/>
    <w:rPr>
      <w:rFonts w:ascii="Calibri" w:hAnsi="Calibri" w:cs="Calibri"/>
      <w:color w:val="000000"/>
      <w:szCs w:val="21"/>
    </w:rPr>
  </w:style>
  <w:style w:type="paragraph" w:styleId="15">
    <w:name w:val="annotation text"/>
    <w:basedOn w:val="1"/>
    <w:link w:val="372"/>
    <w:semiHidden/>
    <w:unhideWhenUsed/>
    <w:qFormat/>
    <w:uiPriority w:val="99"/>
    <w:pPr>
      <w:jc w:val="left"/>
    </w:pPr>
  </w:style>
  <w:style w:type="paragraph" w:styleId="16">
    <w:name w:val="Body Text"/>
    <w:basedOn w:val="1"/>
    <w:next w:val="12"/>
    <w:qFormat/>
    <w:uiPriority w:val="0"/>
    <w:pPr>
      <w:spacing w:after="120"/>
    </w:pPr>
  </w:style>
  <w:style w:type="paragraph" w:styleId="17">
    <w:name w:val="Body Text Indent"/>
    <w:basedOn w:val="1"/>
    <w:next w:val="18"/>
    <w:qFormat/>
    <w:uiPriority w:val="0"/>
    <w:pPr>
      <w:spacing w:line="360" w:lineRule="auto"/>
      <w:ind w:firstLine="425"/>
    </w:pPr>
    <w:rPr>
      <w:sz w:val="24"/>
    </w:rPr>
  </w:style>
  <w:style w:type="paragraph" w:styleId="18">
    <w:name w:val="envelope return"/>
    <w:basedOn w:val="1"/>
    <w:qFormat/>
    <w:uiPriority w:val="0"/>
    <w:rPr>
      <w:rFonts w:ascii="Arial" w:hAnsi="Arial"/>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eastAsia="楷体_GB2312"/>
      <w:sz w:val="28"/>
    </w:rPr>
  </w:style>
  <w:style w:type="paragraph" w:styleId="22">
    <w:name w:val="toc 8"/>
    <w:basedOn w:val="1"/>
    <w:next w:val="1"/>
    <w:unhideWhenUsed/>
    <w:qFormat/>
    <w:uiPriority w:val="39"/>
    <w:pPr>
      <w:spacing w:after="57"/>
      <w:ind w:left="1984"/>
    </w:pPr>
  </w:style>
  <w:style w:type="paragraph" w:styleId="23">
    <w:name w:val="endnote text"/>
    <w:basedOn w:val="1"/>
    <w:link w:val="212"/>
    <w:semiHidden/>
    <w:unhideWhenUsed/>
    <w:qFormat/>
    <w:uiPriority w:val="99"/>
    <w:rPr>
      <w:sz w:val="20"/>
    </w:rPr>
  </w:style>
  <w:style w:type="paragraph" w:styleId="24">
    <w:name w:val="Balloon Text"/>
    <w:basedOn w:val="1"/>
    <w:link w:val="371"/>
    <w:semiHidden/>
    <w:unhideWhenUsed/>
    <w:qFormat/>
    <w:uiPriority w:val="99"/>
    <w:rPr>
      <w:sz w:val="18"/>
      <w:szCs w:val="18"/>
    </w:rPr>
  </w:style>
  <w:style w:type="paragraph" w:styleId="25">
    <w:name w:val="footer"/>
    <w:basedOn w:val="1"/>
    <w:link w:val="85"/>
    <w:unhideWhenUsed/>
    <w:qFormat/>
    <w:uiPriority w:val="99"/>
    <w:pPr>
      <w:tabs>
        <w:tab w:val="center" w:pos="7143"/>
        <w:tab w:val="right" w:pos="14287"/>
      </w:tabs>
    </w:pPr>
  </w:style>
  <w:style w:type="paragraph" w:styleId="26">
    <w:name w:val="header"/>
    <w:basedOn w:val="1"/>
    <w:link w:val="83"/>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78"/>
    <w:qFormat/>
    <w:uiPriority w:val="11"/>
    <w:pPr>
      <w:spacing w:before="200" w:after="200"/>
    </w:pPr>
    <w:rPr>
      <w:sz w:val="24"/>
    </w:rPr>
  </w:style>
  <w:style w:type="paragraph" w:styleId="30">
    <w:name w:val="footnote text"/>
    <w:basedOn w:val="1"/>
    <w:link w:val="211"/>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0"/>
    <w:pPr>
      <w:widowControl/>
      <w:spacing w:before="100" w:beforeAutospacing="1" w:after="100" w:afterAutospacing="1"/>
      <w:jc w:val="left"/>
    </w:pPr>
    <w:rPr>
      <w:rFonts w:ascii="宋体" w:hAnsi="宋体"/>
      <w:sz w:val="24"/>
    </w:rPr>
  </w:style>
  <w:style w:type="paragraph" w:styleId="36">
    <w:name w:val="Title"/>
    <w:basedOn w:val="1"/>
    <w:next w:val="1"/>
    <w:link w:val="77"/>
    <w:qFormat/>
    <w:uiPriority w:val="10"/>
    <w:pPr>
      <w:spacing w:before="300" w:after="200"/>
      <w:contextualSpacing/>
    </w:pPr>
    <w:rPr>
      <w:sz w:val="48"/>
      <w:szCs w:val="48"/>
    </w:rPr>
  </w:style>
  <w:style w:type="paragraph" w:styleId="37">
    <w:name w:val="annotation subject"/>
    <w:basedOn w:val="15"/>
    <w:next w:val="15"/>
    <w:link w:val="373"/>
    <w:semiHidden/>
    <w:unhideWhenUsed/>
    <w:qFormat/>
    <w:uiPriority w:val="99"/>
    <w:rPr>
      <w:b/>
      <w:bC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正文首行缩进 21"/>
    <w:basedOn w:val="47"/>
    <w:unhideWhenUsed/>
    <w:qFormat/>
    <w:uiPriority w:val="0"/>
    <w:pPr>
      <w:ind w:firstLine="420"/>
    </w:pPr>
    <w:rPr>
      <w:sz w:val="21"/>
    </w:rPr>
  </w:style>
  <w:style w:type="paragraph" w:customStyle="1" w:styleId="47">
    <w:name w:val="正文文本缩进1"/>
    <w:basedOn w:val="1"/>
    <w:next w:val="1"/>
    <w:qFormat/>
    <w:uiPriority w:val="99"/>
    <w:pPr>
      <w:spacing w:line="300" w:lineRule="auto"/>
      <w:ind w:firstLine="560"/>
      <w:jc w:val="left"/>
    </w:pPr>
    <w:rPr>
      <w:sz w:val="28"/>
    </w:rPr>
  </w:style>
  <w:style w:type="paragraph" w:customStyle="1" w:styleId="48">
    <w:name w:val="段"/>
    <w:next w:val="1"/>
    <w:qFormat/>
    <w:uiPriority w:val="0"/>
    <w:pPr>
      <w:ind w:firstLine="200"/>
      <w:jc w:val="both"/>
    </w:pPr>
    <w:rPr>
      <w:rFonts w:hint="default" w:ascii="宋体" w:hAnsi="Times New Roman" w:eastAsia="微软雅黑" w:cs="Times New Roman"/>
      <w:sz w:val="21"/>
      <w:lang w:val="en-US" w:eastAsia="zh-CN" w:bidi="ar-SA"/>
    </w:rPr>
  </w:style>
  <w:style w:type="character" w:customStyle="1" w:styleId="49">
    <w:name w:val="Heading 1 Char"/>
    <w:basedOn w:val="40"/>
    <w:qFormat/>
    <w:uiPriority w:val="9"/>
    <w:rPr>
      <w:rFonts w:ascii="Arial" w:hAnsi="Arial" w:eastAsia="Arial" w:cs="Arial"/>
      <w:sz w:val="40"/>
      <w:szCs w:val="40"/>
    </w:rPr>
  </w:style>
  <w:style w:type="character" w:customStyle="1" w:styleId="50">
    <w:name w:val="Heading 2 Char"/>
    <w:basedOn w:val="40"/>
    <w:qFormat/>
    <w:uiPriority w:val="9"/>
    <w:rPr>
      <w:rFonts w:ascii="Arial" w:hAnsi="Arial" w:eastAsia="Arial" w:cs="Arial"/>
      <w:sz w:val="34"/>
    </w:rPr>
  </w:style>
  <w:style w:type="character" w:customStyle="1" w:styleId="51">
    <w:name w:val="Heading 4 Char"/>
    <w:basedOn w:val="40"/>
    <w:qFormat/>
    <w:uiPriority w:val="9"/>
    <w:rPr>
      <w:rFonts w:ascii="Arial" w:hAnsi="Arial" w:eastAsia="Arial" w:cs="Arial"/>
      <w:b/>
      <w:bCs/>
      <w:sz w:val="26"/>
      <w:szCs w:val="26"/>
    </w:rPr>
  </w:style>
  <w:style w:type="character" w:customStyle="1" w:styleId="52">
    <w:name w:val="Heading 5 Char"/>
    <w:basedOn w:val="40"/>
    <w:qFormat/>
    <w:uiPriority w:val="9"/>
    <w:rPr>
      <w:rFonts w:ascii="Arial" w:hAnsi="Arial" w:eastAsia="Arial" w:cs="Arial"/>
      <w:b/>
      <w:bCs/>
      <w:sz w:val="24"/>
      <w:szCs w:val="24"/>
    </w:rPr>
  </w:style>
  <w:style w:type="character" w:customStyle="1" w:styleId="53">
    <w:name w:val="Heading 6 Char"/>
    <w:basedOn w:val="40"/>
    <w:qFormat/>
    <w:uiPriority w:val="9"/>
    <w:rPr>
      <w:rFonts w:ascii="Arial" w:hAnsi="Arial" w:eastAsia="Arial" w:cs="Arial"/>
      <w:b/>
      <w:bCs/>
      <w:sz w:val="22"/>
      <w:szCs w:val="22"/>
    </w:rPr>
  </w:style>
  <w:style w:type="character" w:customStyle="1" w:styleId="54">
    <w:name w:val="Heading 7 Char"/>
    <w:basedOn w:val="40"/>
    <w:qFormat/>
    <w:uiPriority w:val="9"/>
    <w:rPr>
      <w:rFonts w:ascii="Arial" w:hAnsi="Arial" w:eastAsia="Arial" w:cs="Arial"/>
      <w:b/>
      <w:bCs/>
      <w:i/>
      <w:iCs/>
      <w:sz w:val="22"/>
      <w:szCs w:val="22"/>
    </w:rPr>
  </w:style>
  <w:style w:type="character" w:customStyle="1" w:styleId="55">
    <w:name w:val="Heading 8 Char"/>
    <w:basedOn w:val="40"/>
    <w:qFormat/>
    <w:uiPriority w:val="9"/>
    <w:rPr>
      <w:rFonts w:ascii="Arial" w:hAnsi="Arial" w:eastAsia="Arial" w:cs="Arial"/>
      <w:i/>
      <w:iCs/>
      <w:sz w:val="22"/>
      <w:szCs w:val="22"/>
    </w:rPr>
  </w:style>
  <w:style w:type="character" w:customStyle="1" w:styleId="56">
    <w:name w:val="Heading 9 Char"/>
    <w:basedOn w:val="40"/>
    <w:qFormat/>
    <w:uiPriority w:val="9"/>
    <w:rPr>
      <w:rFonts w:ascii="Arial" w:hAnsi="Arial" w:eastAsia="Arial" w:cs="Arial"/>
      <w:i/>
      <w:iCs/>
      <w:sz w:val="21"/>
      <w:szCs w:val="21"/>
    </w:rPr>
  </w:style>
  <w:style w:type="character" w:customStyle="1" w:styleId="57">
    <w:name w:val="Title Char"/>
    <w:basedOn w:val="40"/>
    <w:qFormat/>
    <w:uiPriority w:val="10"/>
    <w:rPr>
      <w:sz w:val="48"/>
      <w:szCs w:val="48"/>
    </w:rPr>
  </w:style>
  <w:style w:type="character" w:customStyle="1" w:styleId="58">
    <w:name w:val="Subtitle Char"/>
    <w:basedOn w:val="40"/>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40"/>
    <w:qFormat/>
    <w:uiPriority w:val="99"/>
  </w:style>
  <w:style w:type="character" w:customStyle="1" w:styleId="62">
    <w:name w:val="Caption Char"/>
    <w:qFormat/>
    <w:uiPriority w:val="99"/>
  </w:style>
  <w:style w:type="character" w:customStyle="1" w:styleId="63">
    <w:name w:val="Footnote Text Char"/>
    <w:qFormat/>
    <w:uiPriority w:val="99"/>
    <w:rPr>
      <w:sz w:val="18"/>
    </w:rPr>
  </w:style>
  <w:style w:type="character" w:customStyle="1" w:styleId="64">
    <w:name w:val="Endnote Text Char"/>
    <w:qFormat/>
    <w:uiPriority w:val="99"/>
    <w:rPr>
      <w:sz w:val="20"/>
    </w:rPr>
  </w:style>
  <w:style w:type="paragraph" w:customStyle="1" w:styleId="65">
    <w:name w:val="TOC Heading"/>
    <w:unhideWhenUsed/>
    <w:qFormat/>
    <w:uiPriority w:val="39"/>
    <w:rPr>
      <w:rFonts w:hint="default" w:ascii="Times New Roman" w:hAnsi="Times New Roman" w:eastAsia="宋体" w:cs="Times New Roman"/>
    </w:rPr>
  </w:style>
  <w:style w:type="paragraph" w:customStyle="1" w:styleId="66">
    <w:name w:val="寄信人地址1"/>
    <w:basedOn w:val="1"/>
    <w:qFormat/>
    <w:uiPriority w:val="0"/>
    <w:rPr>
      <w:rFonts w:ascii="Arial" w:hAnsi="Arial"/>
    </w:rPr>
  </w:style>
  <w:style w:type="character" w:customStyle="1" w:styleId="67">
    <w:name w:val="标题 1 Char2"/>
    <w:link w:val="2"/>
    <w:qFormat/>
    <w:uiPriority w:val="9"/>
    <w:rPr>
      <w:rFonts w:ascii="Arial" w:hAnsi="Arial" w:eastAsia="Arial" w:cs="Arial"/>
      <w:sz w:val="40"/>
      <w:szCs w:val="40"/>
    </w:rPr>
  </w:style>
  <w:style w:type="character" w:customStyle="1" w:styleId="68">
    <w:name w:val="标题 2 Char1"/>
    <w:link w:val="3"/>
    <w:qFormat/>
    <w:uiPriority w:val="9"/>
    <w:rPr>
      <w:rFonts w:ascii="Arial" w:hAnsi="Arial" w:eastAsia="Arial" w:cs="Arial"/>
      <w:sz w:val="34"/>
    </w:rPr>
  </w:style>
  <w:style w:type="character" w:customStyle="1" w:styleId="69">
    <w:name w:val="标题 4 Char1"/>
    <w:link w:val="5"/>
    <w:qFormat/>
    <w:uiPriority w:val="9"/>
    <w:rPr>
      <w:rFonts w:ascii="Arial" w:hAnsi="Arial" w:eastAsia="Arial" w:cs="Arial"/>
      <w:b/>
      <w:bCs/>
      <w:sz w:val="26"/>
      <w:szCs w:val="26"/>
    </w:rPr>
  </w:style>
  <w:style w:type="character" w:customStyle="1" w:styleId="70">
    <w:name w:val="标题 5 Char1"/>
    <w:link w:val="6"/>
    <w:qFormat/>
    <w:uiPriority w:val="9"/>
    <w:rPr>
      <w:rFonts w:ascii="Arial" w:hAnsi="Arial" w:eastAsia="Arial" w:cs="Arial"/>
      <w:b/>
      <w:bCs/>
      <w:sz w:val="24"/>
      <w:szCs w:val="24"/>
    </w:rPr>
  </w:style>
  <w:style w:type="character" w:customStyle="1" w:styleId="71">
    <w:name w:val="标题 6 Char"/>
    <w:link w:val="7"/>
    <w:qFormat/>
    <w:uiPriority w:val="9"/>
    <w:rPr>
      <w:rFonts w:ascii="Arial" w:hAnsi="Arial" w:eastAsia="Arial" w:cs="Arial"/>
      <w:b/>
      <w:bCs/>
      <w:sz w:val="22"/>
      <w:szCs w:val="22"/>
    </w:rPr>
  </w:style>
  <w:style w:type="character" w:customStyle="1" w:styleId="72">
    <w:name w:val="标题 7 Char"/>
    <w:link w:val="8"/>
    <w:qFormat/>
    <w:uiPriority w:val="9"/>
    <w:rPr>
      <w:rFonts w:ascii="Arial" w:hAnsi="Arial" w:eastAsia="Arial" w:cs="Arial"/>
      <w:b/>
      <w:bCs/>
      <w:i/>
      <w:iCs/>
      <w:sz w:val="22"/>
      <w:szCs w:val="22"/>
    </w:rPr>
  </w:style>
  <w:style w:type="character" w:customStyle="1" w:styleId="73">
    <w:name w:val="标题 8 Char"/>
    <w:link w:val="9"/>
    <w:qFormat/>
    <w:uiPriority w:val="9"/>
    <w:rPr>
      <w:rFonts w:ascii="Arial" w:hAnsi="Arial" w:eastAsia="Arial" w:cs="Arial"/>
      <w:i/>
      <w:iCs/>
      <w:sz w:val="22"/>
      <w:szCs w:val="22"/>
    </w:rPr>
  </w:style>
  <w:style w:type="character" w:customStyle="1" w:styleId="74">
    <w:name w:val="标题 9 Char"/>
    <w:link w:val="10"/>
    <w:qFormat/>
    <w:uiPriority w:val="9"/>
    <w:rPr>
      <w:rFonts w:ascii="Arial" w:hAnsi="Arial" w:eastAsia="Arial" w:cs="Arial"/>
      <w:i/>
      <w:iCs/>
      <w:sz w:val="21"/>
      <w:szCs w:val="21"/>
    </w:rPr>
  </w:style>
  <w:style w:type="paragraph" w:styleId="75">
    <w:name w:val="List Paragraph"/>
    <w:basedOn w:val="1"/>
    <w:qFormat/>
    <w:uiPriority w:val="34"/>
    <w:pPr>
      <w:ind w:left="720"/>
      <w:contextualSpacing/>
    </w:pPr>
  </w:style>
  <w:style w:type="paragraph" w:styleId="76">
    <w:name w:val="No Spacing"/>
    <w:qFormat/>
    <w:uiPriority w:val="1"/>
    <w:rPr>
      <w:rFonts w:hint="default" w:ascii="Times New Roman" w:hAnsi="Times New Roman" w:eastAsia="宋体" w:cs="Times New Roman"/>
      <w:lang w:val="en-US" w:eastAsia="zh-CN" w:bidi="ar-SA"/>
    </w:rPr>
  </w:style>
  <w:style w:type="character" w:customStyle="1" w:styleId="77">
    <w:name w:val="标题 Char2"/>
    <w:link w:val="36"/>
    <w:qFormat/>
    <w:uiPriority w:val="10"/>
    <w:rPr>
      <w:sz w:val="48"/>
      <w:szCs w:val="48"/>
    </w:rPr>
  </w:style>
  <w:style w:type="character" w:customStyle="1" w:styleId="78">
    <w:name w:val="副标题 Char1"/>
    <w:link w:val="29"/>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引用 Char"/>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2">
    <w:name w:val="明显引用 Char"/>
    <w:link w:val="81"/>
    <w:qFormat/>
    <w:uiPriority w:val="30"/>
    <w:rPr>
      <w:i/>
    </w:rPr>
  </w:style>
  <w:style w:type="character" w:customStyle="1" w:styleId="83">
    <w:name w:val="页眉 Char1"/>
    <w:link w:val="26"/>
    <w:qFormat/>
    <w:uiPriority w:val="99"/>
  </w:style>
  <w:style w:type="character" w:customStyle="1" w:styleId="84">
    <w:name w:val="Footer Char"/>
    <w:qFormat/>
    <w:uiPriority w:val="99"/>
  </w:style>
  <w:style w:type="character" w:customStyle="1" w:styleId="85">
    <w:name w:val="页脚 Char1"/>
    <w:link w:val="25"/>
    <w:qFormat/>
    <w:uiPriority w:val="99"/>
  </w:style>
  <w:style w:type="table" w:customStyle="1" w:styleId="8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Char"/>
    <w:link w:val="30"/>
    <w:qFormat/>
    <w:uiPriority w:val="99"/>
    <w:rPr>
      <w:sz w:val="18"/>
    </w:rPr>
  </w:style>
  <w:style w:type="character" w:customStyle="1" w:styleId="212">
    <w:name w:val="尾注文本 Char"/>
    <w:link w:val="23"/>
    <w:qFormat/>
    <w:uiPriority w:val="99"/>
    <w:rPr>
      <w:sz w:val="20"/>
    </w:rPr>
  </w:style>
  <w:style w:type="paragraph" w:customStyle="1" w:styleId="213">
    <w:name w:val="TOC 标题1"/>
    <w:unhideWhenUsed/>
    <w:qFormat/>
    <w:uiPriority w:val="39"/>
    <w:rPr>
      <w:rFonts w:hint="default" w:ascii="Times New Roman" w:hAnsi="Times New Roman" w:eastAsia="宋体" w:cs="Times New Roman"/>
      <w:lang w:val="en-US" w:eastAsia="zh-CN" w:bidi="ar-SA"/>
    </w:rPr>
  </w:style>
  <w:style w:type="paragraph" w:customStyle="1" w:styleId="214">
    <w:name w:val="标题 11"/>
    <w:basedOn w:val="1"/>
    <w:next w:val="1"/>
    <w:link w:val="221"/>
    <w:qFormat/>
    <w:uiPriority w:val="0"/>
    <w:pPr>
      <w:keepNext/>
      <w:keepLines/>
      <w:spacing w:before="340" w:after="330" w:line="578" w:lineRule="auto"/>
      <w:outlineLvl w:val="0"/>
    </w:pPr>
    <w:rPr>
      <w:rFonts w:eastAsia="宋体"/>
      <w:b/>
      <w:bCs/>
      <w:sz w:val="44"/>
      <w:szCs w:val="44"/>
    </w:rPr>
  </w:style>
  <w:style w:type="paragraph" w:customStyle="1" w:styleId="215">
    <w:name w:val="标题 21"/>
    <w:basedOn w:val="1"/>
    <w:next w:val="1"/>
    <w:link w:val="222"/>
    <w:qFormat/>
    <w:uiPriority w:val="0"/>
    <w:pPr>
      <w:keepNext/>
      <w:keepLines/>
      <w:spacing w:before="260" w:after="260" w:line="416" w:lineRule="auto"/>
      <w:outlineLvl w:val="1"/>
    </w:pPr>
    <w:rPr>
      <w:rFonts w:ascii="Cambria" w:hAnsi="Cambria" w:eastAsia="宋体"/>
      <w:b/>
      <w:sz w:val="32"/>
    </w:rPr>
  </w:style>
  <w:style w:type="paragraph" w:customStyle="1" w:styleId="216">
    <w:name w:val="标题 31"/>
    <w:basedOn w:val="1"/>
    <w:next w:val="1"/>
    <w:link w:val="223"/>
    <w:qFormat/>
    <w:uiPriority w:val="0"/>
    <w:pPr>
      <w:keepNext/>
      <w:keepLines/>
      <w:spacing w:before="260" w:after="260" w:line="416" w:lineRule="auto"/>
      <w:outlineLvl w:val="2"/>
    </w:pPr>
    <w:rPr>
      <w:rFonts w:eastAsia="宋体"/>
      <w:b/>
      <w:bCs/>
      <w:sz w:val="32"/>
      <w:szCs w:val="32"/>
    </w:rPr>
  </w:style>
  <w:style w:type="paragraph" w:customStyle="1" w:styleId="217">
    <w:name w:val="标题 41"/>
    <w:basedOn w:val="1"/>
    <w:next w:val="1"/>
    <w:link w:val="224"/>
    <w:qFormat/>
    <w:uiPriority w:val="0"/>
    <w:pPr>
      <w:keepNext/>
      <w:spacing w:before="240" w:after="60"/>
      <w:outlineLvl w:val="3"/>
    </w:pPr>
    <w:rPr>
      <w:rFonts w:eastAsia="宋体"/>
      <w:b/>
      <w:bCs/>
      <w:sz w:val="28"/>
      <w:szCs w:val="28"/>
    </w:rPr>
  </w:style>
  <w:style w:type="paragraph" w:customStyle="1" w:styleId="218">
    <w:name w:val="标题 51"/>
    <w:basedOn w:val="1"/>
    <w:next w:val="1"/>
    <w:link w:val="225"/>
    <w:qFormat/>
    <w:uiPriority w:val="0"/>
    <w:pPr>
      <w:spacing w:before="240" w:after="60"/>
      <w:outlineLvl w:val="4"/>
    </w:pPr>
    <w:rPr>
      <w:rFonts w:eastAsia="宋体"/>
      <w:b/>
      <w:bCs/>
      <w:i/>
      <w:iCs/>
      <w:sz w:val="26"/>
      <w:szCs w:val="26"/>
    </w:rPr>
  </w:style>
  <w:style w:type="character" w:customStyle="1" w:styleId="219">
    <w:name w:val="默认段落字体1"/>
    <w:unhideWhenUsed/>
    <w:qFormat/>
    <w:uiPriority w:val="1"/>
  </w:style>
  <w:style w:type="table" w:customStyle="1" w:styleId="220">
    <w:name w:val="普通表格1"/>
    <w:unhideWhenUsed/>
    <w:qFormat/>
    <w:uiPriority w:val="99"/>
    <w:tblPr>
      <w:tblCellMar>
        <w:top w:w="0" w:type="dxa"/>
        <w:left w:w="0" w:type="dxa"/>
        <w:bottom w:w="0" w:type="dxa"/>
        <w:right w:w="0" w:type="dxa"/>
      </w:tblCellMar>
    </w:tblPr>
  </w:style>
  <w:style w:type="character" w:customStyle="1" w:styleId="221">
    <w:name w:val="标题 1 Char1"/>
    <w:link w:val="214"/>
    <w:qFormat/>
    <w:uiPriority w:val="0"/>
    <w:rPr>
      <w:b/>
      <w:bCs/>
      <w:sz w:val="44"/>
      <w:szCs w:val="44"/>
    </w:rPr>
  </w:style>
  <w:style w:type="character" w:customStyle="1" w:styleId="222">
    <w:name w:val="标题 2 Char"/>
    <w:link w:val="215"/>
    <w:qFormat/>
    <w:uiPriority w:val="0"/>
    <w:rPr>
      <w:rFonts w:ascii="Cambria" w:hAnsi="Cambria" w:eastAsia="宋体"/>
      <w:b/>
      <w:sz w:val="32"/>
      <w:szCs w:val="24"/>
      <w:lang w:val="en-US" w:eastAsia="zh-CN" w:bidi="ar-SA"/>
    </w:rPr>
  </w:style>
  <w:style w:type="character" w:customStyle="1" w:styleId="223">
    <w:name w:val="标题 3 Char"/>
    <w:link w:val="216"/>
    <w:qFormat/>
    <w:uiPriority w:val="0"/>
    <w:rPr>
      <w:b/>
      <w:bCs/>
      <w:sz w:val="32"/>
      <w:szCs w:val="32"/>
    </w:rPr>
  </w:style>
  <w:style w:type="character" w:customStyle="1" w:styleId="224">
    <w:name w:val="标题 4 Char"/>
    <w:link w:val="217"/>
    <w:qFormat/>
    <w:uiPriority w:val="0"/>
    <w:rPr>
      <w:rFonts w:eastAsia="宋体"/>
      <w:b/>
      <w:bCs/>
      <w:sz w:val="28"/>
      <w:szCs w:val="28"/>
      <w:lang w:val="en-US" w:eastAsia="zh-CN" w:bidi="ar-SA"/>
    </w:rPr>
  </w:style>
  <w:style w:type="character" w:customStyle="1" w:styleId="225">
    <w:name w:val="标题 5 Char"/>
    <w:link w:val="218"/>
    <w:qFormat/>
    <w:uiPriority w:val="0"/>
    <w:rPr>
      <w:rFonts w:eastAsia="宋体"/>
      <w:b/>
      <w:bCs/>
      <w:i/>
      <w:iCs/>
      <w:sz w:val="26"/>
      <w:szCs w:val="26"/>
      <w:lang w:val="en-US" w:eastAsia="zh-CN" w:bidi="ar-SA"/>
    </w:rPr>
  </w:style>
  <w:style w:type="paragraph" w:customStyle="1" w:styleId="226">
    <w:name w:val="正文缩进11"/>
    <w:basedOn w:val="1"/>
    <w:link w:val="227"/>
    <w:qFormat/>
    <w:uiPriority w:val="0"/>
    <w:pPr>
      <w:widowControl/>
      <w:ind w:firstLine="420"/>
      <w:jc w:val="left"/>
    </w:pPr>
    <w:rPr>
      <w:rFonts w:eastAsia="楷体_GB2312"/>
      <w:sz w:val="24"/>
      <w:szCs w:val="20"/>
    </w:rPr>
  </w:style>
  <w:style w:type="character" w:customStyle="1" w:styleId="227">
    <w:name w:val="正文缩进 Char"/>
    <w:link w:val="226"/>
    <w:qFormat/>
    <w:uiPriority w:val="0"/>
    <w:rPr>
      <w:rFonts w:eastAsia="楷体_GB2312"/>
      <w:sz w:val="24"/>
      <w:lang w:val="en-US" w:eastAsia="zh-CN" w:bidi="ar-SA"/>
    </w:rPr>
  </w:style>
  <w:style w:type="paragraph" w:customStyle="1" w:styleId="228">
    <w:name w:val="列表项目符号1"/>
    <w:basedOn w:val="1"/>
    <w:qFormat/>
    <w:uiPriority w:val="0"/>
    <w:pPr>
      <w:tabs>
        <w:tab w:val="left" w:pos="1155"/>
      </w:tabs>
      <w:ind w:left="420" w:hanging="420"/>
    </w:pPr>
    <w:rPr>
      <w:rFonts w:eastAsia="仿宋_GB2312"/>
      <w:sz w:val="30"/>
      <w:szCs w:val="20"/>
    </w:rPr>
  </w:style>
  <w:style w:type="paragraph" w:customStyle="1" w:styleId="229">
    <w:name w:val="文档结构图1"/>
    <w:basedOn w:val="1"/>
    <w:qFormat/>
    <w:uiPriority w:val="0"/>
    <w:pPr>
      <w:shd w:val="clear" w:color="auto" w:fill="000080"/>
    </w:pPr>
  </w:style>
  <w:style w:type="paragraph" w:customStyle="1" w:styleId="230">
    <w:name w:val="批注文字1"/>
    <w:basedOn w:val="1"/>
    <w:link w:val="231"/>
    <w:qFormat/>
    <w:uiPriority w:val="0"/>
    <w:pPr>
      <w:jc w:val="left"/>
    </w:pPr>
    <w:rPr>
      <w:rFonts w:eastAsia="宋体"/>
    </w:rPr>
  </w:style>
  <w:style w:type="character" w:customStyle="1" w:styleId="231">
    <w:name w:val="批注文字 Char"/>
    <w:link w:val="230"/>
    <w:qFormat/>
    <w:uiPriority w:val="0"/>
    <w:rPr>
      <w:sz w:val="21"/>
      <w:szCs w:val="24"/>
    </w:rPr>
  </w:style>
  <w:style w:type="paragraph" w:customStyle="1" w:styleId="232">
    <w:name w:val="正文文本1"/>
    <w:basedOn w:val="1"/>
    <w:next w:val="1"/>
    <w:link w:val="233"/>
    <w:qFormat/>
    <w:uiPriority w:val="0"/>
    <w:pPr>
      <w:spacing w:after="120"/>
    </w:pPr>
    <w:rPr>
      <w:rFonts w:eastAsia="宋体"/>
    </w:rPr>
  </w:style>
  <w:style w:type="character" w:customStyle="1" w:styleId="233">
    <w:name w:val="正文文本 Char"/>
    <w:link w:val="232"/>
    <w:qFormat/>
    <w:uiPriority w:val="0"/>
    <w:rPr>
      <w:rFonts w:eastAsia="宋体"/>
      <w:sz w:val="21"/>
      <w:szCs w:val="24"/>
      <w:lang w:val="en-US" w:eastAsia="zh-CN" w:bidi="ar-SA"/>
    </w:rPr>
  </w:style>
  <w:style w:type="paragraph" w:customStyle="1" w:styleId="234">
    <w:name w:val="正文文本缩进11"/>
    <w:basedOn w:val="1"/>
    <w:next w:val="235"/>
    <w:link w:val="236"/>
    <w:qFormat/>
    <w:uiPriority w:val="0"/>
    <w:pPr>
      <w:spacing w:after="120"/>
      <w:ind w:left="420"/>
    </w:pPr>
    <w:rPr>
      <w:rFonts w:eastAsia="宋体"/>
    </w:rPr>
  </w:style>
  <w:style w:type="paragraph" w:customStyle="1" w:styleId="235">
    <w:name w:val="寄信人地址11"/>
    <w:basedOn w:val="1"/>
    <w:qFormat/>
    <w:uiPriority w:val="0"/>
    <w:rPr>
      <w:rFonts w:ascii="Arial" w:hAnsi="Arial"/>
    </w:rPr>
  </w:style>
  <w:style w:type="character" w:customStyle="1" w:styleId="236">
    <w:name w:val="正文文本缩进 Char"/>
    <w:link w:val="234"/>
    <w:qFormat/>
    <w:uiPriority w:val="0"/>
    <w:rPr>
      <w:sz w:val="21"/>
      <w:szCs w:val="24"/>
    </w:rPr>
  </w:style>
  <w:style w:type="paragraph" w:customStyle="1" w:styleId="237">
    <w:name w:val="文本块1"/>
    <w:basedOn w:val="214"/>
    <w:next w:val="1"/>
    <w:qFormat/>
    <w:uiPriority w:val="0"/>
    <w:pPr>
      <w:spacing w:line="360" w:lineRule="auto"/>
      <w:ind w:left="630" w:right="-609" w:firstLine="420"/>
    </w:pPr>
    <w:rPr>
      <w:rFonts w:hint="eastAsia" w:ascii="仿宋_GB2312" w:eastAsia="仿宋_GB2312"/>
      <w:szCs w:val="20"/>
    </w:rPr>
  </w:style>
  <w:style w:type="paragraph" w:customStyle="1" w:styleId="238">
    <w:name w:val="目录 31"/>
    <w:basedOn w:val="1"/>
    <w:next w:val="1"/>
    <w:qFormat/>
    <w:uiPriority w:val="0"/>
    <w:pPr>
      <w:spacing w:line="360" w:lineRule="auto"/>
      <w:ind w:left="840" w:firstLine="200"/>
      <w:jc w:val="left"/>
    </w:pPr>
    <w:rPr>
      <w:sz w:val="24"/>
      <w:szCs w:val="22"/>
    </w:rPr>
  </w:style>
  <w:style w:type="paragraph" w:customStyle="1" w:styleId="239">
    <w:name w:val="纯文本111"/>
    <w:basedOn w:val="1"/>
    <w:link w:val="240"/>
    <w:qFormat/>
    <w:uiPriority w:val="0"/>
    <w:pPr>
      <w:widowControl/>
      <w:jc w:val="left"/>
    </w:pPr>
    <w:rPr>
      <w:rFonts w:ascii="宋体" w:hAnsi="Courier New" w:eastAsia="楷体_GB2312"/>
      <w:sz w:val="26"/>
    </w:rPr>
  </w:style>
  <w:style w:type="character" w:customStyle="1" w:styleId="240">
    <w:name w:val="纯文本 Char"/>
    <w:link w:val="239"/>
    <w:qFormat/>
    <w:uiPriority w:val="0"/>
    <w:rPr>
      <w:rFonts w:ascii="宋体" w:hAnsi="Courier New" w:eastAsia="楷体_GB2312"/>
      <w:sz w:val="26"/>
      <w:szCs w:val="24"/>
    </w:rPr>
  </w:style>
  <w:style w:type="paragraph" w:customStyle="1" w:styleId="241">
    <w:name w:val="日期1"/>
    <w:basedOn w:val="1"/>
    <w:next w:val="1"/>
    <w:link w:val="242"/>
    <w:qFormat/>
    <w:uiPriority w:val="0"/>
    <w:rPr>
      <w:rFonts w:eastAsia="宋体"/>
    </w:rPr>
  </w:style>
  <w:style w:type="character" w:customStyle="1" w:styleId="242">
    <w:name w:val="日期 Char"/>
    <w:link w:val="241"/>
    <w:qFormat/>
    <w:uiPriority w:val="0"/>
    <w:rPr>
      <w:rFonts w:eastAsia="宋体"/>
      <w:sz w:val="21"/>
      <w:szCs w:val="24"/>
      <w:lang w:val="en-US" w:eastAsia="zh-CN" w:bidi="ar-SA"/>
    </w:rPr>
  </w:style>
  <w:style w:type="paragraph" w:customStyle="1" w:styleId="243">
    <w:name w:val="正文文本缩进 21"/>
    <w:basedOn w:val="1"/>
    <w:next w:val="244"/>
    <w:qFormat/>
    <w:uiPriority w:val="0"/>
    <w:pPr>
      <w:spacing w:after="120" w:line="480" w:lineRule="auto"/>
      <w:ind w:left="420"/>
    </w:pPr>
  </w:style>
  <w:style w:type="paragraph" w:customStyle="1" w:styleId="244">
    <w:name w:val="索引 91"/>
    <w:basedOn w:val="1"/>
    <w:next w:val="1"/>
    <w:semiHidden/>
    <w:qFormat/>
    <w:uiPriority w:val="0"/>
    <w:pPr>
      <w:ind w:left="1600"/>
    </w:pPr>
  </w:style>
  <w:style w:type="paragraph" w:customStyle="1" w:styleId="245">
    <w:name w:val="批注框文本1"/>
    <w:basedOn w:val="1"/>
    <w:link w:val="246"/>
    <w:qFormat/>
    <w:uiPriority w:val="0"/>
    <w:rPr>
      <w:rFonts w:eastAsia="宋体"/>
      <w:sz w:val="18"/>
      <w:szCs w:val="18"/>
    </w:rPr>
  </w:style>
  <w:style w:type="character" w:customStyle="1" w:styleId="246">
    <w:name w:val="批注框文本 Char"/>
    <w:link w:val="245"/>
    <w:qFormat/>
    <w:uiPriority w:val="0"/>
    <w:rPr>
      <w:rFonts w:eastAsia="宋体"/>
      <w:sz w:val="18"/>
      <w:szCs w:val="18"/>
      <w:lang w:val="en-US" w:eastAsia="zh-CN" w:bidi="ar-SA"/>
    </w:rPr>
  </w:style>
  <w:style w:type="paragraph" w:customStyle="1" w:styleId="247">
    <w:name w:val="页脚1"/>
    <w:basedOn w:val="1"/>
    <w:link w:val="248"/>
    <w:qFormat/>
    <w:uiPriority w:val="99"/>
    <w:pPr>
      <w:tabs>
        <w:tab w:val="center" w:pos="4153"/>
        <w:tab w:val="right" w:pos="8306"/>
      </w:tabs>
      <w:jc w:val="left"/>
    </w:pPr>
    <w:rPr>
      <w:rFonts w:eastAsia="宋体"/>
      <w:sz w:val="18"/>
      <w:szCs w:val="18"/>
    </w:rPr>
  </w:style>
  <w:style w:type="character" w:customStyle="1" w:styleId="248">
    <w:name w:val="页脚 Char"/>
    <w:link w:val="247"/>
    <w:qFormat/>
    <w:uiPriority w:val="99"/>
    <w:rPr>
      <w:rFonts w:eastAsia="宋体"/>
      <w:sz w:val="18"/>
      <w:szCs w:val="18"/>
      <w:lang w:val="en-US" w:eastAsia="zh-CN" w:bidi="ar-SA"/>
    </w:rPr>
  </w:style>
  <w:style w:type="paragraph" w:customStyle="1" w:styleId="249">
    <w:name w:val="页眉1"/>
    <w:basedOn w:val="1"/>
    <w:link w:val="250"/>
    <w:qFormat/>
    <w:uiPriority w:val="99"/>
    <w:pPr>
      <w:pBdr>
        <w:bottom w:val="single" w:color="000000" w:sz="6" w:space="1"/>
      </w:pBdr>
      <w:tabs>
        <w:tab w:val="center" w:pos="4153"/>
        <w:tab w:val="right" w:pos="8306"/>
      </w:tabs>
      <w:jc w:val="center"/>
    </w:pPr>
    <w:rPr>
      <w:rFonts w:eastAsia="宋体"/>
      <w:sz w:val="18"/>
      <w:szCs w:val="18"/>
    </w:rPr>
  </w:style>
  <w:style w:type="character" w:customStyle="1" w:styleId="250">
    <w:name w:val="页眉 Char"/>
    <w:link w:val="249"/>
    <w:qFormat/>
    <w:uiPriority w:val="99"/>
    <w:rPr>
      <w:rFonts w:eastAsia="宋体"/>
      <w:sz w:val="18"/>
      <w:szCs w:val="18"/>
      <w:lang w:val="en-US" w:eastAsia="zh-CN" w:bidi="ar-SA"/>
    </w:rPr>
  </w:style>
  <w:style w:type="paragraph" w:customStyle="1" w:styleId="251">
    <w:name w:val="目录 11"/>
    <w:basedOn w:val="1"/>
    <w:next w:val="1"/>
    <w:qFormat/>
    <w:uiPriority w:val="0"/>
    <w:pPr>
      <w:jc w:val="left"/>
    </w:pPr>
    <w:rPr>
      <w:rFonts w:eastAsia="楷体_GB2312"/>
      <w:sz w:val="24"/>
      <w:szCs w:val="20"/>
    </w:rPr>
  </w:style>
  <w:style w:type="paragraph" w:customStyle="1" w:styleId="252">
    <w:name w:val="副标题1"/>
    <w:basedOn w:val="1"/>
    <w:next w:val="1"/>
    <w:link w:val="253"/>
    <w:qFormat/>
    <w:uiPriority w:val="0"/>
    <w:pPr>
      <w:spacing w:before="240" w:after="60" w:line="312" w:lineRule="auto"/>
      <w:jc w:val="center"/>
      <w:outlineLvl w:val="1"/>
    </w:pPr>
    <w:rPr>
      <w:rFonts w:ascii="宋体" w:hAnsi="Courier New" w:eastAsia="楷体_GB2312"/>
      <w:sz w:val="26"/>
    </w:rPr>
  </w:style>
  <w:style w:type="character" w:customStyle="1" w:styleId="253">
    <w:name w:val="副标题 Char"/>
    <w:link w:val="252"/>
    <w:qFormat/>
    <w:uiPriority w:val="0"/>
    <w:rPr>
      <w:rFonts w:ascii="宋体" w:hAnsi="Courier New" w:eastAsia="楷体_GB2312"/>
      <w:sz w:val="26"/>
      <w:szCs w:val="24"/>
    </w:rPr>
  </w:style>
  <w:style w:type="paragraph" w:customStyle="1" w:styleId="254">
    <w:name w:val="脚注文本1"/>
    <w:basedOn w:val="214"/>
    <w:next w:val="237"/>
    <w:qFormat/>
    <w:uiPriority w:val="0"/>
    <w:pPr>
      <w:spacing w:before="0" w:after="0" w:line="360" w:lineRule="auto"/>
      <w:ind w:firstLine="3584"/>
    </w:pPr>
  </w:style>
  <w:style w:type="paragraph" w:customStyle="1" w:styleId="255">
    <w:name w:val="正文文本缩进 31"/>
    <w:basedOn w:val="1"/>
    <w:qFormat/>
    <w:uiPriority w:val="0"/>
    <w:pPr>
      <w:spacing w:line="440" w:lineRule="atLeast"/>
      <w:ind w:firstLine="480"/>
      <w:jc w:val="left"/>
    </w:pPr>
    <w:rPr>
      <w:sz w:val="24"/>
    </w:rPr>
  </w:style>
  <w:style w:type="paragraph" w:customStyle="1" w:styleId="256">
    <w:name w:val="目录 21"/>
    <w:basedOn w:val="1"/>
    <w:next w:val="1"/>
    <w:qFormat/>
    <w:uiPriority w:val="0"/>
    <w:pPr>
      <w:spacing w:line="360" w:lineRule="auto"/>
      <w:ind w:left="420" w:firstLine="200"/>
      <w:jc w:val="left"/>
    </w:pPr>
    <w:rPr>
      <w:sz w:val="24"/>
      <w:szCs w:val="22"/>
    </w:rPr>
  </w:style>
  <w:style w:type="paragraph" w:customStyle="1" w:styleId="257">
    <w:name w:val="正文文本 21"/>
    <w:basedOn w:val="1"/>
    <w:qFormat/>
    <w:uiPriority w:val="0"/>
    <w:pPr>
      <w:spacing w:after="120" w:line="480" w:lineRule="auto"/>
    </w:pPr>
  </w:style>
  <w:style w:type="paragraph" w:customStyle="1" w:styleId="258">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59">
    <w:name w:val="索引 11"/>
    <w:basedOn w:val="1"/>
    <w:next w:val="1"/>
    <w:qFormat/>
    <w:uiPriority w:val="0"/>
  </w:style>
  <w:style w:type="paragraph" w:customStyle="1" w:styleId="260">
    <w:name w:val="标题1"/>
    <w:basedOn w:val="1"/>
    <w:link w:val="261"/>
    <w:qFormat/>
    <w:uiPriority w:val="0"/>
    <w:pPr>
      <w:tabs>
        <w:tab w:val="left" w:pos="420"/>
        <w:tab w:val="left" w:pos="432"/>
        <w:tab w:val="left" w:pos="1140"/>
      </w:tabs>
      <w:spacing w:before="240" w:after="60"/>
      <w:ind w:left="420" w:hanging="420"/>
      <w:jc w:val="center"/>
      <w:outlineLvl w:val="0"/>
    </w:pPr>
    <w:rPr>
      <w:rFonts w:ascii="Arial" w:hAnsi="Arial" w:eastAsia="宋体"/>
      <w:b/>
      <w:bCs/>
      <w:sz w:val="32"/>
      <w:szCs w:val="32"/>
    </w:rPr>
  </w:style>
  <w:style w:type="character" w:customStyle="1" w:styleId="261">
    <w:name w:val="标题 Char"/>
    <w:link w:val="260"/>
    <w:qFormat/>
    <w:uiPriority w:val="0"/>
    <w:rPr>
      <w:rFonts w:ascii="Arial" w:hAnsi="Arial"/>
      <w:b/>
      <w:bCs/>
      <w:sz w:val="32"/>
      <w:szCs w:val="32"/>
    </w:rPr>
  </w:style>
  <w:style w:type="paragraph" w:customStyle="1" w:styleId="262">
    <w:name w:val="批注主题1"/>
    <w:basedOn w:val="230"/>
    <w:next w:val="230"/>
    <w:link w:val="263"/>
    <w:qFormat/>
    <w:uiPriority w:val="0"/>
    <w:rPr>
      <w:b/>
      <w:bCs/>
    </w:rPr>
  </w:style>
  <w:style w:type="character" w:customStyle="1" w:styleId="263">
    <w:name w:val="批注主题 Char"/>
    <w:link w:val="262"/>
    <w:qFormat/>
    <w:uiPriority w:val="0"/>
    <w:rPr>
      <w:b/>
      <w:bCs/>
      <w:sz w:val="21"/>
      <w:szCs w:val="24"/>
    </w:rPr>
  </w:style>
  <w:style w:type="paragraph" w:customStyle="1" w:styleId="264">
    <w:name w:val="正文首行缩进1"/>
    <w:basedOn w:val="232"/>
    <w:qFormat/>
    <w:uiPriority w:val="0"/>
    <w:pPr>
      <w:ind w:firstLine="420"/>
    </w:pPr>
  </w:style>
  <w:style w:type="paragraph" w:customStyle="1" w:styleId="265">
    <w:name w:val="正文首行缩进 211"/>
    <w:basedOn w:val="234"/>
    <w:next w:val="243"/>
    <w:link w:val="266"/>
    <w:qFormat/>
    <w:uiPriority w:val="0"/>
    <w:pPr>
      <w:ind w:firstLine="420"/>
    </w:pPr>
    <w:rPr>
      <w:rFonts w:ascii="Calibri" w:hAnsi="Calibri" w:eastAsia="微软雅黑"/>
    </w:rPr>
  </w:style>
  <w:style w:type="character" w:customStyle="1" w:styleId="266">
    <w:name w:val="正文首行缩进 2 Char"/>
    <w:link w:val="265"/>
    <w:qFormat/>
    <w:uiPriority w:val="0"/>
    <w:rPr>
      <w:rFonts w:ascii="Calibri" w:hAnsi="Calibri" w:eastAsia="微软雅黑"/>
      <w:sz w:val="21"/>
      <w:szCs w:val="24"/>
    </w:rPr>
  </w:style>
  <w:style w:type="table" w:customStyle="1" w:styleId="267">
    <w:name w:val="网格型11"/>
    <w:basedOn w:val="220"/>
    <w:qFormat/>
    <w:uiPriority w:val="0"/>
    <w:tblPr>
      <w:tblCellMar>
        <w:top w:w="0" w:type="dxa"/>
        <w:left w:w="0" w:type="dxa"/>
        <w:bottom w:w="0" w:type="dxa"/>
        <w:right w:w="0" w:type="dxa"/>
      </w:tblCellMar>
    </w:tblPr>
  </w:style>
  <w:style w:type="character" w:customStyle="1" w:styleId="268">
    <w:name w:val="要点1"/>
    <w:qFormat/>
    <w:uiPriority w:val="0"/>
    <w:rPr>
      <w:b/>
      <w:bCs/>
    </w:rPr>
  </w:style>
  <w:style w:type="character" w:customStyle="1" w:styleId="269">
    <w:name w:val="页码1"/>
    <w:basedOn w:val="219"/>
    <w:qFormat/>
    <w:uiPriority w:val="0"/>
  </w:style>
  <w:style w:type="character" w:customStyle="1" w:styleId="270">
    <w:name w:val="已访问的超链接1"/>
    <w:qFormat/>
    <w:uiPriority w:val="0"/>
    <w:rPr>
      <w:color w:val="800080"/>
      <w:szCs w:val="24"/>
      <w:u w:val="none"/>
    </w:rPr>
  </w:style>
  <w:style w:type="character" w:customStyle="1" w:styleId="271">
    <w:name w:val="强调1"/>
    <w:qFormat/>
    <w:uiPriority w:val="0"/>
    <w:rPr>
      <w:i/>
      <w:iCs/>
    </w:rPr>
  </w:style>
  <w:style w:type="character" w:customStyle="1" w:styleId="272">
    <w:name w:val="超链接1"/>
    <w:qFormat/>
    <w:uiPriority w:val="0"/>
    <w:rPr>
      <w:color w:val="000000"/>
      <w:szCs w:val="24"/>
      <w:u w:val="none"/>
    </w:rPr>
  </w:style>
  <w:style w:type="character" w:customStyle="1" w:styleId="273">
    <w:name w:val="批注引用1"/>
    <w:qFormat/>
    <w:uiPriority w:val="0"/>
    <w:rPr>
      <w:sz w:val="21"/>
      <w:szCs w:val="21"/>
    </w:rPr>
  </w:style>
  <w:style w:type="paragraph" w:customStyle="1" w:styleId="274">
    <w:name w:val="xl35"/>
    <w:next w:val="1"/>
    <w:qFormat/>
    <w:uiPriority w:val="0"/>
    <w:pPr>
      <w:pBdr>
        <w:top w:val="single" w:color="auto" w:sz="4" w:space="0"/>
        <w:left w:val="single" w:color="auto" w:sz="4" w:space="0"/>
        <w:bottom w:val="single" w:color="auto" w:sz="8" w:space="0"/>
      </w:pBdr>
      <w:spacing w:before="100" w:beforeAutospacing="1" w:after="100" w:afterAutospacing="1"/>
    </w:pPr>
    <w:rPr>
      <w:rFonts w:hint="default" w:ascii="宋体" w:hAnsi="宋体" w:eastAsia="宋体" w:cs="Times New Roman"/>
      <w:lang w:val="en-US" w:eastAsia="zh-CN" w:bidi="ar-SA"/>
    </w:rPr>
  </w:style>
  <w:style w:type="character" w:customStyle="1" w:styleId="275">
    <w:name w:val="首行缩进两字 Char1"/>
    <w:qFormat/>
    <w:uiPriority w:val="0"/>
    <w:rPr>
      <w:rFonts w:eastAsia="楷体_GB2312"/>
      <w:sz w:val="24"/>
      <w:lang w:val="en-US" w:eastAsia="zh-CN" w:bidi="ar-SA"/>
    </w:rPr>
  </w:style>
  <w:style w:type="character" w:customStyle="1" w:styleId="276">
    <w:name w:val="列出段落 Char"/>
    <w:link w:val="277"/>
    <w:qFormat/>
    <w:uiPriority w:val="34"/>
    <w:rPr>
      <w:rFonts w:eastAsia="楷体_GB2312"/>
      <w:sz w:val="26"/>
    </w:rPr>
  </w:style>
  <w:style w:type="paragraph" w:customStyle="1" w:styleId="277">
    <w:name w:val="列出段落1"/>
    <w:basedOn w:val="1"/>
    <w:link w:val="276"/>
    <w:qFormat/>
    <w:uiPriority w:val="34"/>
    <w:pPr>
      <w:ind w:firstLine="420"/>
    </w:pPr>
    <w:rPr>
      <w:rFonts w:eastAsia="楷体_GB2312"/>
      <w:sz w:val="26"/>
      <w:szCs w:val="20"/>
    </w:rPr>
  </w:style>
  <w:style w:type="character" w:customStyle="1" w:styleId="278">
    <w:name w:val="--规划正文 Char Char"/>
    <w:qFormat/>
    <w:uiPriority w:val="0"/>
    <w:rPr>
      <w:rFonts w:hint="eastAsia" w:ascii="宋体" w:hAnsi="宋体" w:eastAsia="宋体" w:cs="宋体"/>
      <w:sz w:val="24"/>
      <w:szCs w:val="24"/>
      <w:lang w:val="en-US" w:eastAsia="zh-CN"/>
    </w:rPr>
  </w:style>
  <w:style w:type="character" w:customStyle="1" w:styleId="279">
    <w:name w:val="纯文本 Char Char2"/>
    <w:qFormat/>
    <w:uiPriority w:val="0"/>
    <w:rPr>
      <w:rFonts w:ascii="宋体" w:hAnsi="Courier New" w:eastAsia="楷体_GB2312"/>
      <w:sz w:val="26"/>
      <w:szCs w:val="24"/>
      <w:lang w:val="en-US" w:eastAsia="zh-CN" w:bidi="ar-SA"/>
    </w:rPr>
  </w:style>
  <w:style w:type="character" w:customStyle="1" w:styleId="280">
    <w:name w:val="+正文 Char Char5 Char Char"/>
    <w:qFormat/>
    <w:uiPriority w:val="0"/>
    <w:rPr>
      <w:rFonts w:eastAsia="宋体"/>
      <w:sz w:val="24"/>
      <w:szCs w:val="24"/>
      <w:lang w:val="en-US" w:eastAsia="zh-CN" w:bidi="ar-SA"/>
    </w:rPr>
  </w:style>
  <w:style w:type="character" w:customStyle="1" w:styleId="281">
    <w:name w:val="正文缩进 字符"/>
    <w:qFormat/>
    <w:uiPriority w:val="0"/>
    <w:rPr>
      <w:rFonts w:eastAsia="楷体_GB2312"/>
      <w:sz w:val="24"/>
    </w:rPr>
  </w:style>
  <w:style w:type="character" w:customStyle="1" w:styleId="282">
    <w:name w:val="Char Char17"/>
    <w:qFormat/>
    <w:uiPriority w:val="0"/>
    <w:rPr>
      <w:rFonts w:eastAsia="楷体_GB2312"/>
      <w:sz w:val="24"/>
      <w:lang w:val="en-US" w:eastAsia="zh-CN" w:bidi="ar-SA"/>
    </w:rPr>
  </w:style>
  <w:style w:type="character" w:customStyle="1" w:styleId="283">
    <w:name w:val="UserStyle_5"/>
    <w:link w:val="284"/>
    <w:qFormat/>
    <w:uiPriority w:val="0"/>
    <w:rPr>
      <w:sz w:val="16"/>
      <w:szCs w:val="16"/>
    </w:rPr>
  </w:style>
  <w:style w:type="paragraph" w:customStyle="1" w:styleId="284">
    <w:name w:val="BodyTextIndent31"/>
    <w:basedOn w:val="1"/>
    <w:link w:val="283"/>
    <w:qFormat/>
    <w:uiPriority w:val="0"/>
    <w:pPr>
      <w:widowControl/>
      <w:spacing w:after="120"/>
      <w:ind w:left="420"/>
      <w:jc w:val="left"/>
    </w:pPr>
    <w:rPr>
      <w:rFonts w:eastAsia="宋体"/>
      <w:sz w:val="16"/>
      <w:szCs w:val="16"/>
    </w:rPr>
  </w:style>
  <w:style w:type="character" w:customStyle="1" w:styleId="285">
    <w:name w:val="Heading 3 Char"/>
    <w:qFormat/>
    <w:uiPriority w:val="0"/>
    <w:rPr>
      <w:rFonts w:ascii="Times New Roman" w:hAnsi="Times New Roman" w:cs="Times New Roman"/>
      <w:b/>
      <w:bCs/>
      <w:sz w:val="32"/>
      <w:szCs w:val="32"/>
    </w:rPr>
  </w:style>
  <w:style w:type="character" w:customStyle="1" w:styleId="286">
    <w:name w:val="标题 Char1"/>
    <w:qFormat/>
    <w:uiPriority w:val="0"/>
    <w:rPr>
      <w:rFonts w:ascii="Cambria" w:hAnsi="Cambria" w:cs="Times New Roman"/>
      <w:b/>
      <w:bCs/>
      <w:sz w:val="32"/>
      <w:szCs w:val="32"/>
    </w:rPr>
  </w:style>
  <w:style w:type="character" w:customStyle="1" w:styleId="287">
    <w:name w:val="首行缩进两字 Char2"/>
    <w:qFormat/>
    <w:uiPriority w:val="0"/>
    <w:rPr>
      <w:rFonts w:eastAsia="楷体_GB2312"/>
      <w:sz w:val="24"/>
      <w:lang w:val="en-US" w:eastAsia="zh-CN" w:bidi="ar-SA"/>
    </w:rPr>
  </w:style>
  <w:style w:type="character" w:customStyle="1" w:styleId="288">
    <w:name w:val="15"/>
    <w:basedOn w:val="219"/>
    <w:qFormat/>
    <w:uiPriority w:val="0"/>
  </w:style>
  <w:style w:type="character" w:customStyle="1" w:styleId="289">
    <w:name w:val="Heading 3 Char_9e762a99-5d85-4f4a-ba85-a5c08f9f2707"/>
    <w:qFormat/>
    <w:uiPriority w:val="0"/>
    <w:rPr>
      <w:rFonts w:ascii="Times New Roman" w:hAnsi="Times New Roman" w:cs="Times New Roman"/>
      <w:b/>
      <w:bCs/>
      <w:sz w:val="32"/>
      <w:szCs w:val="32"/>
    </w:rPr>
  </w:style>
  <w:style w:type="character" w:customStyle="1" w:styleId="290">
    <w:name w:val="+标题2 Char Char"/>
    <w:link w:val="291"/>
    <w:qFormat/>
    <w:uiPriority w:val="0"/>
    <w:rPr>
      <w:rFonts w:eastAsia="宋体"/>
      <w:b/>
      <w:sz w:val="24"/>
      <w:lang w:val="en-US" w:eastAsia="zh-CN" w:bidi="ar-SA"/>
    </w:rPr>
  </w:style>
  <w:style w:type="paragraph" w:customStyle="1" w:styleId="291">
    <w:name w:val="+标题2"/>
    <w:basedOn w:val="215"/>
    <w:link w:val="290"/>
    <w:qFormat/>
    <w:uiPriority w:val="0"/>
    <w:pPr>
      <w:numPr>
        <w:ilvl w:val="1"/>
        <w:numId w:val="1"/>
      </w:numPr>
      <w:tabs>
        <w:tab w:val="left" w:pos="431"/>
        <w:tab w:val="left" w:pos="840"/>
      </w:tabs>
      <w:spacing w:before="120" w:after="120" w:line="360" w:lineRule="auto"/>
    </w:pPr>
    <w:rPr>
      <w:rFonts w:ascii="Times New Roman" w:hAnsi="Times New Roman"/>
      <w:sz w:val="24"/>
      <w:szCs w:val="20"/>
    </w:rPr>
  </w:style>
  <w:style w:type="character" w:customStyle="1" w:styleId="292">
    <w:name w:val="font31"/>
    <w:qFormat/>
    <w:uiPriority w:val="0"/>
    <w:rPr>
      <w:rFonts w:ascii="Times New Roman" w:hAnsi="Times New Roman" w:cs="Times New Roman"/>
      <w:b/>
      <w:bCs/>
      <w:color w:val="000000"/>
      <w:sz w:val="21"/>
      <w:szCs w:val="21"/>
      <w:u w:val="none"/>
    </w:rPr>
  </w:style>
  <w:style w:type="character" w:customStyle="1" w:styleId="293">
    <w:name w:val="Heading 5 Char_3e3d1d76-827e-4a4b-ab32-6bba8026e407"/>
    <w:qFormat/>
    <w:uiPriority w:val="0"/>
    <w:rPr>
      <w:rFonts w:ascii="Times New Roman" w:hAnsi="Times New Roman" w:cs="Times New Roman"/>
      <w:b/>
      <w:bCs/>
      <w:sz w:val="28"/>
      <w:szCs w:val="28"/>
    </w:rPr>
  </w:style>
  <w:style w:type="character" w:customStyle="1" w:styleId="294">
    <w:name w:val="Andy_正文 Char"/>
    <w:link w:val="295"/>
    <w:qFormat/>
    <w:uiPriority w:val="0"/>
    <w:rPr>
      <w:sz w:val="24"/>
      <w:szCs w:val="24"/>
    </w:rPr>
  </w:style>
  <w:style w:type="paragraph" w:customStyle="1" w:styleId="295">
    <w:name w:val="Andy_正文"/>
    <w:basedOn w:val="1"/>
    <w:link w:val="294"/>
    <w:qFormat/>
    <w:uiPriority w:val="0"/>
    <w:pPr>
      <w:spacing w:line="360" w:lineRule="auto"/>
      <w:ind w:firstLine="480"/>
    </w:pPr>
    <w:rPr>
      <w:rFonts w:eastAsia="宋体"/>
      <w:sz w:val="24"/>
    </w:rPr>
  </w:style>
  <w:style w:type="character" w:customStyle="1" w:styleId="296">
    <w:name w:val="+正文 Char3"/>
    <w:link w:val="297"/>
    <w:qFormat/>
    <w:uiPriority w:val="0"/>
    <w:rPr>
      <w:sz w:val="24"/>
      <w:szCs w:val="24"/>
    </w:rPr>
  </w:style>
  <w:style w:type="paragraph" w:customStyle="1" w:styleId="297">
    <w:name w:val="+正文"/>
    <w:basedOn w:val="1"/>
    <w:link w:val="296"/>
    <w:qFormat/>
    <w:uiPriority w:val="0"/>
    <w:pPr>
      <w:spacing w:line="360" w:lineRule="auto"/>
      <w:ind w:firstLine="200"/>
    </w:pPr>
    <w:rPr>
      <w:rFonts w:eastAsia="宋体"/>
      <w:sz w:val="24"/>
    </w:rPr>
  </w:style>
  <w:style w:type="character" w:customStyle="1" w:styleId="298">
    <w:name w:val="font11"/>
    <w:qFormat/>
    <w:uiPriority w:val="0"/>
    <w:rPr>
      <w:rFonts w:hint="eastAsia" w:ascii="宋体" w:hAnsi="宋体" w:eastAsia="宋体" w:cs="宋体"/>
      <w:color w:val="000000"/>
      <w:sz w:val="22"/>
      <w:szCs w:val="22"/>
      <w:u w:val="none"/>
    </w:rPr>
  </w:style>
  <w:style w:type="character" w:customStyle="1" w:styleId="299">
    <w:name w:val="+● Char Char Char Char Char Char"/>
    <w:link w:val="300"/>
    <w:qFormat/>
    <w:uiPriority w:val="0"/>
    <w:rPr>
      <w:rFonts w:eastAsia="宋体"/>
      <w:sz w:val="24"/>
      <w:szCs w:val="28"/>
      <w:lang w:val="en-US" w:eastAsia="zh-CN" w:bidi="ar-SA"/>
    </w:rPr>
  </w:style>
  <w:style w:type="paragraph" w:customStyle="1" w:styleId="300">
    <w:name w:val="+● Char Char Char"/>
    <w:basedOn w:val="1"/>
    <w:link w:val="299"/>
    <w:qFormat/>
    <w:uiPriority w:val="0"/>
    <w:pPr>
      <w:numPr>
        <w:ilvl w:val="0"/>
        <w:numId w:val="2"/>
      </w:numPr>
      <w:tabs>
        <w:tab w:val="left" w:pos="958"/>
      </w:tabs>
      <w:spacing w:line="360" w:lineRule="auto"/>
      <w:ind w:firstLine="480"/>
    </w:pPr>
    <w:rPr>
      <w:rFonts w:eastAsia="宋体"/>
      <w:sz w:val="24"/>
      <w:szCs w:val="28"/>
    </w:rPr>
  </w:style>
  <w:style w:type="character" w:customStyle="1" w:styleId="301">
    <w:name w:val="正文缩进 Char1"/>
    <w:qFormat/>
    <w:uiPriority w:val="0"/>
    <w:rPr>
      <w:rFonts w:eastAsia="楷体_GB2312"/>
      <w:sz w:val="24"/>
      <w:lang w:bidi="ar-SA"/>
    </w:rPr>
  </w:style>
  <w:style w:type="character" w:customStyle="1" w:styleId="302">
    <w:name w:val="font01"/>
    <w:qFormat/>
    <w:uiPriority w:val="0"/>
    <w:rPr>
      <w:rFonts w:hint="eastAsia" w:ascii="宋体" w:hAnsi="宋体" w:eastAsia="宋体" w:cs="宋体"/>
      <w:color w:val="000000"/>
      <w:sz w:val="22"/>
      <w:szCs w:val="22"/>
      <w:u w:val="none"/>
    </w:rPr>
  </w:style>
  <w:style w:type="character" w:customStyle="1" w:styleId="303">
    <w:name w:val="font41"/>
    <w:qFormat/>
    <w:uiPriority w:val="0"/>
    <w:rPr>
      <w:rFonts w:hint="eastAsia" w:ascii="宋体" w:hAnsi="宋体" w:eastAsia="宋体" w:cs="宋体"/>
      <w:color w:val="FF0000"/>
      <w:sz w:val="22"/>
      <w:szCs w:val="22"/>
      <w:u w:val="none"/>
    </w:rPr>
  </w:style>
  <w:style w:type="character" w:customStyle="1" w:styleId="304">
    <w:name w:val="Heading 4 Char_500a4009-9856-4abe-9bdc-a9d50c4e4af1"/>
    <w:qFormat/>
    <w:uiPriority w:val="0"/>
    <w:rPr>
      <w:rFonts w:ascii="Times New Roman" w:hAnsi="Times New Roman" w:eastAsia="宋体" w:cs="Times New Roman"/>
      <w:b/>
      <w:bCs/>
      <w:sz w:val="28"/>
      <w:szCs w:val="28"/>
    </w:rPr>
  </w:style>
  <w:style w:type="character" w:customStyle="1" w:styleId="305">
    <w:name w:val="Header Char_08b6956d-8277-4323-a107-478f02c72931"/>
    <w:qFormat/>
    <w:uiPriority w:val="0"/>
    <w:rPr>
      <w:rFonts w:eastAsia="宋体" w:cs="Times New Roman"/>
      <w:sz w:val="18"/>
      <w:szCs w:val="24"/>
      <w:lang w:val="en-US" w:eastAsia="zh-CN"/>
    </w:rPr>
  </w:style>
  <w:style w:type="character" w:customStyle="1" w:styleId="306">
    <w:name w:val="Footer Char_fec5617d-46fe-41fb-99c5-798b3dfaab27"/>
    <w:qFormat/>
    <w:uiPriority w:val="0"/>
    <w:rPr>
      <w:rFonts w:ascii="Times New Roman" w:hAnsi="Times New Roman" w:cs="Times New Roman"/>
      <w:sz w:val="18"/>
      <w:szCs w:val="18"/>
    </w:rPr>
  </w:style>
  <w:style w:type="character" w:customStyle="1" w:styleId="307">
    <w:name w:val="Plain Text Char Char"/>
    <w:link w:val="308"/>
    <w:qFormat/>
    <w:uiPriority w:val="0"/>
    <w:rPr>
      <w:rFonts w:ascii="宋体" w:hAnsi="Courier New" w:eastAsia="楷体_GB2312"/>
      <w:sz w:val="28"/>
      <w:lang w:val="en-US" w:eastAsia="zh-CN" w:bidi="ar-SA"/>
    </w:rPr>
  </w:style>
  <w:style w:type="paragraph" w:customStyle="1" w:styleId="308">
    <w:name w:val="纯文本1"/>
    <w:basedOn w:val="1"/>
    <w:link w:val="307"/>
    <w:qFormat/>
    <w:uiPriority w:val="0"/>
    <w:rPr>
      <w:rFonts w:ascii="宋体" w:hAnsi="Courier New" w:eastAsia="楷体_GB2312"/>
      <w:sz w:val="28"/>
      <w:szCs w:val="20"/>
    </w:rPr>
  </w:style>
  <w:style w:type="character" w:customStyle="1" w:styleId="309">
    <w:name w:val="方案文档 Char Char"/>
    <w:link w:val="310"/>
    <w:qFormat/>
    <w:uiPriority w:val="0"/>
    <w:rPr>
      <w:rFonts w:eastAsia="Times New Roman"/>
      <w:sz w:val="24"/>
      <w:szCs w:val="24"/>
      <w:lang w:val="en-US" w:eastAsia="zh-CN" w:bidi="ar-SA"/>
    </w:rPr>
  </w:style>
  <w:style w:type="paragraph" w:customStyle="1" w:styleId="310">
    <w:name w:val="方案文档"/>
    <w:link w:val="309"/>
    <w:qFormat/>
    <w:uiPriority w:val="0"/>
    <w:pPr>
      <w:spacing w:line="360" w:lineRule="auto"/>
      <w:ind w:firstLine="200"/>
    </w:pPr>
    <w:rPr>
      <w:rFonts w:hint="default" w:ascii="Times New Roman" w:hAnsi="Times New Roman" w:eastAsia="Times New Roman" w:cs="Times New Roman"/>
      <w:sz w:val="24"/>
      <w:szCs w:val="24"/>
      <w:lang w:val="en-US" w:eastAsia="zh-CN" w:bidi="ar-SA"/>
    </w:rPr>
  </w:style>
  <w:style w:type="character" w:customStyle="1" w:styleId="311">
    <w:name w:val="标题 1 Char"/>
    <w:qFormat/>
    <w:uiPriority w:val="9"/>
    <w:rPr>
      <w:rFonts w:eastAsia="宋体"/>
      <w:b/>
      <w:bCs/>
      <w:sz w:val="44"/>
      <w:szCs w:val="44"/>
      <w:lang w:val="en-US" w:eastAsia="zh-CN" w:bidi="ar-SA"/>
    </w:rPr>
  </w:style>
  <w:style w:type="character" w:customStyle="1" w:styleId="312">
    <w:name w:val="c lh15"/>
    <w:basedOn w:val="219"/>
    <w:qFormat/>
    <w:uiPriority w:val="0"/>
  </w:style>
  <w:style w:type="character" w:customStyle="1" w:styleId="313">
    <w:name w:val="NormalCharacter1"/>
    <w:qFormat/>
    <w:uiPriority w:val="99"/>
  </w:style>
  <w:style w:type="character" w:customStyle="1" w:styleId="314">
    <w:name w:val="+列表1 Char Char Char Char Char Char"/>
    <w:link w:val="315"/>
    <w:qFormat/>
    <w:uiPriority w:val="0"/>
    <w:rPr>
      <w:rFonts w:eastAsia="宋体"/>
      <w:sz w:val="24"/>
      <w:szCs w:val="24"/>
      <w:lang w:val="en-US" w:eastAsia="zh-CN" w:bidi="ar-SA"/>
    </w:rPr>
  </w:style>
  <w:style w:type="paragraph" w:customStyle="1" w:styleId="315">
    <w:name w:val="+列表1"/>
    <w:basedOn w:val="1"/>
    <w:link w:val="314"/>
    <w:qFormat/>
    <w:uiPriority w:val="0"/>
    <w:pPr>
      <w:jc w:val="center"/>
    </w:pPr>
    <w:rPr>
      <w:rFonts w:eastAsia="宋体"/>
      <w:sz w:val="24"/>
    </w:rPr>
  </w:style>
  <w:style w:type="paragraph" w:customStyle="1" w:styleId="316">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17">
    <w:name w:val="正文1"/>
    <w:next w:val="1"/>
    <w:qFormat/>
    <w:uiPriority w:val="0"/>
    <w:pPr>
      <w:widowControl w:val="0"/>
      <w:spacing w:line="312" w:lineRule="atLeast"/>
      <w:jc w:val="both"/>
    </w:pPr>
    <w:rPr>
      <w:rFonts w:hint="default" w:ascii="宋体" w:hAnsi="Times New Roman" w:eastAsia="微软雅黑" w:cs="Times New Roman"/>
      <w:sz w:val="34"/>
      <w:szCs w:val="22"/>
      <w:lang w:val="en-US" w:eastAsia="zh-CN" w:bidi="ar-SA"/>
    </w:rPr>
  </w:style>
  <w:style w:type="paragraph" w:customStyle="1" w:styleId="318">
    <w:name w:val="UserStyle_7"/>
    <w:next w:val="1"/>
    <w:qFormat/>
    <w:uiPriority w:val="0"/>
    <w:pPr>
      <w:spacing w:line="360" w:lineRule="auto"/>
      <w:ind w:firstLine="200"/>
      <w:jc w:val="both"/>
    </w:pPr>
    <w:rPr>
      <w:rFonts w:hint="default" w:ascii="宋体" w:hAnsi="Times New Roman" w:eastAsia="微软雅黑" w:cs="Times New Roman"/>
      <w:sz w:val="24"/>
      <w:szCs w:val="22"/>
      <w:lang w:val="en-US" w:eastAsia="zh-CN" w:bidi="ar-SA"/>
    </w:rPr>
  </w:style>
  <w:style w:type="paragraph" w:customStyle="1" w:styleId="319">
    <w:name w:val="纯文本3"/>
    <w:basedOn w:val="1"/>
    <w:qFormat/>
    <w:uiPriority w:val="0"/>
    <w:rPr>
      <w:rFonts w:ascii="宋体" w:hAnsi="Courier New" w:eastAsia="楷体_GB2312"/>
      <w:sz w:val="28"/>
      <w:szCs w:val="20"/>
    </w:rPr>
  </w:style>
  <w:style w:type="paragraph" w:customStyle="1" w:styleId="320">
    <w:name w:val="无间隔1"/>
    <w:qFormat/>
    <w:uiPriority w:val="1"/>
    <w:pPr>
      <w:widowControl w:val="0"/>
      <w:jc w:val="both"/>
    </w:pPr>
    <w:rPr>
      <w:rFonts w:hint="default" w:ascii="Times New Roman" w:hAnsi="Times New Roman" w:eastAsia="微软雅黑" w:cs="Times New Roman"/>
      <w:sz w:val="21"/>
      <w:szCs w:val="24"/>
      <w:lang w:val="en-US" w:eastAsia="zh-CN" w:bidi="ar-SA"/>
    </w:rPr>
  </w:style>
  <w:style w:type="paragraph" w:customStyle="1" w:styleId="321">
    <w:name w:val="TOC 标题11"/>
    <w:basedOn w:val="214"/>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322">
    <w:name w:val="格式３"/>
    <w:basedOn w:val="1"/>
    <w:qFormat/>
    <w:uiPriority w:val="0"/>
    <w:pPr>
      <w:spacing w:line="420" w:lineRule="exact"/>
      <w:ind w:left="600" w:hanging="600"/>
    </w:pPr>
    <w:rPr>
      <w:rFonts w:ascii="宋体" w:hAnsi="宋体"/>
      <w:color w:val="000000"/>
      <w:sz w:val="24"/>
      <w:szCs w:val="20"/>
    </w:rPr>
  </w:style>
  <w:style w:type="paragraph" w:customStyle="1" w:styleId="323">
    <w:name w:val="Char1 Char Char Char"/>
    <w:basedOn w:val="1"/>
    <w:qFormat/>
    <w:uiPriority w:val="0"/>
    <w:rPr>
      <w:rFonts w:ascii="Tahoma" w:hAnsi="Tahoma"/>
      <w:sz w:val="24"/>
      <w:szCs w:val="20"/>
    </w:rPr>
  </w:style>
  <w:style w:type="paragraph" w:customStyle="1" w:styleId="324">
    <w:name w:val="Char Char Char Char Char Char Char"/>
    <w:basedOn w:val="1"/>
    <w:qFormat/>
    <w:uiPriority w:val="0"/>
  </w:style>
  <w:style w:type="paragraph" w:customStyle="1" w:styleId="325">
    <w:name w:val="Char Char Char Char"/>
    <w:basedOn w:val="229"/>
    <w:qFormat/>
    <w:uiPriority w:val="0"/>
    <w:pPr>
      <w:spacing w:line="360" w:lineRule="auto"/>
    </w:pPr>
    <w:rPr>
      <w:sz w:val="24"/>
      <w:szCs w:val="20"/>
    </w:rPr>
  </w:style>
  <w:style w:type="paragraph" w:customStyle="1" w:styleId="326">
    <w:name w:val="Char"/>
    <w:basedOn w:val="1"/>
    <w:qFormat/>
    <w:uiPriority w:val="0"/>
    <w:pPr>
      <w:tabs>
        <w:tab w:val="left" w:pos="420"/>
      </w:tabs>
      <w:ind w:left="420" w:hanging="420"/>
    </w:pPr>
    <w:rPr>
      <w:sz w:val="24"/>
    </w:rPr>
  </w:style>
  <w:style w:type="paragraph" w:customStyle="1" w:styleId="327">
    <w:name w:val="Char Char Char Char Char Char Char Char Char1 Char Char Char Char"/>
    <w:basedOn w:val="229"/>
    <w:qFormat/>
    <w:uiPriority w:val="0"/>
    <w:pPr>
      <w:spacing w:line="360" w:lineRule="auto"/>
    </w:pPr>
    <w:rPr>
      <w:rFonts w:eastAsia="楷体_GB2312"/>
      <w:sz w:val="26"/>
      <w:szCs w:val="20"/>
    </w:rPr>
  </w:style>
  <w:style w:type="paragraph" w:customStyle="1" w:styleId="328">
    <w:name w:val="UserStyle_48"/>
    <w:basedOn w:val="1"/>
    <w:qFormat/>
    <w:uiPriority w:val="99"/>
    <w:rPr>
      <w:rFonts w:ascii="宋体" w:hAnsi="Courier New" w:eastAsia="楷体_GB2312"/>
      <w:sz w:val="26"/>
      <w:szCs w:val="20"/>
    </w:rPr>
  </w:style>
  <w:style w:type="paragraph" w:customStyle="1" w:styleId="329">
    <w:name w:val="正文 小四"/>
    <w:basedOn w:val="1"/>
    <w:qFormat/>
    <w:uiPriority w:val="0"/>
    <w:pPr>
      <w:spacing w:after="93" w:line="360" w:lineRule="auto"/>
      <w:ind w:firstLine="420"/>
    </w:pPr>
    <w:rPr>
      <w:rFonts w:eastAsia="宋体"/>
      <w:szCs w:val="21"/>
    </w:rPr>
  </w:style>
  <w:style w:type="paragraph" w:customStyle="1" w:styleId="330">
    <w:name w:val="表"/>
    <w:basedOn w:val="1"/>
    <w:qFormat/>
    <w:uiPriority w:val="0"/>
    <w:pPr>
      <w:jc w:val="center"/>
    </w:pPr>
    <w:rPr>
      <w:szCs w:val="20"/>
    </w:rPr>
  </w:style>
  <w:style w:type="paragraph" w:customStyle="1" w:styleId="331">
    <w:name w:val="首行缩进"/>
    <w:basedOn w:val="1"/>
    <w:qFormat/>
    <w:uiPriority w:val="0"/>
    <w:pPr>
      <w:ind w:firstLine="480"/>
    </w:pPr>
    <w:rPr>
      <w:szCs w:val="20"/>
      <w:lang w:val="zh-CN"/>
    </w:rPr>
  </w:style>
  <w:style w:type="paragraph" w:customStyle="1" w:styleId="332">
    <w:name w:val="xl44"/>
    <w:basedOn w:val="1"/>
    <w:qFormat/>
    <w:uiPriority w:val="0"/>
    <w:pPr>
      <w:widowControl/>
      <w:pBdr>
        <w:left w:val="single" w:color="000000" w:sz="6" w:space="0"/>
      </w:pBdr>
      <w:spacing w:before="100" w:beforeAutospacing="1" w:after="100" w:afterAutospacing="1"/>
      <w:jc w:val="center"/>
    </w:pPr>
    <w:rPr>
      <w:rFonts w:ascii="Arial Unicode MS" w:hAnsi="Arial Unicode MS" w:eastAsia="Arial Unicode MS"/>
      <w:sz w:val="24"/>
      <w:szCs w:val="20"/>
    </w:rPr>
  </w:style>
  <w:style w:type="paragraph" w:customStyle="1" w:styleId="333">
    <w:name w:val="表名"/>
    <w:basedOn w:val="334"/>
    <w:qFormat/>
    <w:uiPriority w:val="0"/>
    <w:pPr>
      <w:jc w:val="right"/>
    </w:pPr>
    <w:rPr>
      <w:b/>
    </w:rPr>
  </w:style>
  <w:style w:type="paragraph" w:customStyle="1" w:styleId="334">
    <w:name w:val="表格"/>
    <w:basedOn w:val="1"/>
    <w:qFormat/>
    <w:uiPriority w:val="0"/>
    <w:pPr>
      <w:jc w:val="center"/>
    </w:pPr>
    <w:rPr>
      <w:szCs w:val="22"/>
    </w:rPr>
  </w:style>
  <w:style w:type="paragraph" w:customStyle="1" w:styleId="335">
    <w:name w:val="_Style 30"/>
    <w:basedOn w:val="1"/>
    <w:next w:val="239"/>
    <w:qFormat/>
    <w:uiPriority w:val="0"/>
    <w:rPr>
      <w:rFonts w:ascii="宋体" w:hAnsi="Courier New" w:eastAsia="宋体"/>
    </w:rPr>
  </w:style>
  <w:style w:type="paragraph" w:customStyle="1" w:styleId="336">
    <w:name w:val="Char Char Char Char Char Char Char Char Char1 Char"/>
    <w:basedOn w:val="229"/>
    <w:qFormat/>
    <w:uiPriority w:val="0"/>
    <w:pPr>
      <w:spacing w:line="360" w:lineRule="auto"/>
    </w:pPr>
    <w:rPr>
      <w:rFonts w:ascii="Tahoma" w:hAnsi="Tahoma"/>
      <w:sz w:val="24"/>
    </w:rPr>
  </w:style>
  <w:style w:type="paragraph" w:customStyle="1" w:styleId="337">
    <w:name w:val="图名"/>
    <w:basedOn w:val="1"/>
    <w:qFormat/>
    <w:uiPriority w:val="0"/>
    <w:pPr>
      <w:jc w:val="center"/>
    </w:pPr>
    <w:rPr>
      <w:rFonts w:ascii="宋体" w:hAnsi="宋体"/>
      <w:b/>
      <w:szCs w:val="22"/>
    </w:rPr>
  </w:style>
  <w:style w:type="paragraph" w:customStyle="1" w:styleId="338">
    <w:name w:val="Default"/>
    <w:qFormat/>
    <w:uiPriority w:val="0"/>
    <w:pPr>
      <w:widowControl w:val="0"/>
    </w:pPr>
    <w:rPr>
      <w:rFonts w:hint="default" w:ascii="仿宋v.萀" w:hAnsi="Times New Roman" w:eastAsia="仿宋v.萀" w:cs="仿宋v.萀"/>
      <w:color w:val="000000"/>
      <w:sz w:val="24"/>
      <w:szCs w:val="24"/>
      <w:lang w:val="en-US" w:eastAsia="zh-CN" w:bidi="ar-SA"/>
    </w:rPr>
  </w:style>
  <w:style w:type="paragraph" w:customStyle="1" w:styleId="339">
    <w:name w:val="纯文本10"/>
    <w:basedOn w:val="1"/>
    <w:qFormat/>
    <w:uiPriority w:val="0"/>
    <w:pPr>
      <w:spacing w:line="400" w:lineRule="exact"/>
    </w:pPr>
    <w:rPr>
      <w:rFonts w:hint="eastAsia" w:ascii="宋体" w:hAnsi="Courier New" w:eastAsia="楷体_GB2312"/>
      <w:sz w:val="28"/>
      <w:szCs w:val="20"/>
    </w:rPr>
  </w:style>
  <w:style w:type="paragraph" w:customStyle="1" w:styleId="340">
    <w:name w:val="纯文本2"/>
    <w:basedOn w:val="1"/>
    <w:qFormat/>
    <w:uiPriority w:val="0"/>
    <w:pPr>
      <w:widowControl/>
      <w:jc w:val="left"/>
    </w:pPr>
    <w:rPr>
      <w:rFonts w:ascii="宋体" w:hAnsi="Courier New" w:eastAsia="楷体_GB2312"/>
      <w:sz w:val="26"/>
      <w:szCs w:val="20"/>
    </w:rPr>
  </w:style>
  <w:style w:type="paragraph" w:customStyle="1" w:styleId="341">
    <w:name w:val="节标题"/>
    <w:basedOn w:val="1"/>
    <w:next w:val="1"/>
    <w:qFormat/>
    <w:uiPriority w:val="0"/>
    <w:pPr>
      <w:widowControl/>
      <w:spacing w:line="867" w:lineRule="atLeast"/>
      <w:jc w:val="center"/>
    </w:pPr>
    <w:rPr>
      <w:color w:val="000000"/>
      <w:sz w:val="28"/>
      <w:szCs w:val="20"/>
    </w:rPr>
  </w:style>
  <w:style w:type="paragraph" w:customStyle="1" w:styleId="342">
    <w:name w:val="正文_3"/>
    <w:qFormat/>
    <w:uiPriority w:val="0"/>
    <w:pPr>
      <w:widowControl w:val="0"/>
      <w:jc w:val="both"/>
    </w:pPr>
    <w:rPr>
      <w:rFonts w:hint="default" w:ascii="Times New Roman" w:hAnsi="Times New Roman" w:eastAsia="微软雅黑" w:cs="Times New Roman"/>
      <w:sz w:val="21"/>
      <w:szCs w:val="22"/>
      <w:lang w:val="en-US" w:eastAsia="zh-CN" w:bidi="ar-SA"/>
    </w:rPr>
  </w:style>
  <w:style w:type="paragraph" w:customStyle="1" w:styleId="343">
    <w:name w:val="_正文段落"/>
    <w:basedOn w:val="1"/>
    <w:qFormat/>
    <w:uiPriority w:val="0"/>
    <w:pPr>
      <w:spacing w:line="360" w:lineRule="auto"/>
      <w:ind w:firstLine="480"/>
    </w:pPr>
    <w:rPr>
      <w:rFonts w:ascii="宋体" w:hAnsi="宋体" w:eastAsia="宋体"/>
      <w:sz w:val="24"/>
    </w:rPr>
  </w:style>
  <w:style w:type="paragraph" w:customStyle="1" w:styleId="344">
    <w:name w:val="列出段落11"/>
    <w:basedOn w:val="1"/>
    <w:qFormat/>
    <w:uiPriority w:val="0"/>
    <w:pPr>
      <w:spacing w:line="360" w:lineRule="auto"/>
      <w:ind w:firstLine="420"/>
      <w:jc w:val="left"/>
    </w:pPr>
    <w:rPr>
      <w:sz w:val="24"/>
      <w:szCs w:val="22"/>
    </w:rPr>
  </w:style>
  <w:style w:type="paragraph" w:customStyle="1" w:styleId="345">
    <w:name w:val="正文标准"/>
    <w:basedOn w:val="1"/>
    <w:qFormat/>
    <w:uiPriority w:val="0"/>
    <w:pPr>
      <w:spacing w:line="360" w:lineRule="auto"/>
      <w:ind w:firstLine="200"/>
    </w:pPr>
    <w:rPr>
      <w:rFonts w:hAnsi="宋体"/>
      <w:sz w:val="24"/>
    </w:rPr>
  </w:style>
  <w:style w:type="paragraph" w:customStyle="1" w:styleId="346">
    <w:name w:val="Char Char Char"/>
    <w:basedOn w:val="229"/>
    <w:qFormat/>
    <w:uiPriority w:val="0"/>
    <w:pPr>
      <w:spacing w:line="360" w:lineRule="auto"/>
    </w:pPr>
    <w:rPr>
      <w:rFonts w:ascii="Tahoma" w:hAnsi="Tahoma"/>
      <w:sz w:val="24"/>
    </w:rPr>
  </w:style>
  <w:style w:type="paragraph" w:customStyle="1" w:styleId="347">
    <w:name w:val="表文字"/>
    <w:qFormat/>
    <w:uiPriority w:val="0"/>
    <w:pPr>
      <w:jc w:val="center"/>
    </w:pPr>
    <w:rPr>
      <w:rFonts w:hint="default" w:ascii="Times New Roman" w:hAnsi="Times New Roman" w:eastAsia="微软雅黑" w:cs="Times New Roman"/>
      <w:bCs/>
      <w:sz w:val="21"/>
      <w:szCs w:val="24"/>
      <w:lang w:val="en-US" w:eastAsia="zh-CN" w:bidi="ar-SA"/>
    </w:rPr>
  </w:style>
  <w:style w:type="paragraph" w:customStyle="1" w:styleId="348">
    <w:name w:val="p0"/>
    <w:basedOn w:val="1"/>
    <w:qFormat/>
    <w:uiPriority w:val="0"/>
    <w:pPr>
      <w:widowControl/>
      <w:jc w:val="left"/>
    </w:pPr>
    <w:rPr>
      <w:sz w:val="24"/>
    </w:rPr>
  </w:style>
  <w:style w:type="paragraph" w:customStyle="1" w:styleId="349">
    <w:name w:val="Plain Text1"/>
    <w:basedOn w:val="1"/>
    <w:qFormat/>
    <w:uiPriority w:val="0"/>
    <w:rPr>
      <w:rFonts w:ascii="宋体" w:hAnsi="Courier New" w:eastAsia="楷体_GB2312"/>
      <w:sz w:val="26"/>
      <w:szCs w:val="20"/>
    </w:rPr>
  </w:style>
  <w:style w:type="paragraph" w:customStyle="1" w:styleId="350">
    <w:name w:val="纯文本11"/>
    <w:basedOn w:val="1"/>
    <w:qFormat/>
    <w:uiPriority w:val="0"/>
    <w:rPr>
      <w:rFonts w:ascii="宋体" w:hAnsi="Courier New" w:eastAsia="楷体_GB2312"/>
      <w:sz w:val="28"/>
      <w:szCs w:val="20"/>
    </w:rPr>
  </w:style>
  <w:style w:type="paragraph" w:customStyle="1" w:styleId="351">
    <w:name w:val="Char Char Char Char Char Char Char Char Char Char"/>
    <w:basedOn w:val="1"/>
    <w:qFormat/>
    <w:uiPriority w:val="0"/>
    <w:pPr>
      <w:numPr>
        <w:ilvl w:val="0"/>
        <w:numId w:val="3"/>
      </w:numPr>
    </w:pPr>
    <w:rPr>
      <w:sz w:val="24"/>
    </w:rPr>
  </w:style>
  <w:style w:type="paragraph" w:customStyle="1" w:styleId="352">
    <w:name w:val="文本正文"/>
    <w:basedOn w:val="1"/>
    <w:qFormat/>
    <w:uiPriority w:val="0"/>
    <w:pPr>
      <w:spacing w:line="360" w:lineRule="auto"/>
      <w:ind w:firstLine="560"/>
      <w:jc w:val="left"/>
    </w:pPr>
    <w:rPr>
      <w:rFonts w:eastAsia="宋体"/>
      <w:sz w:val="28"/>
      <w:szCs w:val="28"/>
    </w:rPr>
  </w:style>
  <w:style w:type="paragraph" w:customStyle="1" w:styleId="353">
    <w:name w:val="图片"/>
    <w:basedOn w:val="1"/>
    <w:qFormat/>
    <w:uiPriority w:val="0"/>
    <w:pPr>
      <w:spacing w:line="360" w:lineRule="auto"/>
      <w:jc w:val="center"/>
    </w:pPr>
    <w:rPr>
      <w:b/>
      <w:szCs w:val="22"/>
    </w:rPr>
  </w:style>
  <w:style w:type="paragraph" w:customStyle="1" w:styleId="354">
    <w:name w:val="Char Char Char1 Char Char Char Char"/>
    <w:basedOn w:val="1"/>
    <w:qFormat/>
    <w:uiPriority w:val="0"/>
    <w:pPr>
      <w:widowControl/>
      <w:spacing w:after="160" w:line="240" w:lineRule="exact"/>
      <w:jc w:val="left"/>
    </w:pPr>
    <w:rPr>
      <w:sz w:val="24"/>
    </w:rPr>
  </w:style>
  <w:style w:type="paragraph" w:customStyle="1" w:styleId="355">
    <w:name w:val="目录1"/>
    <w:basedOn w:val="1"/>
    <w:next w:val="1"/>
    <w:qFormat/>
    <w:uiPriority w:val="0"/>
    <w:pPr>
      <w:widowControl/>
      <w:tabs>
        <w:tab w:val="left" w:leader="dot" w:pos="8492"/>
      </w:tabs>
      <w:spacing w:after="102" w:line="646" w:lineRule="atLeast"/>
      <w:ind w:firstLine="419"/>
      <w:jc w:val="left"/>
    </w:pPr>
    <w:rPr>
      <w:color w:val="000000"/>
      <w:szCs w:val="20"/>
    </w:rPr>
  </w:style>
  <w:style w:type="paragraph" w:customStyle="1" w:styleId="356">
    <w:name w:val="p25"/>
    <w:basedOn w:val="1"/>
    <w:qFormat/>
    <w:uiPriority w:val="0"/>
    <w:pPr>
      <w:widowControl/>
      <w:jc w:val="left"/>
    </w:pPr>
    <w:rPr>
      <w:rFonts w:ascii="黑体" w:hAnsi="黑体" w:eastAsia="黑体" w:cs="黑体"/>
      <w:sz w:val="26"/>
      <w:szCs w:val="26"/>
    </w:rPr>
  </w:style>
  <w:style w:type="paragraph" w:customStyle="1" w:styleId="357">
    <w:name w:val="纯文本6"/>
    <w:basedOn w:val="1"/>
    <w:qFormat/>
    <w:uiPriority w:val="0"/>
    <w:rPr>
      <w:rFonts w:ascii="宋体" w:hAnsi="Courier New" w:eastAsia="楷体_GB2312"/>
      <w:sz w:val="28"/>
      <w:szCs w:val="20"/>
    </w:rPr>
  </w:style>
  <w:style w:type="paragraph" w:customStyle="1" w:styleId="358">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table" w:customStyle="1" w:styleId="359">
    <w:name w:val="网格型1"/>
    <w:basedOn w:val="220"/>
    <w:unhideWhenUsed/>
    <w:qFormat/>
    <w:uiPriority w:val="59"/>
    <w:rPr>
      <w:rFonts w:ascii="Calibri" w:hAnsi="Calibri"/>
    </w:rPr>
    <w:tblPr>
      <w:tblCellMar>
        <w:top w:w="0" w:type="dxa"/>
        <w:left w:w="0" w:type="dxa"/>
        <w:bottom w:w="0" w:type="dxa"/>
        <w:right w:w="0" w:type="dxa"/>
      </w:tblCellMar>
    </w:tblPr>
  </w:style>
  <w:style w:type="paragraph" w:customStyle="1" w:styleId="360">
    <w:name w:val="Table Paragraph"/>
    <w:basedOn w:val="1"/>
    <w:qFormat/>
    <w:uiPriority w:val="1"/>
    <w:rPr>
      <w:rFonts w:eastAsia="宋体"/>
      <w:szCs w:val="20"/>
    </w:rPr>
  </w:style>
  <w:style w:type="paragraph" w:customStyle="1" w:styleId="361">
    <w:name w:val="正文 New New New New New New New New New New New New New New New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2">
    <w:name w:val="正文缩进1"/>
    <w:basedOn w:val="1"/>
    <w:next w:val="1"/>
    <w:qFormat/>
    <w:uiPriority w:val="0"/>
    <w:pPr>
      <w:ind w:firstLine="420"/>
      <w:jc w:val="left"/>
    </w:pPr>
    <w:rPr>
      <w:rFonts w:eastAsia="楷体_GB2312"/>
      <w:sz w:val="24"/>
      <w:szCs w:val="20"/>
    </w:rPr>
  </w:style>
  <w:style w:type="character" w:customStyle="1" w:styleId="363">
    <w:name w:val="font51"/>
    <w:basedOn w:val="40"/>
    <w:qFormat/>
    <w:uiPriority w:val="0"/>
    <w:rPr>
      <w:rFonts w:hint="eastAsia" w:ascii="仿宋" w:hAnsi="仿宋" w:eastAsia="仿宋" w:cs="仿宋"/>
      <w:color w:val="000000"/>
      <w:sz w:val="18"/>
      <w:szCs w:val="18"/>
      <w:u w:val="none"/>
    </w:rPr>
  </w:style>
  <w:style w:type="character" w:customStyle="1" w:styleId="364">
    <w:name w:val="font71"/>
    <w:basedOn w:val="40"/>
    <w:qFormat/>
    <w:uiPriority w:val="0"/>
    <w:rPr>
      <w:rFonts w:hint="eastAsia" w:ascii="仿宋" w:hAnsi="仿宋" w:eastAsia="仿宋" w:cs="仿宋"/>
      <w:color w:val="FF0000"/>
      <w:sz w:val="18"/>
      <w:szCs w:val="18"/>
      <w:u w:val="none"/>
    </w:rPr>
  </w:style>
  <w:style w:type="table" w:customStyle="1" w:styleId="365">
    <w:name w:val="Table Normal"/>
    <w:semiHidden/>
    <w:unhideWhenUsed/>
    <w:qFormat/>
    <w:uiPriority w:val="0"/>
    <w:tblPr>
      <w:tblCellMar>
        <w:top w:w="0" w:type="dxa"/>
        <w:left w:w="0" w:type="dxa"/>
        <w:bottom w:w="0" w:type="dxa"/>
        <w:right w:w="0" w:type="dxa"/>
      </w:tblCellMar>
    </w:tblPr>
  </w:style>
  <w:style w:type="paragraph" w:customStyle="1" w:styleId="366">
    <w:name w:val="Table Text"/>
    <w:basedOn w:val="1"/>
    <w:semiHidden/>
    <w:qFormat/>
    <w:uiPriority w:val="0"/>
    <w:rPr>
      <w:rFonts w:ascii="Arial" w:hAnsi="Arial" w:eastAsia="Arial" w:cs="Arial"/>
      <w:szCs w:val="21"/>
      <w:lang w:eastAsia="en-US"/>
    </w:rPr>
  </w:style>
  <w:style w:type="paragraph" w:customStyle="1" w:styleId="367">
    <w:name w:val="表格文字"/>
    <w:basedOn w:val="16"/>
    <w:next w:val="16"/>
    <w:qFormat/>
    <w:uiPriority w:val="0"/>
    <w:pPr>
      <w:spacing w:after="0" w:line="420" w:lineRule="atLeast"/>
      <w:jc w:val="left"/>
    </w:pPr>
    <w:rPr>
      <w:rFonts w:ascii="楷体_GB2312"/>
      <w:sz w:val="28"/>
      <w:szCs w:val="20"/>
    </w:rPr>
  </w:style>
  <w:style w:type="paragraph" w:customStyle="1" w:styleId="368">
    <w:name w:val="正文(其它)"/>
    <w:basedOn w:val="369"/>
    <w:qFormat/>
    <w:uiPriority w:val="0"/>
    <w:pPr>
      <w:spacing w:line="312" w:lineRule="auto"/>
      <w:jc w:val="center"/>
    </w:pPr>
    <w:rPr>
      <w:rFonts w:ascii="黑体" w:hAnsi="Times New Roman" w:eastAsia="黑体"/>
      <w:sz w:val="32"/>
      <w:szCs w:val="32"/>
    </w:rPr>
  </w:style>
  <w:style w:type="paragraph" w:customStyle="1" w:styleId="369">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正文_7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71">
    <w:name w:val="批注框文本 Char1"/>
    <w:basedOn w:val="40"/>
    <w:link w:val="24"/>
    <w:semiHidden/>
    <w:qFormat/>
    <w:uiPriority w:val="99"/>
    <w:rPr>
      <w:rFonts w:eastAsia="微软雅黑"/>
      <w:sz w:val="18"/>
      <w:szCs w:val="18"/>
    </w:rPr>
  </w:style>
  <w:style w:type="character" w:customStyle="1" w:styleId="372">
    <w:name w:val="批注文字 Char1"/>
    <w:basedOn w:val="40"/>
    <w:link w:val="15"/>
    <w:semiHidden/>
    <w:qFormat/>
    <w:uiPriority w:val="99"/>
    <w:rPr>
      <w:rFonts w:eastAsia="微软雅黑"/>
      <w:sz w:val="21"/>
      <w:szCs w:val="24"/>
    </w:rPr>
  </w:style>
  <w:style w:type="character" w:customStyle="1" w:styleId="373">
    <w:name w:val="批注主题 Char1"/>
    <w:basedOn w:val="372"/>
    <w:link w:val="37"/>
    <w:qFormat/>
    <w:uiPriority w:val="0"/>
    <w:rPr>
      <w:rFonts w:eastAsia="微软雅黑"/>
      <w:sz w:val="21"/>
      <w:szCs w:val="24"/>
    </w:rPr>
  </w:style>
  <w:style w:type="character" w:customStyle="1" w:styleId="374">
    <w:name w:val="NormalCharacter"/>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513bbb5a-ca48-40d6-afbd-5a3a6aa1e2e8</errorID>
      <errorWord>-</errorWord>
      <group>L1_Format</group>
      <groupName>格式问题</groupName>
      <ability>L2_HalfPunc_CN</ability>
      <abilityName>全半角问题</abilityName>
      <candidateList>
        <item>－</item>
      </candidateList>
      <explain>文本全半角错误。</explain>
      <paraID> 476BD6A</paraID>
      <start>25</start>
      <end>26</end>
      <status>unmodified</status>
      <modifiedWord/>
      <trackRevisions>false</trackRevisions>
    </reviewItem>
    <reviewItem>
      <errorID>e7b5c499-0cc2-4116-8955-cc56b61a9b86</errorID>
      <errorWord>-</errorWord>
      <group>L1_Format</group>
      <groupName>格式问题</groupName>
      <ability>L2_HalfPunc_CN</ability>
      <abilityName>全半角问题</abilityName>
      <candidateList>
        <item>－</item>
      </candidateList>
      <explain>文本全半角错误。</explain>
      <paraID>1D6B1FEC</paraID>
      <start>25</start>
      <end>26</end>
      <status>unmodified</status>
      <modifiedWord/>
      <trackRevisions>false</trackRevisions>
    </reviewItem>
    <reviewItem>
      <errorID>1c658f9c-35aa-416c-a914-fa2f6ab62b46</errorID>
      <errorWord>：</errorWord>
      <group>L1_Format</group>
      <groupName>格式问题</groupName>
      <ability>L2_HalfPunc_CN</ability>
      <abilityName>全半角问题</abilityName>
      <candidateList>
        <item>:</item>
      </candidateList>
      <explain>文本全半角错误。</explain>
      <paraID> 83BE876</paraID>
      <start>152</start>
      <end>153</end>
      <status>unmodified</status>
      <modifiedWord/>
      <trackRevisions>false</trackRevisions>
    </reviewItem>
    <reviewItem>
      <errorID>41531376-4344-4707-abb2-b44b1dc59233</errorID>
      <errorWord>：</errorWord>
      <group>L1_Format</group>
      <groupName>格式问题</groupName>
      <ability>L2_HalfPunc_CN</ability>
      <abilityName>全半角问题</abilityName>
      <candidateList>
        <item>:</item>
      </candidateList>
      <explain>文本全半角错误。</explain>
      <paraID>7EF67C0D</paraID>
      <start>35</start>
      <end>36</end>
      <status>unmodified</status>
      <modifiedWord/>
      <trackRevisions>false</trackRevisions>
    </reviewItem>
    <reviewItem>
      <errorID>947f804e-415f-47d8-9260-c1955b558741</errorID>
      <errorWord>：</errorWord>
      <group>L1_Format</group>
      <groupName>格式问题</groupName>
      <ability>L2_HalfPunc_CN</ability>
      <abilityName>全半角问题</abilityName>
      <candidateList>
        <item>:</item>
      </candidateList>
      <explain>文本全半角错误。</explain>
      <paraID>7EF67C0D</paraID>
      <start>51</start>
      <end>52</end>
      <status>unmodified</status>
      <modifiedWord/>
      <trackRevisions>false</trackRevisions>
    </reviewItem>
    <reviewItem>
      <errorID>29bbfc30-8f4a-4568-9605-68a0b233b86e</errorID>
      <errorWord>-</errorWord>
      <group>L1_Format</group>
      <groupName>格式问题</groupName>
      <ability>L2_HalfPunc_CN</ability>
      <abilityName>全半角问题</abilityName>
      <candidateList>
        <item>－</item>
      </candidateList>
      <explain>文本全半角错误。</explain>
      <paraID>21D82797</paraID>
      <start>21</start>
      <end>22</end>
      <status>unmodified</status>
      <modifiedWord/>
      <trackRevisions>false</trackRevisions>
    </reviewItem>
    <reviewItem>
      <errorID>32b1c002-eaba-4e37-97e4-579dc9f79c20</errorID>
      <errorWord>-</errorWord>
      <group>L1_Format</group>
      <groupName>格式问题</groupName>
      <ability>L2_HalfPunc_CN</ability>
      <abilityName>全半角问题</abilityName>
      <candidateList>
        <item>－</item>
      </candidateList>
      <explain>文本全半角错误。</explain>
      <paraID>63BF608F</paraID>
      <start>21</start>
      <end>22</end>
      <status>unmodified</status>
      <modifiedWord/>
      <trackRevisions>false</trackRevisions>
    </reviewItem>
    <reviewItem>
      <errorID>be7fe47c-1e9d-416b-9813-6c42ac0a37db</errorID>
      <errorWord>二个</errorWord>
      <group>L1_Word</group>
      <groupName>字词问题</groupName>
      <ability>L2_Typo</ability>
      <abilityName>字词错误</abilityName>
      <candidateList>
        <item>两个</item>
      </candidateList>
      <explain/>
      <paraID> 41E910A</paraID>
      <start>16</start>
      <end>18</end>
      <status>unmodified</status>
      <modifiedWord/>
      <trackRevisions>false</trackRevisions>
    </reviewItem>
    <reviewItem>
      <errorID>e3052cdd-9d82-4b42-a97b-b2f425f4d4cd</errorID>
      <errorWord>好</errorWord>
      <group>L1_Word</group>
      <groupName>字词问题</groupName>
      <ability>L2_Typo</ability>
      <abilityName>字词错误</abilityName>
      <candidateList>
        <item>好地</item>
      </candidateList>
      <explain/>
      <paraID>268181A7</paraID>
      <start>51</start>
      <end>52</end>
      <status>unmodified</status>
      <modifiedWord/>
      <trackRevisions>false</trackRevisions>
    </reviewItem>
    <reviewItem>
      <errorID>606e97b1-5415-42e1-aba5-3efccecb4dd3</errorID>
      <errorWord>&lt;</errorWord>
      <group>L1_Format</group>
      <groupName>格式问题</groupName>
      <ability>L2_HalfPunc_CN</ability>
      <abilityName>全半角问题</abilityName>
      <candidateList>
        <item>〈</item>
      </candidateList>
      <explain>文本全半角错误。</explain>
      <paraID>1DFE9060</paraID>
      <start>27</start>
      <end>28</end>
      <status>unmodified</status>
      <modifiedWord/>
      <trackRevisions>false</trackRevisions>
    </reviewItem>
    <reviewItem>
      <errorID>7d48a9ca-d419-44b1-a741-2142d1cf9e16</errorID>
      <errorWord>&gt;的通知》</errorWord>
      <group>L1_Punc</group>
      <groupName>标点问题</groupName>
      <ability>L2_Punc_CN</ability>
      <abilityName>标点符号问题</abilityName>
      <candidateList>
        <item>〉的通知》</item>
      </candidateList>
      <explain/>
      <paraID>1DFE9060</paraID>
      <start>47</start>
      <end>52</end>
      <status>unmodified</status>
      <modifiedWord/>
      <trackRevisions>false</trackRevisions>
    </reviewItem>
    <reviewItem>
      <errorID>b46efc55-c083-4424-910d-0e0a0e305e10</errorID>
      <errorWord>：</errorWord>
      <group>L1_Format</group>
      <groupName>格式问题</groupName>
      <ability>L2_HalfPunc_CN</ability>
      <abilityName>全半角问题</abilityName>
      <candidateList>
        <item>:</item>
      </candidateList>
      <explain>文本全半角错误。</explain>
      <paraID>24D9E60E</paraID>
      <start>36</start>
      <end>37</end>
      <status>unmodified</status>
      <modifiedWord/>
      <trackRevisions>false</trackRevisions>
    </reviewItem>
    <reviewItem>
      <errorID>7b927155-eefd-4dd6-afbc-118749f8a904</errorID>
      <errorWord>“.</errorWord>
      <group>L1_Punc</group>
      <groupName>标点问题</groupName>
      <ability>L2_Punc_CN</ability>
      <abilityName>标点符号问题</abilityName>
      <candidateList>
        <item>“</item>
      </candidateList>
      <explain/>
      <paraID>76957FF6</paraID>
      <start>46</start>
      <end>48</end>
      <status>unmodified</status>
      <modifiedWord/>
      <trackRevisions>false</trackRevisions>
    </reviewItem>
    <reviewItem>
      <errorID>465223a9-80f9-4a41-a2bd-1f427f811df1</errorID>
      <errorWord>：</errorWord>
      <group>L1_Format</group>
      <groupName>格式问题</groupName>
      <ability>L2_HalfPunc_CN</ability>
      <abilityName>全半角问题</abilityName>
      <candidateList>
        <item>:</item>
      </candidateList>
      <explain>文本全半角错误。</explain>
      <paraID>3087B43E</paraID>
      <start>25</start>
      <end>26</end>
      <status>unmodified</status>
      <modifiedWord/>
      <trackRevisions>false</trackRevisions>
    </reviewItem>
    <reviewItem>
      <errorID>a00d8ef4-d0b3-4f01-a138-2765ac943213</errorID>
      <errorWord>：</errorWord>
      <group>L1_Format</group>
      <groupName>格式问题</groupName>
      <ability>L2_HalfPunc_CN</ability>
      <abilityName>全半角问题</abilityName>
      <candidateList>
        <item>:</item>
      </candidateList>
      <explain>文本全半角错误。</explain>
      <paraID>5810CA0E</paraID>
      <start>22</start>
      <end>23</end>
      <status>unmodified</status>
      <modifiedWord/>
      <trackRevisions>false</trackRevisions>
    </reviewItem>
    <reviewItem>
      <errorID>b82849f9-16e0-494e-a1e7-922b95b4a2dc</errorID>
      <errorWord>：</errorWord>
      <group>L1_Format</group>
      <groupName>格式问题</groupName>
      <ability>L2_HalfPunc_CN</ability>
      <abilityName>全半角问题</abilityName>
      <candidateList>
        <item>:</item>
      </candidateList>
      <explain>文本全半角错误。</explain>
      <paraID>5810CA0E</paraID>
      <start>28</start>
      <end>29</end>
      <status>unmodified</status>
      <modifiedWord/>
      <trackRevisions>false</trackRevisions>
    </reviewItem>
    <reviewItem>
      <errorID>0af46e55-6908-4bd2-8b15-75cdb6ff1512</errorID>
      <errorWord>：</errorWord>
      <group>L1_Format</group>
      <groupName>格式问题</groupName>
      <ability>L2_HalfPunc_CN</ability>
      <abilityName>全半角问题</abilityName>
      <candidateList>
        <item>:</item>
      </candidateList>
      <explain>文本全半角错误。</explain>
      <paraID>39113E12</paraID>
      <start>20</start>
      <end>21</end>
      <status>unmodified</status>
      <modifiedWord/>
      <trackRevisions>false</trackRevisions>
    </reviewItem>
    <reviewItem>
      <errorID>68fbe694-21d1-4534-bd46-28ed035a8e51</errorID>
      <errorWord>：</errorWord>
      <group>L1_Format</group>
      <groupName>格式问题</groupName>
      <ability>L2_HalfPunc_CN</ability>
      <abilityName>全半角问题</abilityName>
      <candidateList>
        <item>:</item>
      </candidateList>
      <explain>文本全半角错误。</explain>
      <paraID> 1651FCE</paraID>
      <start>22</start>
      <end>23</end>
      <status>unmodified</status>
      <modifiedWord/>
      <trackRevisions>false</trackRevisions>
    </reviewItem>
    <reviewItem>
      <errorID>96782abf-0b4c-433b-bd72-d54c2d101a48</errorID>
      <errorWord>：</errorWord>
      <group>L1_Format</group>
      <groupName>格式问题</groupName>
      <ability>L2_HalfPunc_CN</ability>
      <abilityName>全半角问题</abilityName>
      <candidateList>
        <item>:</item>
      </candidateList>
      <explain>文本全半角错误。</explain>
      <paraID> 1651FCE</paraID>
      <start>28</start>
      <end>29</end>
      <status>unmodified</status>
      <modifiedWord/>
      <trackRevisions>false</trackRevisions>
    </reviewItem>
    <reviewItem>
      <errorID>d942a0a7-1392-444b-bd8a-f4f4948c9a02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13B73474</paraID>
      <start>2</start>
      <end>6</end>
      <status>unmodified</status>
      <modifiedWord/>
      <trackRevisions>false</trackRevisions>
    </reviewItem>
    <reviewItem>
      <errorID>1c11d5ef-6ae6-4ad4-a5d7-ceb4345fb792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13B73474</paraID>
      <start>157</start>
      <end>161</end>
      <status>unmodified</status>
      <modifiedWord/>
      <trackRevisions>false</trackRevisions>
    </reviewItem>
    <reviewItem>
      <errorID>5fddf930-4ba8-4969-9b9a-646a4a9f7d97</errorID>
      <errorWord>：</errorWord>
      <group>L1_Format</group>
      <groupName>格式问题</groupName>
      <ability>L2_HalfPunc_CN</ability>
      <abilityName>全半角问题</abilityName>
      <candidateList>
        <item>:</item>
      </candidateList>
      <explain>文本全半角错误。</explain>
      <paraID>64DCC57D</paraID>
      <start>35</start>
      <end>36</end>
      <status>unmodified</status>
      <modifiedWord/>
      <trackRevisions>false</trackRevisions>
    </reviewItem>
    <reviewItem>
      <errorID>89ee4828-7675-4139-897a-76c187547403</errorID>
      <errorWord>：</errorWord>
      <group>L1_Format</group>
      <groupName>格式问题</groupName>
      <ability>L2_HalfPunc_CN</ability>
      <abilityName>全半角问题</abilityName>
      <candidateList>
        <item>:</item>
      </candidateList>
      <explain>文本全半角错误。</explain>
      <paraID>64DCC57D</paraID>
      <start>51</start>
      <end>52</end>
      <status>unmodified</status>
      <modifiedWord/>
      <trackRevisions>false</trackRevisions>
    </reviewItem>
    <reviewItem>
      <errorID>6925c63c-5e84-4cce-a0b5-037cdb80d1de</errorID>
      <errorWord>-</errorWord>
      <group>L1_Format</group>
      <groupName>格式问题</groupName>
      <ability>L2_HalfPunc_CN</ability>
      <abilityName>全半角问题</abilityName>
      <candidateList>
        <item>－</item>
      </candidateList>
      <explain>文本全半角错误。</explain>
      <paraID>3CBBAD55</paraID>
      <start>21</start>
      <end>22</end>
      <status>unmodified</status>
      <modifiedWord/>
      <trackRevisions>false</trackRevisions>
    </reviewItem>
    <reviewItem>
      <errorID>a1e9c15f-ec53-4408-a01a-eba34302e99c</errorID>
      <errorWord>-</errorWord>
      <group>L1_Format</group>
      <groupName>格式问题</groupName>
      <ability>L2_HalfPunc_CN</ability>
      <abilityName>全半角问题</abilityName>
      <candidateList>
        <item>－</item>
      </candidateList>
      <explain>文本全半角错误。</explain>
      <paraID>520AAFD5</paraID>
      <start>21</start>
      <end>22</end>
      <status>unmodified</status>
      <modifiedWord/>
      <trackRevisions>false</trackRevisions>
    </reviewItem>
    <reviewItem>
      <errorID>9ba68d91-24fb-413e-aefb-b78d66f41b83</errorID>
      <errorWord>二个</errorWord>
      <group>L1_Word</group>
      <groupName>字词问题</groupName>
      <ability>L2_Typo</ability>
      <abilityName>字词错误</abilityName>
      <candidateList>
        <item>两个</item>
      </candidateList>
      <explain/>
      <paraID>6BB64115</paraID>
      <start>16</start>
      <end>18</end>
      <status>unmodified</status>
      <modifiedWord/>
      <trackRevisions>false</trackRevisions>
    </reviewItem>
    <reviewItem>
      <errorID>d00895df-7371-4431-9b2b-5342f570a491</errorID>
      <errorWord>好</errorWord>
      <group>L1_Word</group>
      <groupName>字词问题</groupName>
      <ability>L2_Typo</ability>
      <abilityName>字词错误</abilityName>
      <candidateList>
        <item>好地</item>
      </candidateList>
      <explain/>
      <paraID>197EA48D</paraID>
      <start>51</start>
      <end>52</end>
      <status>unmodified</status>
      <modifiedWord/>
      <trackRevisions>false</trackRevisions>
    </reviewItem>
    <reviewItem>
      <errorID>60e9e594-1baf-4ffc-9242-64c29db6790c</errorID>
      <errorWord>房</errorWord>
      <group>L1_Word</group>
      <groupName>字词问题</groupName>
      <ability>L2_Typo</ability>
      <abilityName>字词错误</abilityName>
      <candidateList>
        <item>房和</item>
      </candidateList>
      <explain/>
      <paraID>23DCCA77</paraID>
      <start>24</start>
      <end>25</end>
      <status>unmodified</status>
      <modifiedWord/>
      <trackRevisions>false</trackRevisions>
    </reviewItem>
    <reviewItem>
      <errorID>832d9ce9-d76a-43c5-851e-726471054e1f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23DCCA77</paraID>
      <start>100</start>
      <end>101</end>
      <status>unmodified</status>
      <modifiedWord/>
      <trackRevisions>false</trackRevisions>
    </reviewItem>
    <reviewItem>
      <errorID>90074cc2-7af9-4e3f-9d8d-06da0e523529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23DCCA77</paraID>
      <start>165</start>
      <end>166</end>
      <status>unmodified</status>
      <modifiedWord/>
      <trackRevisions>false</trackRevisions>
    </reviewItem>
    <reviewItem>
      <errorID>c1ed7b60-e555-4e86-bb08-4e6a1d68ede0</errorID>
      <errorWord>其它</errorWord>
      <group>L1_Word</group>
      <groupName>字词问题</groupName>
      <ability>L2_Alias</ability>
      <abilityName>也作/曾用词</abilityName>
      <candidateList>
        <item>其他</item>
      </candidateList>
      <explain>词汇[其它]为不规范表述或旧称，其规范书面表述为[其他]。</explain>
      <paraID>3A681BF5</paraID>
      <start>13</start>
      <end>15</end>
      <status>unmodified</status>
      <modifiedWord/>
      <trackRevisions>false</trackRevisions>
    </reviewItem>
    <reviewItem>
      <errorID>1db1add3-2f43-49fe-acf6-c7420823fc5a</errorID>
      <errorWord>通讯畅通</errorWord>
      <group>L1_Word</group>
      <groupName>字词问题</groupName>
      <ability>L2_Typo</ability>
      <abilityName>字词错误</abilityName>
      <candidateList>
        <item>通信畅通</item>
      </candidateList>
      <explain/>
      <paraID>71923D5D</paraID>
      <start>63</start>
      <end>67</end>
      <status>unmodified</status>
      <modifiedWord/>
      <trackRevisions>false</trackRevisions>
    </reviewItem>
    <reviewItem>
      <errorID>f264b150-ae61-4144-839e-030747e718c0</errorID>
      <errorWord>间</errorWord>
      <group>L1_Word</group>
      <groupName>字词问题</groupName>
      <ability>L2_Typo</ability>
      <abilityName>字词错误</abilityName>
      <candidateList>
        <item>间之</item>
      </candidateList>
      <explain/>
      <paraID>4173E6BC</paraID>
      <start>21</start>
      <end>22</end>
      <status>unmodified</status>
      <modifiedWord/>
      <trackRevisions>false</trackRevisions>
    </reviewItem>
    <reviewItem>
      <errorID>7425ac37-2d13-462b-8165-94498f61a674</errorID>
      <errorWord>，</errorWord>
      <group>L1_Word</group>
      <groupName>字词问题</groupName>
      <ability>L2_Typo</ability>
      <abilityName>字词错误</abilityName>
      <candidateList>
        <item>，并</item>
      </candidateList>
      <explain/>
      <paraID>66E4BC2D</paraID>
      <start>76</start>
      <end>77</end>
      <status>unmodified</status>
      <modifiedWord/>
      <trackRevisions>false</trackRevisions>
    </reviewItem>
    <reviewItem>
      <errorID>3f94646a-aba9-4761-a795-e4a6d1c1fa14</errorID>
      <errorWord>国家发改委</errorWord>
      <group>L1_Knowledge</group>
      <groupName>知识性问题</groupName>
      <ability>L2_Knowledge</ability>
      <abilityName>其他知识</abilityName>
      <candidateList>
        <item>国家发展改革委</item>
      </candidateList>
      <explain/>
      <paraID>46F5F358</paraID>
      <start>16</start>
      <end>21</end>
      <status>unmodified</status>
      <modifiedWord/>
      <trackRevisions>false</trackRevisions>
    </reviewItem>
    <reviewItem>
      <errorID>d156899f-e4be-4d22-bd53-9fd096a939f0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46F5F358</paraID>
      <start>39</start>
      <end>42</end>
      <status>unmodified</status>
      <modifiedWord/>
      <trackRevisions>false</trackRevisions>
    </reviewItem>
    <reviewItem>
      <errorID>f587923c-869f-49fe-8e20-60ceb8c1c3b7</errorID>
      <errorWord>保持通讯畅通</errorWord>
      <group>L1_Word</group>
      <groupName>字词问题</groupName>
      <ability>L2_Typo</ability>
      <abilityName>字词错误</abilityName>
      <candidateList>
        <item>保持通信畅通</item>
      </candidateList>
      <explain/>
      <paraID>3636EC7B</paraID>
      <start>15</start>
      <end>21</end>
      <status>unmodified</status>
      <modifiedWord/>
      <trackRevisions>false</trackRevisions>
    </reviewItem>
    <reviewItem>
      <errorID>4a4c6587-f9d6-41c2-b6d5-b5df39a2b950</errorID>
      <errorWord>书面形式做出</errorWord>
      <group>L1_Word</group>
      <groupName>字词问题</groupName>
      <ability>L2_Typo</ability>
      <abilityName>字词错误</abilityName>
      <candidateList>
        <item>书面形式作出</item>
      </candidateList>
      <explain/>
      <paraID>26F7102C</paraID>
      <start>28</start>
      <end>34</end>
      <status>unmodified</status>
      <modifiedWord/>
      <trackRevisions>false</trackRevisions>
    </reviewItem>
    <reviewItem>
      <errorID>1185e215-c21d-4ddf-8b67-038da703aa33</errorID>
      <errorWord>法律、法规</errorWord>
      <group>L1_Word</group>
      <groupName>字词问题</groupName>
      <ability>L2_Typo</ability>
      <abilityName>字词错误</abilityName>
      <candidateList>
        <item>法律法规</item>
      </candidateList>
      <explain/>
      <paraID>3A239504</paraID>
      <start>35</start>
      <end>40</end>
      <status>unmodified</status>
      <modifiedWord/>
      <trackRevisions>false</trackRevisions>
    </reviewItem>
    <reviewItem>
      <errorID>ee9ffcf3-89b0-4b5c-98fa-651fbe9547b5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6FF4815F</paraID>
      <start>35</start>
      <end>38</end>
      <status>unmodified</status>
      <modifiedWord/>
      <trackRevisions>false</trackRevisions>
    </reviewItem>
    <reviewItem>
      <errorID>b4b94afd-c34a-42d9-bfb1-13a317837a89</errorID>
      <errorWord>法律、法规</errorWord>
      <group>L1_Word</group>
      <groupName>字词问题</groupName>
      <ability>L2_Typo</ability>
      <abilityName>字词错误</abilityName>
      <candidateList>
        <item>法律法规</item>
      </candidateList>
      <explain/>
      <paraID>6329348C</paraID>
      <start>5</start>
      <end>10</end>
      <status>unmodified</status>
      <modifiedWord/>
      <trackRevisions>false</trackRevisions>
    </reviewItem>
    <reviewItem>
      <errorID>3bc95716-aa01-4684-99ce-ddb17274577d</errorID>
      <errorWord>法律、法规</errorWord>
      <group>L1_Word</group>
      <groupName>字词问题</groupName>
      <ability>L2_Typo</ability>
      <abilityName>字词错误</abilityName>
      <candidateList>
        <item>法律法规</item>
      </candidateList>
      <explain/>
      <paraID>666176CE</paraID>
      <start>2</start>
      <end>7</end>
      <status>unmodified</status>
      <modifiedWord/>
      <trackRevisions>false</trackRevisions>
    </reviewItem>
    <reviewItem>
      <errorID>11a52c67-87c8-423d-9e34-ea72289f9fec</errorID>
      <errorWord>二家</errorWord>
      <group>L1_Word</group>
      <groupName>字词问题</groupName>
      <ability>L2_Typo</ability>
      <abilityName>字词错误</abilityName>
      <candidateList>
        <item>两家</item>
      </candidateList>
      <explain/>
      <paraID>11BF9564</paraID>
      <start>144</start>
      <end>146</end>
      <status>unmodified</status>
      <modifiedWord/>
      <trackRevisions>false</trackRevisions>
    </reviewItem>
    <reviewItem>
      <errorID>c71965d3-276a-4b33-bca3-fe8e35848937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7B922C1F</paraID>
      <start>23</start>
      <end>26</end>
      <status>unmodified</status>
      <modifiedWord/>
      <trackRevisions>false</trackRevisions>
    </reviewItem>
    <reviewItem>
      <errorID>d8eaed2e-e58b-4c63-a894-1a4402c86a3d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7B922C1F</paraID>
      <start>42</start>
      <end>45</end>
      <status>unmodified</status>
      <modifiedWord/>
      <trackRevisions>false</trackRevisions>
    </reviewItem>
    <reviewItem>
      <errorID>1163cd53-cd8d-43c3-9fa9-6e3de05b254b</errorID>
      <errorWord>人确定成交供应商</errorWord>
      <group>L1_Word</group>
      <groupName>字词问题</groupName>
      <ability>L2_Typo</ability>
      <abilityName>字词错误</abilityName>
      <candidateList>
        <item>人在确定成交供应商</item>
      </candidateList>
      <explain/>
      <paraID>2515BF34</paraID>
      <start>5</start>
      <end>13</end>
      <status>unmodified</status>
      <modifiedWord/>
      <trackRevisions>false</trackRevisions>
    </reviewItem>
    <reviewItem>
      <errorID>d00b1369-9038-47cc-86d9-2af5cf22a736</errorID>
      <errorWord>、</errorWord>
      <group>L1_Word</group>
      <groupName>字词问题</groupName>
      <ability>L2_Typo</ability>
      <abilityName>字词错误</abilityName>
      <candidateList>
        <item>、小</item>
      </candidateList>
      <explain/>
      <paraID> B0C46CF</paraID>
      <start>3</start>
      <end>4</end>
      <status>unmodified</status>
      <modifiedWord/>
      <trackRevisions>false</trackRevisions>
    </reviewItem>
    <reviewItem>
      <errorID>e5e86106-f44d-4878-8744-3defa29df8a8</errorID>
      <errorWord>&lt;</errorWord>
      <group>L1_Format</group>
      <groupName>格式问题</groupName>
      <ability>L2_HalfPunc_CN</ability>
      <abilityName>全半角问题</abilityName>
      <candidateList>
        <item>〈</item>
      </candidateList>
      <explain>文本全半角错误。</explain>
      <paraID>383B4BFA</paraID>
      <start>77</start>
      <end>78</end>
      <status>unmodified</status>
      <modifiedWord/>
      <trackRevisions>false</trackRevisions>
    </reviewItem>
    <reviewItem>
      <errorID>d2d26432-f1de-4178-84ad-6dc6e527bd1b</errorID>
      <errorWord>&gt;的通知》</errorWord>
      <group>L1_Punc</group>
      <groupName>标点问题</groupName>
      <ability>L2_Punc_CN</ability>
      <abilityName>标点符号问题</abilityName>
      <candidateList>
        <item>〉的通知》</item>
      </candidateList>
      <explain/>
      <paraID>383B4BFA</paraID>
      <start>97</start>
      <end>102</end>
      <status>unmodified</status>
      <modifiedWord/>
      <trackRevisions>false</trackRevisions>
    </reviewItem>
    <reviewItem>
      <errorID>798c62c9-d01c-44fa-b7e3-ad3f96343ba5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6A9BD74F</paraID>
      <start>72</start>
      <end>75</end>
      <status>unmodified</status>
      <modifiedWord/>
      <trackRevisions>false</trackRevisions>
    </reviewItem>
    <reviewItem>
      <errorID>5dc2a44c-7fc4-42ff-9d1c-833ca578dce3</errorID>
      <errorWord>二个</errorWord>
      <group>L1_Word</group>
      <groupName>字词问题</groupName>
      <ability>L2_Typo</ability>
      <abilityName>字词错误</abilityName>
      <candidateList>
        <item>两个</item>
      </candidateList>
      <explain/>
      <paraID>258D5705</paraID>
      <start>14</start>
      <end>16</end>
      <status>unmodified</status>
      <modifiedWord/>
      <trackRevisions>false</trackRevisions>
    </reviewItem>
    <reviewItem>
      <errorID>2efb322c-af67-4011-b590-b44192375896</errorID>
      <errorWord>（2017）11号</errorWord>
      <group>L1_Knowledge</group>
      <groupName>知识性问题</groupName>
      <ability>L2_Knowledge</ability>
      <abilityName>其他知识</abilityName>
      <candidateList>
        <item>〔2017〕11号</item>
      </candidateList>
      <explain>发文字号格式错误。</explain>
      <paraID>49800300</paraID>
      <start>13</start>
      <end>22</end>
      <status>unmodified</status>
      <modifiedWord/>
      <trackRevisions>false</trackRevisions>
    </reviewItem>
    <reviewItem>
      <errorID>cd424ff1-9fb9-4700-b562-ac89718add98</errorID>
      <errorWord>(</errorWord>
      <group>L1_Format</group>
      <groupName>格式问题</groupName>
      <ability>L2_HalfPunc_CN</ability>
      <abilityName>全半角问题</abilityName>
      <candidateList>
        <item>（</item>
      </candidateList>
      <explain>文本全半角错误。</explain>
      <paraID>21910814</paraID>
      <start>2</start>
      <end>3</end>
      <status>unmodified</status>
      <modifiedWord/>
      <trackRevisions>false</trackRevisions>
    </reviewItem>
    <reviewItem>
      <errorID>3211fe00-17cf-48fe-a550-28718612bdc4</errorID>
      <errorWord>)</errorWord>
      <group>L1_Format</group>
      <groupName>格式问题</groupName>
      <ability>L2_HalfPunc_CN</ability>
      <abilityName>全半角问题</abilityName>
      <candidateList>
        <item>）</item>
      </candidateList>
      <explain>文本全半角错误。</explain>
      <paraID>21910814</paraID>
      <start>7</start>
      <end>8</end>
      <status>unmodified</status>
      <modifiedWord/>
      <trackRevisions>false</trackRevisions>
    </reviewItem>
    <reviewItem>
      <errorID>c215c9a6-0d7e-4e51-9cca-22e92b4d0497</errorID>
      <errorWord>场景等</errorWord>
      <group>L1_Word</group>
      <groupName>字词问题</groupName>
      <ability>L2_Typo</ability>
      <abilityName>字词错误</abilityName>
      <candidateList>
        <item>场景</item>
      </candidateList>
      <explain/>
      <paraID>674E41CB</paraID>
      <start>59</start>
      <end>62</end>
      <status>unmodified</status>
      <modifiedWord/>
      <trackRevisions>false</trackRevisions>
    </reviewItem>
    <reviewItem>
      <errorID>e89531c5-b3e5-437f-bd23-6804315de1b3</errorID>
      <errorWord>场景等</errorWord>
      <group>L1_Word</group>
      <groupName>字词问题</groupName>
      <ability>L2_Typo</ability>
      <abilityName>字词错误</abilityName>
      <candidateList>
        <item>场景</item>
      </candidateList>
      <explain/>
      <paraID>5456FBB8</paraID>
      <start>60</start>
      <end>63</end>
      <status>unmodified</status>
      <modifiedWord/>
      <trackRevisions>false</trackRevisions>
    </reviewItem>
    <reviewItem>
      <errorID>2f63350b-c570-4b89-bc38-56aca5793f30</errorID>
      <errorWord>场景等</errorWord>
      <group>L1_Word</group>
      <groupName>字词问题</groupName>
      <ability>L2_Typo</ability>
      <abilityName>字词错误</abilityName>
      <candidateList>
        <item>场景</item>
      </candidateList>
      <explain/>
      <paraID>32237DAD</paraID>
      <start>59</start>
      <end>62</end>
      <status>unmodified</status>
      <modifiedWord/>
      <trackRevisions>false</trackRevisions>
    </reviewItem>
    <reviewItem>
      <errorID>dc9369ce-bbae-493e-9303-7b71d62e8a88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3166286B</paraID>
      <start>119</start>
      <end>120</end>
      <status>unmodified</status>
      <modifiedWord/>
      <trackRevisions>false</trackRevisions>
    </reviewItem>
    <reviewItem>
      <errorID>c19f99b2-ea46-43c8-a200-d8148f18d084</errorID>
      <errorWord>法律、法规</errorWord>
      <group>L1_Word</group>
      <groupName>字词问题</groupName>
      <ability>L2_Typo</ability>
      <abilityName>字词错误</abilityName>
      <candidateList>
        <item>法律法规</item>
      </candidateList>
      <explain/>
      <paraID>510699AC</paraID>
      <start>29</start>
      <end>34</end>
      <status>unmodified</status>
      <modifiedWord/>
      <trackRevisions>false</trackRevisions>
    </reviewItem>
    <reviewItem>
      <errorID>c5948f4d-dd3c-4f02-8177-258d8babb04e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5FC2EA85</paraID>
      <start>28</start>
      <end>29</end>
      <status>unmodified</status>
      <modifiedWord/>
      <trackRevisions>false</trackRevisions>
    </reviewItem>
    <reviewItem>
      <errorID>13225601-3296-447b-a2a7-0efcfebf7753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44E5BD12</paraID>
      <start>9</start>
      <end>12</end>
      <status>unmodified</status>
      <modifiedWord/>
      <trackRevisions>false</trackRevisions>
    </reviewItem>
    <reviewItem>
      <errorID>52295e33-ea00-4aaf-a87d-29334bb2e837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44E5BD12</paraID>
      <start>27</start>
      <end>30</end>
      <status>unmodified</status>
      <modifiedWord/>
      <trackRevisions>false</trackRevisions>
    </reviewItem>
    <reviewItem>
      <errorID>b195cf01-5ef6-4c99-9957-8bbe8ded4feb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44E5BD12</paraID>
      <start>47</start>
      <end>50</end>
      <status>unmodified</status>
      <modifiedWord/>
      <trackRevisions>false</trackRevisions>
    </reviewItem>
    <reviewItem>
      <errorID>c486fcc8-bce1-4da8-b508-176b568d9b45</errorID>
      <errorWord>日</errorWord>
      <group>L1_Word</group>
      <groupName>字词问题</groupName>
      <ability>L2_Typo</ability>
      <abilityName>字词错误</abilityName>
      <candidateList>
        <item>日内</item>
      </candidateList>
      <explain/>
      <paraID>5CA97708</paraID>
      <start>26</start>
      <end>27</end>
      <status>unmodified</status>
      <modifiedWord/>
      <trackRevisions>false</trackRevisions>
    </reviewItem>
    <reviewItem>
      <errorID>398709a4-5125-40b1-abc7-f25f3fba6a0c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7A78EB23</paraID>
      <start>9</start>
      <end>12</end>
      <status>unmodified</status>
      <modifiedWord/>
      <trackRevisions>false</trackRevisions>
    </reviewItem>
    <reviewItem>
      <errorID>ba8bce91-fbcf-4111-b917-f24f8710856b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7A78EB23</paraID>
      <start>27</start>
      <end>30</end>
      <status>unmodified</status>
      <modifiedWord/>
      <trackRevisions>false</trackRevisions>
    </reviewItem>
    <reviewItem>
      <errorID>6d913274-1e70-4087-82f4-59fa87d2706b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7A78EB23</paraID>
      <start>47</start>
      <end>50</end>
      <status>unmodified</status>
      <modifiedWord/>
      <trackRevisions>false</trackRevisions>
    </reviewItem>
    <reviewItem>
      <errorID>a54ade90-de3e-46ee-96b1-87788f13caab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32136DFC</paraID>
      <start>72</start>
      <end>73</end>
      <status>unmodified</status>
      <modifiedWord/>
      <trackRevisions>false</trackRevisions>
    </reviewItem>
    <reviewItem>
      <errorID>69a0b644-1394-4315-b261-f89364e666c0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5D550A2F</paraID>
      <start>11</start>
      <end>12</end>
      <status>unmodified</status>
      <modifiedWord/>
      <trackRevisions>false</trackRevisions>
    </reviewItem>
    <reviewItem>
      <errorID>b1caacfa-6727-46c5-922c-0bd60bfe4dbc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272E1833</paraID>
      <start>9</start>
      <end>10</end>
      <status>unmodified</status>
      <modifiedWord/>
      <trackRevisions>false</trackRevisions>
    </reviewItem>
    <reviewItem>
      <errorID>c2c9af87-8e4f-457f-a25c-f651181a1afe</errorID>
      <errorWord>小金库</errorWord>
      <group>L1_Political</group>
      <groupName>政治性问题</groupName>
      <ability>L2_Keyword</ability>
      <abilityName>固定表述</abilityName>
      <candidateList>
        <item>“小金库”</item>
      </candidateList>
      <explain>注意检查当前固定表述标点是否使用规范。</explain>
      <paraID>3BF74F77</paraID>
      <start>67</start>
      <end>70</end>
      <status>unmodified</status>
      <modifiedWord/>
      <trackRevisions>false</trackRevisions>
    </reviewItem>
    <reviewItem>
      <errorID>611e35cd-0fc3-4fa7-96ed-3558b5461430</errorID>
      <errorWord>价</errorWord>
      <group>L1_Word</group>
      <groupName>字词问题</groupName>
      <ability>L2_Typo</ability>
      <abilityName>字词错误</abilityName>
      <candidateList>
        <item>价格</item>
      </candidateList>
      <explain/>
      <paraID>32DAB323</paraID>
      <start>45</start>
      <end>46</end>
      <status>unmodified</status>
      <modifiedWord/>
      <trackRevisions>false</trackRevisions>
    </reviewItem>
    <reviewItem>
      <errorID>8e2385b5-ad96-488e-a7cc-04c03ae09b7e</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57B63BD2</paraID>
      <start>62</start>
      <end>63</end>
      <status>unmodified</status>
      <modifiedWord/>
      <trackRevisions>false</trackRevisions>
    </reviewItem>
    <reviewItem>
      <errorID>763b52be-ad2f-4eda-a0c5-67684b63ad95</errorID>
      <errorWord>（2024）7号</errorWord>
      <group>L1_Knowledge</group>
      <groupName>知识性问题</groupName>
      <ability>L2_Knowledge</ability>
      <abilityName>其他知识</abilityName>
      <candidateList>
        <item>〔2024〕7号</item>
      </candidateList>
      <explain>发文字号格式错误。</explain>
      <paraID>42D66097</paraID>
      <start>24</start>
      <end>32</end>
      <status>unmodified</status>
      <modifiedWord/>
      <trackRevisions>false</trackRevisions>
    </reviewItem>
    <reviewItem>
      <errorID>4e176809-c8a1-402c-96af-ebc4ce2c1216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43B3F1A7</paraID>
      <start>67</start>
      <end>68</end>
      <status>unmodified</status>
      <modifiedWord/>
      <trackRevisions>false</trackRevisions>
    </reviewItem>
    <reviewItem>
      <errorID>8fae4c0f-de15-4b44-80cc-067070b0609e</errorID>
      <errorWord>：</errorWord>
      <group>L1_Punc</group>
      <groupName>标点问题</groupName>
      <ability>L2_Punc_CN</ability>
      <abilityName>标点符号问题</abilityName>
      <candidateList/>
      <explain/>
      <paraID>2615B194</paraID>
      <start>36</start>
      <end>37</end>
      <status>unmodified</status>
      <modifiedWord/>
      <trackRevisions>false</trackRevisions>
    </reviewItem>
    <reviewItem>
      <errorID>ac39a416-7a6d-46f1-b3d6-5b28571effc8</errorID>
      <errorWord>《政府采购法》</errorWord>
      <group>L1_Word</group>
      <groupName>字词问题</groupName>
      <ability>L2_Typo</ability>
      <abilityName>字词错误</abilityName>
      <candidateList>
        <item>《中华人民共和国政府采购法》</item>
      </candidateList>
      <explain/>
      <paraID>2D1809BA</paraID>
      <start>164</start>
      <end>171</end>
      <status>unmodified</status>
      <modifiedWord/>
      <trackRevisions>false</trackRevisions>
    </reviewItem>
    <reviewItem>
      <errorID>79b4d70c-dd8d-4a2d-878e-036aef7f9d4e</errorID>
      <errorWord>-</errorWord>
      <group>L1_Format</group>
      <groupName>格式问题</groupName>
      <ability>L2_HalfPunc_CN</ability>
      <abilityName>全半角问题</abilityName>
      <candidateList>
        <item>－</item>
      </candidateList>
      <explain>文本全半角错误。</explain>
      <paraID>42AB54ED</paraID>
      <start>21</start>
      <end>22</end>
      <status>unmodified</status>
      <modifiedWord/>
      <trackRevisions>false</trackRevisions>
    </reviewItem>
    <reviewItem>
      <errorID>9fe7f890-ea54-4ebf-9f4a-2a0210cdaf35</errorID>
      <errorWord>-</errorWord>
      <group>L1_Format</group>
      <groupName>格式问题</groupName>
      <ability>L2_HalfPunc_CN</ability>
      <abilityName>全半角问题</abilityName>
      <candidateList>
        <item>－</item>
      </candidateList>
      <explain>文本全半角错误。</explain>
      <paraID>611E3183</paraID>
      <start>21</start>
      <end>22</end>
      <status>unmodified</status>
      <modifiedWord/>
      <trackRevisions>false</trackRevisions>
    </reviewItem>
    <reviewItem>
      <errorID>66c7c1b0-7034-45da-b48f-edcb9f282067</errorID>
      <errorWord>-</errorWord>
      <group>L1_Format</group>
      <groupName>格式问题</groupName>
      <ability>L2_HalfPunc_CN</ability>
      <abilityName>全半角问题</abilityName>
      <candidateList>
        <item>－</item>
      </candidateList>
      <explain>文本全半角错误。</explain>
      <paraID> FC5B10C</paraID>
      <start>211</start>
      <end>212</end>
      <status>unmodified</status>
      <modifiedWord/>
      <trackRevisions>false</trackRevisions>
    </reviewItem>
    <reviewItem>
      <errorID>941da386-4f1c-43e3-bbaa-c45b2e0ec78e</errorID>
      <errorWord>~</errorWord>
      <group>L1_Format</group>
      <groupName>格式问题</groupName>
      <ability>L2_HalfPunc_CN</ability>
      <abilityName>全半角问题</abilityName>
      <candidateList>
        <item>～</item>
      </candidateList>
      <explain>文本全半角错误。</explain>
      <paraID> FC5B10C</paraID>
      <start>381</start>
      <end>382</end>
      <status>unmodified</status>
      <modifiedWord/>
      <trackRevisions>false</trackRevisions>
    </reviewItem>
    <reviewItem>
      <errorID>6f10fce5-d9e4-4ca8-817f-ce3a2aa4e4c6</errorID>
      <errorWord>-</errorWord>
      <group>L1_Format</group>
      <groupName>格式问题</groupName>
      <ability>L2_HalfPunc_CN</ability>
      <abilityName>全半角问题</abilityName>
      <candidateList>
        <item>－</item>
      </candidateList>
      <explain>文本全半角错误。</explain>
      <paraID> FC5B10C</paraID>
      <start>429</start>
      <end>430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372D33-7667-4D44-B44B-32A28D4AFB01}">
  <ds:schemaRefs/>
</ds:datastoreItem>
</file>

<file path=customXml/itemProps3.xml><?xml version="1.0" encoding="utf-8"?>
<ds:datastoreItem xmlns:ds="http://schemas.openxmlformats.org/officeDocument/2006/customXml" ds:itemID="{29e61633-e0ef-4ff6-8350-efa48dd9667b}">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72</Pages>
  <Words>598</Words>
  <Characters>718</Characters>
  <TotalTime>1</TotalTime>
  <ScaleCrop>false</ScaleCrop>
  <LinksUpToDate>false</LinksUpToDate>
  <CharactersWithSpaces>735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2025-03-28T08:25:00Z</dcterms:created>
  <dc:creator>Lenovo</dc:creator>
  <cp:lastModifiedBy>Administrator</cp:lastModifiedBy>
  <cp:lastPrinted>2026-07-03T05:53:00Z</cp:lastPrinted>
  <dcterms:modified xsi:type="dcterms:W3CDTF">2026-07-07T02:50:14Z</dcterms:modified>
  <dc:title>谈判邀</dc:title>
  <cp:revision>138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34C89B22ADAF434BBAB86D5D70F5E602_13</vt:lpwstr>
  </property>
  <property fmtid="{D5CDD505-2E9C-101B-9397-08002B2CF9AE}" pid="4" name="KSOTemplateDocerSaveRecord">
    <vt:lpwstr>eyJoZGlkIjoiOTg1Mjk2Mjk2ZDRiYzJhZTA3NjEwZDUzZjA1NGI5NDMiLCJ1c2VySWQiOiI0NDY1MjgzNzcifQ==</vt:lpwstr>
  </property>
</Properties>
</file>