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南医大常州医疗健康科技园新建一期物理实验室教学相关仪器设备采购</w:t>
      </w:r>
      <w:r/>
    </w:p>
    <w:p>
      <w:pPr>
        <w:ind w:left="2833" w:hanging="1901"/>
        <w:jc w:val="left"/>
        <w:spacing w:line="360" w:lineRule="auto"/>
        <w:tabs>
          <w:tab w:val="left" w:pos="3240" w:leader="none"/>
          <w:tab w:val="left" w:pos="3420" w:leader="none"/>
        </w:tabs>
        <w:rPr>
          <w:rFonts w:hint="eastAsia" w:asciiTheme="minorEastAsia" w:hAnsiTheme="minorEastAsia"/>
          <w:bCs/>
          <w:color w:val="000000" w:themeColor="text1"/>
          <w:sz w:val="36"/>
          <w:szCs w:val="36"/>
        </w:rPr>
      </w:pPr>
      <w:r>
        <w:rPr>
          <w:bCs/>
          <w:color w:val="000000" w:themeColor="text1"/>
          <w:sz w:val="36"/>
          <w:szCs w:val="36"/>
        </w:rPr>
        <w:t xml:space="preserve">项目编号：</w:t>
      </w:r>
      <w:r>
        <w:rPr>
          <w:rFonts w:ascii="宋体" w:hAnsi="宋体" w:cs="宋体"/>
          <w:bCs/>
          <w:color w:val="000000" w:themeColor="text1"/>
          <w:sz w:val="36"/>
          <w:szCs w:val="36"/>
        </w:rPr>
        <w:t xml:space="preserve">JSZC-320412-XHJS-G2026-0016</w:t>
      </w:r>
      <w:r>
        <w:rPr>
          <w:rFonts w:hint="eastAsia" w:asciiTheme="minorEastAsia" w:hAnsiTheme="minorEastAsia"/>
          <w:bCs/>
          <w:color w:val="000000" w:themeColor="text1"/>
          <w:sz w:val="36"/>
          <w:szCs w:val="36"/>
        </w:rPr>
        <w:t xml:space="preserve">  </w:t>
      </w:r>
      <w:r/>
    </w:p>
    <w:p>
      <w:pPr>
        <w:ind w:left="2833" w:hanging="1901"/>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w:t>
      </w:r>
      <w:r>
        <w:rPr>
          <w:bCs/>
          <w:color w:val="000000" w:themeColor="text1"/>
          <w:sz w:val="36"/>
          <w:szCs w:val="36"/>
        </w:rPr>
        <w:t xml:space="preserve"> </w:t>
      </w:r>
      <w:r>
        <w:rPr>
          <w:bCs/>
          <w:color w:val="000000" w:themeColor="text1"/>
          <w:sz w:val="36"/>
          <w:szCs w:val="36"/>
        </w:rPr>
        <w:t xml:space="preserve">购</w:t>
      </w:r>
      <w:r>
        <w:rPr>
          <w:bCs/>
          <w:color w:val="000000" w:themeColor="text1"/>
          <w:sz w:val="36"/>
          <w:szCs w:val="36"/>
        </w:rPr>
        <w:t xml:space="preserve"> </w:t>
      </w:r>
      <w:r>
        <w:rPr>
          <w:bCs/>
          <w:color w:val="000000" w:themeColor="text1"/>
          <w:sz w:val="36"/>
          <w:szCs w:val="36"/>
        </w:rPr>
        <w:t xml:space="preserve">人：常州西太湖科技产业园管理委员会</w:t>
      </w:r>
      <w:r/>
    </w:p>
    <w:p>
      <w:pPr>
        <w:ind w:left="2833" w:hanging="1901"/>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s="宋体"/>
          <w:color w:val="000000" w:themeColor="text1"/>
          <w:sz w:val="24"/>
        </w:rPr>
      </w:pPr>
      <w:r>
        <w:rPr>
          <w:rFonts w:ascii="宋体" w:hAnsi="宋体" w:cs="宋体"/>
        </w:rPr>
      </w:r>
      <w:bookmarkStart w:id="2" w:name="_Toc35393790"/>
      <w:r>
        <w:rPr>
          <w:rFonts w:ascii="宋体" w:hAnsi="宋体" w:cs="宋体"/>
        </w:rPr>
      </w:r>
      <w:bookmarkStart w:id="3" w:name="_Toc28359079"/>
      <w:r>
        <w:rPr>
          <w:rFonts w:ascii="宋体" w:hAnsi="宋体" w:cs="宋体"/>
        </w:rPr>
      </w:r>
      <w:bookmarkStart w:id="4" w:name="_Toc28359002"/>
      <w:r>
        <w:rPr>
          <w:rFonts w:ascii="宋体" w:hAnsi="宋体" w:cs="宋体"/>
        </w:rPr>
      </w:r>
      <w:bookmarkStart w:id="5" w:name="_Toc35393621"/>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ascii="宋体" w:hAnsi="宋体" w:eastAsia="宋体" w:cs="宋体"/>
          <w:color w:val="000000" w:themeColor="text1"/>
          <w:sz w:val="24"/>
          <w:u w:val="single"/>
        </w:rPr>
        <w:t xml:space="preserve">常州西太湖科技产业园管理委员会</w:t>
      </w:r>
      <w:r>
        <w:rPr>
          <w:rFonts w:hint="eastAsia" w:ascii="宋体" w:hAnsi="宋体" w:eastAsia="宋体" w:cs="宋体"/>
          <w:color w:val="000000" w:themeColor="text1"/>
          <w:sz w:val="24"/>
        </w:rPr>
        <w:t xml:space="preserve">的委托，就</w:t>
      </w:r>
      <w:r>
        <w:rPr>
          <w:rFonts w:hint="eastAsia" w:ascii="宋体" w:hAnsi="宋体" w:eastAsia="宋体" w:cs="宋体"/>
          <w:bCs/>
          <w:color w:val="000000" w:themeColor="text1"/>
          <w:sz w:val="24"/>
          <w:u w:val="single"/>
        </w:rPr>
        <w:t xml:space="preserve">南医大常州医疗健康科技园新建一期物理实验室教学相关仪器设备采购</w:t>
      </w:r>
      <w:r>
        <w:rPr>
          <w:rFonts w:hint="eastAsia" w:ascii="宋体" w:hAnsi="宋体" w:eastAsia="宋体" w:cs="宋体"/>
          <w:color w:val="000000" w:themeColor="text1"/>
          <w:sz w:val="24"/>
        </w:rPr>
        <w:t xml:space="preserve">进行公开招标采购，各潜在投标人可在“苏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”政府采购一体化平台自行免费下载招标文件，并于</w:t>
      </w:r>
      <w:r>
        <w:rPr>
          <w:rFonts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eastAsia="宋体" w:cs="宋体"/>
          <w:bCs/>
          <w:color w:val="000000" w:themeColor="text1"/>
          <w:sz w:val="24"/>
        </w:rPr>
        <w:t xml:space="preserve">年</w:t>
      </w:r>
      <w:r>
        <w:rPr>
          <w:rFonts w:hint="eastAsia" w:ascii="宋体" w:hAnsi="宋体" w:cs="宋体"/>
          <w:bCs/>
          <w:color w:val="000000" w:themeColor="text1"/>
          <w:sz w:val="24"/>
        </w:rPr>
        <w:t xml:space="preserve">7</w:t>
      </w:r>
      <w:r>
        <w:rPr>
          <w:rFonts w:hint="eastAsia" w:ascii="宋体" w:hAnsi="宋体" w:eastAsia="宋体" w:cs="宋体"/>
          <w:bCs/>
          <w:color w:val="000000" w:themeColor="text1"/>
          <w:sz w:val="24"/>
        </w:rPr>
        <w:t xml:space="preserve">月</w:t>
      </w:r>
      <w:r>
        <w:rPr>
          <w:rFonts w:hint="eastAsia" w:ascii="宋体" w:hAnsi="宋体" w:cs="宋体"/>
          <w:bCs/>
          <w:color w:val="000000" w:themeColor="text1"/>
          <w:sz w:val="24"/>
        </w:rPr>
        <w:t xml:space="preserve">14</w:t>
      </w:r>
      <w:r>
        <w:rPr>
          <w:rFonts w:hint="eastAsia" w:ascii="宋体" w:hAnsi="宋体" w:eastAsia="宋体" w:cs="宋体"/>
          <w:bCs/>
          <w:color w:val="000000" w:themeColor="text1"/>
          <w:sz w:val="24"/>
        </w:rPr>
        <w:t xml:space="preserve">日</w:t>
      </w:r>
      <w:r>
        <w:rPr>
          <w:rFonts w:ascii="宋体" w:hAnsi="宋体" w:cs="宋体"/>
          <w:bCs/>
          <w:color w:val="000000" w:themeColor="text1"/>
          <w:sz w:val="24"/>
        </w:rPr>
        <w:t xml:space="preserve">09</w:t>
      </w:r>
      <w:r>
        <w:rPr>
          <w:rFonts w:hint="eastAsia" w:ascii="宋体" w:hAnsi="宋体" w:eastAsia="宋体" w:cs="宋体"/>
          <w:bCs/>
          <w:color w:val="000000" w:themeColor="text1"/>
          <w:sz w:val="24"/>
        </w:rPr>
        <w:t xml:space="preserve">点</w:t>
      </w:r>
      <w:r>
        <w:rPr>
          <w:rFonts w:ascii="宋体" w:hAnsi="宋体" w:cs="宋体"/>
          <w:bCs/>
          <w:color w:val="000000" w:themeColor="text1"/>
          <w:sz w:val="24"/>
        </w:rPr>
        <w:t xml:space="preserve">00</w:t>
      </w:r>
      <w:r>
        <w:rPr>
          <w:rFonts w:hint="eastAsia" w:ascii="宋体" w:hAnsi="宋体" w:eastAsia="宋体" w:cs="宋体"/>
          <w:bCs/>
          <w:color w:val="000000" w:themeColor="text1"/>
          <w:sz w:val="24"/>
        </w:rPr>
        <w:t xml:space="preserve">分（北京时间）前递交投标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hint="eastAsia"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JSZC-320412-XHJS-G2026-0016</w:t>
      </w: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南医大常州医疗健康科技园新建一期物理实验室教学相关仪器设备采购</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hint="eastAsia" w:ascii="宋体" w:hAnsi="宋体" w:cs="宋体"/>
          <w:color w:val="000000" w:themeColor="text1"/>
          <w:sz w:val="24"/>
        </w:rPr>
        <w:t xml:space="preserve">290</w:t>
      </w:r>
      <w:r>
        <w:rPr>
          <w:rFonts w:ascii="宋体" w:hAnsi="宋体" w:eastAsia="宋体" w:cs="宋体"/>
          <w:color w:val="000000" w:themeColor="text1"/>
          <w:sz w:val="24"/>
        </w:rPr>
        <w:t xml:space="preserve">万元</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hint="eastAsia" w:ascii="宋体" w:hAnsi="宋体" w:cs="宋体"/>
          <w:color w:val="000000" w:themeColor="text1"/>
          <w:sz w:val="24"/>
        </w:rPr>
        <w:t xml:space="preserve">265</w:t>
      </w:r>
      <w:r>
        <w:rPr>
          <w:rFonts w:ascii="宋体" w:hAnsi="宋体" w:eastAsia="宋体" w:cs="宋体"/>
          <w:color w:val="000000" w:themeColor="text1"/>
          <w:sz w:val="24"/>
        </w:rPr>
        <w:t xml:space="preserve">万元</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w:t>
      </w:r>
      <w:r>
        <w:rPr>
          <w:rFonts w:hint="eastAsia" w:ascii="宋体" w:hAnsi="宋体" w:eastAsia="宋体" w:cs="宋体"/>
          <w:bCs/>
          <w:color w:val="000000" w:themeColor="text1"/>
          <w:sz w:val="24"/>
        </w:rPr>
        <w:t xml:space="preserve">南医大常州医疗健康科技园新建一期物理实验室教学相关仪器设备采购</w:t>
      </w:r>
      <w:r>
        <w:rPr>
          <w:rFonts w:hint="eastAsia" w:ascii="宋体" w:hAnsi="宋体" w:eastAsia="宋体" w:cs="宋体"/>
          <w:color w:val="000000" w:themeColor="text1"/>
          <w:sz w:val="24"/>
        </w:rPr>
        <w:t xml:space="preserve">项目，包括相应产品供货前的准备（包括现场踏勘、技术核对等）、产品设计、制造、采购、运输、装卸、安装、调试、技术指导培训、检验、质保期及维保服务等全部内容。</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.合同履行期限：签订合同后，</w:t>
      </w:r>
      <w:r>
        <w:rPr>
          <w:rFonts w:hint="eastAsia" w:ascii="宋体" w:hAnsi="宋体" w:cs="宋体"/>
          <w:color w:val="000000" w:themeColor="text1"/>
          <w:sz w:val="24"/>
        </w:rPr>
        <w:t xml:space="preserve">30</w:t>
      </w:r>
      <w:r>
        <w:rPr>
          <w:rFonts w:hint="eastAsia" w:ascii="宋体" w:hAnsi="宋体" w:eastAsia="宋体" w:cs="宋体"/>
          <w:color w:val="000000" w:themeColor="text1"/>
          <w:sz w:val="24"/>
        </w:rPr>
        <w:t xml:space="preserve">日历天完成</w:t>
      </w:r>
      <w:r>
        <w:rPr>
          <w:rFonts w:hint="eastAsia" w:ascii="宋体" w:hAnsi="宋体" w:eastAsia="宋体" w:cs="宋体"/>
          <w:color w:val="000000" w:themeColor="text1"/>
          <w:sz w:val="24"/>
        </w:rPr>
        <w:t xml:space="preserve">采购安装及调试验收等工作。</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.本项目是否接受联合体投标：否</w:t>
      </w:r>
      <w:r>
        <w:rPr>
          <w:rFonts w:hint="eastAsia" w:ascii="宋体" w:hAnsi="宋体" w:eastAsia="宋体" w:cs="宋体"/>
          <w:color w:val="000000" w:themeColor="text1"/>
          <w:sz w:val="24"/>
        </w:rPr>
        <w:t xml:space="preserve">。</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8" w:name="_Toc35393622"/>
      <w:r>
        <w:rPr>
          <w:rFonts w:ascii="宋体" w:hAnsi="宋体" w:cs="宋体"/>
        </w:rPr>
      </w:r>
      <w:bookmarkStart w:id="9" w:name="_Toc28359080"/>
      <w:r>
        <w:rPr>
          <w:rFonts w:ascii="宋体" w:hAnsi="宋体" w:cs="宋体"/>
        </w:rPr>
      </w:r>
      <w:bookmarkStart w:id="10" w:name="_Toc28359003"/>
      <w:r>
        <w:rPr>
          <w:rFonts w:ascii="宋体" w:hAnsi="宋体" w:cs="宋体"/>
        </w:rPr>
      </w:r>
      <w:bookmarkStart w:id="11" w:name="_Toc35393791"/>
      <w:r>
        <w:rPr>
          <w:rFonts w:ascii="宋体" w:hAnsi="宋体" w:eastAsia="宋体" w:cs="宋体"/>
          <w:color w:val="000000" w:themeColor="text1"/>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color w:val="000000" w:themeColor="text1"/>
          <w:sz w:val="24"/>
          <w:szCs w:val="24"/>
        </w:rPr>
        <w:t xml:space="preserve">（须同时满足）</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rPr>
      </w:r>
      <w:bookmarkStart w:id="12" w:name="_Toc28359081"/>
      <w:r>
        <w:rPr>
          <w:rFonts w:ascii="宋体" w:hAnsi="宋体" w:cs="宋体"/>
        </w:rPr>
      </w:r>
      <w:bookmarkStart w:id="13" w:name="_Toc28359004"/>
      <w:r>
        <w:rPr>
          <w:rFonts w:ascii="宋体" w:hAnsi="宋体" w:eastAsia="宋体" w:cs="宋体"/>
          <w:color w:val="000000" w:themeColor="text1"/>
          <w:sz w:val="24"/>
        </w:rPr>
        <w:t xml:space="preserve">2.落实政府采购政策需满足的资格要求：</w:t>
      </w:r>
      <w:r>
        <w:rPr>
          <w:rFonts w:ascii="宋体" w:hAnsi="宋体" w:cs="宋体"/>
        </w:rPr>
      </w: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w:t>
      </w:r>
      <w:r>
        <w:rPr>
          <w:rFonts w:ascii="宋体" w:hAnsi="宋体" w:eastAsia="宋体" w:cs="宋体"/>
          <w:color w:val="000000" w:themeColor="text1"/>
          <w:sz w:val="24"/>
        </w:rPr>
        <w:t xml:space="preserve">不</w:t>
      </w:r>
      <w:r>
        <w:rPr>
          <w:rFonts w:ascii="宋体" w:hAnsi="宋体" w:eastAsia="宋体" w:cs="宋体"/>
          <w:color w:val="000000" w:themeColor="text1"/>
          <w:sz w:val="24"/>
        </w:rPr>
        <w:t xml:space="preserve">专门面向中小企业预留采购份额。</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本项目专门面向中小企业采购。即：提供的货物全部由符合政策要求的</w:t>
      </w:r>
      <w:r>
        <w:rPr>
          <w:rFonts w:ascii="宋体" w:hAnsi="宋体" w:eastAsia="宋体" w:cs="宋体"/>
          <w:color w:val="000000" w:themeColor="text1"/>
          <w:sz w:val="24"/>
        </w:rPr>
        <w:t xml:space="preserve">中小企业制造、服务全部由符合政策要求的中小企业承接。</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color w:val="000000" w:themeColor="text1"/>
          <w:sz w:val="24"/>
          <w:u w:val="single"/>
        </w:rPr>
        <w:t xml:space="preserve"> 无   </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4" w:name="_Toc35393792"/>
      <w:r>
        <w:rPr>
          <w:rFonts w:ascii="宋体" w:hAnsi="宋体" w:cs="宋体"/>
        </w:rPr>
      </w:r>
      <w:bookmarkStart w:id="15" w:name="_Toc35393623"/>
      <w:r>
        <w:rPr>
          <w:rFonts w:ascii="宋体" w:hAnsi="宋体" w:cs="宋体"/>
        </w:rPr>
      </w:r>
      <w:bookmarkEnd w:id="12"/>
      <w:r>
        <w:rPr>
          <w:rFonts w:ascii="宋体" w:hAnsi="宋体" w:cs="宋体"/>
        </w:rPr>
      </w:r>
      <w:bookmarkEnd w:id="13"/>
      <w:r>
        <w:rPr>
          <w:rFonts w:ascii="宋体" w:hAnsi="宋体" w:eastAsia="宋体" w:cs="宋体"/>
          <w:color w:val="000000" w:themeColor="text1"/>
          <w:sz w:val="24"/>
          <w:szCs w:val="24"/>
        </w:rPr>
        <w:t xml:space="preserve">三、获取招标文件</w:t>
      </w:r>
      <w:bookmarkEnd w:id="14"/>
      <w:r>
        <w:rPr>
          <w:rFonts w:ascii="宋体" w:hAnsi="宋体" w:cs="宋体"/>
        </w:rPr>
      </w:r>
      <w:bookmarkEnd w:id="15"/>
      <w:r>
        <w:rPr>
          <w:rFonts w:ascii="宋体" w:hAnsi="宋体" w:cs="宋体"/>
        </w:rPr>
      </w:r>
      <w:r/>
    </w:p>
    <w:p>
      <w:pPr>
        <w:ind w:firstLine="540"/>
        <w:spacing w:line="360" w:lineRule="auto"/>
        <w:rPr>
          <w:rFonts w:hint="eastAsia" w:ascii="宋体" w:hAnsi="宋体" w:cs="宋体"/>
          <w:color w:val="000000" w:themeColor="text1"/>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793"/>
      <w:r>
        <w:rPr>
          <w:rFonts w:ascii="宋体" w:hAnsi="宋体" w:cs="宋体"/>
        </w:rPr>
      </w:r>
      <w:bookmarkStart w:id="19" w:name="_Toc35393624"/>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6</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25</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0" w:name="_Toc38985266"/>
      <w:r>
        <w:rPr>
          <w:rFonts w:hint="eastAsia" w:ascii="宋体" w:hAnsi="宋体" w:eastAsia="宋体" w:cs="宋体"/>
          <w:color w:val="000000" w:themeColor="text1"/>
          <w:sz w:val="24"/>
          <w:lang w:bidi="ar"/>
        </w:rPr>
        <w:t xml:space="preserve">在“苏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”政府采购一体化平台自行免费下载采购文件。</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w:t>
      </w:r>
      <w:r>
        <w:rPr>
          <w:rFonts w:hint="eastAsia" w:ascii="宋体" w:hAnsi="宋体" w:eastAsia="宋体" w:cs="宋体"/>
          <w:b/>
          <w:color w:val="000000" w:themeColor="text1"/>
          <w:sz w:val="24"/>
          <w:lang w:bidi="ar"/>
        </w:rPr>
        <w:t xml:space="preserve">采云</w:t>
      </w:r>
      <w:r>
        <w:rPr>
          <w:rFonts w:hint="eastAsia" w:ascii="宋体" w:hAnsi="宋体" w:eastAsia="宋体" w:cs="宋体"/>
          <w:b/>
          <w:color w:val="000000" w:themeColor="text1"/>
          <w:sz w:val="24"/>
          <w:lang w:bidi="ar"/>
        </w:rPr>
        <w:t xml:space="preserve">”政府采购一体化平台下载电子采购文件方可通过系统进行响应文件的编制和提交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0"/>
      <w:r>
        <w:rPr>
          <w:rFonts w:ascii="宋体" w:hAnsi="宋体" w:cs="宋体"/>
        </w:rPr>
      </w: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6"/>
      <w:r>
        <w:rPr>
          <w:rFonts w:ascii="宋体" w:hAnsi="宋体" w:cs="宋体"/>
        </w:rPr>
      </w:r>
      <w:bookmarkEnd w:id="17"/>
      <w:r>
        <w:rPr>
          <w:rFonts w:ascii="宋体" w:hAnsi="宋体" w:eastAsia="宋体" w:cs="宋体"/>
          <w:color w:val="000000" w:themeColor="text1"/>
          <w:sz w:val="24"/>
          <w:szCs w:val="24"/>
        </w:rPr>
        <w:t xml:space="preserve">截止时间、开标时间和地点</w:t>
      </w:r>
      <w:bookmarkEnd w:id="18"/>
      <w:r>
        <w:rPr>
          <w:rFonts w:ascii="宋体" w:hAnsi="宋体" w:cs="宋体"/>
        </w:rPr>
      </w:r>
      <w:bookmarkEnd w:id="19"/>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1" w:name="_Toc35393625"/>
      <w:r>
        <w:rPr>
          <w:rFonts w:ascii="宋体" w:hAnsi="宋体" w:cs="宋体"/>
        </w:rPr>
      </w:r>
      <w:bookmarkStart w:id="22" w:name="_Toc28359084"/>
      <w:r>
        <w:rPr>
          <w:rFonts w:ascii="宋体" w:hAnsi="宋体" w:cs="宋体"/>
        </w:rPr>
      </w:r>
      <w:bookmarkStart w:id="23" w:name="_Toc35393794"/>
      <w:r>
        <w:rPr>
          <w:rFonts w:ascii="宋体" w:hAnsi="宋体" w:cs="宋体"/>
        </w:rPr>
      </w:r>
      <w:bookmarkStart w:id="24" w:name="_Toc28359007"/>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投标截止时间、开标时间：202</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年</w:t>
      </w:r>
      <w:r>
        <w:rPr>
          <w:rFonts w:hint="eastAsia" w:ascii="宋体" w:hAnsi="宋体" w:cs="宋体"/>
          <w:color w:val="000000" w:themeColor="text1"/>
          <w:sz w:val="24"/>
          <w:lang w:bidi="ar"/>
        </w:rPr>
        <w:t xml:space="preserve">7</w:t>
      </w:r>
      <w:r>
        <w:rPr>
          <w:rFonts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14</w:t>
      </w:r>
      <w:r>
        <w:rPr>
          <w:rFonts w:ascii="宋体" w:hAnsi="宋体" w:eastAsia="宋体" w:cs="宋体"/>
          <w:color w:val="000000" w:themeColor="text1"/>
          <w:sz w:val="24"/>
          <w:lang w:bidi="ar"/>
        </w:rPr>
        <w:t xml:space="preserve">日09</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25" w:name="_Toc35393626"/>
      <w:r>
        <w:rPr>
          <w:rFonts w:ascii="宋体" w:hAnsi="宋体" w:cs="宋体"/>
        </w:rPr>
      </w:r>
      <w:bookmarkStart w:id="26" w:name="_Toc35393795"/>
      <w:r>
        <w:rPr>
          <w:rFonts w:ascii="宋体" w:hAnsi="宋体" w:eastAsia="宋体" w:cs="宋体"/>
          <w:color w:val="000000" w:themeColor="text1"/>
          <w:sz w:val="24"/>
          <w:szCs w:val="24"/>
        </w:rPr>
        <w:t xml:space="preserve">六、其他补充事宜</w:t>
      </w:r>
      <w:bookmarkEnd w:id="25"/>
      <w:r>
        <w:rPr>
          <w:rFonts w:ascii="宋体" w:hAnsi="宋体" w:cs="宋体"/>
        </w:rPr>
      </w:r>
      <w:bookmarkEnd w:id="26"/>
      <w:r>
        <w:rPr>
          <w:rFonts w:ascii="宋体" w:hAnsi="宋体" w:cs="宋体"/>
        </w:rPr>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r/>
    </w:p>
    <w:p>
      <w:pPr>
        <w:ind w:firstLine="480"/>
        <w:spacing w:line="420" w:lineRule="exact"/>
        <w:rPr>
          <w:rFonts w:hint="eastAsia"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 中国人民银行常州市中心支行关于进一步推进政府采购信用融资工作的通知》（</w:t>
      </w:r>
      <w:r>
        <w:rPr>
          <w:rFonts w:hint="eastAsia" w:ascii="宋体" w:hAnsi="宋体" w:eastAsia="宋体" w:cs="宋体"/>
          <w:color w:val="000000" w:themeColor="text1"/>
          <w:sz w:val="24"/>
          <w:lang w:val="zh-TW" w:bidi="ar"/>
        </w:rPr>
        <w:t xml:space="preserve">常财购</w:t>
      </w:r>
      <w:r>
        <w:rPr>
          <w:rFonts w:hint="eastAsia" w:ascii="宋体" w:hAnsi="宋体" w:eastAsia="宋体" w:cs="宋体"/>
          <w:color w:val="000000" w:themeColor="text1"/>
          <w:sz w:val="24"/>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color w:val="000000" w:themeColor="text1"/>
          <w:sz w:val="24"/>
          <w:lang w:val="zh-TW" w:bidi="ar"/>
        </w:rPr>
        <w:t xml:space="preserve">政采融资</w:t>
      </w:r>
      <w:r>
        <w:rPr>
          <w:rFonts w:hint="eastAsia" w:ascii="宋体" w:hAnsi="宋体" w:eastAsia="宋体" w:cs="宋体"/>
          <w:color w:val="000000" w:themeColor="text1"/>
          <w:sz w:val="24"/>
          <w:lang w:val="zh-TW" w:bidi="ar"/>
        </w:rPr>
        <w:t xml:space="preserve">平台栏目。</w:t>
      </w:r>
      <w:r>
        <w:rPr>
          <w:rFonts w:ascii="宋体" w:hAnsi="宋体" w:cs="宋体"/>
        </w:rPr>
      </w: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w:t>
      </w:r>
      <w:r>
        <w:rPr>
          <w:rFonts w:hint="eastAsia" w:ascii="宋体" w:hAnsi="宋体" w:eastAsia="宋体" w:cs="宋体"/>
          <w:color w:val="000000" w:themeColor="text1"/>
          <w:sz w:val="24"/>
          <w:szCs w:val="21"/>
        </w:rPr>
        <w:t xml:space="preserve">苏财购〔2023〕</w:t>
      </w:r>
      <w:r>
        <w:rPr>
          <w:rFonts w:hint="eastAsia" w:ascii="宋体" w:hAnsi="宋体" w:eastAsia="宋体" w:cs="宋体"/>
          <w:color w:val="000000" w:themeColor="text1"/>
          <w:sz w:val="24"/>
          <w:szCs w:val="21"/>
        </w:rPr>
        <w:t xml:space="preserve">101号），“苏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”政府采购交易系统（以下简称苏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系统参与政府采购项目，需要更换CA数字证书和电子签章。</w:t>
      </w:r>
      <w:r>
        <w:rPr>
          <w:rFonts w:ascii="宋体" w:hAnsi="宋体" w:cs="宋体"/>
        </w:rPr>
      </w:r>
      <w:r/>
    </w:p>
    <w:p>
      <w:pPr>
        <w:ind w:firstLine="480"/>
        <w:jc w:val="left"/>
        <w:spacing w:line="420" w:lineRule="exact"/>
        <w:rPr>
          <w:rFonts w:hint="eastAsia"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系统供应商操作手册》（以下简称《操作手册》），请根据办理指南进行注册并按《操作手册》要求制作、上传电子投标文件。</w:t>
      </w:r>
      <w:r>
        <w:rPr>
          <w:rFonts w:ascii="宋体" w:hAnsi="宋体" w:cs="宋体"/>
        </w:rPr>
      </w:r>
      <w:r/>
    </w:p>
    <w:p>
      <w:pPr>
        <w:ind w:firstLine="482"/>
        <w:jc w:val="left"/>
        <w:spacing w:line="420" w:lineRule="exact"/>
        <w:rPr>
          <w:rFonts w:hint="eastAsia" w:ascii="宋体" w:hAnsi="宋体" w:cs="宋体"/>
          <w:color w:val="000000" w:themeColor="text1"/>
          <w:sz w:val="24"/>
          <w:szCs w:val="24"/>
        </w:rPr>
      </w:pPr>
      <w:r>
        <w:rPr>
          <w:rFonts w:ascii="宋体" w:hAnsi="宋体" w:cs="宋体"/>
        </w:rPr>
      </w:r>
      <w:bookmarkStart w:id="27" w:name="_Toc35393796"/>
      <w:r>
        <w:rPr>
          <w:rFonts w:ascii="宋体" w:hAnsi="宋体" w:cs="宋体"/>
        </w:rPr>
      </w:r>
      <w:bookmarkStart w:id="28" w:name="_Toc35393627"/>
      <w:r>
        <w:rPr>
          <w:rFonts w:ascii="宋体" w:hAnsi="宋体" w:cs="宋体"/>
        </w:rPr>
      </w:r>
      <w:bookmarkStart w:id="29" w:name="_Toc28359085"/>
      <w:r>
        <w:rPr>
          <w:rFonts w:ascii="宋体" w:hAnsi="宋体" w:cs="宋体"/>
        </w:rPr>
      </w:r>
      <w:bookmarkStart w:id="30" w:name="_Toc28359008"/>
      <w:r>
        <w:rPr>
          <w:rFonts w:ascii="宋体" w:hAnsi="宋体" w:eastAsia="宋体" w:cs="宋体"/>
          <w:color w:val="000000" w:themeColor="text1"/>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p>
    <w:p>
      <w:pPr>
        <w:ind w:firstLine="723"/>
        <w:jc w:val="left"/>
        <w:spacing w:line="420" w:lineRule="exact"/>
        <w:widowControl/>
        <w:rPr>
          <w:rFonts w:hint="eastAsia" w:ascii="宋体" w:hAnsi="宋体" w:cs="宋体"/>
          <w:b/>
          <w:color w:val="000000" w:themeColor="text1"/>
          <w:sz w:val="24"/>
        </w:rPr>
      </w:pPr>
      <w:r>
        <w:rPr>
          <w:rFonts w:ascii="宋体" w:hAnsi="宋体" w:cs="宋体"/>
        </w:rPr>
      </w:r>
      <w:bookmarkStart w:id="31" w:name="_Toc28359087"/>
      <w:r>
        <w:rPr>
          <w:rFonts w:ascii="宋体" w:hAnsi="宋体" w:cs="宋体"/>
        </w:rPr>
      </w:r>
      <w:bookmarkStart w:id="32" w:name="_Toc28359010"/>
      <w:r>
        <w:rPr>
          <w:rFonts w:ascii="宋体" w:hAnsi="宋体" w:eastAsia="宋体" w:cs="宋体"/>
          <w:b/>
          <w:color w:val="000000" w:themeColor="text1"/>
          <w:sz w:val="24"/>
        </w:rPr>
        <w:t xml:space="preserve">1.采购人信息</w:t>
      </w:r>
      <w:r>
        <w:rPr>
          <w:rFonts w:ascii="宋体" w:hAnsi="宋体" w:cs="宋体"/>
        </w:rPr>
      </w: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名    称：常州西太湖科技产业园管理委员会</w:t>
      </w:r>
      <w:r>
        <w:rPr>
          <w:rFonts w:hint="eastAsia" w:ascii="宋体" w:hAnsi="宋体" w:cs="宋体"/>
          <w:color w:val="000000" w:themeColor="text1"/>
          <w:sz w:val="24"/>
        </w:rPr>
        <w:t xml:space="preserve">                     </w:t>
      </w:r>
      <w:r>
        <w:rPr>
          <w:rFonts w:ascii="宋体" w:hAnsi="宋体" w:cs="宋体"/>
        </w:rPr>
      </w: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江苏省武进经济开发区绿杨路8号</w:t>
      </w:r>
      <w:r>
        <w:rPr>
          <w:rFonts w:ascii="宋体" w:hAnsi="宋体" w:cs="宋体"/>
        </w:rPr>
      </w:r>
      <w:r/>
    </w:p>
    <w:p>
      <w:pPr>
        <w:ind w:firstLine="480"/>
        <w:spacing w:line="420" w:lineRule="exact"/>
        <w:rPr>
          <w:rFonts w:hint="eastAsia" w:ascii="宋体" w:hAnsi="宋体" w:cs="宋体"/>
          <w:color w:val="000000" w:themeColor="text1"/>
        </w:rPr>
      </w:pPr>
      <w:r>
        <w:rPr>
          <w:rFonts w:hint="eastAsia" w:ascii="宋体" w:hAnsi="宋体" w:eastAsia="宋体" w:cs="宋体"/>
          <w:color w:val="000000" w:themeColor="text1"/>
          <w:sz w:val="24"/>
        </w:rPr>
        <w:t xml:space="preserve">联系人</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张先生</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w:t>
      </w:r>
      <w:r>
        <w:rPr>
          <w:rFonts w:ascii="宋体" w:hAnsi="宋体" w:cs="宋体"/>
          <w:color w:val="000000" w:themeColor="text1"/>
          <w:sz w:val="24"/>
        </w:rPr>
        <w:t xml:space="preserve">051</w:t>
      </w:r>
      <w:r>
        <w:rPr>
          <w:rFonts w:ascii="宋体" w:hAnsi="宋体" w:cs="宋体"/>
          <w:color w:val="000000" w:themeColor="text1"/>
          <w:sz w:val="24"/>
        </w:rPr>
        <w:t xml:space="preserve">9-</w:t>
      </w:r>
      <w:r>
        <w:rPr>
          <w:rFonts w:hint="eastAsia" w:ascii="宋体" w:hAnsi="宋体" w:cs="宋体"/>
          <w:color w:val="000000" w:themeColor="text1"/>
          <w:sz w:val="24"/>
        </w:rPr>
        <w:t xml:space="preserve">88989056</w:t>
      </w:r>
      <w:r>
        <w:rPr>
          <w:rFonts w:ascii="宋体" w:hAnsi="宋体" w:cs="宋体"/>
        </w:rPr>
      </w: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w:t>
      </w:r>
      <w:r>
        <w:rPr>
          <w:rFonts w:hint="eastAsia" w:ascii="宋体" w:hAnsi="宋体" w:eastAsia="宋体" w:cs="宋体"/>
          <w:color w:val="000000" w:themeColor="text1"/>
          <w:sz w:val="24"/>
        </w:rPr>
        <w:t xml:space="preserve">镇夏城</w:t>
      </w:r>
      <w:r>
        <w:rPr>
          <w:rFonts w:hint="eastAsia" w:ascii="宋体" w:hAnsi="宋体" w:eastAsia="宋体" w:cs="宋体"/>
          <w:color w:val="000000" w:themeColor="text1"/>
          <w:sz w:val="24"/>
        </w:rPr>
        <w:t xml:space="preserve">中路29号华东机电城8#楼10楼</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r/>
    </w:p>
    <w:p>
      <w:pPr>
        <w:ind w:firstLine="482"/>
        <w:spacing w:line="420" w:lineRule="exact"/>
        <w:rPr>
          <w:rFonts w:hint="eastAsia" w:ascii="宋体" w:hAnsi="宋体" w:cs="宋体"/>
          <w:b/>
          <w:color w:val="000000" w:themeColor="text1"/>
        </w:rPr>
      </w:pPr>
      <w:r>
        <w:rPr>
          <w:rFonts w:ascii="宋体" w:hAnsi="宋体" w:cs="宋体"/>
        </w:rPr>
      </w:r>
      <w:bookmarkStart w:id="33"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r/>
    </w:p>
    <w:p>
      <w:pPr>
        <w:ind w:firstLine="482"/>
        <w:spacing w:line="420" w:lineRule="exact"/>
        <w:rPr>
          <w:rFonts w:ascii="宋体" w:hAnsi="宋体" w:cs="宋体"/>
          <w:b/>
          <w:color w:val="000000" w:themeColor="text1"/>
        </w:rPr>
      </w:pPr>
      <w:r>
        <w:rPr>
          <w:rFonts w:ascii="宋体" w:hAnsi="宋体" w:cs="宋体"/>
          <w:b/>
          <w:color w:val="000000" w:themeColor="text1"/>
        </w:rPr>
      </w:r>
      <w:r>
        <w:rPr>
          <w:rFonts w:ascii="宋体" w:hAnsi="宋体" w:cs="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4" w:name="_Toc353825548"/>
      <w:r/>
      <w:bookmarkStart w:id="35" w:name="_Toc305158854"/>
      <w:r/>
      <w:bookmarkStart w:id="36" w:name="_Toc353873938"/>
      <w:r/>
      <w:bookmarkStart w:id="37" w:name="_Toc127151777"/>
      <w:r/>
      <w:bookmarkStart w:id="38" w:name="_Toc512937850"/>
      <w:r/>
      <w:bookmarkStart w:id="39" w:name="_Toc265228423"/>
      <w:r/>
      <w:bookmarkStart w:id="40" w:name="_Toc264969275"/>
      <w:r/>
      <w:bookmarkStart w:id="41" w:name="_Toc195842950"/>
      <w:r/>
      <w:bookmarkStart w:id="42" w:name="_Toc305158928"/>
      <w:r/>
      <w:bookmarkStart w:id="43" w:name="_Toc150774783"/>
      <w:r/>
      <w:bookmarkStart w:id="44" w:name="_Toc99301420"/>
      <w:r/>
      <w:bookmarkStart w:id="45" w:name="_Toc226965856"/>
      <w:r/>
      <w:bookmarkStart w:id="46" w:name="_Toc127161488"/>
      <w:r/>
      <w:bookmarkEnd w:id="7"/>
      <w:r/>
      <w:bookmarkEnd w:id="31"/>
      <w:r/>
      <w:bookmarkEnd w:id="32"/>
      <w:r/>
      <w:bookmarkEnd w:id="3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7" w:name="_Toc151190146"/>
      <w:r/>
      <w:bookmarkStart w:id="48" w:name="_Toc127161433"/>
      <w:r/>
      <w:bookmarkStart w:id="49" w:name="_Toc150480757"/>
      <w:r/>
      <w:bookmarkStart w:id="50" w:name="_Toc520356144"/>
      <w:r/>
      <w:bookmarkStart w:id="51" w:name="_Toc151193689"/>
      <w:r/>
      <w:bookmarkStart w:id="52" w:name="_Toc151193907"/>
      <w:r/>
      <w:bookmarkStart w:id="53" w:name="_Toc151193761"/>
      <w:r/>
      <w:bookmarkStart w:id="54" w:name="_Toc151193833"/>
      <w:r/>
      <w:bookmarkStart w:id="55" w:name="_Toc142311021"/>
      <w:r/>
      <w:bookmarkStart w:id="56" w:name="_Toc226965792"/>
      <w:r/>
      <w:bookmarkStart w:id="57" w:name="_Toc164229360"/>
      <w:r/>
      <w:bookmarkStart w:id="58" w:name="_Toc226965709"/>
      <w:r/>
      <w:bookmarkStart w:id="59" w:name="_Toc150509270"/>
      <w:r/>
      <w:bookmarkStart w:id="60" w:name="_Toc164608788"/>
      <w:r/>
      <w:bookmarkStart w:id="61" w:name="_Toc150774724"/>
      <w:r/>
      <w:bookmarkStart w:id="62" w:name="_Toc226337215"/>
      <w:r/>
      <w:bookmarkStart w:id="63" w:name="_Toc127151519"/>
      <w:r/>
      <w:bookmarkStart w:id="64" w:name="_Toc149720812"/>
      <w:r/>
      <w:bookmarkStart w:id="65" w:name="_Toc226309763"/>
      <w:r/>
      <w:bookmarkStart w:id="66" w:name="_Toc164351613"/>
      <w:r/>
      <w:bookmarkStart w:id="67" w:name="_Toc195842884"/>
      <w:r/>
      <w:bookmarkStart w:id="68" w:name="_Toc164229214"/>
      <w:r/>
      <w:bookmarkStart w:id="69" w:name="_Toc127151720"/>
      <w:r/>
      <w:bookmarkStart w:id="70" w:name="_Toc164608633"/>
      <w:r/>
      <w:bookmarkStart w:id="71" w:name="_Toc151193617"/>
      <w:r/>
      <w:bookmarkStart w:id="72" w:name="_Toc150774619"/>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hAnsi="宋体" w:cs="Segoe UI Symbol"/>
                <w:color w:val="000000" w:themeColor="text1"/>
                <w:sz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本项目为非单一产品采购项目，核心产品为：</w:t>
            </w:r>
            <w:r>
              <w:rPr>
                <w:rFonts w:hint="eastAsia" w:ascii="宋体" w:hAnsi="宋体" w:cs="宋体"/>
                <w:b/>
                <w:color w:val="000000" w:themeColor="text1"/>
                <w:sz w:val="24"/>
                <w:u w:val="single"/>
              </w:rPr>
              <w:t xml:space="preserve">人耳听觉听阈实验仪（采购清单序号 5）。</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16</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w:t>
            </w:r>
            <w:r>
              <w:rPr>
                <w:rFonts w:hint="eastAsia" w:ascii="宋体" w:hAnsi="宋体"/>
                <w:color w:val="000000" w:themeColor="text1"/>
                <w:sz w:val="24"/>
              </w:rPr>
              <w:t xml:space="preserve">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int="eastAsia" w:hAnsi="宋体"/>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rPr>
                <w:rFonts w:hint="eastAsia" w:ascii="宋体" w:hAnsi="宋体" w:cs="Segoe UI Symbol"/>
                <w:color w:val="000000" w:themeColor="text1"/>
                <w:sz w:val="24"/>
              </w:rPr>
            </w:pPr>
            <w:r>
              <w:rPr>
                <w:rFonts w:hint="eastAsia"/>
                <w:color w:val="000000" w:themeColor="text1"/>
                <w:sz w:val="24"/>
              </w:rPr>
              <w:t xml:space="preserve">本项目</w:t>
            </w:r>
            <w:r>
              <w:rPr>
                <w:rFonts w:hint="eastAsia"/>
                <w:color w:val="000000" w:themeColor="text1"/>
                <w:sz w:val="24"/>
                <w:u w:val="single"/>
              </w:rPr>
              <w:t xml:space="preserve">适用</w:t>
            </w:r>
            <w:r>
              <w:rPr>
                <w:rFonts w:hint="eastAsia"/>
                <w:color w:val="000000" w:themeColor="text1"/>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int="eastAsia" w:hAnsi="宋体"/>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货物类</w:t>
            </w:r>
            <w:r>
              <w:rPr>
                <w:rFonts w:hint="eastAsia" w:ascii="宋体" w:hAnsi="宋体"/>
                <w:color w:val="000000" w:themeColor="text1"/>
                <w:sz w:val="24"/>
              </w:rPr>
              <w:t xml:space="preserve">，</w:t>
            </w:r>
            <w:r>
              <w:rPr>
                <w:rFonts w:ascii="宋体" w:hAnsi="宋体"/>
                <w:color w:val="000000" w:themeColor="text1"/>
                <w:sz w:val="24"/>
              </w:rPr>
              <w:t xml:space="preserve">采购标的对应的中小企业划分标准所属行业：</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工业</w:t>
            </w:r>
            <w:r>
              <w:rPr>
                <w:rFonts w:hint="eastAsia" w:ascii="宋体" w:hAnsi="宋体"/>
                <w:color w:val="000000" w:themeColor="text1"/>
                <w:sz w:val="24"/>
              </w:rPr>
              <w:t xml:space="preserve">（《关于印发中小企业划型标准规定的通知》工信部联企业【2011】300号）。在填写时请正确选择中小企业声明函类型（货物、</w:t>
            </w:r>
            <w:r>
              <w:rPr>
                <w:rFonts w:hint="eastAsia" w:ascii="宋体" w:hAnsi="宋体"/>
                <w:color w:val="000000" w:themeColor="text1"/>
                <w:sz w:val="24"/>
              </w:rPr>
              <w:t xml:space="preserve">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color w:val="000000" w:themeColor="text1"/>
              </w:rPr>
              <w:br w:type="page" w:clear="all"/>
            </w:r>
            <w:r>
              <w:rPr>
                <w:rFonts w:hint="eastAsia"/>
                <w:color w:val="000000" w:themeColor="text1"/>
              </w:rPr>
              <w:t xml:space="preserve">10</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w:t>
            </w:r>
            <w:r>
              <w:rPr>
                <w:rFonts w:hint="eastAsia" w:ascii="宋体" w:hAnsi="宋体"/>
                <w:color w:val="000000" w:themeColor="text1"/>
                <w:sz w:val="24"/>
                <w:u w:val="single"/>
                <w:lang w:val="zh-CN"/>
              </w:rPr>
              <w:t xml:space="preserve">合同金额的</w:t>
            </w:r>
            <w:r>
              <w:rPr>
                <w:rFonts w:ascii="宋体" w:hAnsi="宋体"/>
                <w:color w:val="000000" w:themeColor="text1"/>
                <w:sz w:val="24"/>
                <w:u w:val="single"/>
                <w:lang w:val="zh-CN"/>
              </w:rPr>
              <w:t xml:space="preserve">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2023]150号文，鼓励采用电子保函形式。中标人也可以</w:t>
            </w:r>
            <w:r>
              <w:rPr>
                <w:rFonts w:ascii="宋体" w:hAnsi="宋体"/>
                <w:color w:val="000000" w:themeColor="text1"/>
                <w:sz w:val="24"/>
                <w:lang w:val="zh-CN"/>
              </w:rPr>
              <w:t xml:space="preserve">自主选择以支票、汇票、本票、保函等非现金形式缴纳或提交。</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履约保证金的提交时间：中标人应当在合同签订前向采购人足额提交履约保证金。</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履约保证金退还时间：采购人应在货物验收合格之日起2年后，7个工作日内退还剩余的履约保证金（无息）。</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jc w:val="left"/>
              <w:spacing w:line="360" w:lineRule="exact"/>
              <w:rPr>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中标人</w:t>
            </w:r>
            <w:r>
              <w:rPr>
                <w:rFonts w:ascii="宋体" w:hAnsi="宋体"/>
                <w:color w:val="000000" w:themeColor="text1"/>
                <w:sz w:val="24"/>
                <w:lang w:val="zh-CN"/>
              </w:rPr>
              <w:t xml:space="preserve">不履行合同</w:t>
            </w:r>
            <w:r>
              <w:rPr>
                <w:rFonts w:hint="eastAsia" w:ascii="宋体" w:hAnsi="宋体"/>
                <w:color w:val="000000" w:themeColor="text1"/>
                <w:sz w:val="24"/>
                <w:lang w:val="zh-CN"/>
              </w:rPr>
              <w:t xml:space="preserve">，履约保证金不予退还；如果中标人</w:t>
            </w:r>
            <w:r>
              <w:rPr>
                <w:rFonts w:ascii="宋体" w:hAnsi="宋体"/>
                <w:color w:val="000000" w:themeColor="text1"/>
                <w:sz w:val="24"/>
                <w:lang w:val="zh-CN"/>
              </w:rPr>
              <w:t xml:space="preserve">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有权从履约保证金中取得补偿或赔偿</w:t>
            </w:r>
            <w:r>
              <w:rPr>
                <w:rFonts w:hint="eastAsia" w:ascii="宋体" w:hAnsi="宋体"/>
                <w:color w:val="000000" w:themeColor="text1"/>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自提交投标文件的截止之日起算</w:t>
            </w:r>
            <w:r>
              <w:rPr>
                <w:color w:val="000000" w:themeColor="text1"/>
                <w:sz w:val="24"/>
                <w:u w:val="single"/>
              </w:rPr>
              <w:t xml:space="preserve">60</w:t>
            </w:r>
            <w:r>
              <w:rPr>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6</w:t>
            </w:r>
            <w:r>
              <w:rPr>
                <w:rFonts w:ascii="宋体" w:hAnsi="宋体"/>
                <w:color w:val="000000" w:themeColor="text1"/>
                <w:sz w:val="24"/>
              </w:rPr>
              <w:t xml:space="preserve">月</w:t>
            </w:r>
            <w:r>
              <w:rPr>
                <w:rFonts w:hint="eastAsia" w:ascii="宋体" w:hAnsi="宋体"/>
                <w:color w:val="000000" w:themeColor="text1"/>
                <w:sz w:val="24"/>
              </w:rPr>
              <w:t xml:space="preserve">26</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ascii="宋体" w:hAnsi="宋体"/>
                <w:color w:val="000000" w:themeColor="text1"/>
                <w:sz w:val="24"/>
              </w:rPr>
              <w:t xml:space="preserve">采购人</w:t>
            </w:r>
            <w:r>
              <w:rPr>
                <w:rFonts w:hint="eastAsia" w:ascii="宋体" w:hAnsi="宋体"/>
                <w:color w:val="000000" w:themeColor="text1"/>
                <w:sz w:val="24"/>
              </w:rPr>
              <w:t xml:space="preserve">：</w:t>
            </w:r>
            <w:r>
              <w:rPr>
                <w:rFonts w:ascii="宋体" w:hAnsi="宋体"/>
                <w:color w:val="000000" w:themeColor="text1"/>
                <w:sz w:val="24"/>
              </w:rPr>
              <w:t xml:space="preserve">常州西太湖科技产业园管理委员会</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联系电话：0519-</w:t>
            </w:r>
            <w:r>
              <w:rPr>
                <w:rFonts w:hint="eastAsia" w:ascii="宋体" w:hAnsi="宋体"/>
                <w:color w:val="000000" w:themeColor="text1"/>
                <w:sz w:val="24"/>
              </w:rPr>
              <w:t xml:space="preserve">88989056</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通讯地址：常州市武进区西太湖环湖北路88号雅集园。</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15</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代理费</w:t>
            </w:r>
            <w:r/>
          </w:p>
        </w:tc>
        <w:tc>
          <w:tcPr>
            <w:tcW w:w="7540" w:type="dxa"/>
            <w:vAlign w:val="center"/>
            <w:textDirection w:val="lrTb"/>
            <w:noWrap w:val="false"/>
          </w:tcPr>
          <w:p>
            <w:pPr>
              <w:jc w:val="left"/>
              <w:rPr>
                <w:color w:val="000000" w:themeColor="text1"/>
                <w:sz w:val="24"/>
              </w:rPr>
            </w:pPr>
            <w:r>
              <w:rPr>
                <w:color w:val="000000" w:themeColor="text1"/>
                <w:sz w:val="24"/>
              </w:rPr>
              <w:t xml:space="preserve">收费对象：</w:t>
            </w:r>
            <w:r/>
          </w:p>
          <w:p>
            <w:pPr>
              <w:jc w:val="left"/>
              <w:rPr>
                <w:color w:val="000000" w:themeColor="text1"/>
                <w:sz w:val="24"/>
              </w:rPr>
            </w:pPr>
            <w:r>
              <w:rPr>
                <w:rFonts w:hint="eastAsia" w:ascii="宋体" w:hAnsi="宋体"/>
                <w:color w:val="000000" w:themeColor="text1"/>
              </w:rPr>
              <w:t xml:space="preserve">□</w:t>
            </w:r>
            <w:r>
              <w:rPr>
                <w:color w:val="000000" w:themeColor="text1"/>
                <w:sz w:val="24"/>
              </w:rPr>
              <w:t xml:space="preserve">采购人</w:t>
            </w:r>
            <w:r/>
          </w:p>
          <w:p>
            <w:pPr>
              <w:jc w:val="left"/>
              <w:rPr>
                <w:color w:val="000000" w:themeColor="text1"/>
                <w:sz w:val="24"/>
              </w:rPr>
            </w:pPr>
            <w:r>
              <w:rPr>
                <w:rFonts w:hint="eastAsia" w:ascii="等线" w:hAnsi="等线" w:eastAsia="等线"/>
                <w:b/>
                <w:color w:val="000000" w:themeColor="text1"/>
                <w:sz w:val="24"/>
              </w:rPr>
              <w:t xml:space="preserve">■</w:t>
            </w:r>
            <w:r>
              <w:rPr>
                <w:color w:val="000000" w:themeColor="text1"/>
                <w:sz w:val="24"/>
              </w:rPr>
              <w:t xml:space="preserve">成交供应商</w:t>
            </w:r>
            <w:r/>
          </w:p>
          <w:p>
            <w:pPr>
              <w:jc w:val="left"/>
              <w:rPr>
                <w:rFonts w:ascii="宋体" w:hAnsi="宋体" w:cs="宋体"/>
                <w:color w:val="000000" w:themeColor="text1"/>
                <w:sz w:val="24"/>
              </w:rPr>
            </w:pPr>
            <w:r>
              <w:rPr>
                <w:color w:val="000000" w:themeColor="text1"/>
                <w:sz w:val="24"/>
              </w:rPr>
              <w:t xml:space="preserve">收</w:t>
            </w:r>
            <w:r>
              <w:rPr>
                <w:rFonts w:ascii="宋体" w:hAnsi="宋体" w:eastAsia="宋体" w:cs="宋体"/>
                <w:color w:val="000000" w:themeColor="text1"/>
                <w:sz w:val="24"/>
              </w:rPr>
              <w:t xml:space="preserve">费标准：</w:t>
            </w:r>
            <w:r>
              <w:rPr>
                <w:rFonts w:hint="eastAsia" w:ascii="宋体" w:hAnsi="宋体" w:eastAsia="宋体" w:cs="宋体"/>
                <w:color w:val="000000" w:themeColor="text1"/>
                <w:sz w:val="24"/>
              </w:rPr>
              <w:t xml:space="preserve">收费比例按差额定率分档累进法计算，收费差额费率：中标金额在100万元(含)以下的为0.975%，成交金额在100万元（不含）至500万元（含）的为0.715%</w:t>
            </w:r>
            <w:r>
              <w:rPr>
                <w:rFonts w:hint="eastAsia" w:ascii="宋体" w:hAnsi="宋体" w:cs="宋体"/>
                <w:color w:val="000000" w:themeColor="text1"/>
                <w:sz w:val="24"/>
              </w:rPr>
              <w:t xml:space="preserve">,</w:t>
            </w:r>
            <w:r>
              <w:rPr>
                <w:rFonts w:hint="eastAsia" w:ascii="宋体" w:hAnsi="宋体" w:eastAsia="宋体" w:cs="宋体"/>
                <w:color w:val="000000" w:themeColor="text1"/>
                <w:sz w:val="24"/>
              </w:rPr>
              <w:t xml:space="preserve">供应商报价须包含代理服务费</w:t>
            </w:r>
            <w:r>
              <w:rPr>
                <w:rFonts w:hint="eastAsia" w:ascii="宋体" w:hAnsi="宋体" w:eastAsia="宋体" w:cs="宋体"/>
                <w:color w:val="000000" w:themeColor="text1"/>
                <w:sz w:val="24"/>
              </w:rPr>
              <w:t xml:space="preserve">。</w:t>
            </w:r>
            <w:r>
              <w:rPr>
                <w:rFonts w:ascii="宋体" w:hAnsi="宋体" w:cs="宋体"/>
              </w:rPr>
            </w:r>
            <w:r/>
          </w:p>
          <w:p>
            <w:pPr>
              <w:jc w:val="left"/>
              <w:rPr>
                <w:color w:val="000000" w:themeColor="text1"/>
                <w:sz w:val="24"/>
                <w:u w:val="single"/>
              </w:rPr>
            </w:pPr>
            <w:r>
              <w:rPr>
                <w:rFonts w:ascii="宋体" w:hAnsi="宋体" w:eastAsia="宋体" w:cs="宋体"/>
                <w:color w:val="000000" w:themeColor="text1"/>
                <w:sz w:val="24"/>
              </w:rPr>
              <w:t xml:space="preserve">缴纳时间：</w:t>
            </w:r>
            <w:r>
              <w:rPr>
                <w:rFonts w:hint="eastAsia" w:ascii="宋体" w:hAnsi="宋体" w:eastAsia="宋体" w:cs="宋体"/>
                <w:color w:val="000000" w:themeColor="text1"/>
                <w:sz w:val="24"/>
              </w:rPr>
              <w:t xml:space="preserve">由中标供应商在领取中标通知书前一次性直接支付给代理机构</w:t>
            </w:r>
            <w:r>
              <w:rPr>
                <w:rFonts w:ascii="宋体" w:hAnsi="宋体" w:eastAsia="宋体" w:cs="宋体"/>
                <w:color w:val="000000" w:themeColor="text1"/>
                <w:sz w:val="24"/>
              </w:rPr>
              <w:t xml:space="preserve">。</w:t>
            </w:r>
            <w:r/>
          </w:p>
        </w:tc>
      </w:tr>
    </w:tbl>
    <w:p>
      <w:pPr>
        <w:spacing w:line="360" w:lineRule="auto"/>
        <w:tabs>
          <w:tab w:val="left" w:pos="5580" w:leader="none"/>
        </w:tabs>
        <w:rPr>
          <w:color w:val="000000" w:themeColor="text1"/>
          <w:sz w:val="24"/>
        </w:rPr>
        <w:sectPr>
          <w:headerReference w:type="default" r:id="rId8"/>
          <w:headerReference w:type="first" r:id="rId9"/>
          <w:footerReference w:type="default" r:id="rId12"/>
          <w:footerReference w:type="even"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3" w:name="_Toc264969208"/>
      <w:r/>
      <w:bookmarkStart w:id="74" w:name="_Toc305158860"/>
      <w:r/>
      <w:bookmarkStart w:id="75" w:name="_Toc151193832"/>
      <w:r/>
      <w:bookmarkStart w:id="76" w:name="_Toc127151518"/>
      <w:r/>
      <w:bookmarkStart w:id="77" w:name="_Toc150480756"/>
      <w:r/>
      <w:bookmarkStart w:id="78" w:name="_Toc226309762"/>
      <w:r/>
      <w:bookmarkStart w:id="79" w:name="_Toc265228356"/>
      <w:r/>
      <w:bookmarkStart w:id="80" w:name="_Toc151193688"/>
      <w:r/>
      <w:bookmarkStart w:id="81" w:name="_Toc226965708"/>
      <w:r/>
      <w:bookmarkStart w:id="82" w:name="_Toc151193616"/>
      <w:r/>
      <w:bookmarkStart w:id="83" w:name="_Toc150774618"/>
      <w:r/>
      <w:bookmarkStart w:id="84" w:name="_Toc150774723"/>
      <w:r/>
      <w:bookmarkStart w:id="85" w:name="_Toc195842883"/>
      <w:r/>
      <w:bookmarkStart w:id="86" w:name="_Toc226337214"/>
      <w:r/>
      <w:bookmarkStart w:id="87" w:name="_Toc142311020"/>
      <w:r/>
      <w:bookmarkStart w:id="88" w:name="_Toc151190145"/>
      <w:r/>
      <w:bookmarkStart w:id="89" w:name="_Toc150509269"/>
      <w:r/>
      <w:bookmarkStart w:id="90" w:name="_Toc305158786"/>
      <w:r/>
      <w:bookmarkStart w:id="91" w:name="_Toc520356143"/>
      <w:r/>
      <w:bookmarkStart w:id="92" w:name="_Toc226965791"/>
      <w:r/>
      <w:bookmarkStart w:id="93" w:name="_Toc151193906"/>
      <w:r/>
      <w:bookmarkStart w:id="94" w:name="_Toc151193760"/>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5"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6" w:name="_Toc458694821"/>
      <w:r/>
      <w:bookmarkStart w:id="97" w:name="_Toc16938520"/>
      <w:r/>
      <w:bookmarkStart w:id="98" w:name="_Toc20823276"/>
      <w:r/>
      <w:bookmarkStart w:id="99" w:name="_Toc513029204"/>
      <w:r/>
      <w:bookmarkStart w:id="100" w:name="_Toc127151554"/>
      <w:r/>
      <w:bookmarkStart w:id="101" w:name="_Toc150480792"/>
      <w:r/>
      <w:bookmarkStart w:id="102" w:name="_Toc226965827"/>
      <w:r/>
      <w:bookmarkStart w:id="103" w:name="_Toc353873664"/>
      <w:r/>
      <w:bookmarkStart w:id="104" w:name="_Toc305158822"/>
      <w:r/>
      <w:bookmarkStart w:id="105" w:name="_Toc150774759"/>
      <w:r/>
      <w:bookmarkStart w:id="106" w:name="_Toc226337250"/>
      <w:r/>
      <w:bookmarkStart w:id="107" w:name="_Toc305158896"/>
      <w:r/>
      <w:bookmarkStart w:id="108" w:name="_Toc353873934"/>
      <w:r/>
      <w:bookmarkStart w:id="109" w:name="_Toc142311056"/>
      <w:r/>
      <w:bookmarkStart w:id="110" w:name="_Toc264969244"/>
      <w:r/>
      <w:bookmarkStart w:id="111" w:name="_Toc353825544"/>
      <w:r/>
      <w:bookmarkStart w:id="112" w:name="_Toc265228392"/>
      <w:r/>
      <w:bookmarkStart w:id="113" w:name="_Toc99301421"/>
      <w:r>
        <w:rPr>
          <w:rFonts w:hint="eastAsia" w:ascii="Arial" w:hAnsi="Arial" w:eastAsia="黑体" w:cs="Arial"/>
          <w:color w:val="000000" w:themeColor="text1"/>
          <w:sz w:val="28"/>
          <w:szCs w:val="28"/>
        </w:rPr>
        <w:t xml:space="preserve">1</w:t>
      </w:r>
      <w:bookmarkEnd w:id="96"/>
      <w:r>
        <w:rPr>
          <w:rFonts w:hint="eastAsia" w:ascii="Arial" w:hAnsi="Arial" w:eastAsia="黑体" w:cs="Arial"/>
          <w:color w:val="000000" w:themeColor="text1"/>
          <w:sz w:val="28"/>
          <w:szCs w:val="28"/>
        </w:rPr>
        <w:t xml:space="preserve">、采购方式</w:t>
      </w:r>
      <w:bookmarkEnd w:id="97"/>
      <w:r/>
      <w:bookmarkEnd w:id="98"/>
      <w:r/>
      <w:bookmarkEnd w:id="9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4" w:name="_Toc513029205"/>
      <w:r/>
      <w:bookmarkStart w:id="115" w:name="_Toc16938521"/>
      <w:r/>
      <w:bookmarkStart w:id="116"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4"/>
      <w:r/>
      <w:bookmarkEnd w:id="115"/>
      <w:r/>
      <w:bookmarkEnd w:id="11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7" w:name="_Toc20823278"/>
      <w:r/>
      <w:bookmarkStart w:id="118" w:name="_Toc16938522"/>
      <w:r/>
      <w:bookmarkStart w:id="119" w:name="_Toc513029206"/>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7"/>
      <w:r/>
      <w:bookmarkEnd w:id="118"/>
      <w:r/>
      <w:bookmarkEnd w:id="11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0" w:name="_Toc513029207"/>
      <w:r/>
      <w:bookmarkStart w:id="121" w:name="_Toc20823279"/>
      <w:r/>
      <w:bookmarkStart w:id="122" w:name="_Toc16938523"/>
      <w:r/>
      <w:bookmarkStart w:id="123" w:name="_Toc462564067"/>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0"/>
      <w:r/>
      <w:bookmarkEnd w:id="121"/>
      <w:r/>
      <w:bookmarkEnd w:id="122"/>
      <w:r/>
      <w:bookmarkEnd w:id="12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4" w:name="_Toc120614215"/>
      <w:r/>
      <w:bookmarkStart w:id="125" w:name="_Toc20823281"/>
      <w:r/>
      <w:bookmarkStart w:id="126" w:name="_Toc513029209"/>
      <w:r/>
      <w:bookmarkStart w:id="127" w:name="_Toc16938525"/>
      <w:r>
        <w:rPr>
          <w:rFonts w:hint="eastAsia"/>
          <w:b/>
          <w:bCs/>
          <w:color w:val="000000" w:themeColor="text1"/>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rPr>
        <w:outlineLvl w:val="3"/>
      </w:pPr>
      <w:r/>
      <w:bookmarkStart w:id="128" w:name="_Toc20823282"/>
      <w:r/>
      <w:bookmarkStart w:id="129" w:name="_Toc16938526"/>
      <w:r/>
      <w:bookmarkStart w:id="130" w:name="_Toc513029210"/>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8"/>
      <w:r/>
      <w:bookmarkEnd w:id="129"/>
      <w:r/>
      <w:bookmarkEnd w:id="13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1" w:name="_Toc513029211"/>
      <w:r/>
      <w:bookmarkStart w:id="132" w:name="_Toc462564070"/>
      <w:r/>
      <w:bookmarkStart w:id="133" w:name="_Toc16938527"/>
      <w:r/>
      <w:bookmarkStart w:id="134" w:name="_Toc20823283"/>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5" w:name="_Toc513029212"/>
      <w:r/>
      <w:bookmarkStart w:id="136" w:name="_Toc16938528"/>
      <w:r/>
      <w:bookmarkStart w:id="137" w:name="_Toc462564071"/>
      <w:r/>
      <w:bookmarkStart w:id="138" w:name="_Toc20823284"/>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39" w:name="_Hlk151728132"/>
      <w:r>
        <w:rPr>
          <w:rFonts w:hint="eastAsia" w:ascii="宋体" w:hAnsi="宋体"/>
          <w:color w:val="000000" w:themeColor="text1"/>
          <w:sz w:val="24"/>
          <w:szCs w:val="21"/>
        </w:rPr>
        <w:t xml:space="preserve">“江苏省政府采购网”、“常州市政府采购网”</w:t>
      </w:r>
      <w:bookmarkEnd w:id="13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0" w:name="_Toc20823285"/>
      <w:r/>
      <w:bookmarkStart w:id="141" w:name="_Toc120614216"/>
      <w:r/>
      <w:bookmarkStart w:id="142" w:name="_Toc16938529"/>
      <w:r/>
      <w:bookmarkStart w:id="143" w:name="_Toc462564072"/>
      <w:r/>
      <w:bookmarkStart w:id="144" w:name="_Toc513029213"/>
      <w:r>
        <w:rPr>
          <w:rFonts w:hint="eastAsia"/>
          <w:b/>
          <w:bCs/>
          <w:color w:val="000000" w:themeColor="text1"/>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rPr>
        <w:outlineLvl w:val="3"/>
      </w:pPr>
      <w:r/>
      <w:bookmarkStart w:id="145" w:name="_Toc462564073"/>
      <w:r/>
      <w:bookmarkStart w:id="146" w:name="_Toc16938530"/>
      <w:r/>
      <w:bookmarkStart w:id="147" w:name="_Toc20823286"/>
      <w:r/>
      <w:bookmarkStart w:id="148" w:name="_Toc513029214"/>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49" w:name="_Toc16938531"/>
      <w:r/>
      <w:bookmarkStart w:id="150" w:name="_Toc462564074"/>
      <w:r/>
      <w:bookmarkStart w:id="151" w:name="_Toc513029215"/>
      <w:r/>
      <w:bookmarkStart w:id="152" w:name="_Toc20823287"/>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3" w:name="_Hlt26668975"/>
      <w:r/>
      <w:bookmarkStart w:id="154" w:name="_Hlt26954838"/>
      <w:r/>
      <w:bookmarkStart w:id="155" w:name="_Hlt26670360"/>
      <w:r/>
      <w:bookmarkStart w:id="156" w:name="_Toc513029219"/>
      <w:r/>
      <w:bookmarkStart w:id="157" w:name="_Toc14577357"/>
      <w:r/>
      <w:bookmarkStart w:id="158" w:name="_Toc49090509"/>
      <w:r/>
      <w:bookmarkStart w:id="159" w:name="_Toc49090507"/>
      <w:r/>
      <w:bookmarkStart w:id="160" w:name="_Toc513029216"/>
      <w:r/>
      <w:bookmarkStart w:id="161" w:name="_Toc14577354"/>
      <w:r/>
      <w:bookmarkStart w:id="162" w:name="_Toc14577355"/>
      <w:r/>
      <w:bookmarkStart w:id="163" w:name="_Toc49090508"/>
      <w:r/>
      <w:bookmarkEnd w:id="153"/>
      <w:r/>
      <w:bookmarkEnd w:id="154"/>
      <w:r/>
      <w:bookmarkEnd w:id="155"/>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4" w:name="_Hlt26954848"/>
      <w:r/>
      <w:bookmarkStart w:id="165" w:name="_Hlt26954731"/>
      <w:r/>
      <w:bookmarkStart w:id="166" w:name="_Hlt26670482"/>
      <w:r/>
      <w:bookmarkStart w:id="167" w:name="_Hlt26670486"/>
      <w:r/>
      <w:bookmarkStart w:id="168" w:name="_Hlt26954846"/>
      <w:r/>
      <w:bookmarkEnd w:id="164"/>
      <w:r/>
      <w:bookmarkEnd w:id="165"/>
      <w:r/>
      <w:bookmarkEnd w:id="166"/>
      <w:r/>
      <w:bookmarkEnd w:id="167"/>
      <w:r/>
      <w:bookmarkEnd w:id="168"/>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69" w:name="_Toc14577359"/>
      <w:r/>
      <w:bookmarkStart w:id="170" w:name="_Toc49090510"/>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1" w:name="_Toc14577360"/>
      <w:r/>
      <w:bookmarkStart w:id="172" w:name="_Toc49090511"/>
      <w:r/>
      <w:bookmarkEnd w:id="169"/>
      <w:r/>
      <w:bookmarkEnd w:id="170"/>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1"/>
      <w:r/>
      <w:bookmarkEnd w:id="17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3" w:name="_Hlt26954852"/>
      <w:r/>
      <w:bookmarkStart w:id="174" w:name="_Hlt26954739"/>
      <w:r/>
      <w:bookmarkStart w:id="175" w:name="_Toc16938540"/>
      <w:r/>
      <w:bookmarkStart w:id="176" w:name="_Toc20823296"/>
      <w:r/>
      <w:bookmarkStart w:id="177" w:name="_Toc513029224"/>
      <w:r/>
      <w:bookmarkStart w:id="178" w:name="_Toc120614217"/>
      <w:r/>
      <w:bookmarkEnd w:id="173"/>
      <w:r/>
      <w:bookmarkEnd w:id="174"/>
      <w:r>
        <w:rPr>
          <w:rFonts w:hint="eastAsia"/>
          <w:b/>
          <w:bCs/>
          <w:color w:val="000000" w:themeColor="text1"/>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rPr>
        <w:outlineLvl w:val="3"/>
      </w:pPr>
      <w:r/>
      <w:bookmarkStart w:id="179" w:name="_Toc513029225"/>
      <w:r/>
      <w:bookmarkStart w:id="180" w:name="_Toc20823297"/>
      <w:r/>
      <w:bookmarkStart w:id="181" w:name="_Toc462564084"/>
      <w:r/>
      <w:bookmarkStart w:id="182"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79"/>
      <w:r/>
      <w:bookmarkEnd w:id="180"/>
      <w:r/>
      <w:bookmarkEnd w:id="181"/>
      <w:r/>
      <w:bookmarkEnd w:id="182"/>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3" w:name="_Toc513029226"/>
      <w:r/>
      <w:bookmarkStart w:id="184" w:name="_Toc16938542"/>
      <w:r/>
      <w:bookmarkStart w:id="185" w:name="_Toc20823298"/>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3"/>
      <w:r/>
      <w:bookmarkEnd w:id="184"/>
      <w:r/>
      <w:bookmarkEnd w:id="18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6" w:name="_Toc16938543"/>
      <w:r/>
      <w:bookmarkStart w:id="187" w:name="_Toc20823299"/>
      <w:r/>
      <w:bookmarkStart w:id="188" w:name="_Toc513029227"/>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6"/>
      <w:r/>
      <w:bookmarkEnd w:id="187"/>
      <w:r/>
      <w:bookmarkEnd w:id="188"/>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89" w:name="_Toc20823300"/>
      <w:r/>
      <w:bookmarkStart w:id="190" w:name="_Toc513029228"/>
      <w:r/>
      <w:bookmarkStart w:id="191" w:name="_Toc1693854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89"/>
      <w:r/>
      <w:bookmarkEnd w:id="190"/>
      <w:r/>
      <w:bookmarkEnd w:id="19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2" w:name="_Toc120614218"/>
      <w:r/>
      <w:bookmarkStart w:id="193" w:name="_Toc20823301"/>
      <w:r/>
      <w:bookmarkStart w:id="194" w:name="_Toc513029229"/>
      <w:r/>
      <w:bookmarkStart w:id="195" w:name="_Toc16938545"/>
      <w:r>
        <w:rPr>
          <w:rFonts w:hint="eastAsia"/>
          <w:b/>
          <w:bCs/>
          <w:color w:val="000000" w:themeColor="text1"/>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rPr>
        <w:outlineLvl w:val="3"/>
      </w:pPr>
      <w:r/>
      <w:bookmarkStart w:id="196" w:name="_Toc16938546"/>
      <w:r/>
      <w:bookmarkStart w:id="197" w:name="_Toc20823302"/>
      <w:r/>
      <w:bookmarkStart w:id="198" w:name="_Toc513029230"/>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6"/>
      <w:r/>
      <w:bookmarkEnd w:id="197"/>
      <w:r/>
      <w:bookmarkEnd w:id="198"/>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199" w:name="_Toc513029231"/>
      <w:r/>
      <w:bookmarkStart w:id="200" w:name="_Toc16938547"/>
      <w:r/>
      <w:bookmarkStart w:id="201" w:name="_Toc20823303"/>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.3评委会独立工作，负责评审所有投标文件并确定中标候选人。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199"/>
      <w:r/>
      <w:bookmarkEnd w:id="200"/>
      <w:r/>
      <w:bookmarkEnd w:id="20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2" w:name="_Toc16938548"/>
      <w:r/>
      <w:bookmarkStart w:id="203" w:name="_Toc513029232"/>
      <w:r/>
      <w:bookmarkStart w:id="204" w:name="_Toc20823304"/>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2"/>
      <w:r/>
      <w:bookmarkEnd w:id="203"/>
      <w:r/>
      <w:bookmarkEnd w:id="204"/>
      <w:r/>
      <w:r/>
    </w:p>
    <w:p>
      <w:pPr>
        <w:ind w:firstLine="480"/>
        <w:spacing w:line="500" w:lineRule="exact"/>
        <w:rPr>
          <w:rFonts w:hint="eastAsia" w:ascii="宋体" w:hAnsi="宋体"/>
          <w:color w:val="000000" w:themeColor="text1"/>
          <w:sz w:val="24"/>
        </w:rPr>
      </w:pPr>
      <w:r/>
      <w:bookmarkStart w:id="205" w:name="_Toc513029233"/>
      <w:r/>
      <w:bookmarkStart w:id="206" w:name="_Toc16938549"/>
      <w:r/>
      <w:bookmarkStart w:id="207"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5"/>
      <w:r/>
      <w:bookmarkEnd w:id="206"/>
      <w:r/>
      <w:bookmarkEnd w:id="20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8" w:name="_Toc513029234"/>
      <w:r/>
      <w:bookmarkStart w:id="209" w:name="_Toc16938550"/>
      <w:r/>
      <w:bookmarkStart w:id="210"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8"/>
      <w:r/>
      <w:bookmarkEnd w:id="209"/>
      <w:r/>
      <w:bookmarkEnd w:id="210"/>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1" w:name="_Toc20823307"/>
      <w:r/>
      <w:bookmarkStart w:id="212" w:name="_Toc16938551"/>
      <w:r/>
      <w:bookmarkStart w:id="213" w:name="_Toc513029235"/>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4" w:name="_Toc120614219"/>
      <w:r>
        <w:rPr>
          <w:rFonts w:hint="eastAsia"/>
          <w:b/>
          <w:bCs/>
          <w:color w:val="000000" w:themeColor="text1"/>
          <w:sz w:val="32"/>
          <w:szCs w:val="32"/>
        </w:rPr>
        <w:t xml:space="preserve">六、</w:t>
      </w:r>
      <w:bookmarkEnd w:id="211"/>
      <w:r/>
      <w:bookmarkEnd w:id="212"/>
      <w:r/>
      <w:bookmarkEnd w:id="213"/>
      <w:r>
        <w:rPr>
          <w:rFonts w:hint="eastAsia"/>
          <w:b/>
          <w:bCs/>
          <w:color w:val="000000" w:themeColor="text1"/>
          <w:sz w:val="32"/>
          <w:szCs w:val="32"/>
        </w:rPr>
        <w:t xml:space="preserve">定标</w:t>
      </w:r>
      <w:bookmarkEnd w:id="214"/>
      <w:r/>
      <w:r/>
    </w:p>
    <w:p>
      <w:pPr>
        <w:ind w:firstLine="600"/>
        <w:keepLines/>
        <w:keepNext/>
        <w:spacing w:line="500" w:lineRule="exact"/>
        <w:rPr>
          <w:rFonts w:hint="eastAsia" w:ascii="黑体" w:hAnsi="宋体" w:eastAsia="黑体"/>
          <w:bCs/>
          <w:color w:val="000000" w:themeColor="text1"/>
          <w:sz w:val="30"/>
          <w:szCs w:val="30"/>
        </w:rPr>
        <w:outlineLvl w:val="3"/>
      </w:pPr>
      <w:r/>
      <w:bookmarkStart w:id="215" w:name="_Toc513029238"/>
      <w:r/>
      <w:bookmarkStart w:id="216" w:name="_Toc16938554"/>
      <w:r/>
      <w:bookmarkStart w:id="217" w:name="_Toc20823310"/>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5"/>
      <w:r>
        <w:rPr>
          <w:rFonts w:hint="eastAsia" w:ascii="黑体" w:hAnsi="宋体" w:eastAsia="黑体"/>
          <w:bCs/>
          <w:color w:val="000000" w:themeColor="text1"/>
          <w:sz w:val="30"/>
          <w:szCs w:val="30"/>
        </w:rPr>
        <w:t xml:space="preserve">确定</w:t>
      </w:r>
      <w:bookmarkEnd w:id="216"/>
      <w:r/>
      <w:bookmarkEnd w:id="217"/>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w:t>
      </w:r>
      <w:r>
        <w:rPr>
          <w:rFonts w:hint="eastAsia" w:ascii="宋体" w:hAnsi="宋体"/>
          <w:b/>
          <w:bCs/>
          <w:color w:val="000000" w:themeColor="text1"/>
          <w:sz w:val="24"/>
        </w:rPr>
        <w:t xml:space="preserve">函一起</w:t>
      </w:r>
      <w:r>
        <w:rPr>
          <w:rFonts w:hint="eastAsia" w:ascii="宋体" w:hAnsi="宋体"/>
          <w:b/>
          <w:bCs/>
          <w:color w:val="000000" w:themeColor="text1"/>
          <w:sz w:val="24"/>
        </w:rPr>
        <w:t xml:space="preserve">递交，否则</w:t>
      </w:r>
      <w:r>
        <w:rPr>
          <w:rFonts w:hint="eastAsia" w:ascii="宋体" w:hAnsi="宋体"/>
          <w:b/>
          <w:bCs/>
          <w:color w:val="000000" w:themeColor="text1"/>
          <w:sz w:val="24"/>
        </w:rPr>
        <w:t xml:space="preserve">不</w:t>
      </w:r>
      <w:r>
        <w:rPr>
          <w:rFonts w:hint="eastAsia" w:ascii="宋体" w:hAnsi="宋体"/>
          <w:b/>
          <w:bCs/>
          <w:color w:val="000000" w:themeColor="text1"/>
          <w:sz w:val="24"/>
        </w:rPr>
        <w:t xml:space="preserve">子受理。</w:t>
      </w:r>
      <w:r/>
    </w:p>
    <w:p>
      <w:pPr>
        <w:ind w:firstLine="480"/>
        <w:spacing w:line="500" w:lineRule="exact"/>
        <w:rPr>
          <w:rFonts w:hint="eastAsia" w:ascii="宋体" w:hAnsi="宋体"/>
          <w:color w:val="000000" w:themeColor="text1"/>
          <w:sz w:val="24"/>
        </w:rPr>
      </w:pPr>
      <w:r/>
      <w:bookmarkStart w:id="219"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0" w:name="_Toc120614220"/>
      <w:r/>
      <w:bookmarkStart w:id="221" w:name="_Toc16938552"/>
      <w:r/>
      <w:bookmarkStart w:id="222" w:name="_Toc513029236"/>
      <w:r/>
      <w:bookmarkStart w:id="223" w:name="_Toc20823308"/>
      <w:r>
        <w:rPr>
          <w:rFonts w:hint="eastAsia"/>
          <w:b/>
          <w:bCs/>
          <w:color w:val="000000" w:themeColor="text1"/>
          <w:sz w:val="32"/>
          <w:szCs w:val="32"/>
        </w:rPr>
        <w:t xml:space="preserve">七、授予合同</w:t>
      </w:r>
      <w:bookmarkEnd w:id="220"/>
      <w:r/>
      <w:r/>
    </w:p>
    <w:p>
      <w:pPr>
        <w:ind w:firstLine="600"/>
        <w:keepLines/>
        <w:keepNext/>
        <w:spacing w:line="500" w:lineRule="exact"/>
        <w:rPr>
          <w:rFonts w:hint="eastAsia" w:ascii="黑体" w:hAnsi="宋体" w:eastAsia="黑体"/>
          <w:bCs/>
          <w:color w:val="000000" w:themeColor="text1"/>
          <w:sz w:val="30"/>
          <w:szCs w:val="30"/>
        </w:rPr>
        <w:outlineLvl w:val="3"/>
      </w:pPr>
      <w:r/>
      <w:bookmarkStart w:id="224" w:name="_Toc513029237"/>
      <w:r/>
      <w:bookmarkStart w:id="225" w:name="_Toc16938553"/>
      <w:r/>
      <w:bookmarkStart w:id="226" w:name="_Toc20823309"/>
      <w:r/>
      <w:bookmarkEnd w:id="221"/>
      <w:r/>
      <w:bookmarkEnd w:id="222"/>
      <w:r/>
      <w:bookmarkEnd w:id="22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24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w:t>
      </w:r>
      <w:r>
        <w:rPr>
          <w:rFonts w:hint="eastAsia" w:ascii="宋体" w:hAnsi="宋体" w:cs="Times New Roman"/>
          <w:color w:val="000000" w:themeColor="text1"/>
        </w:rPr>
        <w:t xml:space="preserve">常财购</w:t>
      </w:r>
      <w:r>
        <w:rPr>
          <w:rFonts w:hint="eastAsia" w:ascii="宋体" w:hAnsi="宋体" w:cs="Times New Roman"/>
          <w:color w:val="000000" w:themeColor="text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4"/>
      <w:r/>
      <w:bookmarkEnd w:id="225"/>
      <w:r/>
      <w:bookmarkEnd w:id="226"/>
      <w:r/>
      <w:r/>
    </w:p>
    <w:p>
      <w:pPr>
        <w:ind w:firstLine="42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13"/>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5"/>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rPr>
        <w:t xml:space="preserve">资格审查</w:t>
      </w:r>
      <w:bookmarkStart w:id="227" w:name="_Toc487900382"/>
      <w:r/>
      <w:bookmarkEnd w:id="113"/>
      <w:r/>
      <w:r/>
    </w:p>
    <w:p>
      <w:pPr>
        <w:ind w:firstLine="2891"/>
        <w:spacing w:line="360" w:lineRule="auto"/>
        <w:tabs>
          <w:tab w:val="left" w:pos="360" w:leader="none"/>
          <w:tab w:val="left" w:pos="900" w:leader="none"/>
        </w:tabs>
        <w:rPr>
          <w:b/>
          <w:color w:val="000000" w:themeColor="text1"/>
          <w:sz w:val="32"/>
          <w:szCs w:val="32"/>
        </w:rPr>
        <w:outlineLvl w:val="1"/>
      </w:pPr>
      <w:r/>
      <w:bookmarkStart w:id="228"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8"/>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color w:val="000000" w:themeColor="text1"/>
                <w:sz w:val="24"/>
              </w:rPr>
            </w:pPr>
            <w:r/>
            <w:bookmarkStart w:id="229" w:name="_Hlt487972895"/>
            <w:r/>
            <w:bookmarkEnd w:id="229"/>
            <w:r>
              <w:rPr>
                <w:b/>
                <w:color w:val="000000" w:themeColor="text1"/>
                <w:sz w:val="24"/>
              </w:rPr>
              <w:t xml:space="preserve">序号</w:t>
            </w:r>
            <w:r/>
          </w:p>
        </w:tc>
        <w:tc>
          <w:tcPr>
            <w:tcW w:w="103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52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8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2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103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529"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1039"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1039"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529"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529"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0" w:name="_Toc127161490"/>
      <w:r/>
      <w:bookmarkStart w:id="231" w:name="_Toc127151779"/>
      <w:r/>
      <w:bookmarkStart w:id="232" w:name="_Toc353873940"/>
      <w:r/>
      <w:bookmarkStart w:id="233" w:name="_Toc353825550"/>
      <w:r/>
      <w:bookmarkStart w:id="234" w:name="_Toc226965858"/>
      <w:r/>
      <w:bookmarkEnd w:id="227"/>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5" w:name="_Toc99301423"/>
      <w:r>
        <w:rPr>
          <w:b/>
          <w:color w:val="000000" w:themeColor="text1"/>
          <w:sz w:val="36"/>
          <w:szCs w:val="36"/>
        </w:rPr>
        <w:t xml:space="preserve">第四章</w:t>
      </w:r>
      <w:r>
        <w:rPr>
          <w:b/>
          <w:color w:val="000000" w:themeColor="text1"/>
          <w:sz w:val="36"/>
          <w:szCs w:val="36"/>
        </w:rPr>
        <w:t xml:space="preserve">   </w:t>
      </w:r>
      <w:bookmarkStart w:id="236" w:name="_Hlt164229061"/>
      <w:r/>
      <w:bookmarkEnd w:id="230"/>
      <w:r/>
      <w:bookmarkEnd w:id="231"/>
      <w:r/>
      <w:bookmarkEnd w:id="232"/>
      <w:r/>
      <w:bookmarkEnd w:id="233"/>
      <w:r/>
      <w:bookmarkEnd w:id="234"/>
      <w:r/>
      <w:bookmarkEnd w:id="236"/>
      <w:r>
        <w:rPr>
          <w:b/>
          <w:color w:val="000000" w:themeColor="text1"/>
          <w:sz w:val="36"/>
          <w:szCs w:val="36"/>
        </w:rPr>
        <w:t xml:space="preserve">评标程序、评标方法和评标标准</w:t>
      </w:r>
      <w:bookmarkStart w:id="237" w:name="_Toc99301424"/>
      <w:r/>
      <w:bookmarkStart w:id="238" w:name="_Toc127151555"/>
      <w:r/>
      <w:bookmarkStart w:id="239" w:name="_Toc226337251"/>
      <w:r/>
      <w:bookmarkStart w:id="240" w:name="_Toc195842920"/>
      <w:r/>
      <w:bookmarkStart w:id="241" w:name="_Toc353825545"/>
      <w:r/>
      <w:bookmarkStart w:id="242" w:name="_Toc353873665"/>
      <w:r/>
      <w:bookmarkStart w:id="243" w:name="_Toc150774760"/>
      <w:r/>
      <w:bookmarkStart w:id="244" w:name="_Toc150480793"/>
      <w:r/>
      <w:bookmarkStart w:id="245" w:name="_Toc305158823"/>
      <w:r/>
      <w:bookmarkStart w:id="246" w:name="_Toc353873935"/>
      <w:r/>
      <w:bookmarkStart w:id="247" w:name="_Toc265228393"/>
      <w:r/>
      <w:bookmarkStart w:id="248" w:name="_Toc142311057"/>
      <w:r/>
      <w:bookmarkStart w:id="249" w:name="_Toc226965828"/>
      <w:r/>
      <w:bookmarkStart w:id="250" w:name="_Toc264969245"/>
      <w:r/>
      <w:bookmarkStart w:id="251" w:name="_Toc305158897"/>
      <w:r/>
      <w:bookmarkEnd w:id="235"/>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2" w:name="_Toc353873941"/>
      <w:r/>
      <w:bookmarkStart w:id="253" w:name="_Toc35382555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4"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4"/>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6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0"/>
        <w:gridCol w:w="1569"/>
        <w:gridCol w:w="5422"/>
        <w:gridCol w:w="1560"/>
      </w:tblGrid>
      <w:tr>
        <w:trPr>
          <w:jc w:val="center"/>
          <w:trHeight w:val="300"/>
        </w:trPr>
        <w:tc>
          <w:tcPr>
            <w:tcW w:w="428"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39"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2899"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834"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3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834"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39"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39"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2899"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w:t>
            </w:r>
            <w:r>
              <w:rPr>
                <w:rFonts w:hint="eastAsia" w:ascii="Times New Roman" w:hAnsi="Times New Roman" w:eastAsia="宋体" w:cs="Times New Roman"/>
                <w:color w:val="000000" w:themeColor="text1"/>
                <w:sz w:val="24"/>
              </w:rPr>
              <w:t xml:space="preserve">（响应）报价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w:t>
            </w:r>
            <w:r>
              <w:rPr>
                <w:rFonts w:hint="eastAsia" w:ascii="Times New Roman" w:hAnsi="Times New Roman" w:eastAsia="宋体" w:cs="Times New Roman"/>
                <w:color w:val="000000" w:themeColor="text1"/>
                <w:sz w:val="24"/>
                <w:szCs w:val="24"/>
              </w:rPr>
              <w:t xml:space="preserve">作出</w:t>
            </w:r>
            <w:r>
              <w:rPr>
                <w:rFonts w:hint="eastAsia" w:ascii="Times New Roman" w:hAnsi="Times New Roman" w:eastAsia="宋体" w:cs="Times New Roman"/>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2899"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834"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rPr>
          <w:rFonts w:hint="eastAsia"/>
          <w:b/>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5"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5"/>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6" w:name="_Toc150480784"/>
      <w:r/>
      <w:bookmarkStart w:id="257" w:name="_Toc265228384"/>
      <w:r/>
      <w:bookmarkStart w:id="258" w:name="_Toc150774751"/>
      <w:r/>
      <w:bookmarkStart w:id="259" w:name="_Toc150774646"/>
      <w:r/>
      <w:bookmarkStart w:id="260" w:name="_Toc127151546"/>
      <w:r/>
      <w:bookmarkStart w:id="261" w:name="_Toc164229387"/>
      <w:r/>
      <w:bookmarkStart w:id="262" w:name="_Toc226965736"/>
      <w:r/>
      <w:bookmarkStart w:id="263" w:name="_Toc149720839"/>
      <w:r/>
      <w:bookmarkStart w:id="264" w:name="_Toc151190173"/>
      <w:r/>
      <w:bookmarkStart w:id="265" w:name="_Toc127161460"/>
      <w:r/>
      <w:bookmarkStart w:id="266" w:name="_Toc164229241"/>
      <w:r/>
      <w:bookmarkStart w:id="267" w:name="_Toc151193934"/>
      <w:r/>
      <w:bookmarkStart w:id="268" w:name="_Toc151193860"/>
      <w:r/>
      <w:bookmarkStart w:id="269" w:name="_Toc164608815"/>
      <w:r/>
      <w:bookmarkStart w:id="270" w:name="_Toc226337242"/>
      <w:r/>
      <w:bookmarkStart w:id="271" w:name="_Toc151193644"/>
      <w:r/>
      <w:bookmarkStart w:id="272" w:name="_Toc142311048"/>
      <w:r/>
      <w:bookmarkStart w:id="273" w:name="_Toc520356170"/>
      <w:r/>
      <w:bookmarkStart w:id="274" w:name="_Toc195842911"/>
      <w:r/>
      <w:bookmarkStart w:id="275" w:name="_Toc226965819"/>
      <w:r/>
      <w:bookmarkStart w:id="276" w:name="_Toc127151747"/>
      <w:r/>
      <w:bookmarkStart w:id="277" w:name="_Ref467307010"/>
      <w:r/>
      <w:bookmarkStart w:id="278" w:name="_Toc164351640"/>
      <w:r/>
      <w:bookmarkStart w:id="279" w:name="_Toc164608660"/>
      <w:r/>
      <w:bookmarkStart w:id="280" w:name="_Toc151193788"/>
      <w:r/>
      <w:bookmarkStart w:id="281" w:name="_Toc151193716"/>
      <w:r/>
      <w:bookmarkStart w:id="282" w:name="_Toc305158814"/>
      <w:r/>
      <w:bookmarkStart w:id="283" w:name="_Toc150509297"/>
      <w:r/>
      <w:bookmarkStart w:id="284" w:name="_Toc305158888"/>
      <w:r/>
      <w:bookmarkStart w:id="285" w:name="_Toc264969236"/>
      <w:r/>
      <w:bookmarkStart w:id="286" w:name="_Toc226309790"/>
      <w:r>
        <w:rPr>
          <w:b/>
          <w:bCs/>
          <w:color w:val="000000" w:themeColor="text1"/>
          <w:sz w:val="30"/>
          <w:szCs w:val="30"/>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color w:val="000000" w:themeColor="text1"/>
          <w:sz w:val="24"/>
        </w:rPr>
        <w:t xml:space="preserve">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7"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8"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color w:val="000000" w:themeColor="text1"/>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1034"/>
        <w:ind w:left="0" w:firstLine="420"/>
        <w:jc w:val="both"/>
        <w:spacing w:line="500" w:lineRule="exact"/>
        <w:widowControl w:val="off"/>
        <w:rPr>
          <w:rFonts w:hint="eastAsia" w:ascii="宋体" w:hAnsi="宋体"/>
          <w:color w:val="000000" w:themeColor="text1"/>
          <w:lang w:eastAsia="zh-CN"/>
        </w:rPr>
      </w:pPr>
      <w:r>
        <w:rPr>
          <w:rFonts w:hint="eastAsia" w:ascii="宋体" w:hAnsi="宋体"/>
          <w:color w:val="000000" w:themeColor="text1"/>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4"/>
        <w:ind w:left="0" w:firstLine="420"/>
        <w:spacing w:line="500" w:lineRule="exact"/>
        <w:rPr>
          <w:rFonts w:hint="eastAsia" w:ascii="宋体" w:hAnsi="宋体"/>
          <w:color w:val="000000" w:themeColor="text1"/>
          <w:lang w:eastAsia="zh-CN" w:bidi="ar-SA"/>
        </w:rPr>
      </w:pPr>
      <w:r>
        <w:rPr>
          <w:rFonts w:hint="eastAsia" w:ascii="宋体" w:hAnsi="宋体" w:cs="宋体"/>
          <w:bCs/>
          <w:color w:val="000000" w:themeColor="text1"/>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themeColor="text1"/>
          <w:lang w:eastAsia="zh-CN" w:bidi="ar-SA"/>
        </w:rPr>
        <w:t xml:space="preserve">的产品；其他产品，根据实际情况判断是否在中国境内生产。</w:t>
      </w:r>
      <w:r/>
    </w:p>
    <w:p>
      <w:pPr>
        <w:pStyle w:val="1015"/>
        <w:ind w:firstLine="240"/>
        <w:spacing w:before="0" w:line="500" w:lineRule="exact"/>
        <w:rPr>
          <w:rFonts w:hint="eastAsia"/>
          <w:color w:val="000000" w:themeColor="text1"/>
        </w:rPr>
      </w:pPr>
      <w:r>
        <w:rPr>
          <w:rFonts w:hint="eastAsia"/>
          <w:color w:val="000000" w:themeColor="text1"/>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035"/>
        <w:spacing w:before="0" w:after="0" w:line="500" w:lineRule="exact"/>
        <w:rPr>
          <w:rFonts w:hint="eastAsia" w:ascii="宋体" w:hAnsi="宋体"/>
          <w:b/>
          <w:bCs/>
          <w:color w:val="000000" w:themeColor="text1"/>
        </w:rPr>
      </w:pPr>
      <w:r>
        <w:rPr>
          <w:rFonts w:hint="eastAsia" w:ascii="宋体" w:hAnsi="宋体"/>
          <w:color w:val="000000" w:themeColor="text1"/>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rPr>
        <w:t xml:space="preserve">（供应商需在“第七章 投标文件格式”的“报价明细表”中填写比例数值）</w:t>
      </w:r>
      <w:r>
        <w:rPr>
          <w:rFonts w:hint="eastAsia" w:ascii="宋体" w:hAnsi="宋体"/>
          <w:color w:val="000000" w:themeColor="text1"/>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themeColor="text1"/>
        </w:rPr>
        <w:t xml:space="preserve">供应商未填写比例数值，或比例数值未达到80%的，将不享受本国产品价格评审优惠。</w:t>
      </w:r>
      <w:r/>
    </w:p>
    <w:p>
      <w:pPr>
        <w:pStyle w:val="1035"/>
        <w:spacing w:before="0" w:after="0" w:line="500" w:lineRule="exact"/>
        <w:rPr>
          <w:rFonts w:hint="eastAsia" w:ascii="宋体" w:hAnsi="宋体"/>
          <w:color w:val="000000" w:themeColor="text1"/>
        </w:rPr>
      </w:pPr>
      <w:r>
        <w:rPr>
          <w:rFonts w:hint="eastAsia" w:ascii="宋体" w:hAnsi="宋体"/>
          <w:color w:val="000000" w:themeColor="text1"/>
        </w:rPr>
        <w:t xml:space="preserve">7.5 供应商需按照招标文件的要求提供《关于符合本国产品标准的声明</w:t>
      </w:r>
      <w:r>
        <w:rPr>
          <w:rFonts w:hint="eastAsia" w:ascii="宋体" w:hAnsi="宋体"/>
          <w:color w:val="000000" w:themeColor="text1"/>
        </w:rPr>
        <w:t xml:space="preserve">函》（以下简称《声明函》），如不提供将不享受本国产品价格评审优惠。【</w:t>
      </w:r>
      <w:r>
        <w:rPr>
          <w:rFonts w:hint="eastAsia" w:ascii="宋体" w:hAnsi="宋体"/>
          <w:b/>
          <w:bCs/>
          <w:i/>
          <w:iCs/>
          <w:color w:val="000000" w:themeColor="text1"/>
        </w:rPr>
        <w:t xml:space="preserve">《声明函》上传至至交易执行系统“价格折扣文件格式”——“关于符合本国产品标准的声明函”模块</w:t>
      </w:r>
      <w:r>
        <w:rPr>
          <w:rFonts w:hint="eastAsia" w:ascii="宋体" w:hAnsi="宋体"/>
          <w:color w:val="000000" w:themeColor="text1"/>
        </w:rPr>
        <w:t xml:space="preserve">】</w:t>
      </w:r>
      <w:r/>
    </w:p>
    <w:p>
      <w:pPr>
        <w:pStyle w:val="1035"/>
        <w:spacing w:before="0" w:after="0" w:line="500" w:lineRule="exact"/>
        <w:rPr>
          <w:rFonts w:hint="eastAsia" w:ascii="宋体" w:hAnsi="宋体"/>
          <w:color w:val="000000" w:themeColor="text1"/>
        </w:rPr>
      </w:pPr>
      <w:r>
        <w:rPr>
          <w:rFonts w:hint="eastAsia" w:ascii="宋体" w:hAnsi="宋体"/>
          <w:color w:val="000000" w:themeColor="text1"/>
        </w:rPr>
        <w:t xml:space="preserve">7.6 供应商需在《声明函》中逐一、准确填写产品名称、厂名、生产厂址三项信息（《声明函》中用</w:t>
      </w:r>
      <w:r>
        <w:rPr>
          <w:rFonts w:hint="eastAsia" w:ascii="宋体" w:hAnsi="宋体"/>
          <w:color w:val="000000" w:themeColor="text1"/>
        </w:rPr>
        <w:t xml:space="preserve">斜线划除的</w:t>
      </w:r>
      <w:r>
        <w:rPr>
          <w:rFonts w:hint="eastAsia" w:ascii="宋体" w:hAnsi="宋体"/>
          <w:color w:val="000000" w:themeColor="text1"/>
        </w:rPr>
        <w:t xml:space="preserve">地方无需填写），三项信息中任意一项未填写的视为该项产品不符合本国产品标准，不享受本国产品价格评审优惠。</w:t>
      </w:r>
      <w:r/>
    </w:p>
    <w:p>
      <w:pPr>
        <w:pStyle w:val="1035"/>
        <w:spacing w:before="0" w:after="0" w:line="500" w:lineRule="exact"/>
        <w:rPr>
          <w:rFonts w:hint="eastAsia" w:ascii="宋体" w:hAnsi="宋体"/>
          <w:color w:val="000000" w:themeColor="text1"/>
        </w:rPr>
      </w:pPr>
      <w:r>
        <w:rPr>
          <w:rFonts w:hint="eastAsia" w:ascii="宋体" w:hAnsi="宋体"/>
          <w:color w:val="000000" w:themeColor="text1"/>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rPr>
        <w:t xml:space="preserve">作出</w:t>
      </w:r>
      <w:r>
        <w:rPr>
          <w:rFonts w:hint="eastAsia" w:ascii="宋体" w:hAnsi="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rPr>
          <w:rFonts w:hint="eastAsia"/>
          <w:color w:val="000000" w:themeColor="text1"/>
        </w:rPr>
      </w:pPr>
      <w:r>
        <w:rPr>
          <w:rFonts w:hint="eastAsia"/>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bookmarkEnd w:id="287"/>
      <w:r/>
      <w:bookmarkEnd w:id="288"/>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2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4478"/>
        <w:gridCol w:w="2976"/>
      </w:tblGrid>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序号</w:t>
            </w:r>
            <w:r/>
          </w:p>
        </w:tc>
        <w:tc>
          <w:tcPr>
            <w:tcW w:w="1276" w:type="dxa"/>
            <w:vAlign w:val="center"/>
            <w:textDirection w:val="lrTb"/>
            <w:noWrap w:val="false"/>
          </w:tcPr>
          <w:p>
            <w:pPr>
              <w:widowControl/>
              <w:rPr>
                <w:rFonts w:hint="eastAsia" w:ascii="宋体" w:hAnsi="宋体" w:cs="宋体"/>
                <w:color w:val="000000" w:themeColor="text1"/>
                <w:szCs w:val="21"/>
              </w:rPr>
            </w:pPr>
            <w:r>
              <w:rPr>
                <w:rStyle w:val="1025"/>
                <w:rFonts w:hint="default"/>
                <w:color w:val="000000" w:themeColor="text1"/>
                <w:lang w:bidi="ar"/>
              </w:rPr>
              <w:t xml:space="preserve">评审因素</w:t>
            </w:r>
            <w:r/>
          </w:p>
        </w:tc>
        <w:tc>
          <w:tcPr>
            <w:tcW w:w="767"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分值</w:t>
            </w:r>
            <w:r/>
          </w:p>
        </w:tc>
        <w:tc>
          <w:tcPr>
            <w:tcW w:w="4478"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评分标准</w:t>
            </w:r>
            <w:r/>
          </w:p>
        </w:tc>
        <w:tc>
          <w:tcPr>
            <w:tcW w:w="2976"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价格分</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30</w:t>
            </w:r>
            <w:r/>
          </w:p>
        </w:tc>
        <w:tc>
          <w:tcPr>
            <w:tcW w:w="4478"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满足采购文件要求且最低的报价为评标基准价，其价格分为满分。其他供应商的价格</w:t>
            </w:r>
            <w:r>
              <w:rPr>
                <w:rStyle w:val="1025"/>
                <w:rFonts w:hint="default"/>
                <w:color w:val="000000" w:themeColor="text1"/>
                <w:lang w:bidi="ar"/>
              </w:rPr>
              <w:t xml:space="preserve">分统一</w:t>
            </w:r>
            <w:r>
              <w:rPr>
                <w:rStyle w:val="1025"/>
                <w:rFonts w:hint="default"/>
                <w:color w:val="000000" w:themeColor="text1"/>
                <w:lang w:bidi="ar"/>
              </w:rPr>
              <w:t xml:space="preserve">按照下列公式计算：</w:t>
            </w:r>
            <w:r>
              <w:rPr>
                <w:rStyle w:val="1025"/>
                <w:rFonts w:hint="default"/>
                <w:color w:val="000000" w:themeColor="text1"/>
              </w:rPr>
              <w:t xml:space="preserve">投标报价得分=(评标基准价／投标报价)×</w:t>
            </w:r>
            <w:r>
              <w:rPr>
                <w:rStyle w:val="1025"/>
                <w:rFonts w:hint="default"/>
                <w:color w:val="000000" w:themeColor="text1"/>
              </w:rPr>
              <w:t xml:space="preserve">价格权</w:t>
            </w:r>
            <w:r>
              <w:rPr>
                <w:rStyle w:val="1025"/>
                <w:rFonts w:hint="default"/>
                <w:color w:val="000000" w:themeColor="text1"/>
              </w:rPr>
              <w:t xml:space="preserve">值。</w:t>
            </w:r>
            <w:r/>
          </w:p>
        </w:tc>
        <w:tc>
          <w:tcPr>
            <w:tcW w:w="2976" w:type="dxa"/>
            <w:vAlign w:val="center"/>
            <w:textDirection w:val="lrTb"/>
            <w:noWrap w:val="false"/>
          </w:tcPr>
          <w:p>
            <w:pPr>
              <w:widowControl/>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主观分</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29</w:t>
            </w:r>
            <w:r/>
          </w:p>
        </w:tc>
        <w:tc>
          <w:tcPr>
            <w:tcW w:w="4478"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.1</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安装调试方案</w:t>
            </w:r>
            <w:r/>
          </w:p>
        </w:tc>
        <w:tc>
          <w:tcPr>
            <w:tcW w:w="767" w:type="dxa"/>
            <w:vAlign w:val="center"/>
            <w:textDirection w:val="lrTb"/>
            <w:noWrap w:val="false"/>
          </w:tcPr>
          <w:p>
            <w:pPr>
              <w:jc w:val="center"/>
              <w:widowControl/>
              <w:rPr>
                <w:rStyle w:val="1025"/>
                <w:rFonts w:hint="default"/>
                <w:color w:val="000000" w:themeColor="text1"/>
              </w:rPr>
            </w:pPr>
            <w:r>
              <w:rPr>
                <w:rStyle w:val="1025"/>
                <w:rFonts w:hint="default"/>
                <w:color w:val="000000" w:themeColor="text1"/>
                <w:lang w:bidi="ar"/>
              </w:rPr>
              <w:t xml:space="preserve">7</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投标人针对本项目特点包括不限于总体概述、安装调试方案：措施方案完整、可行，能完全满足项目实施要求，得7分；措施方案较具体、可行，能基本满足项目实施要求，得4分；措施方案内容较简单，对项目实施要求响应一般，得1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.2</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质量保障方案</w:t>
            </w:r>
            <w:r/>
          </w:p>
        </w:tc>
        <w:tc>
          <w:tcPr>
            <w:tcW w:w="767" w:type="dxa"/>
            <w:vAlign w:val="center"/>
            <w:textDirection w:val="lrTb"/>
            <w:noWrap w:val="false"/>
          </w:tcPr>
          <w:p>
            <w:pPr>
              <w:jc w:val="center"/>
              <w:widowControl/>
              <w:rPr>
                <w:rStyle w:val="1025"/>
                <w:rFonts w:hint="default"/>
                <w:color w:val="000000" w:themeColor="text1"/>
              </w:rPr>
            </w:pPr>
            <w:r>
              <w:rPr>
                <w:rStyle w:val="1025"/>
                <w:rFonts w:hint="default"/>
                <w:color w:val="000000" w:themeColor="text1"/>
                <w:lang w:bidi="ar"/>
              </w:rPr>
              <w:t xml:space="preserve">7</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投标人针对本项目特点提供质量保障方案，有明确的质量控制目标和质量保障措施。根据方案的完整性、可靠性、合理性进行综合评分，方案完整、可靠、合理的，得7分；方案较完整、可靠、合理的，得4分；方案不太完整、可靠、合理的，得1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.3</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售后服务方案</w:t>
            </w:r>
            <w:r/>
          </w:p>
        </w:tc>
        <w:tc>
          <w:tcPr>
            <w:tcW w:w="767" w:type="dxa"/>
            <w:vAlign w:val="center"/>
            <w:textDirection w:val="lrTb"/>
            <w:noWrap w:val="false"/>
          </w:tcPr>
          <w:p>
            <w:pPr>
              <w:jc w:val="center"/>
              <w:widowControl/>
              <w:rPr>
                <w:rStyle w:val="1025"/>
                <w:rFonts w:hint="default"/>
                <w:color w:val="000000" w:themeColor="text1"/>
              </w:rPr>
            </w:pPr>
            <w:r>
              <w:rPr>
                <w:rStyle w:val="1025"/>
                <w:rFonts w:hint="default"/>
                <w:color w:val="000000" w:themeColor="text1"/>
                <w:lang w:bidi="ar"/>
              </w:rPr>
              <w:t xml:space="preserve">8</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投标人针对本项目特点提供的售后响应时间、售后服务方案、专业技术人员保障、及应急处理措施等：方案合理完善，可行性高，内容详实，得8分；方案较合理完善，可行性较高，内容较详实，得5分；方案较不合理，可行性不高，内容简单，得2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4</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安全保障措施</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7</w:t>
            </w:r>
            <w:r/>
          </w:p>
        </w:tc>
        <w:tc>
          <w:tcPr>
            <w:tcW w:w="4478" w:type="dxa"/>
            <w:vAlign w:val="center"/>
            <w:textDirection w:val="lrTb"/>
            <w:noWrap w:val="false"/>
          </w:tcPr>
          <w:p>
            <w:pPr>
              <w:pStyle w:val="1029"/>
              <w:rPr>
                <w:rStyle w:val="1025"/>
                <w:rFonts w:hint="default"/>
                <w:color w:val="000000" w:themeColor="text1"/>
                <w:lang w:bidi="ar"/>
              </w:rPr>
            </w:pPr>
            <w:r>
              <w:rPr>
                <w:rStyle w:val="1025"/>
                <w:rFonts w:hint="default"/>
                <w:color w:val="000000" w:themeColor="text1"/>
                <w:lang w:bidi="ar"/>
              </w:rPr>
              <w:t xml:space="preserve">投标人针对本项目特点提供有安全制度、安全预案、全员安全培训计划；有安全设施配备及安全检查及记录要求；有意外伤害赔偿措施和风险规避措施；有事故发生后的应对处理办</w:t>
            </w:r>
            <w:r>
              <w:rPr>
                <w:rStyle w:val="1025"/>
                <w:rFonts w:hint="default"/>
                <w:color w:val="000000" w:themeColor="text1"/>
                <w:lang w:bidi="ar"/>
              </w:rPr>
              <w:t xml:space="preserve">法。</w:t>
            </w:r>
            <w:r/>
          </w:p>
          <w:p>
            <w:pPr>
              <w:rPr>
                <w:rStyle w:val="1025"/>
                <w:rFonts w:hint="default"/>
                <w:color w:val="000000" w:themeColor="text1"/>
                <w:lang w:bidi="ar"/>
              </w:rPr>
            </w:pPr>
            <w:r>
              <w:rPr>
                <w:rStyle w:val="1025"/>
                <w:rFonts w:hint="default"/>
                <w:color w:val="000000" w:themeColor="text1"/>
                <w:lang w:bidi="ar"/>
              </w:rPr>
              <w:t xml:space="preserve">内容整体完善，内容清晰完整，方案可行性强，思路清晰，得7分；内容整体合理，方案可行性较强，思路较清晰，得4分；内容整体一般，方案具有一定可行性，思路一般，得1分；未提供不得分。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客观分</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41</w:t>
            </w:r>
            <w:r/>
          </w:p>
        </w:tc>
        <w:tc>
          <w:tcPr>
            <w:tcW w:w="4478"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1</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业绩</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 6</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提供自2023年6月1日起，投标人承担过类似物理实验室教学相关仪器设备供货合同（合同中内容须包含人耳听觉听阈实验仪产品），有一个得2分，本项最高得6分。</w:t>
            </w:r>
            <w:r/>
          </w:p>
        </w:tc>
        <w:tc>
          <w:tcPr>
            <w:tcW w:w="29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1、投标人提供业绩的合同及履行该合同的过程性材料，包括但不</w:t>
            </w:r>
            <w:r>
              <w:rPr>
                <w:rStyle w:val="1025"/>
                <w:rFonts w:hint="default"/>
                <w:color w:val="000000" w:themeColor="text1"/>
                <w:lang w:bidi="ar"/>
              </w:rPr>
              <w:t xml:space="preserve">限于收</w:t>
            </w:r>
            <w:r>
              <w:rPr>
                <w:rStyle w:val="1025"/>
                <w:rFonts w:hint="default"/>
                <w:color w:val="000000" w:themeColor="text1"/>
                <w:lang w:bidi="ar"/>
              </w:rPr>
              <w:t xml:space="preserve">付款银行转账凭证或发票等。（如合同中无法体现相关内容的，须另提供原采购单位出具的相关证明材料加盖原采购单位公章）。</w:t>
            </w:r>
            <w:r/>
          </w:p>
          <w:p>
            <w:pPr>
              <w:widowControl/>
              <w:rPr>
                <w:rStyle w:val="1025"/>
                <w:rFonts w:hint="default"/>
                <w:color w:val="000000" w:themeColor="text1"/>
                <w:lang w:bidi="ar"/>
              </w:rPr>
            </w:pPr>
            <w:r>
              <w:rPr>
                <w:rStyle w:val="1025"/>
                <w:rFonts w:hint="default"/>
                <w:color w:val="000000" w:themeColor="text1"/>
                <w:lang w:bidi="ar"/>
              </w:rPr>
              <w:t xml:space="preserve">2、时间以签订合同时间为准。</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3.2</w:t>
            </w:r>
            <w:r/>
          </w:p>
        </w:tc>
        <w:tc>
          <w:tcPr>
            <w:tcW w:w="1276" w:type="dxa"/>
            <w:vAlign w:val="center"/>
            <w:textDirection w:val="lrTb"/>
            <w:noWrap w:val="false"/>
          </w:tcPr>
          <w:p>
            <w:pPr>
              <w:widowControl/>
              <w:rPr>
                <w:color w:val="000000" w:themeColor="text1"/>
                <w:szCs w:val="21"/>
              </w:rPr>
            </w:pPr>
            <w:r>
              <w:rPr>
                <w:rFonts w:hint="eastAsia"/>
                <w:color w:val="000000" w:themeColor="text1"/>
                <w:szCs w:val="21"/>
              </w:rPr>
              <w:t xml:space="preserve">售后承诺</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2</w:t>
            </w:r>
            <w:r/>
          </w:p>
        </w:tc>
        <w:tc>
          <w:tcPr>
            <w:tcW w:w="4478"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976"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投标人</w:t>
            </w:r>
            <w:r>
              <w:rPr>
                <w:rFonts w:ascii="宋体" w:hAnsi="宋体"/>
                <w:color w:val="000000" w:themeColor="text1"/>
                <w:szCs w:val="21"/>
              </w:rPr>
              <w:t xml:space="preserve">提供承诺函</w:t>
            </w:r>
            <w:r>
              <w:rPr>
                <w:rFonts w:hint="eastAsia" w:ascii="宋体" w:hAnsi="宋体"/>
                <w:color w:val="000000" w:themeColor="text1"/>
                <w:szCs w:val="21"/>
              </w:rPr>
              <w:t xml:space="preserve">。</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3.3</w:t>
            </w:r>
            <w:r/>
          </w:p>
        </w:tc>
        <w:tc>
          <w:tcPr>
            <w:tcW w:w="1276" w:type="dxa"/>
            <w:vAlign w:val="center"/>
            <w:textDirection w:val="lrTb"/>
            <w:noWrap w:val="false"/>
          </w:tcPr>
          <w:p>
            <w:pPr>
              <w:widowControl/>
              <w:rPr>
                <w:color w:val="000000" w:themeColor="text1"/>
                <w:szCs w:val="21"/>
              </w:rPr>
            </w:pPr>
            <w:r>
              <w:rPr>
                <w:rStyle w:val="1025"/>
                <w:rFonts w:hint="default"/>
                <w:color w:val="000000" w:themeColor="text1"/>
                <w:lang w:bidi="ar"/>
              </w:rPr>
              <w:t xml:space="preserve">认证体系</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 3</w:t>
            </w:r>
            <w:r/>
          </w:p>
        </w:tc>
        <w:tc>
          <w:tcPr>
            <w:tcW w:w="4478" w:type="dxa"/>
            <w:vAlign w:val="center"/>
            <w:textDirection w:val="lrTb"/>
            <w:noWrap w:val="false"/>
          </w:tcPr>
          <w:p>
            <w:pPr>
              <w:widowControl/>
              <w:rPr>
                <w:rFonts w:hint="eastAsia" w:ascii="宋体" w:hAnsi="宋体" w:cs="宋体"/>
                <w:color w:val="000000" w:themeColor="text1"/>
                <w:szCs w:val="21"/>
              </w:rPr>
            </w:pPr>
            <w:r>
              <w:rPr>
                <w:rStyle w:val="1025"/>
                <w:rFonts w:hint="default"/>
                <w:color w:val="000000" w:themeColor="text1"/>
                <w:lang w:bidi="ar"/>
              </w:rPr>
              <w:t xml:space="preserve">投标人提供所投核心产品生产厂家的质量管理体系认证证书、环境管理体系认证证书、职业健康安全管理体系认证证书，每提供一份证书得1分。最高得3分。</w:t>
            </w:r>
            <w:r/>
          </w:p>
        </w:tc>
        <w:tc>
          <w:tcPr>
            <w:tcW w:w="2976"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提供</w:t>
            </w:r>
            <w:r>
              <w:rPr>
                <w:rFonts w:hint="eastAsia" w:ascii="宋体" w:hAnsi="宋体"/>
                <w:color w:val="000000" w:themeColor="text1"/>
                <w:szCs w:val="21"/>
              </w:rPr>
              <w:t xml:space="preserve">认证证书。</w:t>
            </w:r>
            <w:r/>
          </w:p>
          <w:p>
            <w:pPr>
              <w:widowControl/>
              <w:rPr>
                <w:rFonts w:hint="eastAsia" w:ascii="宋体" w:hAnsi="宋体"/>
                <w:color w:val="000000" w:themeColor="text1"/>
                <w:szCs w:val="21"/>
              </w:rPr>
            </w:pPr>
            <w:r>
              <w:rPr>
                <w:rFonts w:hint="eastAsia" w:ascii="宋体" w:hAnsi="宋体"/>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w:t>
            </w:r>
            <w:r>
              <w:rPr>
                <w:rFonts w:hint="eastAsia" w:ascii="宋体" w:hAnsi="宋体" w:cs="宋体"/>
                <w:color w:val="000000" w:themeColor="text1"/>
                <w:sz w:val="24"/>
              </w:rPr>
              <w:t xml:space="preserve">4</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技术要求</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30</w:t>
            </w:r>
            <w:r/>
          </w:p>
        </w:tc>
        <w:tc>
          <w:tcPr>
            <w:tcW w:w="4478"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根据采购清单，供应商需在技术偏离表中对本招标文件中产品技术指标（参数）的响应程度打分，所投产品全部满足招标文件技术参数要求得30分。</w:t>
            </w:r>
            <w:r/>
          </w:p>
          <w:p>
            <w:pPr>
              <w:widowControl/>
              <w:rPr>
                <w:rStyle w:val="1025"/>
                <w:rFonts w:hint="default"/>
                <w:color w:val="000000" w:themeColor="text1"/>
                <w:lang w:bidi="ar"/>
              </w:rPr>
            </w:pPr>
            <w:r>
              <w:rPr>
                <w:rStyle w:val="1025"/>
                <w:rFonts w:hint="default"/>
                <w:color w:val="000000" w:themeColor="text1"/>
                <w:lang w:bidi="ar"/>
              </w:rPr>
              <w:t xml:space="preserve">打“▲”的每项负偏离扣2分，扣完为止。</w:t>
            </w:r>
            <w:r/>
          </w:p>
        </w:tc>
        <w:tc>
          <w:tcPr>
            <w:tcW w:w="29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“▲”提供投标人或生产厂家的相关证明材料任意一种包括不限于：</w:t>
            </w:r>
            <w:bookmarkStart w:id="289" w:name="_Hlk206157369"/>
            <w:r>
              <w:rPr>
                <w:rStyle w:val="1025"/>
                <w:rFonts w:hint="default"/>
                <w:b/>
                <w:bCs/>
                <w:color w:val="000000" w:themeColor="text1"/>
                <w:lang w:bidi="ar"/>
              </w:rPr>
              <w:t xml:space="preserve">产品注册证、有效检测报告、使用说明书（如生产厂家的产品使用说明书为英文版，请同时提供中文版）、产品技术白皮书、产品铭牌、实物照片、</w:t>
            </w:r>
            <w:r>
              <w:rPr>
                <w:rStyle w:val="1025"/>
                <w:rFonts w:hint="default"/>
                <w:b/>
                <w:bCs/>
                <w:color w:val="000000" w:themeColor="text1"/>
                <w:lang w:bidi="ar"/>
              </w:rPr>
              <w:t xml:space="preserve">官网截</w:t>
            </w:r>
            <w:r>
              <w:rPr>
                <w:rStyle w:val="1025"/>
                <w:rFonts w:hint="default"/>
                <w:b/>
                <w:bCs/>
                <w:color w:val="000000" w:themeColor="text1"/>
                <w:lang w:bidi="ar"/>
              </w:rPr>
              <w:t xml:space="preserve">图、功能界面截图等</w:t>
            </w:r>
            <w:bookmarkEnd w:id="289"/>
            <w:r>
              <w:rPr>
                <w:rStyle w:val="1025"/>
                <w:rFonts w:hint="default"/>
                <w:color w:val="000000" w:themeColor="text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color w:val="000000" w:themeColor="text1"/>
                <w:szCs w:val="21"/>
              </w:rPr>
            </w:pPr>
            <w:r>
              <w:rPr>
                <w:rStyle w:val="1025"/>
                <w:rFonts w:hint="default"/>
                <w:color w:val="000000" w:themeColor="text1"/>
                <w:lang w:bidi="ar"/>
              </w:rPr>
              <w:t xml:space="preserve">合计</w:t>
            </w:r>
            <w:r/>
          </w:p>
        </w:tc>
        <w:tc>
          <w:tcPr>
            <w:tcW w:w="12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100</w:t>
            </w:r>
            <w:r/>
          </w:p>
        </w:tc>
        <w:tc>
          <w:tcPr>
            <w:tcW w:w="4478"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2976" w:type="dxa"/>
            <w:vAlign w:val="center"/>
            <w:textDirection w:val="lrTb"/>
            <w:noWrap/>
          </w:tcPr>
          <w:p>
            <w:pPr>
              <w:rPr>
                <w:rStyle w:val="1025"/>
                <w:rFonts w:hint="default"/>
                <w:color w:val="000000" w:themeColor="text1"/>
                <w:lang w:bidi="ar"/>
              </w:rPr>
            </w:pPr>
            <w:r>
              <w:rPr>
                <w:rFonts w:hint="default"/>
                <w:color w:val="000000" w:themeColor="text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7"/>
      <w:r/>
      <w:bookmarkEnd w:id="252"/>
      <w:r/>
      <w:bookmarkEnd w:id="253"/>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一、项目概况</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1、项目名称：南医大常州医疗健康科技园新建一期物理实验室教学相关仪器设备采购</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招标范围及主要工作内容：本项目为南医大常州医疗健康科技园新建一期物理实验室教学相关仪器设备采购项目，包括相应产品供货前的准备（包括现场踏勘、技术核对等）、产品设计、制造、采购、运输、装卸、安装、调试、技术指导培训、检验、质保期及维保服务等全部内容；</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合同履行期限：</w:t>
      </w:r>
      <w:r>
        <w:rPr>
          <w:rFonts w:ascii="宋体" w:hAnsi="宋体" w:cs="宋体"/>
          <w:color w:val="000000" w:themeColor="text1"/>
          <w:sz w:val="24"/>
        </w:rPr>
        <w:t xml:space="preserve">签订合同后，</w:t>
      </w:r>
      <w:r>
        <w:rPr>
          <w:rFonts w:hint="eastAsia" w:ascii="宋体" w:hAnsi="宋体" w:cs="宋体"/>
          <w:color w:val="000000" w:themeColor="text1"/>
          <w:sz w:val="24"/>
        </w:rPr>
        <w:t xml:space="preserve">3</w:t>
      </w:r>
      <w:r>
        <w:rPr>
          <w:rFonts w:ascii="宋体" w:hAnsi="宋体" w:cs="宋体"/>
          <w:color w:val="000000" w:themeColor="text1"/>
          <w:sz w:val="24"/>
        </w:rPr>
        <w:t xml:space="preserve">0</w:t>
      </w:r>
      <w:r>
        <w:rPr>
          <w:rFonts w:hint="eastAsia" w:ascii="宋体" w:hAnsi="宋体" w:cs="宋体"/>
          <w:color w:val="000000" w:themeColor="text1"/>
          <w:sz w:val="24"/>
        </w:rPr>
        <w:t xml:space="preserve">日历天完成</w:t>
      </w:r>
      <w:r>
        <w:rPr>
          <w:rFonts w:hint="eastAsia" w:ascii="宋体" w:hAnsi="宋体" w:cs="宋体"/>
          <w:color w:val="000000" w:themeColor="text1"/>
          <w:sz w:val="24"/>
        </w:rPr>
        <w:t xml:space="preserve">采购安装及调试验收等工作。</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二、采购清单及技术参数：</w:t>
      </w:r>
      <w:r/>
    </w:p>
    <w:tbl>
      <w:tblPr>
        <w:tblW w:w="0" w:type="auto"/>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5"/>
        <w:gridCol w:w="1898"/>
        <w:gridCol w:w="9956"/>
        <w:gridCol w:w="698"/>
        <w:gridCol w:w="698"/>
      </w:tblGrid>
      <w:tr>
        <w:trPr/>
        <w:tc>
          <w:tcPr>
            <w:tcW w:w="845" w:type="dxa"/>
            <w:vAlign w:val="center"/>
            <w:textDirection w:val="lrTb"/>
            <w:noWrap/>
          </w:tcPr>
          <w:p>
            <w:pPr>
              <w:jc w:val="center"/>
              <w:widowControl/>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序号</w:t>
            </w:r>
            <w:r/>
          </w:p>
        </w:tc>
        <w:tc>
          <w:tcPr>
            <w:tcW w:w="0" w:type="auto"/>
            <w:vAlign w:val="center"/>
            <w:textDirection w:val="lrTb"/>
            <w:noWrap/>
          </w:tcPr>
          <w:p>
            <w:pPr>
              <w:jc w:val="center"/>
              <w:widowControl/>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设备名称</w:t>
            </w:r>
            <w:r/>
          </w:p>
        </w:tc>
        <w:tc>
          <w:tcPr>
            <w:tcW w:w="0" w:type="auto"/>
            <w:vAlign w:val="center"/>
            <w:textDirection w:val="lrTb"/>
            <w:noWrap/>
          </w:tcPr>
          <w:p>
            <w:pPr>
              <w:jc w:val="center"/>
              <w:widowControl/>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技术参数</w:t>
            </w:r>
            <w:r/>
          </w:p>
        </w:tc>
        <w:tc>
          <w:tcPr>
            <w:tcW w:w="0" w:type="auto"/>
            <w:vAlign w:val="center"/>
            <w:textDirection w:val="lrTb"/>
            <w:noWrap/>
          </w:tcPr>
          <w:p>
            <w:pPr>
              <w:jc w:val="center"/>
              <w:widowControl/>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单位</w:t>
            </w:r>
            <w:r/>
          </w:p>
        </w:tc>
        <w:tc>
          <w:tcPr>
            <w:tcW w:w="0" w:type="auto"/>
            <w:vAlign w:val="center"/>
            <w:textDirection w:val="lrTb"/>
            <w:noWrap/>
          </w:tcPr>
          <w:p>
            <w:pPr>
              <w:jc w:val="center"/>
              <w:widowControl/>
              <w:rPr>
                <w:rFonts w:hint="eastAsia" w:cs="宋体" w:asciiTheme="minorEastAsia" w:hAnsiTheme="minorEastAsia"/>
                <w:b/>
                <w:bCs/>
                <w:color w:val="000000" w:themeColor="text1"/>
                <w:sz w:val="24"/>
                <w:szCs w:val="24"/>
              </w:rPr>
            </w:pPr>
            <w:r>
              <w:rPr>
                <w:rFonts w:hint="eastAsia" w:cs="宋体" w:asciiTheme="minorEastAsia" w:hAnsiTheme="minorEastAsia"/>
                <w:b/>
                <w:bCs/>
                <w:color w:val="000000" w:themeColor="text1"/>
                <w:sz w:val="24"/>
                <w:szCs w:val="24"/>
              </w:rPr>
              <w:t xml:space="preserve">数量</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弗兰克赫兹实验仪</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、弗兰克-赫兹管：充氩</w:t>
            </w:r>
            <w:r>
              <w:rPr>
                <w:rFonts w:hint="eastAsia" w:cs="宋体" w:asciiTheme="minorEastAsia" w:hAnsiTheme="minorEastAsia"/>
                <w:color w:val="000000" w:themeColor="text1"/>
                <w:sz w:val="20"/>
                <w:szCs w:val="20"/>
              </w:rPr>
              <w:t xml:space="preserve">弗</w:t>
            </w:r>
            <w:r>
              <w:rPr>
                <w:rFonts w:hint="eastAsia" w:cs="宋体" w:asciiTheme="minorEastAsia" w:hAnsiTheme="minorEastAsia"/>
                <w:color w:val="000000" w:themeColor="text1"/>
                <w:sz w:val="20"/>
                <w:szCs w:val="20"/>
              </w:rPr>
              <w:t xml:space="preserve">兰克-赫兹管，不需加热；管子结构：≥4级 ；寿命≥3000hrs；</w:t>
            </w:r>
            <w:r>
              <w:rPr>
                <w:rFonts w:hint="eastAsia" w:cs="宋体" w:asciiTheme="minorEastAsia" w:hAnsiTheme="minorEastAsia"/>
                <w:color w:val="000000" w:themeColor="text1"/>
                <w:sz w:val="20"/>
                <w:szCs w:val="20"/>
              </w:rPr>
              <w:t xml:space="preserve">氩管采用</w:t>
            </w:r>
            <w:r>
              <w:rPr>
                <w:rFonts w:hint="eastAsia" w:cs="宋体" w:asciiTheme="minorEastAsia" w:hAnsiTheme="minorEastAsia"/>
                <w:color w:val="000000" w:themeColor="text1"/>
                <w:sz w:val="20"/>
                <w:szCs w:val="20"/>
              </w:rPr>
              <w:t xml:space="preserve">内置式结构，带可视窗口</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、采用液晶显示屏，所有实验参数和数据通过液晶屏幕同时实时显示</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、灯丝电压：DC 0～6.3V，±1% ；第一栅压：DC 0～5V，±1%；拒斥电压：DC 0～12V，±1%</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第二栅压：DC 0～100V，±1% ，该电压可设置为自动扫描或者手动扫描；手动扫描测量步距为0.2～2.0V可调；接示波器自动扫描时，测量步距为0.2～2.0V可调，扫描时间步距为0.2～5.0s可调</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微电流放大器：测量范围：10-8～10-11A，±1% </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可多种测量方法进行实验，示波器动态显示实验，使物理过程更加直观生动。具有手动测量：手动扫描测量步距为0.2～2.0V可调，自动测量：测量步距为0.2～2.0V可调，扫描时间步距为0.2～5.0s可调。</w:t>
            </w:r>
            <w:r/>
          </w:p>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、采用长寿命的独立按键取代易损的旋转电位器，使用次数≥20万次，易于维修</w:t>
            </w:r>
            <w:r>
              <w:rPr>
                <w:rFonts w:hint="eastAsia" w:cs="宋体" w:asciiTheme="minorEastAsia" w:hAnsiTheme="minorEastAsia"/>
                <w:color w:val="000000" w:themeColor="text1"/>
                <w:sz w:val="20"/>
                <w:szCs w:val="20"/>
              </w:rPr>
              <w:br/>
              <w:t xml:space="preserve">8</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、独有的</w:t>
            </w:r>
            <w:r>
              <w:rPr>
                <w:rFonts w:hint="eastAsia" w:cs="宋体" w:asciiTheme="minorEastAsia" w:hAnsiTheme="minorEastAsia"/>
                <w:color w:val="000000" w:themeColor="text1"/>
                <w:sz w:val="20"/>
                <w:szCs w:val="20"/>
              </w:rPr>
              <w:t xml:space="preserve">弗</w:t>
            </w:r>
            <w:r>
              <w:rPr>
                <w:rFonts w:hint="eastAsia" w:cs="宋体" w:asciiTheme="minorEastAsia" w:hAnsiTheme="minorEastAsia"/>
                <w:color w:val="000000" w:themeColor="text1"/>
                <w:sz w:val="20"/>
                <w:szCs w:val="20"/>
              </w:rPr>
              <w:t xml:space="preserve">兰克-赫兹管保护功能：弗兰克-赫兹管为高质易损件，为避免接错电路烧坏夫兰克-赫兹管，仪器设有电源短路、过流保护装置，并有声音报警功能</w:t>
            </w:r>
            <w:r>
              <w:rPr>
                <w:rFonts w:hint="eastAsia" w:cs="宋体" w:asciiTheme="minorEastAsia" w:hAnsiTheme="minorEastAsia"/>
                <w:color w:val="000000" w:themeColor="text1"/>
                <w:sz w:val="20"/>
                <w:szCs w:val="20"/>
              </w:rPr>
              <w:br/>
            </w:r>
            <w:bookmarkStart w:id="290" w:name="_Hlk232445643"/>
            <w:r>
              <w:rPr>
                <w:rFonts w:hint="eastAsia" w:cs="宋体" w:asciiTheme="minorEastAsia" w:hAnsiTheme="minorEastAsia"/>
                <w:color w:val="000000" w:themeColor="text1"/>
                <w:sz w:val="20"/>
                <w:szCs w:val="20"/>
              </w:rPr>
              <w:t xml:space="preserve">▲9</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、数据分析系统：支持通过USB</w:t>
            </w:r>
            <w:r>
              <w:rPr>
                <w:rFonts w:hint="eastAsia" w:cs="宋体" w:asciiTheme="minorEastAsia" w:hAnsiTheme="minorEastAsia"/>
                <w:color w:val="000000" w:themeColor="text1"/>
                <w:sz w:val="20"/>
                <w:szCs w:val="20"/>
              </w:rPr>
              <w:t xml:space="preserve">和蓝牙连接</w:t>
            </w:r>
            <w:r>
              <w:rPr>
                <w:rFonts w:hint="eastAsia" w:cs="宋体" w:asciiTheme="minorEastAsia" w:hAnsiTheme="minorEastAsia"/>
                <w:color w:val="000000" w:themeColor="text1"/>
                <w:sz w:val="20"/>
                <w:szCs w:val="20"/>
              </w:rPr>
              <w:t xml:space="preserve">多种数字化传感器。支持在线升级，具备数据表格、图表、文本框、图片框等多种功能</w:t>
            </w:r>
            <w:bookmarkEnd w:id="290"/>
            <w:r/>
            <w:r/>
          </w:p>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▲10</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、允许用户自由添加、删除、重命名、锁定或解锁工作簿。设备管理功能能够通过USB或</w:t>
            </w:r>
            <w:r>
              <w:rPr>
                <w:rFonts w:hint="eastAsia" w:cs="宋体" w:asciiTheme="minorEastAsia" w:hAnsiTheme="minorEastAsia"/>
                <w:color w:val="000000" w:themeColor="text1"/>
                <w:sz w:val="20"/>
                <w:szCs w:val="20"/>
              </w:rPr>
              <w:t xml:space="preserve">蓝牙快速</w:t>
            </w:r>
            <w:r>
              <w:rPr>
                <w:rFonts w:hint="eastAsia" w:cs="宋体" w:asciiTheme="minorEastAsia" w:hAnsiTheme="minorEastAsia"/>
                <w:color w:val="000000" w:themeColor="text1"/>
                <w:sz w:val="20"/>
                <w:szCs w:val="20"/>
              </w:rPr>
              <w:t xml:space="preserve">识别并显示可连接的传感器，并允许用户对传感器的量程、频率、清零等进行参数设置。</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分光计及光谱</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1、仪器的测角精度为</w:t>
            </w:r>
            <w:r>
              <w:rPr>
                <w:rFonts w:cs="Arial" w:asciiTheme="minorEastAsia" w:hAnsiTheme="minorEastAsia"/>
                <w:color w:val="000000" w:themeColor="text1"/>
                <w:sz w:val="20"/>
                <w:szCs w:val="20"/>
              </w:rPr>
              <w:t xml:space="preserve">1</w:t>
            </w:r>
            <w:r>
              <w:rPr>
                <w:rFonts w:hint="eastAsia" w:cs="宋体" w:asciiTheme="minorEastAsia" w:hAnsiTheme="minorEastAsia"/>
                <w:color w:val="000000" w:themeColor="text1"/>
                <w:sz w:val="20"/>
                <w:szCs w:val="20"/>
              </w:rPr>
              <w:t xml:space="preserve">分</w:t>
            </w:r>
            <w:r>
              <w:rPr>
                <w:rFonts w:cs="Arial" w:asciiTheme="minorEastAsia" w:hAnsiTheme="minorEastAsia"/>
                <w:color w:val="000000" w:themeColor="text1"/>
                <w:sz w:val="20"/>
                <w:szCs w:val="20"/>
              </w:rPr>
              <w:br/>
            </w:r>
            <w:r>
              <w:rPr>
                <w:rFonts w:hint="eastAsia" w:cs="宋体" w:asciiTheme="minorEastAsia" w:hAnsiTheme="minorEastAsia"/>
                <w:color w:val="000000" w:themeColor="text1"/>
                <w:sz w:val="20"/>
                <w:szCs w:val="20"/>
              </w:rPr>
              <w:t xml:space="preserve">★2、平行光管、望远镜系统的焦距：≥</w:t>
            </w:r>
            <w:r>
              <w:rPr>
                <w:rFonts w:cs="Arial" w:asciiTheme="minorEastAsia" w:hAnsiTheme="minorEastAsia"/>
                <w:color w:val="000000" w:themeColor="text1"/>
                <w:sz w:val="20"/>
                <w:szCs w:val="20"/>
              </w:rPr>
              <w:t xml:space="preserve">170mm</w:t>
            </w:r>
            <w:r>
              <w:rPr>
                <w:rFonts w:hint="eastAsia" w:cs="宋体" w:asciiTheme="minorEastAsia" w:hAnsiTheme="minorEastAsia"/>
                <w:color w:val="000000" w:themeColor="text1"/>
                <w:sz w:val="20"/>
                <w:szCs w:val="20"/>
              </w:rPr>
              <w:t xml:space="preserve">，通光口径：≥</w:t>
            </w:r>
            <w:r>
              <w:rPr>
                <w:rFonts w:cs="Arial" w:asciiTheme="minorEastAsia" w:hAnsiTheme="minorEastAsia"/>
                <w:color w:val="000000" w:themeColor="text1"/>
                <w:sz w:val="20"/>
                <w:szCs w:val="20"/>
              </w:rPr>
              <w:t xml:space="preserve">φ30mm</w:t>
            </w:r>
            <w:r>
              <w:rPr>
                <w:rFonts w:hint="eastAsia" w:cs="宋体" w:asciiTheme="minorEastAsia" w:hAnsiTheme="minorEastAsia"/>
                <w:color w:val="000000" w:themeColor="text1"/>
                <w:sz w:val="20"/>
                <w:szCs w:val="20"/>
              </w:rPr>
              <w:t xml:space="preserve">，视场：≥</w:t>
            </w:r>
            <w:r>
              <w:rPr>
                <w:rFonts w:cs="Arial" w:asciiTheme="minorEastAsia" w:hAnsiTheme="minorEastAsia"/>
                <w:color w:val="000000" w:themeColor="text1"/>
                <w:sz w:val="20"/>
                <w:szCs w:val="20"/>
              </w:rPr>
              <w:t xml:space="preserve">3</w:t>
            </w:r>
            <w:r>
              <w:rPr>
                <w:rFonts w:hint="eastAsia" w:cs="宋体" w:asciiTheme="minorEastAsia" w:hAnsiTheme="minorEastAsia"/>
                <w:color w:val="000000" w:themeColor="text1"/>
                <w:sz w:val="20"/>
                <w:szCs w:val="20"/>
              </w:rPr>
              <w:t xml:space="preserve">°</w:t>
            </w:r>
            <w:r>
              <w:rPr>
                <w:rFonts w:cs="Arial" w:asciiTheme="minorEastAsia" w:hAnsiTheme="minorEastAsia"/>
                <w:color w:val="000000" w:themeColor="text1"/>
                <w:sz w:val="20"/>
                <w:szCs w:val="20"/>
              </w:rPr>
              <w:t xml:space="preserve">22</w:t>
            </w:r>
            <w:r>
              <w:rPr>
                <w:rFonts w:hint="eastAsia" w:cs="宋体" w:asciiTheme="minorEastAsia" w:hAnsiTheme="minorEastAsia"/>
                <w:color w:val="000000" w:themeColor="text1"/>
                <w:sz w:val="20"/>
                <w:szCs w:val="20"/>
              </w:rPr>
              <w:t xml:space="preserve">分，望远镜系统目镜焦距：≥</w:t>
            </w:r>
            <w:r>
              <w:rPr>
                <w:rFonts w:cs="Arial" w:asciiTheme="minorEastAsia" w:hAnsiTheme="minorEastAsia"/>
                <w:color w:val="000000" w:themeColor="text1"/>
                <w:sz w:val="20"/>
                <w:szCs w:val="20"/>
              </w:rPr>
              <w:t xml:space="preserve">24.3mm</w:t>
            </w:r>
            <w:r>
              <w:rPr>
                <w:rFonts w:cs="Arial" w:asciiTheme="minorEastAsia" w:hAnsiTheme="minorEastAsia"/>
                <w:color w:val="000000" w:themeColor="text1"/>
                <w:sz w:val="20"/>
                <w:szCs w:val="20"/>
              </w:rPr>
              <w:br/>
              <w:t xml:space="preserve">3 </w:t>
            </w:r>
            <w:r>
              <w:rPr>
                <w:rFonts w:hint="eastAsia" w:cs="宋体" w:asciiTheme="minorEastAsia" w:hAnsiTheme="minorEastAsia"/>
                <w:color w:val="000000" w:themeColor="text1"/>
                <w:sz w:val="20"/>
                <w:szCs w:val="20"/>
              </w:rPr>
              <w:t xml:space="preserve">、三棱镜棱角为</w:t>
            </w:r>
            <w:r>
              <w:rPr>
                <w:rFonts w:cs="Arial" w:asciiTheme="minorEastAsia" w:hAnsiTheme="minorEastAsia"/>
                <w:color w:val="000000" w:themeColor="text1"/>
                <w:sz w:val="20"/>
                <w:szCs w:val="20"/>
              </w:rPr>
              <w:t xml:space="preserve">60</w:t>
            </w:r>
            <w:r>
              <w:rPr>
                <w:rFonts w:hint="eastAsia" w:cs="宋体" w:asciiTheme="minorEastAsia" w:hAnsiTheme="minorEastAsia"/>
                <w:color w:val="000000" w:themeColor="text1"/>
                <w:sz w:val="20"/>
                <w:szCs w:val="20"/>
              </w:rPr>
              <w:t xml:space="preserve">°±</w:t>
            </w:r>
            <w:r>
              <w:rPr>
                <w:rFonts w:cs="Arial" w:asciiTheme="minorEastAsia" w:hAnsiTheme="minorEastAsia"/>
                <w:color w:val="000000" w:themeColor="text1"/>
                <w:sz w:val="20"/>
                <w:szCs w:val="20"/>
              </w:rPr>
              <w:t xml:space="preserve">5</w:t>
            </w:r>
            <w:r>
              <w:rPr>
                <w:rFonts w:hint="eastAsia" w:cs="宋体" w:asciiTheme="minorEastAsia" w:hAnsiTheme="minorEastAsia"/>
                <w:color w:val="000000" w:themeColor="text1"/>
                <w:sz w:val="20"/>
                <w:szCs w:val="20"/>
              </w:rPr>
              <w:t xml:space="preserve">分</w:t>
            </w:r>
            <w:r>
              <w:rPr>
                <w:rFonts w:cs="Arial" w:asciiTheme="minorEastAsia" w:hAnsiTheme="minorEastAsia"/>
                <w:color w:val="000000" w:themeColor="text1"/>
                <w:sz w:val="20"/>
                <w:szCs w:val="20"/>
              </w:rPr>
              <w:br/>
              <w:t xml:space="preserve">4 </w:t>
            </w:r>
            <w:r>
              <w:rPr>
                <w:rFonts w:hint="eastAsia" w:cs="宋体" w:asciiTheme="minorEastAsia" w:hAnsiTheme="minorEastAsia"/>
                <w:color w:val="000000" w:themeColor="text1"/>
                <w:sz w:val="20"/>
                <w:szCs w:val="20"/>
              </w:rPr>
              <w:t xml:space="preserve">、照明灯组采用长寿命高亮度绿发光二极管，</w:t>
            </w:r>
            <w:r>
              <w:rPr>
                <w:rFonts w:cs="Arial" w:asciiTheme="minorEastAsia" w:hAnsiTheme="minorEastAsia"/>
                <w:color w:val="000000" w:themeColor="text1"/>
                <w:sz w:val="20"/>
                <w:szCs w:val="20"/>
              </w:rPr>
              <w:t xml:space="preserve">3V/220V</w:t>
            </w:r>
            <w:r>
              <w:rPr>
                <w:rFonts w:hint="eastAsia" w:cs="宋体" w:asciiTheme="minorEastAsia" w:hAnsiTheme="minorEastAsia"/>
                <w:color w:val="000000" w:themeColor="text1"/>
                <w:sz w:val="20"/>
                <w:szCs w:val="20"/>
              </w:rPr>
              <w:t xml:space="preserve">电源</w:t>
            </w:r>
            <w:r>
              <w:rPr>
                <w:rFonts w:cs="Arial" w:asciiTheme="minorEastAsia" w:hAnsiTheme="minorEastAsia"/>
                <w:color w:val="000000" w:themeColor="text1"/>
                <w:sz w:val="20"/>
                <w:szCs w:val="20"/>
              </w:rPr>
              <w:br/>
              <w:t xml:space="preserve">5 </w:t>
            </w:r>
            <w:r>
              <w:rPr>
                <w:rFonts w:hint="eastAsia" w:cs="宋体" w:asciiTheme="minorEastAsia" w:hAnsiTheme="minorEastAsia"/>
                <w:color w:val="000000" w:themeColor="text1"/>
                <w:sz w:val="20"/>
                <w:szCs w:val="20"/>
              </w:rPr>
              <w:t xml:space="preserve">、曲轴定位平行光管和望远镜</w:t>
            </w:r>
            <w:r>
              <w:rPr>
                <w:rFonts w:cs="Arial" w:asciiTheme="minorEastAsia" w:hAnsiTheme="minorEastAsia"/>
                <w:color w:val="000000" w:themeColor="text1"/>
                <w:sz w:val="20"/>
                <w:szCs w:val="20"/>
              </w:rPr>
              <w:br/>
              <w:t xml:space="preserve">6 </w:t>
            </w:r>
            <w:r>
              <w:rPr>
                <w:rFonts w:hint="eastAsia" w:cs="宋体" w:asciiTheme="minorEastAsia" w:hAnsiTheme="minorEastAsia"/>
                <w:color w:val="000000" w:themeColor="text1"/>
                <w:sz w:val="20"/>
                <w:szCs w:val="20"/>
              </w:rPr>
              <w:t xml:space="preserve">、最大偏心差：</w:t>
            </w:r>
            <w:r>
              <w:rPr>
                <w:rFonts w:cs="Arial" w:asciiTheme="minorEastAsia" w:hAnsiTheme="minorEastAsia"/>
                <w:color w:val="000000" w:themeColor="text1"/>
                <w:sz w:val="20"/>
                <w:szCs w:val="20"/>
              </w:rPr>
              <w:t xml:space="preserve">6</w:t>
            </w:r>
            <w:r>
              <w:rPr>
                <w:rFonts w:hint="eastAsia" w:cs="宋体" w:asciiTheme="minorEastAsia" w:hAnsiTheme="minorEastAsia"/>
                <w:color w:val="000000" w:themeColor="text1"/>
                <w:sz w:val="20"/>
                <w:szCs w:val="20"/>
              </w:rPr>
              <w:t xml:space="preserve">分</w:t>
            </w:r>
            <w:r>
              <w:rPr>
                <w:rFonts w:cs="Arial" w:asciiTheme="minorEastAsia" w:hAnsiTheme="minorEastAsia"/>
                <w:color w:val="000000" w:themeColor="text1"/>
                <w:sz w:val="20"/>
                <w:szCs w:val="20"/>
              </w:rPr>
              <w:br/>
              <w:t xml:space="preserve">7 </w:t>
            </w:r>
            <w:r>
              <w:rPr>
                <w:rFonts w:hint="eastAsia" w:cs="宋体" w:asciiTheme="minorEastAsia" w:hAnsiTheme="minorEastAsia"/>
                <w:color w:val="000000" w:themeColor="text1"/>
                <w:sz w:val="20"/>
                <w:szCs w:val="20"/>
              </w:rPr>
              <w:t xml:space="preserve">、用八面体检测最大误差线：</w:t>
            </w:r>
            <w:r>
              <w:rPr>
                <w:rFonts w:cs="Arial" w:asciiTheme="minorEastAsia" w:hAnsiTheme="minorEastAsia"/>
                <w:color w:val="000000" w:themeColor="text1"/>
                <w:sz w:val="20"/>
                <w:szCs w:val="20"/>
              </w:rPr>
              <w:t xml:space="preserve">30</w:t>
            </w:r>
            <w:r>
              <w:rPr>
                <w:rFonts w:hint="eastAsia" w:cs="宋体" w:asciiTheme="minorEastAsia" w:hAnsiTheme="minorEastAsia"/>
                <w:color w:val="000000" w:themeColor="text1"/>
                <w:sz w:val="20"/>
                <w:szCs w:val="20"/>
              </w:rPr>
              <w:t xml:space="preserve">秒</w:t>
            </w:r>
            <w:r>
              <w:rPr>
                <w:rFonts w:cs="Arial" w:asciiTheme="minorEastAsia" w:hAnsiTheme="minorEastAsia"/>
                <w:color w:val="000000" w:themeColor="text1"/>
                <w:sz w:val="20"/>
                <w:szCs w:val="20"/>
              </w:rPr>
              <w:br/>
              <w:t xml:space="preserve">8 </w:t>
            </w:r>
            <w:r>
              <w:rPr>
                <w:rFonts w:hint="eastAsia" w:cs="宋体" w:asciiTheme="minorEastAsia" w:hAnsiTheme="minorEastAsia"/>
                <w:color w:val="000000" w:themeColor="text1"/>
                <w:sz w:val="20"/>
                <w:szCs w:val="20"/>
              </w:rPr>
              <w:t xml:space="preserve">、目镜及狭缝系统采用手轮连续调焦</w:t>
            </w:r>
            <w:r>
              <w:rPr>
                <w:rFonts w:cs="Arial" w:asciiTheme="minorEastAsia" w:hAnsiTheme="minorEastAsia"/>
                <w:color w:val="000000" w:themeColor="text1"/>
                <w:sz w:val="20"/>
                <w:szCs w:val="20"/>
              </w:rPr>
              <w:br/>
              <w:t xml:space="preserve">9 </w:t>
            </w:r>
            <w:r>
              <w:rPr>
                <w:rFonts w:hint="eastAsia" w:cs="宋体" w:asciiTheme="minorEastAsia" w:hAnsiTheme="minorEastAsia"/>
                <w:color w:val="000000" w:themeColor="text1"/>
                <w:sz w:val="20"/>
                <w:szCs w:val="20"/>
              </w:rPr>
              <w:t xml:space="preserve">、光源：输出波长：</w:t>
            </w:r>
            <w:r>
              <w:rPr>
                <w:rFonts w:cs="Arial" w:asciiTheme="minorEastAsia" w:hAnsiTheme="minorEastAsia"/>
                <w:color w:val="000000" w:themeColor="text1"/>
                <w:sz w:val="20"/>
                <w:szCs w:val="20"/>
              </w:rPr>
              <w:t xml:space="preserve">4047</w:t>
            </w:r>
            <w:r>
              <w:rPr>
                <w:rFonts w:hint="eastAsia" w:cs="宋体" w:asciiTheme="minorEastAsia" w:hAnsiTheme="minorEastAsia"/>
                <w:color w:val="000000" w:themeColor="text1"/>
                <w:sz w:val="20"/>
                <w:szCs w:val="20"/>
              </w:rPr>
              <w:t xml:space="preserve">Å、</w:t>
            </w:r>
            <w:r>
              <w:rPr>
                <w:rFonts w:cs="Arial" w:asciiTheme="minorEastAsia" w:hAnsiTheme="minorEastAsia"/>
                <w:color w:val="000000" w:themeColor="text1"/>
                <w:sz w:val="20"/>
                <w:szCs w:val="20"/>
              </w:rPr>
              <w:t xml:space="preserve">4358</w:t>
            </w:r>
            <w:r>
              <w:rPr>
                <w:rFonts w:hint="eastAsia" w:cs="宋体" w:asciiTheme="minorEastAsia" w:hAnsiTheme="minorEastAsia"/>
                <w:color w:val="000000" w:themeColor="text1"/>
                <w:sz w:val="20"/>
                <w:szCs w:val="20"/>
              </w:rPr>
              <w:t xml:space="preserve">Å、</w:t>
            </w:r>
            <w:r>
              <w:rPr>
                <w:rFonts w:cs="Arial" w:asciiTheme="minorEastAsia" w:hAnsiTheme="minorEastAsia"/>
                <w:color w:val="000000" w:themeColor="text1"/>
                <w:sz w:val="20"/>
                <w:szCs w:val="20"/>
              </w:rPr>
              <w:t xml:space="preserve">5461</w:t>
            </w:r>
            <w:r>
              <w:rPr>
                <w:rFonts w:hint="eastAsia" w:cs="宋体" w:asciiTheme="minorEastAsia" w:hAnsiTheme="minorEastAsia"/>
                <w:color w:val="000000" w:themeColor="text1"/>
                <w:sz w:val="20"/>
                <w:szCs w:val="20"/>
              </w:rPr>
              <w:t xml:space="preserve">Å、</w:t>
            </w:r>
            <w:r>
              <w:rPr>
                <w:rFonts w:cs="Arial" w:asciiTheme="minorEastAsia" w:hAnsiTheme="minorEastAsia"/>
                <w:color w:val="000000" w:themeColor="text1"/>
                <w:sz w:val="20"/>
                <w:szCs w:val="20"/>
              </w:rPr>
              <w:t xml:space="preserve">5770</w:t>
            </w:r>
            <w:r>
              <w:rPr>
                <w:rFonts w:hint="eastAsia" w:cs="宋体" w:asciiTheme="minorEastAsia" w:hAnsiTheme="minorEastAsia"/>
                <w:color w:val="000000" w:themeColor="text1"/>
                <w:sz w:val="20"/>
                <w:szCs w:val="20"/>
              </w:rPr>
              <w:t xml:space="preserve">Å、</w:t>
            </w:r>
            <w:r>
              <w:rPr>
                <w:rFonts w:cs="Arial" w:asciiTheme="minorEastAsia" w:hAnsiTheme="minorEastAsia"/>
                <w:color w:val="000000" w:themeColor="text1"/>
                <w:sz w:val="20"/>
                <w:szCs w:val="20"/>
              </w:rPr>
              <w:t xml:space="preserve">5790</w:t>
            </w:r>
            <w:r>
              <w:rPr>
                <w:rFonts w:hint="eastAsia" w:cs="宋体" w:asciiTheme="minorEastAsia" w:hAnsiTheme="minorEastAsia"/>
                <w:color w:val="000000" w:themeColor="text1"/>
                <w:sz w:val="20"/>
                <w:szCs w:val="20"/>
              </w:rPr>
              <w:t xml:space="preserve">Å；电感式，无噪音；金属灯罩，</w:t>
            </w:r>
            <w:r>
              <w:rPr>
                <w:rFonts w:hint="eastAsia" w:cs="宋体" w:asciiTheme="minorEastAsia" w:hAnsiTheme="minorEastAsia"/>
                <w:color w:val="000000" w:themeColor="text1"/>
                <w:sz w:val="20"/>
                <w:szCs w:val="20"/>
              </w:rPr>
              <w:t xml:space="preserve">三方向</w:t>
            </w:r>
            <w:r>
              <w:rPr>
                <w:rFonts w:hint="eastAsia" w:cs="宋体" w:asciiTheme="minorEastAsia" w:hAnsiTheme="minorEastAsia"/>
                <w:color w:val="000000" w:themeColor="text1"/>
                <w:sz w:val="20"/>
                <w:szCs w:val="20"/>
              </w:rPr>
              <w:t xml:space="preserve">出光窗，</w:t>
            </w:r>
            <w:r>
              <w:rPr>
                <w:rFonts w:hint="eastAsia" w:cs="宋体" w:asciiTheme="minorEastAsia" w:hAnsiTheme="minorEastAsia"/>
                <w:color w:val="000000" w:themeColor="text1"/>
                <w:sz w:val="20"/>
                <w:szCs w:val="20"/>
              </w:rPr>
              <w:t xml:space="preserve">配可拆卸</w:t>
            </w:r>
            <w:r>
              <w:rPr>
                <w:rFonts w:hint="eastAsia" w:cs="宋体" w:asciiTheme="minorEastAsia" w:hAnsiTheme="minorEastAsia"/>
                <w:color w:val="000000" w:themeColor="text1"/>
                <w:sz w:val="20"/>
                <w:szCs w:val="20"/>
              </w:rPr>
              <w:t xml:space="preserve">毛玻璃；高度可升降。</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3</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迈克尔逊干涉仪</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、可以观察等倾、等厚干涉和点光源的非定域干涉现象，测量激光波长</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、光学实验平台：≥400*600*50mm 平面度：≤0.05mm/m2；孔距：≤25mm×25mm</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、孔径：M6；粗糙度：&lt;1.6um；光学平台台面材料为Cr13不锈钢10.2碳钢10.6，合理</w:t>
            </w:r>
            <w:r>
              <w:rPr>
                <w:rFonts w:hint="eastAsia" w:cs="宋体" w:asciiTheme="minorEastAsia" w:hAnsiTheme="minorEastAsia"/>
                <w:color w:val="000000" w:themeColor="text1"/>
                <w:sz w:val="20"/>
                <w:szCs w:val="20"/>
              </w:rPr>
              <w:t xml:space="preserve">硬重比</w:t>
            </w:r>
            <w:r>
              <w:rPr>
                <w:rFonts w:hint="eastAsia" w:cs="宋体" w:asciiTheme="minorEastAsia" w:hAnsiTheme="minorEastAsia"/>
                <w:color w:val="000000" w:themeColor="text1"/>
                <w:sz w:val="20"/>
                <w:szCs w:val="20"/>
              </w:rPr>
              <w:t xml:space="preserve">提供优良抗振性能</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、半导体一体化激光源：激光头，带二维调节结构，调节范围±2.5mm,</w:t>
            </w:r>
            <w:r>
              <w:rPr>
                <w:rFonts w:hint="eastAsia" w:cs="宋体" w:asciiTheme="minorEastAsia" w:hAnsiTheme="minorEastAsia"/>
                <w:color w:val="000000" w:themeColor="text1"/>
                <w:sz w:val="20"/>
                <w:szCs w:val="20"/>
              </w:rPr>
              <w:br/>
              <w:t xml:space="preserve">输出波长</w:t>
            </w:r>
            <w:r>
              <w:rPr>
                <w:rFonts w:cs="Calibri" w:asciiTheme="minorEastAsia" w:hAnsiTheme="minorEastAsia"/>
                <w:color w:val="000000" w:themeColor="text1"/>
                <w:sz w:val="20"/>
                <w:szCs w:val="20"/>
              </w:rPr>
              <w:t xml:space="preserve">λ</w:t>
            </w:r>
            <w:r>
              <w:rPr>
                <w:rFonts w:hint="eastAsia" w:cs="宋体" w:asciiTheme="minorEastAsia" w:hAnsiTheme="minorEastAsia"/>
                <w:color w:val="000000" w:themeColor="text1"/>
                <w:sz w:val="20"/>
                <w:szCs w:val="20"/>
              </w:rPr>
              <w:t xml:space="preserve">=不低于650nm，输出功率P=不低于5mW，工作电源DC5V±10%</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w:t>
            </w:r>
            <w:r>
              <w:rPr>
                <w:rFonts w:hint="eastAsia" w:cs="宋体" w:asciiTheme="minorEastAsia" w:hAnsiTheme="minorEastAsia"/>
                <w:color w:val="000000" w:themeColor="text1"/>
                <w:sz w:val="20"/>
                <w:szCs w:val="20"/>
              </w:rPr>
              <w:t xml:space="preserve">可调扩束镜</w:t>
            </w:r>
            <w:r>
              <w:rPr>
                <w:rFonts w:hint="eastAsia" w:cs="宋体" w:asciiTheme="minorEastAsia" w:hAnsiTheme="minorEastAsia"/>
                <w:color w:val="000000" w:themeColor="text1"/>
                <w:sz w:val="20"/>
                <w:szCs w:val="20"/>
              </w:rPr>
              <w:t xml:space="preserve">：</w:t>
            </w:r>
            <w:r>
              <w:rPr>
                <w:rFonts w:hint="eastAsia" w:cs="宋体" w:asciiTheme="minorEastAsia" w:hAnsiTheme="minorEastAsia"/>
                <w:color w:val="000000" w:themeColor="text1"/>
                <w:sz w:val="20"/>
                <w:szCs w:val="20"/>
              </w:rPr>
              <w:t xml:space="preserve">扩束</w:t>
            </w:r>
            <w:r>
              <w:rPr>
                <w:rFonts w:hint="eastAsia" w:cs="宋体" w:asciiTheme="minorEastAsia" w:hAnsiTheme="minorEastAsia"/>
                <w:color w:val="000000" w:themeColor="text1"/>
                <w:sz w:val="20"/>
                <w:szCs w:val="20"/>
              </w:rPr>
              <w:t xml:space="preserve">≥40X，二维可调调节范围±2.5mm</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、分光镜和补偿板:分光比不低于1:1，,补偿板：不低于光学K9玻璃</w:t>
            </w:r>
            <w:r>
              <w:rPr>
                <w:rFonts w:hint="eastAsia" w:cs="宋体" w:asciiTheme="minorEastAsia" w:hAnsiTheme="minorEastAsia"/>
                <w:color w:val="000000" w:themeColor="text1"/>
                <w:sz w:val="20"/>
                <w:szCs w:val="20"/>
              </w:rPr>
              <w:b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、反射镜：镜架</w:t>
            </w:r>
            <w:r>
              <w:rPr>
                <w:rFonts w:hint="eastAsia" w:cs="宋体" w:asciiTheme="minorEastAsia" w:hAnsiTheme="minorEastAsia"/>
                <w:color w:val="000000" w:themeColor="text1"/>
                <w:sz w:val="20"/>
                <w:szCs w:val="20"/>
              </w:rPr>
              <w:t xml:space="preserve">二维可调角</w:t>
            </w:r>
            <w:r>
              <w:rPr>
                <w:rFonts w:hint="eastAsia" w:cs="宋体" w:asciiTheme="minorEastAsia" w:hAnsiTheme="minorEastAsia"/>
                <w:color w:val="000000" w:themeColor="text1"/>
                <w:sz w:val="20"/>
                <w:szCs w:val="20"/>
              </w:rPr>
              <w:t xml:space="preserve">度可调</w:t>
            </w:r>
            <w:r>
              <w:rPr>
                <w:rFonts w:hint="eastAsia" w:cs="宋体" w:asciiTheme="minorEastAsia" w:hAnsiTheme="minorEastAsia"/>
                <w:color w:val="000000" w:themeColor="text1"/>
                <w:sz w:val="20"/>
                <w:szCs w:val="20"/>
              </w:rPr>
              <w:br/>
              <w:t xml:space="preserve">▲8</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、移动镜：移动精度≤0.0001mm,精度测量范围：≤0.4mm,粗调范围≥10mm。</w:t>
            </w:r>
            <w:r>
              <w:rPr>
                <w:rFonts w:hint="eastAsia" w:cs="宋体" w:asciiTheme="minorEastAsia" w:hAnsiTheme="minorEastAsia"/>
                <w:color w:val="000000" w:themeColor="text1"/>
                <w:sz w:val="20"/>
                <w:szCs w:val="20"/>
              </w:rPr>
              <w:br/>
              <w:t xml:space="preserve">9</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、毛玻璃屏：≥</w:t>
            </w:r>
            <w:r>
              <w:rPr>
                <w:rFonts w:cs="Calibri" w:asciiTheme="minorEastAsia" w:hAnsiTheme="minorEastAsia"/>
                <w:color w:val="000000" w:themeColor="text1"/>
                <w:sz w:val="20"/>
                <w:szCs w:val="20"/>
              </w:rPr>
              <w:t xml:space="preserve">φ</w:t>
            </w:r>
            <w:r>
              <w:rPr>
                <w:rFonts w:hint="eastAsia" w:cs="宋体" w:asciiTheme="minorEastAsia" w:hAnsiTheme="minorEastAsia"/>
                <w:color w:val="000000" w:themeColor="text1"/>
                <w:sz w:val="20"/>
                <w:szCs w:val="20"/>
              </w:rPr>
              <w:t xml:space="preserve">60mm</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4</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杨氏模量实验仪（伸长法）</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、支架结构：高度≥1.2m</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、数显拉力传感器：量程≥30Kg</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、读数显微镜：分辨率≤0.001mm</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、显微镜固定和二维移动调整结构</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、杨氏模量专用CCD及显示屏：不低于100</w:t>
            </w:r>
            <w:r>
              <w:rPr>
                <w:rFonts w:hint="eastAsia" w:cs="宋体" w:asciiTheme="minorEastAsia" w:hAnsiTheme="minorEastAsia"/>
                <w:color w:val="000000" w:themeColor="text1"/>
                <w:sz w:val="20"/>
                <w:szCs w:val="20"/>
              </w:rPr>
              <w:t xml:space="preserve">万像</w:t>
            </w:r>
            <w:r>
              <w:rPr>
                <w:rFonts w:hint="eastAsia" w:cs="宋体" w:asciiTheme="minorEastAsia" w:hAnsiTheme="minorEastAsia"/>
                <w:color w:val="000000" w:themeColor="text1"/>
                <w:sz w:val="20"/>
                <w:szCs w:val="20"/>
              </w:rPr>
              <w:t xml:space="preserve">素，不少于VGA/HDMI/USB接口</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、显示屏尺寸：≥8英寸</w:t>
            </w:r>
            <w:r>
              <w:rPr>
                <w:rFonts w:hint="eastAsia" w:cs="宋体" w:asciiTheme="minorEastAsia" w:hAnsiTheme="minorEastAsia"/>
                <w:color w:val="000000" w:themeColor="text1"/>
                <w:sz w:val="20"/>
                <w:szCs w:val="20"/>
              </w:rPr>
              <w:br/>
            </w:r>
            <w:r>
              <w:rPr>
                <w:rFonts w:hint="eastAsia" w:cs="宋体" w:asciiTheme="minorEastAsia" w:hAnsiTheme="minorEastAsia"/>
                <w:color w:val="000000" w:themeColor="text1"/>
                <w:sz w:val="20"/>
                <w:szCs w:val="20"/>
              </w:rP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、测试样品：钢丝</w:t>
            </w:r>
            <w:r>
              <w:rPr>
                <w:rFonts w:hint="eastAsia" w:cs="宋体" w:asciiTheme="minorEastAsia" w:hAnsiTheme="minorEastAsia"/>
                <w:color w:val="000000" w:themeColor="text1"/>
                <w:sz w:val="20"/>
                <w:szCs w:val="20"/>
              </w:rPr>
              <w:t xml:space="preserve">等若干</w:t>
            </w:r>
            <w:r>
              <w:rPr>
                <w:rFonts w:hint="eastAsia" w:cs="宋体" w:asciiTheme="minorEastAsia" w:hAnsiTheme="minorEastAsia"/>
                <w:color w:val="000000" w:themeColor="text1"/>
                <w:sz w:val="20"/>
                <w:szCs w:val="20"/>
              </w:rPr>
              <w:br/>
              <w:t xml:space="preserve">8</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、配套千分尺、卷尺</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5</w:t>
            </w:r>
            <w:r/>
          </w:p>
        </w:tc>
        <w:tc>
          <w:tcPr>
            <w:tcW w:w="0" w:type="auto"/>
            <w:vAlign w:val="center"/>
            <w:textDirection w:val="lrTb"/>
            <w:noWrap w:val="false"/>
          </w:tcPr>
          <w:p>
            <w:pPr>
              <w:jc w:val="center"/>
              <w:widowControl/>
              <w:rPr>
                <w:rFonts w:hint="eastAsia" w:cs="宋体" w:asciiTheme="minorEastAsia" w:hAnsiTheme="minorEastAsia"/>
                <w:b/>
                <w:bCs/>
                <w:color w:val="000000" w:themeColor="text1"/>
                <w:sz w:val="20"/>
                <w:szCs w:val="20"/>
              </w:rPr>
            </w:pPr>
            <w:r>
              <w:rPr>
                <w:rFonts w:hint="eastAsia" w:cs="宋体" w:asciiTheme="minorEastAsia" w:hAnsiTheme="minorEastAsia"/>
                <w:b/>
                <w:bCs/>
                <w:color w:val="ee0000"/>
                <w:sz w:val="20"/>
                <w:szCs w:val="20"/>
              </w:rPr>
              <w:t xml:space="preserve">人耳听觉听阈实验仪（核心产品）</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、由声频范围标准正弦波发生器、频率计、功放电路、数字声强指示表(dB表)、全密封头戴耳机(监听级)等组成</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输入电源：220V±10%;50Hz±5%;功耗≥50W</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内置式信号源输出：</w:t>
            </w:r>
            <w:r>
              <w:rPr>
                <w:rFonts w:hint="eastAsia" w:cs="宋体" w:asciiTheme="minorEastAsia" w:hAnsiTheme="minorEastAsia"/>
                <w:color w:val="000000" w:themeColor="text1"/>
                <w:sz w:val="20"/>
                <w:szCs w:val="20"/>
              </w:rPr>
              <w:br/>
              <w:t xml:space="preserve">①20～20000Hz;标准正弦波(智能键控)，可连续调节；</w:t>
            </w:r>
            <w:r>
              <w:rPr>
                <w:rFonts w:hint="eastAsia" w:cs="宋体" w:asciiTheme="minorEastAsia" w:hAnsiTheme="minorEastAsia"/>
                <w:color w:val="000000" w:themeColor="text1"/>
                <w:sz w:val="20"/>
                <w:szCs w:val="20"/>
              </w:rPr>
              <w:br/>
              <w:t xml:space="preserve">②配置不低于19个固定</w:t>
            </w:r>
            <w:r>
              <w:rPr>
                <w:rFonts w:hint="eastAsia" w:cs="宋体" w:asciiTheme="minorEastAsia" w:hAnsiTheme="minorEastAsia"/>
                <w:color w:val="000000" w:themeColor="text1"/>
                <w:sz w:val="20"/>
                <w:szCs w:val="20"/>
              </w:rPr>
              <w:t xml:space="preserve">档</w:t>
            </w:r>
            <w:r>
              <w:rPr>
                <w:rFonts w:hint="eastAsia" w:cs="宋体" w:asciiTheme="minorEastAsia" w:hAnsiTheme="minorEastAsia"/>
                <w:color w:val="000000" w:themeColor="text1"/>
                <w:sz w:val="20"/>
                <w:szCs w:val="20"/>
              </w:rPr>
              <w:t xml:space="preserve">频率(Hz)，调节频率更方便：20、30、50、80、100、150、200、300、500、800、1000、1500、2000、3000、5000、8000、10000、15000、20000；</w:t>
            </w:r>
            <w:r>
              <w:rPr>
                <w:rFonts w:hint="eastAsia" w:cs="宋体" w:asciiTheme="minorEastAsia" w:hAnsiTheme="minorEastAsia"/>
                <w:color w:val="000000" w:themeColor="text1"/>
                <w:sz w:val="20"/>
                <w:szCs w:val="20"/>
              </w:rPr>
              <w:br/>
              <w:t xml:space="preserve">③正弦波非线性失真系数：≤0.5%</w:t>
            </w:r>
            <w:r>
              <w:rPr>
                <w:rFonts w:hint="eastAsia" w:cs="宋体" w:asciiTheme="minorEastAsia" w:hAnsiTheme="minorEastAsia"/>
                <w:color w:val="000000" w:themeColor="text1"/>
                <w:sz w:val="20"/>
                <w:szCs w:val="20"/>
              </w:rPr>
              <w:br/>
              <w:t xml:space="preserve">④声音分间断和连续两档</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、显示：不低于128*64点阵中文菜单液晶显示，同时显示多种数据，菜单式操作</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内置数字频率计：分辨率≤1Hz，校准频率：≤1KHz</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、音量粗调和细调以及校准电位器采用优质电位器</w:t>
            </w:r>
            <w:r>
              <w:rPr>
                <w:rFonts w:hint="eastAsia" w:cs="宋体" w:asciiTheme="minorEastAsia" w:hAnsiTheme="minorEastAsia"/>
                <w:color w:val="000000" w:themeColor="text1"/>
                <w:sz w:val="20"/>
                <w:szCs w:val="20"/>
              </w:rPr>
              <w:b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、数字声强指示表 (dB表)：相对指示（-35dB~30dB）</w:t>
            </w:r>
            <w:r>
              <w:rPr>
                <w:rFonts w:hint="eastAsia" w:cs="宋体" w:asciiTheme="minorEastAsia" w:hAnsiTheme="minorEastAsia"/>
                <w:color w:val="000000" w:themeColor="text1"/>
                <w:sz w:val="20"/>
                <w:szCs w:val="20"/>
              </w:rPr>
              <w:br/>
              <w:t xml:space="preserve">8</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、耳机：头戴式监听耳机，测量更精确,并配置专用木箱包装保护</w:t>
            </w:r>
            <w:r>
              <w:rPr>
                <w:rFonts w:hint="eastAsia" w:cs="宋体" w:asciiTheme="minorEastAsia" w:hAnsiTheme="minorEastAsia"/>
                <w:color w:val="000000" w:themeColor="text1"/>
                <w:sz w:val="20"/>
                <w:szCs w:val="20"/>
              </w:rPr>
              <w:br/>
              <w:t xml:space="preserve">★9</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、主机配有不低于6.5mm、3.5mm两种插座，方便多种规格耳机使用</w:t>
            </w:r>
            <w:r>
              <w:rPr>
                <w:rFonts w:hint="eastAsia" w:cs="宋体" w:asciiTheme="minorEastAsia" w:hAnsiTheme="minorEastAsia"/>
                <w:color w:val="000000" w:themeColor="text1"/>
                <w:sz w:val="20"/>
                <w:szCs w:val="20"/>
              </w:rPr>
              <w:br/>
              <w:t xml:space="preserve">10</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、配备医学物理拓展模块（整个项目配置一套）：</w:t>
            </w:r>
            <w:r>
              <w:rPr>
                <w:rFonts w:hint="eastAsia" w:cs="宋体" w:asciiTheme="minorEastAsia" w:hAnsiTheme="minorEastAsia"/>
                <w:color w:val="000000" w:themeColor="text1"/>
                <w:sz w:val="20"/>
                <w:szCs w:val="20"/>
              </w:rPr>
              <w:br/>
              <w:t xml:space="preserve">人体反应测试系统：</w:t>
            </w:r>
            <w:r>
              <w:rPr>
                <w:rFonts w:hint="eastAsia" w:cs="宋体" w:asciiTheme="minorEastAsia" w:hAnsiTheme="minorEastAsia"/>
                <w:color w:val="000000" w:themeColor="text1"/>
                <w:sz w:val="20"/>
                <w:szCs w:val="20"/>
              </w:rPr>
              <w:br/>
              <w:t xml:space="preserve">（1）系统组成：人体反应时间测量主机，模拟汽车刹车系统，模拟自行车刹车系统；</w:t>
            </w:r>
            <w:r>
              <w:rPr>
                <w:rFonts w:hint="eastAsia" w:cs="宋体" w:asciiTheme="minorEastAsia" w:hAnsiTheme="minorEastAsia"/>
                <w:color w:val="000000" w:themeColor="text1"/>
                <w:sz w:val="20"/>
                <w:szCs w:val="20"/>
              </w:rPr>
              <w:br/>
              <w:t xml:space="preserve">（2）汽车喇叭：音量连续可调；</w:t>
            </w:r>
            <w:r>
              <w:rPr>
                <w:rFonts w:hint="eastAsia" w:cs="宋体" w:asciiTheme="minorEastAsia" w:hAnsiTheme="minorEastAsia"/>
                <w:color w:val="000000" w:themeColor="text1"/>
                <w:sz w:val="20"/>
                <w:szCs w:val="20"/>
              </w:rPr>
              <w:br/>
              <w:t xml:space="preserve">（3）信号灯：两组LED阵列，分别为红绿二色；</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br/>
              <w:t xml:space="preserve">（4）计时精度：1ms；</w:t>
            </w:r>
            <w:r>
              <w:rPr>
                <w:rFonts w:hint="eastAsia" w:cs="宋体" w:asciiTheme="minorEastAsia" w:hAnsiTheme="minorEastAsia"/>
                <w:color w:val="000000" w:themeColor="text1"/>
                <w:sz w:val="20"/>
                <w:szCs w:val="20"/>
              </w:rPr>
              <w:br/>
              <w:t xml:space="preserve">（5）测量时间范围：以秒为单位，信号在设定的时间范围内随机出现；</w:t>
            </w:r>
            <w:r>
              <w:rPr>
                <w:rFonts w:hint="eastAsia" w:cs="宋体" w:asciiTheme="minorEastAsia" w:hAnsiTheme="minorEastAsia"/>
                <w:color w:val="000000" w:themeColor="text1"/>
                <w:sz w:val="20"/>
                <w:szCs w:val="20"/>
              </w:rPr>
              <w:br/>
              <w:t xml:space="preserve">（6）测量显示：液晶显示模块；</w:t>
            </w:r>
            <w:r>
              <w:rPr>
                <w:rFonts w:hint="eastAsia" w:cs="宋体" w:asciiTheme="minorEastAsia" w:hAnsiTheme="minorEastAsia"/>
                <w:color w:val="000000" w:themeColor="text1"/>
                <w:sz w:val="20"/>
                <w:szCs w:val="20"/>
              </w:rPr>
              <w:br/>
              <w:t xml:space="preserve">（7）实验内容：</w:t>
            </w:r>
            <w:r>
              <w:rPr>
                <w:rFonts w:hint="eastAsia" w:cs="宋体" w:asciiTheme="minorEastAsia" w:hAnsiTheme="minorEastAsia"/>
                <w:color w:val="000000" w:themeColor="text1"/>
                <w:sz w:val="20"/>
                <w:szCs w:val="20"/>
              </w:rPr>
              <w:br/>
              <w:t xml:space="preserve">1）通过测量人体反应时间了解和评定人体神经系统反射弧不同环节的功能水平；</w:t>
            </w:r>
            <w:r>
              <w:rPr>
                <w:rFonts w:hint="eastAsia" w:cs="宋体" w:asciiTheme="minorEastAsia" w:hAnsiTheme="minorEastAsia"/>
                <w:color w:val="000000" w:themeColor="text1"/>
                <w:sz w:val="20"/>
                <w:szCs w:val="20"/>
              </w:rPr>
              <w:br/>
              <w:t xml:space="preserve">2）研究模拟信号</w:t>
            </w:r>
            <w:r>
              <w:rPr>
                <w:rFonts w:hint="eastAsia" w:cs="宋体" w:asciiTheme="minorEastAsia" w:hAnsiTheme="minorEastAsia"/>
                <w:color w:val="000000" w:themeColor="text1"/>
                <w:sz w:val="20"/>
                <w:szCs w:val="20"/>
              </w:rPr>
              <w:t xml:space="preserve">灯转变</w:t>
            </w:r>
            <w:r>
              <w:rPr>
                <w:rFonts w:hint="eastAsia" w:cs="宋体" w:asciiTheme="minorEastAsia" w:hAnsiTheme="minorEastAsia"/>
                <w:color w:val="000000" w:themeColor="text1"/>
                <w:sz w:val="20"/>
                <w:szCs w:val="20"/>
              </w:rPr>
              <w:t xml:space="preserve">时骑车人或驾驶员的刹车反应时间；</w:t>
            </w:r>
            <w:r>
              <w:rPr>
                <w:rFonts w:hint="eastAsia" w:cs="宋体" w:asciiTheme="minorEastAsia" w:hAnsiTheme="minorEastAsia"/>
                <w:color w:val="000000" w:themeColor="text1"/>
                <w:sz w:val="20"/>
                <w:szCs w:val="20"/>
              </w:rPr>
              <w:br/>
              <w:t xml:space="preserve">3）研究听到汽车喇叭声时骑车人的刹车反应时间；</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br/>
              <w:t xml:space="preserve">4）掌握听觉听阈的测量方法；</w:t>
            </w:r>
            <w:r>
              <w:rPr>
                <w:rFonts w:hint="eastAsia" w:cs="宋体" w:asciiTheme="minorEastAsia" w:hAnsiTheme="minorEastAsia"/>
                <w:color w:val="000000" w:themeColor="text1"/>
                <w:sz w:val="20"/>
                <w:szCs w:val="20"/>
              </w:rPr>
              <w:br/>
              <w:t xml:space="preserve">5）测定人耳的听阈曲线</w:t>
            </w:r>
            <w:r>
              <w:rPr>
                <w:rFonts w:hint="eastAsia" w:cs="宋体" w:asciiTheme="minorEastAsia" w:hAnsiTheme="minorEastAsia"/>
                <w:color w:val="000000" w:themeColor="text1"/>
                <w:sz w:val="20"/>
                <w:szCs w:val="20"/>
              </w:rPr>
              <w:br/>
            </w:r>
            <w:r>
              <w:rPr>
                <w:rFonts w:hint="eastAsia" w:cs="宋体" w:asciiTheme="minorEastAsia" w:hAnsiTheme="minorEastAsia"/>
                <w:color w:val="000000" w:themeColor="text1"/>
                <w:sz w:val="20"/>
                <w:szCs w:val="20"/>
              </w:rPr>
              <w:t xml:space="preserve">11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、配备实验室智能管理系统，既可以进行仪器设备的登记、借用、维保、又可以进行项目的查询；具有</w:t>
            </w:r>
            <w:r>
              <w:rPr>
                <w:rFonts w:hint="eastAsia" w:cs="宋体" w:asciiTheme="minorEastAsia" w:hAnsiTheme="minorEastAsia"/>
                <w:color w:val="000000" w:themeColor="text1"/>
                <w:sz w:val="20"/>
                <w:szCs w:val="20"/>
              </w:rPr>
              <w:t xml:space="preserve">扫码云</w:t>
            </w:r>
            <w:r>
              <w:rPr>
                <w:rFonts w:hint="eastAsia" w:cs="宋体" w:asciiTheme="minorEastAsia" w:hAnsiTheme="minorEastAsia"/>
                <w:color w:val="000000" w:themeColor="text1"/>
                <w:sz w:val="20"/>
                <w:szCs w:val="20"/>
              </w:rPr>
              <w:t xml:space="preserve">签到功能的同时支持数据导出，具有可自定义可编辑的领用</w:t>
            </w:r>
            <w:r>
              <w:rPr>
                <w:rFonts w:hint="eastAsia" w:cs="宋体" w:asciiTheme="minorEastAsia" w:hAnsiTheme="minorEastAsia"/>
                <w:color w:val="000000" w:themeColor="text1"/>
                <w:sz w:val="20"/>
                <w:szCs w:val="20"/>
              </w:rPr>
              <w:t xml:space="preserve">统计扫码功能</w:t>
            </w:r>
            <w:r>
              <w:rPr>
                <w:rFonts w:hint="eastAsia" w:cs="宋体" w:asciiTheme="minorEastAsia" w:hAnsiTheme="minorEastAsia"/>
                <w:color w:val="000000" w:themeColor="text1"/>
                <w:sz w:val="20"/>
                <w:szCs w:val="20"/>
              </w:rPr>
              <w:t xml:space="preserve">，交钥匙工程，包含所有集成服务</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6</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惠斯通电桥（定值电阻、变温电阻）</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直流可调稳压电源：0～6V可调</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数字检流计：不少于2uA、20uA、200uA、2mA、20mA五档</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、电阻箱：0～99999.9</w:t>
            </w:r>
            <w:r>
              <w:rPr>
                <w:rFonts w:cs="Calibri" w:asciiTheme="minorEastAsia" w:hAnsiTheme="minorEastAsia"/>
                <w:color w:val="000000" w:themeColor="text1"/>
                <w:sz w:val="20"/>
                <w:szCs w:val="20"/>
              </w:rPr>
              <w:t xml:space="preserve">Ω</w:t>
            </w:r>
            <w:r>
              <w:rPr>
                <w:rFonts w:hint="eastAsia" w:cs="宋体" w:asciiTheme="minorEastAsia" w:hAnsiTheme="minorEastAsia"/>
                <w:color w:val="000000" w:themeColor="text1"/>
                <w:sz w:val="20"/>
                <w:szCs w:val="20"/>
              </w:rPr>
              <w:t xml:space="preserve">，准确度≤0.1%</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单刀单掷开关</w:t>
            </w:r>
            <w:r>
              <w:rPr>
                <w:rFonts w:hint="eastAsia" w:cs="宋体" w:asciiTheme="minorEastAsia" w:hAnsiTheme="minorEastAsia"/>
                <w:color w:val="000000" w:themeColor="text1"/>
                <w:sz w:val="20"/>
                <w:szCs w:val="20"/>
              </w:rPr>
              <w:t xml:space="preserve">：≥2个</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、待测电阻：≥5个</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7</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落球法</w:t>
            </w:r>
            <w:r>
              <w:rPr>
                <w:rFonts w:hint="eastAsia" w:cs="宋体" w:asciiTheme="minorEastAsia" w:hAnsiTheme="minorEastAsia"/>
                <w:color w:val="000000" w:themeColor="text1"/>
                <w:sz w:val="20"/>
                <w:szCs w:val="20"/>
              </w:rPr>
              <w:t xml:space="preserve">液体粘滞系数测量实验仪</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、激光光电开关在立柱上沿柱移动的距离标尺量程：≥40cm，分度值≤1mm</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激光光电计时器量程≥99.99s分辨率≤0.01s</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盛待测液体量筒规格≥1000mL，高度≥40cm</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直径≥2mm小钢珠在液体中下落测量速度的误差≤1%</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、液体粘滞系数测量误差≤3%</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、计时器工作电源AC 220±20V</w:t>
            </w:r>
            <w:r>
              <w:rPr>
                <w:rFonts w:hint="eastAsia" w:cs="宋体" w:asciiTheme="minorEastAsia" w:hAnsiTheme="minorEastAsia"/>
                <w:color w:val="000000" w:themeColor="text1"/>
                <w:sz w:val="20"/>
                <w:szCs w:val="20"/>
              </w:rPr>
              <w:b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、配备不少于三种不同规格的</w:t>
            </w:r>
            <w:r>
              <w:rPr>
                <w:rFonts w:hint="eastAsia" w:cs="宋体" w:asciiTheme="minorEastAsia" w:hAnsiTheme="minorEastAsia"/>
                <w:color w:val="000000" w:themeColor="text1"/>
                <w:sz w:val="20"/>
                <w:szCs w:val="20"/>
              </w:rPr>
              <w:t xml:space="preserve">导球管</w:t>
            </w:r>
            <w:r>
              <w:rPr>
                <w:rFonts w:hint="eastAsia" w:cs="宋体" w:asciiTheme="minorEastAsia" w:hAnsiTheme="minorEastAsia"/>
                <w:color w:val="000000" w:themeColor="text1"/>
                <w:sz w:val="20"/>
                <w:szCs w:val="20"/>
              </w:rPr>
              <w:t xml:space="preserve">，与不同直径钢珠对应使用</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8</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简谐振动与弹簧劲度系数实验仪</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、焦利秤标尺量程：0-600mm，读数精度为≤0.02mm</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计时计数毫秒仪读数精度为≤1ms，周期有存储功能，计时结束后可查阅每个振动周期值</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、集成霍耳开关传感器使用临界距离：≥9mm</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小磁钢直径≥10mm，厚度≥2mm</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、弹簧丝的线径≥0.5mm，弹簧的外径≥12mm</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砝码组：≥1g砝码，≥10片（用于静态拉伸法测量弹簧的劲度系数）</w:t>
            </w:r>
            <w:r>
              <w:rPr>
                <w:rFonts w:hint="eastAsia" w:cs="宋体" w:asciiTheme="minorEastAsia" w:hAnsiTheme="minorEastAsia"/>
                <w:color w:val="000000" w:themeColor="text1"/>
                <w:sz w:val="20"/>
                <w:szCs w:val="20"/>
              </w:rPr>
              <w:br/>
              <w:t xml:space="preserve">≥20g砝码1个；≥50g砝码1个（用于动态简谐振动法测量弹簧丝的劲度系数）</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9</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液体表面张力系数测量实验仪</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w:t>
            </w:r>
            <w:r>
              <w:rPr>
                <w:rFonts w:hint="eastAsia" w:cs="宋体" w:asciiTheme="minorEastAsia" w:hAnsiTheme="minorEastAsia"/>
                <w:color w:val="000000" w:themeColor="text1"/>
                <w:sz w:val="20"/>
                <w:szCs w:val="20"/>
              </w:rPr>
              <w:t xml:space="preserve">硅压阻力</w:t>
            </w:r>
            <w:r>
              <w:rPr>
                <w:rFonts w:hint="eastAsia" w:cs="宋体" w:asciiTheme="minorEastAsia" w:hAnsiTheme="minorEastAsia"/>
                <w:color w:val="000000" w:themeColor="text1"/>
                <w:sz w:val="20"/>
                <w:szCs w:val="20"/>
              </w:rPr>
              <w:t xml:space="preserve">敏传感器受力量程0～0.098N，灵敏度≤3.00V/N</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仪表显示数显电压表，量程-199.9～199.9mV，分辨率≤0.1mV，手动多圈电位器调零</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、吊环外径≥3.5cm，内径≥3.3cm，高≥8mm，材质为铝合金</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、砝码≥0.5g，≥7只</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、玻璃器皿直径≥9cm，高≥4.8cm</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、可升级微机型，在计算机中自动采集</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10</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奥氏粘度计</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仪器主要由玻璃烧杯、奥氏粘度计、秒表、加热吸气橡皮球</w:t>
            </w:r>
            <w:r>
              <w:rPr>
                <w:rFonts w:hint="eastAsia" w:cs="宋体" w:asciiTheme="minorEastAsia" w:hAnsiTheme="minorEastAsia"/>
                <w:color w:val="000000" w:themeColor="text1"/>
                <w:sz w:val="20"/>
                <w:szCs w:val="20"/>
              </w:rPr>
              <w:t xml:space="preserve">以及移液器</w:t>
            </w:r>
            <w:r>
              <w:rPr>
                <w:rFonts w:hint="eastAsia" w:cs="宋体" w:asciiTheme="minorEastAsia" w:hAnsiTheme="minorEastAsia"/>
                <w:color w:val="000000" w:themeColor="text1"/>
                <w:sz w:val="20"/>
                <w:szCs w:val="20"/>
              </w:rPr>
              <w:t xml:space="preserve">等组成</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秒表：计时分辨率≤0.01s</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、奥氏粘度计：毛细管内径≥0.55mm，毛细管长度≥102mm</w:t>
            </w:r>
            <w:r>
              <w:rPr>
                <w:rFonts w:hint="eastAsia" w:cs="宋体" w:asciiTheme="minorEastAsia" w:hAnsiTheme="minorEastAsia"/>
                <w:color w:val="000000" w:themeColor="text1"/>
                <w:sz w:val="20"/>
                <w:szCs w:val="20"/>
              </w:rPr>
              <w:br/>
            </w:r>
            <w:r>
              <w:rPr>
                <w:rFonts w:hint="eastAsia" w:cs="宋体" w:asciiTheme="minorEastAsia" w:hAnsiTheme="minorEastAsia"/>
                <w:color w:val="000000" w:themeColor="text1"/>
                <w:sz w:val="20"/>
                <w:szCs w:val="20"/>
              </w:rP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、玻璃烧杯容积：≥1.5升</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w:t>
            </w:r>
            <w:r>
              <w:rPr>
                <w:rFonts w:hint="eastAsia" w:cs="宋体" w:asciiTheme="minorEastAsia" w:hAnsiTheme="minorEastAsia"/>
                <w:color w:val="000000" w:themeColor="text1"/>
                <w:sz w:val="20"/>
                <w:szCs w:val="20"/>
              </w:rPr>
              <w:t xml:space="preserve">移液器</w:t>
            </w:r>
            <w:r>
              <w:rPr>
                <w:rFonts w:hint="eastAsia" w:cs="宋体" w:asciiTheme="minorEastAsia" w:hAnsiTheme="minorEastAsia"/>
                <w:color w:val="000000" w:themeColor="text1"/>
                <w:sz w:val="20"/>
                <w:szCs w:val="20"/>
              </w:rPr>
              <w:t xml:space="preserve">:量程≥1000ul</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25</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11</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虚拟实验管理系统</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采用B/S和C/S混合架构建设学生网络自主学习的实验平台，通过虚拟实验环境在线运行实验，有效降低服务器负载、实现大面积实验教学。统一教学应用界面，用户可通过网页入口完成全部学习过程。支持同时2000人以上在线学习。</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、教学组织:</w:t>
            </w:r>
            <w:r>
              <w:rPr>
                <w:rFonts w:hint="eastAsia" w:cs="宋体" w:asciiTheme="minorEastAsia" w:hAnsiTheme="minorEastAsia"/>
                <w:color w:val="000000" w:themeColor="text1"/>
                <w:sz w:val="20"/>
                <w:szCs w:val="20"/>
              </w:rPr>
              <w:br/>
              <w:t xml:space="preserve">▲①根据学生类别灵活设置选课规则，方便排课和自由选课。可根据需要设置视频授课、绪论课、实验考试等，支持多样化的教学组织形式。</w:t>
            </w:r>
            <w:r>
              <w:rPr>
                <w:rFonts w:hint="eastAsia" w:cs="宋体" w:asciiTheme="minorEastAsia" w:hAnsiTheme="minorEastAsia"/>
                <w:color w:val="000000" w:themeColor="text1"/>
                <w:sz w:val="20"/>
                <w:szCs w:val="20"/>
              </w:rPr>
              <w:br/>
              <w:t xml:space="preserve">②支持灵活的实验开放时间、节假日管理和调课的需求。方便地应对学生提前选修、休学、留级等各种复杂和特殊情况。面向实验中心的整体教学规划，实现一站式管理；基于MVC架构开发仪器，对同一个仪器可提供多个型号的仪器外观，实验灵活度高、针对性强。</w:t>
            </w:r>
            <w:r>
              <w:rPr>
                <w:rFonts w:hint="eastAsia" w:cs="宋体" w:asciiTheme="minorEastAsia" w:hAnsiTheme="minorEastAsia"/>
                <w:color w:val="000000" w:themeColor="text1"/>
                <w:sz w:val="20"/>
                <w:szCs w:val="20"/>
              </w:rPr>
              <w:br/>
              <w:t xml:space="preserve"> ③自主设计实验成绩构成，如预习成绩、操作成绩、报告成绩等。</w:t>
            </w:r>
            <w:r>
              <w:rPr>
                <w:rFonts w:hint="eastAsia" w:cs="宋体" w:asciiTheme="minorEastAsia" w:hAnsiTheme="minorEastAsia"/>
                <w:color w:val="000000" w:themeColor="text1"/>
                <w:sz w:val="20"/>
                <w:szCs w:val="20"/>
              </w:rPr>
              <w:br/>
              <w:t xml:space="preserve">自主设计课程总成绩评估规则，可根据实际教学情况，由绪论成绩、实验成绩、考试成绩等不同权重计算得出课程总成绩，课程总成绩支持不同分制之间的相互转换。可根据总体成绩分布情况编辑课程成绩调整计算公式。</w:t>
            </w:r>
            <w:r>
              <w:rPr>
                <w:rFonts w:hint="eastAsia" w:cs="宋体" w:asciiTheme="minorEastAsia" w:hAnsiTheme="minorEastAsia"/>
                <w:color w:val="000000" w:themeColor="text1"/>
                <w:sz w:val="20"/>
                <w:szCs w:val="20"/>
              </w:rPr>
              <w:br/>
              <w:t xml:space="preserve">④根据教学过程的不同阶段，智能评估学生选课、教学资源、教师工作量负荷等分布情况，为教学管理决策提供及时准确的宏观数据。多样化的查询与统计，丰富的图形报表，很直观，成为改进教学管理的重要依据。可以与大物物理仿真实验数据互通；记录和统计每个实验项目的分数，</w:t>
            </w:r>
            <w:r>
              <w:rPr>
                <w:rFonts w:hint="eastAsia" w:cs="宋体" w:asciiTheme="minorEastAsia" w:hAnsiTheme="minorEastAsia"/>
                <w:color w:val="000000" w:themeColor="text1"/>
                <w:sz w:val="20"/>
                <w:szCs w:val="20"/>
              </w:rPr>
              <w:t xml:space="preserve">管理端可配比</w:t>
            </w:r>
            <w:r>
              <w:rPr>
                <w:rFonts w:hint="eastAsia" w:cs="宋体" w:asciiTheme="minorEastAsia" w:hAnsiTheme="minorEastAsia"/>
                <w:color w:val="000000" w:themeColor="text1"/>
                <w:sz w:val="20"/>
                <w:szCs w:val="20"/>
              </w:rPr>
              <w:t xml:space="preserve">分数权重。</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统一教学应用界面，用户可通过网页入口完成全部学习过程。基于插件技术实现开放架构，支持用户自行扩充实验库。可快速兼容第三方虚拟仿真实验资源。提供标准接口，支持用户自主更新仿真实验，形成具有学校特色的教学资源</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、支持学生在线实时互动讨论：</w:t>
            </w:r>
            <w:r>
              <w:rPr>
                <w:rFonts w:hint="eastAsia" w:cs="宋体" w:asciiTheme="minorEastAsia" w:hAnsiTheme="minorEastAsia"/>
                <w:color w:val="000000" w:themeColor="text1"/>
                <w:sz w:val="20"/>
                <w:szCs w:val="20"/>
              </w:rPr>
              <w:br/>
              <w:t xml:space="preserve">学生在操作学习实验过程中，遇到问题可以通过“在线讨论”按钮，对当前操作该实验的用户发出疑问以便得到指导</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、支持学生在线评价实验功能</w:t>
            </w:r>
            <w:r>
              <w:rPr>
                <w:rFonts w:hint="eastAsia" w:cs="宋体" w:asciiTheme="minorEastAsia" w:hAnsiTheme="minorEastAsia"/>
                <w:color w:val="000000" w:themeColor="text1"/>
                <w:sz w:val="20"/>
                <w:szCs w:val="20"/>
              </w:rPr>
              <w:br/>
              <w:t xml:space="preserve">学生操作完实验后可对实验进行评价打分，提出自己对实验的建议</w:t>
            </w:r>
            <w:r>
              <w:rPr>
                <w:rFonts w:hint="eastAsia" w:cs="宋体" w:asciiTheme="minorEastAsia" w:hAnsiTheme="minorEastAsia"/>
                <w:color w:val="000000" w:themeColor="text1"/>
                <w:sz w:val="20"/>
                <w:szCs w:val="20"/>
              </w:rPr>
              <w:br/>
              <w:t xml:space="preserve">实验评价、在线讨论支持管理员审核机制，确保发表内容的安全性</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符合教育部要求，按照学期、课程组织实验项目，支持多学期实验教学数据。持多实验中心，可进行多实验中心数据隔离，避免不同实验中心数据混在。支持仿真实验权限管理，可控制只有授权用户可开展虚拟实验操作；系统支持在线用户实验队列管理。可根据需要配置队列最大并发数，超过队列最大数后，系统自动提示用户。</w:t>
            </w:r>
            <w:r>
              <w:rPr>
                <w:rFonts w:hint="eastAsia" w:cs="宋体" w:asciiTheme="minorEastAsia" w:hAnsiTheme="minorEastAsia"/>
                <w:color w:val="000000" w:themeColor="text1"/>
                <w:sz w:val="20"/>
                <w:szCs w:val="20"/>
              </w:rPr>
              <w:br/>
            </w:r>
            <w:r>
              <w:rPr>
                <w:rFonts w:hint="eastAsia" w:cs="宋体" w:asciiTheme="minorEastAsia" w:hAnsiTheme="minorEastAsia"/>
                <w:color w:val="000000" w:themeColor="text1"/>
                <w:sz w:val="20"/>
                <w:szCs w:val="20"/>
              </w:rP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实验操作提供智慧视角功能。(1)突出了实验操作，实现智能化最佳视距视角自动调整，使仿真实验更加易用。(2)提供可调视角的观察窗，学生可通过调整观察角度在观察窗内观察实验各部位的现象。</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12</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LB-TVC液体表面张力/粘滞系数测量仪</w:t>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可完成流体法测量液体粘滞系数和拉脱法测量液体表面张力两个实验</w:t>
            </w:r>
            <w:r>
              <w:rPr>
                <w:rFonts w:hint="eastAsia" w:cs="宋体" w:asciiTheme="minorEastAsia" w:hAnsiTheme="minorEastAsia"/>
                <w:color w:val="000000" w:themeColor="text1"/>
                <w:sz w:val="20"/>
                <w:szCs w:val="20"/>
              </w:rPr>
              <w:br/>
              <w:t xml:space="preserve">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测量介质可以是水，获取容易，费用低，维护简单</w:t>
            </w:r>
            <w:r>
              <w:rPr>
                <w:rFonts w:hint="eastAsia" w:cs="宋体" w:asciiTheme="minorEastAsia" w:hAnsiTheme="minorEastAsia"/>
                <w:color w:val="000000" w:themeColor="text1"/>
                <w:sz w:val="20"/>
                <w:szCs w:val="20"/>
              </w:rPr>
              <w:br/>
              <w:t xml:space="preserve">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、蓄水</w:t>
            </w:r>
            <w:r>
              <w:rPr>
                <w:rFonts w:hint="eastAsia" w:cs="宋体" w:asciiTheme="minorEastAsia" w:hAnsiTheme="minorEastAsia"/>
                <w:color w:val="000000" w:themeColor="text1"/>
                <w:sz w:val="20"/>
                <w:szCs w:val="20"/>
              </w:rPr>
              <w:t xml:space="preserve">筒采用</w:t>
            </w:r>
            <w:r>
              <w:rPr>
                <w:rFonts w:hint="eastAsia" w:cs="宋体" w:asciiTheme="minorEastAsia" w:hAnsiTheme="minorEastAsia"/>
                <w:color w:val="000000" w:themeColor="text1"/>
                <w:sz w:val="20"/>
                <w:szCs w:val="20"/>
              </w:rPr>
              <w:t xml:space="preserve">透明亚克力材料，直径不大于80mm，高度不低于500mm，内径不小于74mm，配有标尺和筒盖</w:t>
            </w:r>
            <w:r>
              <w:rPr>
                <w:rFonts w:hint="eastAsia" w:cs="宋体" w:asciiTheme="minorEastAsia" w:hAnsiTheme="minorEastAsia"/>
                <w:color w:val="000000" w:themeColor="text1"/>
                <w:sz w:val="20"/>
                <w:szCs w:val="20"/>
              </w:rPr>
              <w:br/>
              <w:t xml:space="preserve">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底座：≥180mm×180mm，配有不少于4个调平脚和调平水泡</w:t>
            </w:r>
            <w:r>
              <w:rPr>
                <w:rFonts w:hint="eastAsia" w:cs="宋体" w:asciiTheme="minorEastAsia" w:hAnsiTheme="minorEastAsia"/>
                <w:color w:val="000000" w:themeColor="text1"/>
                <w:sz w:val="20"/>
                <w:szCs w:val="20"/>
              </w:rPr>
              <w:br/>
              <w:t xml:space="preserve">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、采用主机与电气盒分离的结构，结构简洁易操作</w:t>
            </w:r>
            <w:r>
              <w:rPr>
                <w:rFonts w:hint="eastAsia" w:cs="宋体" w:asciiTheme="minorEastAsia" w:hAnsiTheme="minorEastAsia"/>
                <w:color w:val="000000" w:themeColor="text1"/>
                <w:sz w:val="20"/>
                <w:szCs w:val="20"/>
              </w:rPr>
              <w:br/>
              <w:t xml:space="preserve">★6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、采用均匀放水方式来平滑降低液面高度从而使铝环脱离液面，消除了主动上拉吊环方式下抖动导致拉力的测量偏差</w:t>
            </w:r>
            <w:r>
              <w:rPr>
                <w:rFonts w:hint="eastAsia" w:cs="宋体" w:asciiTheme="minorEastAsia" w:hAnsiTheme="minorEastAsia"/>
                <w:color w:val="000000" w:themeColor="text1"/>
                <w:sz w:val="20"/>
                <w:szCs w:val="20"/>
              </w:rPr>
              <w:br/>
              <w:t xml:space="preserve">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、随吊环另配一个可移动的独立调平水泡，可更精准的调节吊环的水平度，使液面与吊环保持垂直升降</w:t>
            </w:r>
            <w:r>
              <w:rPr>
                <w:rFonts w:hint="eastAsia" w:cs="宋体" w:asciiTheme="minorEastAsia" w:hAnsiTheme="minorEastAsia"/>
                <w:color w:val="000000" w:themeColor="text1"/>
                <w:sz w:val="20"/>
                <w:szCs w:val="20"/>
              </w:rPr>
              <w:br/>
              <w:t xml:space="preserve">★8</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、采用新型微拉力传感器，灵敏度数值不高于3.0V/N，受力量程0-0.098N，非线性误差≤0.1%，供电电压：≥5V，4芯航空插头与机箱相连</w:t>
            </w:r>
            <w:r>
              <w:rPr>
                <w:rFonts w:hint="eastAsia" w:cs="宋体" w:asciiTheme="minorEastAsia" w:hAnsiTheme="minorEastAsia"/>
                <w:color w:val="000000" w:themeColor="text1"/>
                <w:sz w:val="20"/>
                <w:szCs w:val="20"/>
              </w:rPr>
              <w:br/>
              <w:t xml:space="preserve">★9</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、拉力显示：三位半数字电压表，显示精度不低于0.1mV，多圈电位器调零，带有峰值保持功能，可以保持铝环拉脱液面时的最大拉力显示</w:t>
            </w:r>
            <w:r>
              <w:rPr>
                <w:rFonts w:hint="eastAsia" w:cs="宋体" w:asciiTheme="minorEastAsia" w:hAnsiTheme="minorEastAsia"/>
                <w:color w:val="000000" w:themeColor="text1"/>
                <w:sz w:val="20"/>
                <w:szCs w:val="20"/>
              </w:rPr>
              <w:br/>
              <w:t xml:space="preserve">10</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、加入了拉力计标定实验，丰富了实验内容</w:t>
            </w:r>
            <w:r>
              <w:rPr>
                <w:rFonts w:hint="eastAsia" w:cs="宋体" w:asciiTheme="minorEastAsia" w:hAnsiTheme="minorEastAsia"/>
                <w:color w:val="000000" w:themeColor="text1"/>
                <w:sz w:val="20"/>
                <w:szCs w:val="20"/>
              </w:rPr>
              <w:br/>
              <w:t xml:space="preserve">11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、吊环：铝合金材料，外径不大于35mm，内径不大于33mm，高度不大于8mm</w:t>
            </w:r>
            <w:r>
              <w:rPr>
                <w:rFonts w:hint="eastAsia" w:cs="宋体" w:asciiTheme="minorEastAsia" w:hAnsiTheme="minorEastAsia"/>
                <w:color w:val="000000" w:themeColor="text1"/>
                <w:sz w:val="20"/>
                <w:szCs w:val="20"/>
              </w:rPr>
              <w:br/>
              <w:t xml:space="preserve">▲12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、吊环采用不少于3个旋转螺钉式调平结构，调</w:t>
            </w:r>
            <w:r>
              <w:rPr>
                <w:rFonts w:hint="eastAsia" w:cs="宋体" w:asciiTheme="minorEastAsia" w:hAnsiTheme="minorEastAsia"/>
                <w:color w:val="000000" w:themeColor="text1"/>
                <w:sz w:val="20"/>
                <w:szCs w:val="20"/>
              </w:rPr>
              <w:t xml:space="preserve">平简单</w:t>
            </w:r>
            <w:r>
              <w:rPr>
                <w:rFonts w:hint="eastAsia" w:cs="宋体" w:asciiTheme="minorEastAsia" w:hAnsiTheme="minorEastAsia"/>
                <w:color w:val="000000" w:themeColor="text1"/>
                <w:sz w:val="20"/>
                <w:szCs w:val="20"/>
              </w:rPr>
              <w:t xml:space="preserve">易操作。</w:t>
            </w:r>
            <w:r>
              <w:rPr>
                <w:rFonts w:hint="eastAsia" w:cs="宋体" w:asciiTheme="minorEastAsia" w:hAnsiTheme="minorEastAsia"/>
                <w:color w:val="000000" w:themeColor="text1"/>
                <w:sz w:val="20"/>
                <w:szCs w:val="20"/>
              </w:rPr>
              <w:br/>
              <w:t xml:space="preserve">13</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、定标砝码：不低于0.5g砝码≥6只</w:t>
            </w:r>
            <w:r>
              <w:rPr>
                <w:rFonts w:hint="eastAsia" w:cs="宋体" w:asciiTheme="minorEastAsia" w:hAnsiTheme="minorEastAsia"/>
                <w:color w:val="000000" w:themeColor="text1"/>
                <w:sz w:val="20"/>
                <w:szCs w:val="20"/>
              </w:rPr>
              <w:br/>
              <w:t xml:space="preserve">14</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、毛细管长度：≥150mm</w:t>
            </w:r>
            <w:r>
              <w:rPr>
                <w:rFonts w:hint="eastAsia" w:cs="宋体" w:asciiTheme="minorEastAsia" w:hAnsiTheme="minorEastAsia"/>
                <w:color w:val="000000" w:themeColor="text1"/>
                <w:sz w:val="20"/>
                <w:szCs w:val="20"/>
              </w:rPr>
              <w:br/>
              <w:t xml:space="preserve">▲15、</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毛细管出水开关采用独创的</w:t>
            </w:r>
            <w:r>
              <w:rPr>
                <w:rFonts w:hint="eastAsia" w:cs="宋体" w:asciiTheme="minorEastAsia" w:hAnsiTheme="minorEastAsia"/>
                <w:color w:val="000000" w:themeColor="text1"/>
                <w:sz w:val="20"/>
                <w:szCs w:val="20"/>
              </w:rPr>
              <w:t xml:space="preserve">磁力式堵头</w:t>
            </w:r>
            <w:r>
              <w:rPr>
                <w:rFonts w:hint="eastAsia" w:cs="宋体" w:asciiTheme="minorEastAsia" w:hAnsiTheme="minorEastAsia"/>
                <w:color w:val="000000" w:themeColor="text1"/>
                <w:sz w:val="20"/>
                <w:szCs w:val="20"/>
              </w:rPr>
              <w:t xml:space="preserve">结构，打开关闭方便操作且可靠</w:t>
            </w:r>
            <w:r>
              <w:rPr>
                <w:rFonts w:hint="eastAsia" w:cs="宋体" w:asciiTheme="minorEastAsia" w:hAnsiTheme="minorEastAsia"/>
                <w:color w:val="000000" w:themeColor="text1"/>
                <w:sz w:val="20"/>
                <w:szCs w:val="20"/>
              </w:rPr>
              <w:br/>
              <w:t xml:space="preserve">16、</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仪器自带数显计时秒表，计时显示精度为0.1S</w:t>
            </w:r>
            <w:r>
              <w:rPr>
                <w:rFonts w:hint="eastAsia" w:cs="宋体" w:asciiTheme="minorEastAsia" w:hAnsiTheme="minorEastAsia"/>
                <w:color w:val="000000" w:themeColor="text1"/>
                <w:sz w:val="20"/>
                <w:szCs w:val="20"/>
              </w:rPr>
              <w:br/>
              <w:t xml:space="preserve">17</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、计时器：计时范围0.1S-999.9S</w:t>
            </w:r>
            <w:r>
              <w:rPr>
                <w:rFonts w:hint="eastAsia" w:cs="宋体" w:asciiTheme="minorEastAsia" w:hAnsiTheme="minorEastAsia"/>
                <w:color w:val="000000" w:themeColor="text1"/>
                <w:sz w:val="20"/>
                <w:szCs w:val="20"/>
              </w:rPr>
              <w:br/>
              <w:t xml:space="preserve">18</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、数显计时秒表可作为单独的高精度计时器使用</w:t>
            </w:r>
            <w:r>
              <w:rPr>
                <w:rFonts w:hint="eastAsia" w:cs="宋体" w:asciiTheme="minorEastAsia" w:hAnsiTheme="minorEastAsia"/>
                <w:color w:val="000000" w:themeColor="text1"/>
                <w:sz w:val="20"/>
                <w:szCs w:val="20"/>
              </w:rPr>
              <w:br/>
              <w:t xml:space="preserve">19、</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带有不少于15组计时数据的记录存储功能</w:t>
            </w:r>
            <w:r>
              <w:rPr>
                <w:rFonts w:hint="eastAsia" w:cs="宋体" w:asciiTheme="minorEastAsia" w:hAnsiTheme="minorEastAsia"/>
                <w:color w:val="000000" w:themeColor="text1"/>
                <w:sz w:val="20"/>
                <w:szCs w:val="20"/>
              </w:rPr>
              <w:br/>
              <w:t xml:space="preserve">★20</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、配有计时记录遥控器，方便学生进行实验数据记录</w:t>
            </w:r>
            <w:r>
              <w:rPr>
                <w:rFonts w:hint="eastAsia" w:cs="宋体" w:asciiTheme="minorEastAsia" w:hAnsiTheme="minorEastAsia"/>
                <w:color w:val="000000" w:themeColor="text1"/>
                <w:sz w:val="20"/>
                <w:szCs w:val="20"/>
              </w:rPr>
              <w:br/>
              <w:t xml:space="preserve">21、</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计时操作方式：遥控器计时或面板按键操作计时</w:t>
            </w:r>
            <w:r>
              <w:rPr>
                <w:rFonts w:hint="eastAsia" w:cs="宋体" w:asciiTheme="minorEastAsia" w:hAnsiTheme="minorEastAsia"/>
                <w:color w:val="000000" w:themeColor="text1"/>
                <w:sz w:val="20"/>
                <w:szCs w:val="20"/>
              </w:rPr>
              <w:br/>
              <w:t xml:space="preserve">▲22</w:t>
            </w:r>
            <w:r>
              <w:rPr>
                <w:rFonts w:cs="Arial" w:asciiTheme="minorEastAsia" w:hAnsiTheme="minorEastAsia"/>
                <w:color w:val="000000" w:themeColor="text1"/>
                <w:sz w:val="20"/>
                <w:szCs w:val="20"/>
              </w:rPr>
              <w:t xml:space="preserve"> </w:t>
            </w:r>
            <w:r>
              <w:rPr>
                <w:rFonts w:hint="eastAsia" w:cs="宋体" w:asciiTheme="minorEastAsia" w:hAnsiTheme="minorEastAsia"/>
                <w:color w:val="000000" w:themeColor="text1"/>
                <w:sz w:val="20"/>
                <w:szCs w:val="20"/>
              </w:rPr>
              <w:t xml:space="preserve">、每台设备配置二维码，可供用户查阅说明书、操作视频、本机信息以及故障报修。</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20</w:t>
            </w:r>
            <w:r/>
          </w:p>
        </w:tc>
      </w:tr>
      <w:tr>
        <w:trPr/>
        <w:tc>
          <w:tcPr>
            <w:tcW w:w="845" w:type="dxa"/>
            <w:vAlign w:val="center"/>
            <w:textDirection w:val="lrTb"/>
            <w:noWrap/>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13</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bookmarkStart w:id="291" w:name="_Hlk232445754"/>
            <w:r>
              <w:rPr>
                <w:rFonts w:hint="eastAsia" w:cs="宋体" w:asciiTheme="minorEastAsia" w:hAnsiTheme="minorEastAsia"/>
                <w:color w:val="000000" w:themeColor="text1"/>
                <w:sz w:val="20"/>
                <w:szCs w:val="20"/>
              </w:rPr>
              <w:t xml:space="preserve">变温粘滞系数实验仪</w:t>
            </w:r>
            <w:bookmarkEnd w:id="291"/>
            <w:r/>
            <w:r/>
          </w:p>
        </w:tc>
        <w:tc>
          <w:tcPr>
            <w:tcW w:w="0" w:type="auto"/>
            <w:vAlign w:val="center"/>
            <w:textDirection w:val="lrTb"/>
            <w:noWrap w:val="false"/>
          </w:tcPr>
          <w:p>
            <w:pPr>
              <w:jc w:val="left"/>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1、仪器组成：主机（附传感器）、控温装置、单板机计时器等</w:t>
            </w:r>
            <w:r>
              <w:rPr>
                <w:rFonts w:hint="eastAsia" w:cs="宋体" w:asciiTheme="minorEastAsia" w:hAnsiTheme="minorEastAsia"/>
                <w:color w:val="000000" w:themeColor="text1"/>
                <w:sz w:val="20"/>
                <w:szCs w:val="20"/>
              </w:rPr>
              <w:br/>
              <w:t xml:space="preserve">2、工作电压：AC220V±5%  50Hz</w:t>
            </w:r>
            <w:r>
              <w:rPr>
                <w:rFonts w:hint="eastAsia" w:cs="宋体" w:asciiTheme="minorEastAsia" w:hAnsiTheme="minorEastAsia"/>
                <w:color w:val="000000" w:themeColor="text1"/>
                <w:sz w:val="20"/>
                <w:szCs w:val="20"/>
              </w:rPr>
              <w:br/>
              <w:t xml:space="preserve">3、测量精度：≤8%</w:t>
            </w:r>
            <w:r>
              <w:rPr>
                <w:rFonts w:hint="eastAsia" w:cs="宋体" w:asciiTheme="minorEastAsia" w:hAnsiTheme="minorEastAsia"/>
                <w:color w:val="000000" w:themeColor="text1"/>
                <w:sz w:val="20"/>
                <w:szCs w:val="20"/>
              </w:rPr>
              <w:br/>
              <w:t xml:space="preserve">4、主机尺寸（附传感器）：≥450mm×400mm×210mm</w:t>
            </w:r>
            <w:r>
              <w:rPr>
                <w:rFonts w:hint="eastAsia" w:cs="宋体" w:asciiTheme="minorEastAsia" w:hAnsiTheme="minorEastAsia"/>
                <w:color w:val="000000" w:themeColor="text1"/>
                <w:sz w:val="20"/>
                <w:szCs w:val="20"/>
              </w:rPr>
              <w:br/>
            </w:r>
            <w:r>
              <w:rPr>
                <w:rFonts w:hint="eastAsia" w:cs="宋体" w:asciiTheme="minorEastAsia" w:hAnsiTheme="minorEastAsia"/>
                <w:color w:val="000000" w:themeColor="text1"/>
                <w:sz w:val="20"/>
                <w:szCs w:val="20"/>
              </w:rPr>
              <w:t xml:space="preserve">5、控温装置：可调温度室温至90℃ </w:t>
            </w:r>
            <w:r>
              <w:rPr>
                <w:rFonts w:hint="eastAsia" w:cs="宋体" w:asciiTheme="minorEastAsia" w:hAnsiTheme="minorEastAsia"/>
                <w:color w:val="000000" w:themeColor="text1"/>
                <w:sz w:val="20"/>
                <w:szCs w:val="20"/>
              </w:rPr>
              <w:br/>
              <w:t xml:space="preserve">★6、单片机计时器：可数显计时数据，可人工计算，也可自动计算得出结果； </w:t>
            </w:r>
            <w:r>
              <w:rPr>
                <w:rFonts w:hint="eastAsia" w:cs="宋体" w:asciiTheme="minorEastAsia" w:hAnsiTheme="minorEastAsia"/>
                <w:color w:val="000000" w:themeColor="text1"/>
                <w:sz w:val="20"/>
                <w:szCs w:val="20"/>
              </w:rPr>
              <w:br/>
              <w:t xml:space="preserve">7、实验外管尺寸：≥Φ60×610mm； </w:t>
            </w:r>
            <w:r>
              <w:rPr>
                <w:rFonts w:hint="eastAsia" w:cs="宋体" w:asciiTheme="minorEastAsia" w:hAnsiTheme="minorEastAsia"/>
                <w:color w:val="000000" w:themeColor="text1"/>
                <w:sz w:val="20"/>
                <w:szCs w:val="20"/>
              </w:rPr>
              <w:br/>
              <w:t xml:space="preserve">8、实验内管尺寸：≥Φ40×600mm</w:t>
            </w:r>
            <w:r>
              <w:rPr>
                <w:rFonts w:hint="eastAsia" w:cs="宋体" w:asciiTheme="minorEastAsia" w:hAnsiTheme="minorEastAsia"/>
                <w:color w:val="000000" w:themeColor="text1"/>
                <w:sz w:val="20"/>
                <w:szCs w:val="20"/>
              </w:rPr>
              <w:br/>
              <w:t xml:space="preserve">9、蓖麻油密度：≥ρ=950kg/m3（20℃时）</w:t>
            </w:r>
            <w:r>
              <w:rPr>
                <w:rFonts w:hint="eastAsia" w:cs="宋体" w:asciiTheme="minorEastAsia" w:hAnsiTheme="minorEastAsia"/>
                <w:color w:val="000000" w:themeColor="text1"/>
                <w:sz w:val="20"/>
                <w:szCs w:val="20"/>
              </w:rPr>
              <w:br/>
              <w:t xml:space="preserve">10、用PT100测量液体温度，读数精度不低于0.1度</w:t>
            </w:r>
            <w:r>
              <w:rPr>
                <w:rFonts w:hint="eastAsia" w:cs="宋体" w:asciiTheme="minorEastAsia" w:hAnsiTheme="minorEastAsia"/>
                <w:color w:val="000000" w:themeColor="text1"/>
                <w:sz w:val="20"/>
                <w:szCs w:val="20"/>
              </w:rPr>
              <w:br/>
              <w:t xml:space="preserve">11、控温系统加热功率：400w，仪器具有缺水保护功能同时也能了解PID控温及工作原理</w:t>
            </w:r>
            <w:r>
              <w:rPr>
                <w:rFonts w:hint="eastAsia" w:cs="宋体" w:asciiTheme="minorEastAsia" w:hAnsiTheme="minorEastAsia"/>
                <w:color w:val="000000" w:themeColor="text1"/>
                <w:sz w:val="20"/>
                <w:szCs w:val="20"/>
              </w:rPr>
              <w:br/>
              <w:t xml:space="preserve">▲12、柜体采用ABS工程材料一体化制作，具备韧性强，抗冲击，耐腐蚀，安全可靠，防静电，防霉防潮，绝缘性能良好，通过传感器自动测量水位的高低，以防无水对加热器和水泵造成损坏。</w:t>
            </w:r>
            <w:r>
              <w:rPr>
                <w:rFonts w:hint="eastAsia" w:cs="宋体" w:asciiTheme="minorEastAsia" w:hAnsiTheme="minorEastAsia"/>
                <w:color w:val="000000" w:themeColor="text1"/>
                <w:sz w:val="20"/>
                <w:szCs w:val="20"/>
              </w:rPr>
              <w:br/>
            </w:r>
            <w:bookmarkStart w:id="292" w:name="_Hlk232445744"/>
            <w:r>
              <w:rPr>
                <w:rFonts w:hint="eastAsia" w:cs="宋体" w:asciiTheme="minorEastAsia" w:hAnsiTheme="minorEastAsia"/>
                <w:color w:val="000000" w:themeColor="text1"/>
                <w:sz w:val="20"/>
                <w:szCs w:val="20"/>
              </w:rPr>
              <w:t xml:space="preserve">13、仪器配有USB接口，可连接XY记录仪，可以对数据的保存分析</w:t>
            </w:r>
            <w:bookmarkEnd w:id="292"/>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套</w:t>
            </w:r>
            <w:r/>
          </w:p>
        </w:tc>
        <w:tc>
          <w:tcPr>
            <w:tcW w:w="0" w:type="auto"/>
            <w:vAlign w:val="center"/>
            <w:textDirection w:val="lrTb"/>
            <w:noWrap w:val="false"/>
          </w:tcPr>
          <w:p>
            <w:pPr>
              <w:jc w:val="center"/>
              <w:widowControl/>
              <w:rPr>
                <w:rFonts w:hint="eastAsia" w:cs="宋体" w:asciiTheme="minorEastAsia" w:hAnsiTheme="minorEastAsia"/>
                <w:color w:val="000000" w:themeColor="text1"/>
                <w:sz w:val="20"/>
                <w:szCs w:val="20"/>
              </w:rPr>
            </w:pPr>
            <w:r>
              <w:rPr>
                <w:rFonts w:hint="eastAsia" w:cs="宋体" w:asciiTheme="minorEastAsia" w:hAnsiTheme="minorEastAsia"/>
                <w:color w:val="000000" w:themeColor="text1"/>
                <w:sz w:val="20"/>
                <w:szCs w:val="20"/>
              </w:rPr>
              <w:t xml:space="preserve">20</w:t>
            </w:r>
            <w:r/>
          </w:p>
        </w:tc>
      </w:tr>
    </w:tbl>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三、质量要求</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1、供应商应保证所供货物的安全性、可靠性、先进性、经济性和实用性，并为全新、未使用过的原装合格正品，完全符合采购文件规定的质量、规格和性能的要求，</w:t>
      </w:r>
      <w:r>
        <w:rPr>
          <w:rFonts w:ascii="宋体" w:hAnsi="宋体"/>
          <w:color w:val="000000" w:themeColor="text1"/>
          <w:sz w:val="24"/>
        </w:rPr>
        <w:t xml:space="preserve">所有</w:t>
      </w:r>
      <w:r>
        <w:rPr>
          <w:rFonts w:hint="eastAsia" w:ascii="宋体" w:hAnsi="宋体"/>
          <w:color w:val="000000" w:themeColor="text1"/>
          <w:sz w:val="24"/>
        </w:rPr>
        <w:t xml:space="preserve">货物</w:t>
      </w:r>
      <w:r>
        <w:rPr>
          <w:rFonts w:ascii="宋体" w:hAnsi="宋体"/>
          <w:color w:val="000000" w:themeColor="text1"/>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000000" w:themeColor="text1"/>
          <w:sz w:val="24"/>
        </w:rPr>
        <w:t xml:space="preserve">保证能通过采购人的质量验收、竣工验收等各类验收。</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4、产品的外观、包装、运输应按国家规定、部颁标准或行业主管部门规定执行，如因中标人包装不当以及其它原因造成损坏或丢失，应由中标人负一切责任。</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、中标人应保证其货物在正确安装、正常使用下，在其使用寿命期内应具有满意的性能。</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7</w:t>
      </w:r>
      <w:r>
        <w:rPr>
          <w:rFonts w:hint="eastAsia" w:ascii="宋体" w:hAnsi="宋体" w:cs="宋体"/>
          <w:color w:val="000000" w:themeColor="text1"/>
          <w:sz w:val="24"/>
        </w:rPr>
        <w:t xml:space="preserve">、中标人应采取必要的安全措施保证货物的运输及安装的安全，并承担货物的运输及安装过程中产生的风险。</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8</w:t>
      </w:r>
      <w:r>
        <w:rPr>
          <w:rFonts w:hint="eastAsia" w:ascii="宋体" w:hAnsi="宋体" w:cs="宋体"/>
          <w:color w:val="000000" w:themeColor="text1"/>
          <w:sz w:val="24"/>
        </w:rPr>
        <w:t xml:space="preserve">、除特别约定外，合同条款内项目（标的物）的质量保证期均自项目（标的物）通过最终验收之日起计算，质量保证期按承诺</w:t>
      </w:r>
      <w:r/>
    </w:p>
    <w:p>
      <w:pPr>
        <w:ind w:firstLine="480"/>
        <w:jc w:val="left"/>
        <w:spacing w:line="360" w:lineRule="auto"/>
        <w:rPr>
          <w:rFonts w:hint="eastAsia" w:ascii="宋体" w:hAnsi="宋体"/>
          <w:color w:val="000000" w:themeColor="text1"/>
          <w:sz w:val="24"/>
        </w:rPr>
      </w:pPr>
      <w:r>
        <w:rPr>
          <w:rFonts w:ascii="宋体" w:hAnsi="宋体" w:cs="宋体"/>
          <w:color w:val="000000" w:themeColor="text1"/>
          <w:sz w:val="24"/>
        </w:rPr>
        <w:t xml:space="preserve">9</w:t>
      </w:r>
      <w:r>
        <w:rPr>
          <w:rFonts w:hint="eastAsia" w:ascii="宋体" w:hAnsi="宋体" w:cs="宋体"/>
          <w:color w:val="000000" w:themeColor="text1"/>
          <w:sz w:val="24"/>
        </w:rPr>
        <w:t xml:space="preserve">、</w:t>
      </w:r>
      <w:r>
        <w:rPr>
          <w:rFonts w:ascii="宋体" w:hAnsi="宋体"/>
          <w:color w:val="000000" w:themeColor="text1"/>
          <w:sz w:val="24"/>
        </w:rPr>
        <w:t xml:space="preserve">在未验收前，请</w:t>
      </w:r>
      <w:r>
        <w:rPr>
          <w:rFonts w:hint="eastAsia" w:ascii="宋体" w:hAnsi="宋体"/>
          <w:color w:val="000000" w:themeColor="text1"/>
          <w:sz w:val="24"/>
        </w:rPr>
        <w:t xml:space="preserve">中标人</w:t>
      </w:r>
      <w:r>
        <w:rPr>
          <w:rFonts w:ascii="宋体" w:hAnsi="宋体"/>
          <w:color w:val="000000" w:themeColor="text1"/>
          <w:sz w:val="24"/>
        </w:rPr>
        <w:t xml:space="preserve">自行负责保管好施工材料、工具等。采购人不为施工期</w:t>
      </w:r>
      <w:r>
        <w:rPr>
          <w:rFonts w:ascii="宋体" w:hAnsi="宋体"/>
          <w:color w:val="000000" w:themeColor="text1"/>
          <w:sz w:val="24"/>
        </w:rPr>
        <w:t xml:space="preserve">间材料</w:t>
      </w:r>
      <w:r>
        <w:rPr>
          <w:rFonts w:ascii="宋体" w:hAnsi="宋体"/>
          <w:color w:val="000000" w:themeColor="text1"/>
          <w:sz w:val="24"/>
        </w:rPr>
        <w:t xml:space="preserve">丢失、被盗、损坏及与其它施工单位产生的纠纷等事项承担责任，直至验收合格</w:t>
      </w:r>
      <w:r>
        <w:rPr>
          <w:rFonts w:hint="eastAsia" w:ascii="宋体" w:hAnsi="宋体"/>
          <w:color w:val="000000" w:themeColor="text1"/>
          <w:sz w:val="24"/>
        </w:rPr>
        <w:t xml:space="preserve">；中标人出现的事故与采购人无关。</w:t>
      </w:r>
      <w:r/>
    </w:p>
    <w:p>
      <w:pPr>
        <w:ind w:firstLine="480"/>
        <w:jc w:val="left"/>
        <w:spacing w:line="360" w:lineRule="auto"/>
        <w:widowControl/>
        <w:rPr>
          <w:rFonts w:hint="eastAsia" w:hAnsi="宋体"/>
          <w:color w:val="000000" w:themeColor="text1"/>
          <w:sz w:val="24"/>
        </w:rPr>
      </w:pPr>
      <w:r>
        <w:rPr>
          <w:rFonts w:hAnsi="宋体"/>
          <w:color w:val="000000" w:themeColor="text1"/>
          <w:sz w:val="24"/>
        </w:rPr>
        <w:t xml:space="preserve">10</w:t>
      </w:r>
      <w:r>
        <w:rPr>
          <w:rFonts w:hint="eastAsia" w:hAnsi="宋体"/>
          <w:color w:val="000000" w:themeColor="text1"/>
          <w:sz w:val="24"/>
        </w:rPr>
        <w:t xml:space="preserve">、</w:t>
      </w:r>
      <w:r>
        <w:rPr>
          <w:rFonts w:hAnsi="宋体"/>
          <w:color w:val="000000" w:themeColor="text1"/>
          <w:sz w:val="24"/>
        </w:rPr>
        <w:t xml:space="preserve">在安装过程中要委派有经验的专业技术人员进行安装调试，确保</w:t>
      </w:r>
      <w:r>
        <w:rPr>
          <w:rFonts w:hint="eastAsia" w:hAnsi="宋体"/>
          <w:color w:val="000000" w:themeColor="text1"/>
          <w:sz w:val="24"/>
        </w:rPr>
        <w:t xml:space="preserve">设施设备</w:t>
      </w:r>
      <w:r>
        <w:rPr>
          <w:rFonts w:hAnsi="宋体"/>
          <w:color w:val="000000" w:themeColor="text1"/>
          <w:sz w:val="24"/>
        </w:rPr>
        <w:t xml:space="preserve">正常使用。</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四、产品设备交货、安装调试服务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2.本项目涉及到的产品从供货到安装均禁止分包或转包。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3.中标人发货到招标人指定地点时应先用函、电通告招标人。</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4.产品设备交货时，外包装应完整无破损。</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5.产品设备交货时，应提供到货产品设备、材料的清单，具体还包括但不限于以下的内容：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（1）产品出厂合检验格证，制造商全称、配套件的名称、型号、规格等。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（2）完备的使用说明书。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（3）安装说明书。</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五、验收标准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1、投标产品所选用主材、辅材须达到或超过本招标文件和国家相关规定的要求。关于检测报告上的名称与采购需求的名称不同的，但内容实质相同的视作等同。</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2、中标人在交货时，需向采购人提供装箱清单和检验合格证</w:t>
      </w:r>
      <w:r>
        <w:rPr>
          <w:rFonts w:ascii="宋体" w:hAnsi="宋体" w:cs="宋体"/>
          <w:color w:val="000000" w:themeColor="text1"/>
          <w:sz w:val="24"/>
        </w:rPr>
        <w:t xml:space="preserve">。</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、如</w:t>
      </w:r>
      <w:r>
        <w:rPr>
          <w:rFonts w:ascii="宋体" w:hAnsi="宋体"/>
          <w:color w:val="000000" w:themeColor="text1"/>
          <w:sz w:val="24"/>
        </w:rPr>
        <w:t xml:space="preserve">货物初验不合格，</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还应赔偿采购人直接损失费用。</w:t>
      </w:r>
      <w:r/>
    </w:p>
    <w:p>
      <w:pPr>
        <w:ind w:right="210" w:firstLine="480"/>
        <w:spacing w:line="360" w:lineRule="auto"/>
        <w:rPr>
          <w:rFonts w:hint="eastAsia" w:ascii="宋体" w:hAnsi="宋体"/>
          <w:color w:val="000000" w:themeColor="text1"/>
          <w:sz w:val="24"/>
          <w:shd w:val="clear" w:color="auto" w:fill="ffff00"/>
        </w:rPr>
      </w:pPr>
      <w:r>
        <w:rPr>
          <w:rFonts w:ascii="宋体" w:hAnsi="宋体" w:cs="宋体"/>
          <w:color w:val="000000" w:themeColor="text1"/>
          <w:sz w:val="24"/>
        </w:rPr>
        <w:t xml:space="preserve">5</w:t>
      </w:r>
      <w:r>
        <w:rPr>
          <w:rFonts w:hint="eastAsia" w:ascii="宋体" w:hAnsi="宋体" w:cs="宋体"/>
          <w:color w:val="000000" w:themeColor="text1"/>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6、供应商进行安装调试并经过性能测试后，由采购人组织联合验收小组验收。验收合格后，双方在《验收报告》上签字确认。</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六、包装和运输</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七、售后服务</w:t>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1.此次采购的所有项目产品质保期1</w:t>
      </w:r>
      <w:r>
        <w:rPr>
          <w:rFonts w:ascii="宋体" w:hAnsi="宋体" w:cs="宋体"/>
          <w:bCs/>
          <w:color w:val="000000" w:themeColor="text1"/>
          <w:sz w:val="24"/>
        </w:rPr>
        <w:t xml:space="preserve">年（即</w:t>
      </w:r>
      <w:r>
        <w:rPr>
          <w:rFonts w:hint="eastAsia" w:ascii="宋体" w:hAnsi="宋体" w:cs="宋体"/>
          <w:bCs/>
          <w:color w:val="000000" w:themeColor="text1"/>
          <w:sz w:val="24"/>
        </w:rPr>
        <w:t xml:space="preserve">12个月），从通过项目验收之日起计。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3.中标人无论对其投标产品的售后服务有无委托均不能免除其对投标产品所</w:t>
      </w:r>
      <w:r>
        <w:rPr>
          <w:rFonts w:hint="eastAsia" w:ascii="宋体" w:hAnsi="宋体" w:cs="宋体"/>
          <w:bCs/>
          <w:color w:val="000000" w:themeColor="text1"/>
          <w:sz w:val="24"/>
        </w:rPr>
        <w:t xml:space="preserve">作出</w:t>
      </w:r>
      <w:r>
        <w:rPr>
          <w:rFonts w:hint="eastAsia" w:ascii="宋体" w:hAnsi="宋体" w:cs="宋体"/>
          <w:bCs/>
          <w:color w:val="000000" w:themeColor="text1"/>
          <w:sz w:val="24"/>
        </w:rPr>
        <w:t xml:space="preserve">的售后服务承诺的一切责任。</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color w:val="000000" w:themeColor="text1"/>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6.如现场不能维修解决的故障问题，须提供故障不能排除时的解决方案。</w:t>
      </w:r>
      <w:r/>
    </w:p>
    <w:p>
      <w:pPr>
        <w:ind w:firstLine="480"/>
        <w:spacing w:line="360" w:lineRule="auto"/>
        <w:rPr>
          <w:color w:val="000000" w:themeColor="text1"/>
        </w:rPr>
      </w:pPr>
      <w:r>
        <w:rPr>
          <w:rFonts w:hint="eastAsia" w:ascii="宋体" w:hAnsi="宋体" w:cs="宋体"/>
          <w:bCs/>
          <w:color w:val="000000" w:themeColor="text1"/>
          <w:sz w:val="24"/>
        </w:rPr>
        <w:t xml:space="preserve">7.保修期满后，中标人须承诺提供终身维修服务，保证零配件供应，维修费</w:t>
      </w:r>
      <w:r>
        <w:rPr>
          <w:rFonts w:hint="eastAsia" w:ascii="宋体" w:hAnsi="宋体" w:cs="宋体"/>
          <w:bCs/>
          <w:color w:val="000000" w:themeColor="text1"/>
          <w:sz w:val="24"/>
        </w:rPr>
        <w:t xml:space="preserve">用按照</w:t>
      </w:r>
      <w:r>
        <w:rPr>
          <w:rFonts w:hint="eastAsia" w:ascii="宋体" w:hAnsi="宋体" w:cs="宋体"/>
          <w:bCs/>
          <w:color w:val="000000" w:themeColor="text1"/>
          <w:sz w:val="24"/>
        </w:rPr>
        <w:t xml:space="preserve">材料、人工成本收取。</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八、培训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1、供应商应安排专业技术人员提供现场技术培训，保证使用人员能正常操作设备的各种功能，</w:t>
      </w:r>
      <w:r>
        <w:rPr>
          <w:rFonts w:hint="eastAsia" w:ascii="宋体" w:hAnsi="宋体"/>
          <w:color w:val="000000" w:themeColor="text1"/>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2、对采购人员工进行设备安全培训。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4、供应商应免费提供培训资料。</w:t>
      </w:r>
      <w:r/>
    </w:p>
    <w:p>
      <w:pPr>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九、核心产品</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本项目核心产品为：人耳听觉听阈实验仪（采购清单序号5）</w:t>
      </w:r>
      <w:r/>
    </w:p>
    <w:p>
      <w:pPr>
        <w:jc w:val="left"/>
        <w:spacing w:line="46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十、报价要求及支付方式</w:t>
      </w:r>
      <w:r/>
    </w:p>
    <w:p>
      <w:pPr>
        <w:ind w:firstLine="480"/>
        <w:spacing w:line="460" w:lineRule="exact"/>
        <w:rPr>
          <w:rFonts w:ascii="宋体"/>
          <w:color w:val="000000" w:themeColor="text1"/>
          <w:sz w:val="24"/>
        </w:rPr>
      </w:pPr>
      <w:r>
        <w:rPr>
          <w:rFonts w:hint="eastAsia" w:ascii="宋体"/>
          <w:color w:val="000000" w:themeColor="text1"/>
          <w:sz w:val="24"/>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color w:val="000000" w:themeColor="text1"/>
          <w:sz w:val="24"/>
        </w:rPr>
        <w:t xml:space="preserve">保期间</w:t>
      </w:r>
      <w:r>
        <w:rPr>
          <w:rFonts w:hint="eastAsia" w:ascii="宋体"/>
          <w:color w:val="000000" w:themeColor="text1"/>
          <w:sz w:val="24"/>
        </w:rPr>
        <w:t xml:space="preserve">费用等完成本项目的一切费用。</w:t>
      </w:r>
      <w:r/>
    </w:p>
    <w:p>
      <w:pPr>
        <w:ind w:firstLine="480"/>
        <w:spacing w:line="460" w:lineRule="exact"/>
        <w:rPr>
          <w:rFonts w:ascii="宋体"/>
          <w:b/>
          <w:bCs/>
          <w:color w:val="000000" w:themeColor="text1"/>
          <w:sz w:val="24"/>
        </w:rPr>
      </w:pPr>
      <w:r>
        <w:rPr>
          <w:rFonts w:hint="eastAsia" w:ascii="宋体"/>
          <w:b/>
          <w:bCs/>
          <w:color w:val="000000" w:themeColor="text1"/>
          <w:sz w:val="24"/>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460" w:lineRule="exact"/>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、付款方式</w:t>
      </w:r>
      <w:r/>
    </w:p>
    <w:p>
      <w:pPr>
        <w:ind w:firstLine="24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合同签订后，货到现场并安装完毕后付至合同价的6</w:t>
      </w:r>
      <w:r>
        <w:rPr>
          <w:rFonts w:ascii="宋体" w:hAnsi="宋体" w:cs="宋体"/>
          <w:color w:val="000000" w:themeColor="text1"/>
          <w:sz w:val="24"/>
        </w:rPr>
        <w:t xml:space="preserve">0%，</w:t>
      </w:r>
      <w:r>
        <w:rPr>
          <w:rFonts w:hint="eastAsia" w:ascii="宋体" w:hAnsi="宋体" w:cs="宋体"/>
          <w:color w:val="000000" w:themeColor="text1"/>
          <w:sz w:val="24"/>
        </w:rPr>
        <w:t xml:space="preserve">验收合格后付至100</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241"/>
        <w:spacing w:line="460" w:lineRule="exact"/>
        <w:shd w:val="clear" w:color="auto" w:fill="ffffff"/>
        <w:rPr>
          <w:rFonts w:ascii="宋体"/>
          <w:b/>
          <w:color w:val="000000" w:themeColor="text1"/>
          <w:sz w:val="24"/>
        </w:rPr>
      </w:pPr>
      <w:r>
        <w:rPr>
          <w:rFonts w:hint="eastAsia" w:ascii="宋体"/>
          <w:b/>
          <w:color w:val="000000" w:themeColor="text1"/>
          <w:sz w:val="24"/>
        </w:rPr>
        <w:t xml:space="preserve">十一、其他要求</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jc w:val="center"/>
        <w:spacing w:line="360" w:lineRule="auto"/>
        <w:rPr>
          <w:b/>
          <w:color w:val="000000" w:themeColor="text1"/>
          <w:sz w:val="36"/>
          <w:szCs w:val="36"/>
        </w:rPr>
        <w:outlineLvl w:val="0"/>
      </w:pPr>
      <w:r/>
      <w:bookmarkStart w:id="293"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3"/>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left="2180" w:hanging="1661"/>
        <w:tabs>
          <w:tab w:val="left" w:pos="8080" w:leader="none"/>
        </w:tabs>
        <w:rPr>
          <w:b/>
          <w:bCs/>
          <w:color w:val="000000" w:themeColor="text1"/>
          <w:sz w:val="32"/>
        </w:rPr>
      </w:pPr>
      <w:r>
        <w:rPr>
          <w:rFonts w:hint="eastAsia"/>
          <w:b/>
          <w:bCs/>
          <w:color w:val="000000" w:themeColor="text1"/>
          <w:sz w:val="32"/>
        </w:rPr>
        <w:t xml:space="preserve">项目名称：南医大常州医疗健康科技园新建一期物理实验室教学相关仪器设备采购</w:t>
      </w: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u w:val="single"/>
        </w:rPr>
      </w:pPr>
      <w:r>
        <w:rPr>
          <w:rFonts w:hint="eastAsia"/>
          <w:b/>
          <w:bCs/>
          <w:color w:val="000000" w:themeColor="text1"/>
          <w:sz w:val="32"/>
        </w:rPr>
        <w:t xml:space="preserve">委托方（甲方）：</w:t>
      </w:r>
      <w:r>
        <w:rPr>
          <w:rFonts w:hint="eastAsia"/>
          <w:b/>
          <w:bCs/>
          <w:color w:val="000000" w:themeColor="text1"/>
          <w:sz w:val="32"/>
          <w:u w:val="single"/>
        </w:rPr>
        <w:t xml:space="preserve"> </w:t>
      </w:r>
      <w:r>
        <w:rPr>
          <w:b/>
          <w:bCs/>
          <w:color w:val="000000" w:themeColor="text1"/>
          <w:sz w:val="32"/>
          <w:u w:val="single"/>
        </w:rPr>
        <w:t xml:space="preserve">常州西太湖科技产业园管理委员会</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rFonts w:hint="eastAsia"/>
          <w:b/>
          <w:bCs/>
          <w:color w:val="000000" w:themeColor="text1"/>
          <w:sz w:val="32"/>
        </w:rPr>
        <w:t xml:space="preserve">受托方（乙方）：</w:t>
      </w:r>
      <w:r/>
    </w:p>
    <w:p>
      <w:pPr>
        <w:ind w:left="2173" w:hanging="1654"/>
        <w:rPr>
          <w:bCs/>
          <w:color w:val="000000" w:themeColor="text1"/>
          <w:sz w:val="32"/>
          <w:u w:val="single"/>
        </w:rPr>
      </w:pPr>
      <w:r>
        <w:rPr>
          <w:bCs/>
          <w:color w:val="000000" w:themeColor="text1"/>
          <w:sz w:val="32"/>
          <w:u w:val="single"/>
        </w:rPr>
      </w:r>
      <w:r/>
    </w:p>
    <w:p>
      <w:pPr>
        <w:ind w:left="2173" w:hanging="1654"/>
        <w:rPr>
          <w:bCs/>
          <w:color w:val="000000" w:themeColor="text1"/>
          <w:sz w:val="32"/>
          <w:u w:val="single"/>
        </w:rPr>
      </w:pPr>
      <w:r>
        <w:rPr>
          <w:bCs/>
          <w:color w:val="000000" w:themeColor="text1"/>
          <w:sz w:val="32"/>
          <w:u w:val="single"/>
        </w:rPr>
      </w:r>
      <w:r/>
    </w:p>
    <w:p>
      <w:pPr>
        <w:ind w:left="2180" w:hanging="1661"/>
        <w:rPr>
          <w:rFonts w:ascii="楷体_GB2312" w:eastAsia="楷体_GB2312"/>
          <w:b/>
          <w:bCs/>
          <w:color w:val="000000" w:themeColor="text1"/>
          <w:sz w:val="32"/>
          <w:szCs w:val="32"/>
        </w:rPr>
      </w:pPr>
      <w:r>
        <w:rPr>
          <w:rFonts w:ascii="楷体_GB2312" w:eastAsia="楷体_GB2312"/>
          <w:b/>
          <w:bCs/>
          <w:color w:val="000000" w:themeColor="text1"/>
          <w:sz w:val="32"/>
          <w:szCs w:val="32"/>
        </w:rPr>
      </w:r>
      <w:r/>
    </w:p>
    <w:p>
      <w:pPr>
        <w:ind w:left="2180" w:hanging="1661"/>
        <w:rPr>
          <w:b/>
          <w:bCs/>
          <w:color w:val="000000" w:themeColor="text1"/>
          <w:sz w:val="32"/>
        </w:rPr>
      </w:pPr>
      <w:r>
        <w:rPr>
          <w:b/>
          <w:bCs/>
          <w:color w:val="000000" w:themeColor="text1"/>
          <w:sz w:val="32"/>
        </w:rPr>
      </w:r>
      <w:r/>
    </w:p>
    <w:p>
      <w:pPr>
        <w:ind w:left="2180" w:hanging="1661"/>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2393"/>
        <w:rPr>
          <w:bCs/>
          <w:color w:val="000000" w:themeColor="text1"/>
          <w:sz w:val="32"/>
          <w:u w:val="single"/>
        </w:rPr>
      </w:pPr>
      <w:r>
        <w:rPr>
          <w:rFonts w:hint="eastAsia"/>
          <w:b/>
          <w:bCs/>
          <w:color w:val="000000" w:themeColor="text1"/>
          <w:sz w:val="32"/>
        </w:rPr>
        <w:t xml:space="preserve">签订地点：</w:t>
      </w:r>
      <w:r>
        <w:rPr>
          <w:rFonts w:hint="eastAsia"/>
          <w:bCs/>
          <w:color w:val="000000" w:themeColor="text1"/>
          <w:sz w:val="32"/>
          <w:u w:val="single"/>
        </w:rPr>
        <w:t xml:space="preserve"> </w:t>
      </w:r>
      <w:r>
        <w:rPr>
          <w:bCs/>
          <w:color w:val="000000" w:themeColor="text1"/>
          <w:sz w:val="32"/>
          <w:u w:val="single"/>
        </w:rPr>
        <w:t xml:space="preserve">     </w:t>
      </w:r>
      <w:r>
        <w:rPr>
          <w:rFonts w:hint="eastAsia"/>
          <w:bCs/>
          <w:color w:val="000000" w:themeColor="text1"/>
          <w:sz w:val="32"/>
          <w:u w:val="single"/>
        </w:rPr>
        <w:t xml:space="preserve"> </w:t>
      </w:r>
      <w:r/>
    </w:p>
    <w:p>
      <w:pPr>
        <w:ind w:firstLine="2393"/>
        <w:rPr>
          <w:bCs/>
          <w:color w:val="000000" w:themeColor="text1"/>
          <w:sz w:val="32"/>
          <w:u w:val="single"/>
        </w:rPr>
      </w:pPr>
      <w:r>
        <w:rPr>
          <w:bCs/>
          <w:color w:val="000000" w:themeColor="text1"/>
          <w:sz w:val="32"/>
          <w:u w:val="single"/>
        </w:rPr>
      </w:r>
      <w:r/>
    </w:p>
    <w:p>
      <w:pPr>
        <w:ind w:firstLine="2393"/>
        <w:rPr>
          <w:b/>
          <w:bCs/>
          <w:color w:val="000000" w:themeColor="text1"/>
          <w:sz w:val="32"/>
        </w:rPr>
      </w:pPr>
      <w:r>
        <w:rPr>
          <w:rFonts w:hint="eastAsia"/>
          <w:b/>
          <w:bCs/>
          <w:color w:val="000000" w:themeColor="text1"/>
          <w:sz w:val="32"/>
        </w:rPr>
        <w:t xml:space="preserve">签订时间：</w:t>
      </w:r>
      <w:r>
        <w:rPr>
          <w:rFonts w:hint="eastAsia"/>
          <w:color w:val="000000" w:themeColor="text1"/>
          <w:sz w:val="32"/>
          <w:u w:val="single"/>
        </w:rPr>
        <w:t xml:space="preserve"> </w:t>
      </w:r>
      <w:r>
        <w:rPr>
          <w:color w:val="000000" w:themeColor="text1"/>
          <w:sz w:val="32"/>
          <w:u w:val="single"/>
        </w:rPr>
        <w:t xml:space="preserve">      </w:t>
      </w:r>
      <w:r>
        <w:rPr>
          <w:rFonts w:hint="eastAsia"/>
          <w:color w:val="000000" w:themeColor="text1"/>
          <w:sz w:val="32"/>
        </w:rPr>
        <w:t xml:space="preserve"> </w:t>
      </w:r>
      <w:r>
        <w:rPr>
          <w:color w:val="000000" w:themeColor="text1"/>
          <w:sz w:val="32"/>
        </w:rPr>
        <w:t xml:space="preserve"> </w:t>
      </w:r>
      <w:r>
        <w:rPr>
          <w:b/>
          <w:bCs/>
          <w:color w:val="000000" w:themeColor="text1"/>
          <w:sz w:val="32"/>
        </w:rPr>
        <w:t xml:space="preserve"> </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420" w:lineRule="atLeast"/>
        <w:widowControl/>
        <w:rPr>
          <w:rFonts w:hint="eastAsia" w:ascii="宋体" w:hAnsi="宋体"/>
          <w:color w:val="000000" w:themeColor="text1"/>
          <w:sz w:val="24"/>
        </w:rPr>
      </w:pPr>
      <w:r/>
      <w:bookmarkStart w:id="294" w:name="_Toc99301426"/>
      <w:r>
        <w:rPr>
          <w:color w:val="000000" w:themeColor="text1"/>
        </w:rPr>
        <w:br w:type="page" w:clear="all"/>
      </w: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1、项目名称：南医大常州医疗健康科技园新建一期物理实验室教学相关仪器设备采购。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2、采购内容：</w:t>
      </w:r>
      <w:r>
        <w:rPr>
          <w:rFonts w:hint="eastAsia"/>
          <w:bCs/>
          <w:color w:val="000000" w:themeColor="text1"/>
          <w:sz w:val="24"/>
        </w:rPr>
        <w:t xml:space="preserve">南医大常州医疗健康科技园新建一期物理实验室教学相关仪器设备采购</w:t>
      </w:r>
      <w:r>
        <w:rPr>
          <w:rFonts w:hint="eastAsia" w:ascii="宋体" w:hAnsi="宋体"/>
          <w:color w:val="000000" w:themeColor="text1"/>
          <w:sz w:val="24"/>
        </w:rPr>
        <w:t xml:space="preserve">项目，包括相应产品供货前的准备（包括现场踏勘、技术核对等）、产品设计、制造、采购、运输、装卸、安装、调试、技术指导培训、检验、质保期及维保服务等全部内容</w:t>
      </w:r>
      <w:r>
        <w:rPr>
          <w:rFonts w:hint="eastAsia"/>
          <w:color w:val="000000" w:themeColor="text1"/>
          <w:sz w:val="24"/>
        </w:rPr>
        <w:t xml:space="preserve">。</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3、采购范围：南医大常州医疗健康科技园新建一期物理实验室教学相关仪器设备。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4、合同履行期限：</w:t>
      </w:r>
      <w:r>
        <w:rPr>
          <w:color w:val="000000" w:themeColor="text1"/>
          <w:sz w:val="24"/>
        </w:rPr>
        <w:t xml:space="preserve">签订合同后，</w:t>
      </w:r>
      <w:r>
        <w:rPr>
          <w:rFonts w:hint="eastAsia"/>
          <w:color w:val="000000" w:themeColor="text1"/>
          <w:sz w:val="24"/>
        </w:rPr>
        <w:t xml:space="preserve">30</w:t>
      </w:r>
      <w:r>
        <w:rPr>
          <w:rFonts w:hint="eastAsia"/>
          <w:color w:val="000000" w:themeColor="text1"/>
          <w:sz w:val="24"/>
        </w:rPr>
        <w:t xml:space="preserve">日历天完成</w:t>
      </w:r>
      <w:r>
        <w:rPr>
          <w:rFonts w:hint="eastAsia"/>
          <w:color w:val="000000" w:themeColor="text1"/>
          <w:sz w:val="24"/>
        </w:rPr>
        <w:t xml:space="preserve">采购安装及调试验收等工作。</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5、其他：</w:t>
      </w:r>
      <w:r>
        <w:rPr>
          <w:rFonts w:hint="eastAsia" w:ascii="宋体" w:hAnsi="宋体"/>
          <w:color w:val="000000" w:themeColor="text1"/>
          <w:sz w:val="24"/>
          <w:u w:val="single"/>
        </w:rPr>
        <w:t xml:space="preserve">无</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hAnsi="宋体"/>
          <w:color w:val="000000" w:themeColor="text1"/>
          <w:sz w:val="24"/>
        </w:rPr>
        <w:t xml:space="preserve">保期间</w:t>
      </w:r>
      <w:r>
        <w:rPr>
          <w:rFonts w:hint="eastAsia" w:ascii="宋体" w:hAnsi="宋体"/>
          <w:color w:val="000000" w:themeColor="text1"/>
          <w:sz w:val="24"/>
        </w:rPr>
        <w:t xml:space="preserve">费用等完成本项目的一切费用。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（4）中标人在投标、评标过程中所作其它有关承诺、声明、书面澄清；</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权利保证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质量保证和售后服务</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2、质量保证：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验收主体：采购人及使用单位。</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验收时间：</w:t>
      </w:r>
      <w:r>
        <w:rPr>
          <w:rFonts w:hint="eastAsia"/>
          <w:color w:val="000000" w:themeColor="text1"/>
          <w:sz w:val="24"/>
        </w:rPr>
        <w:t xml:space="preserve">合同约定的履约验收条件达到时，在</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个工</w:t>
      </w:r>
      <w:r>
        <w:rPr>
          <w:rFonts w:hint="eastAsia"/>
          <w:color w:val="000000" w:themeColor="text1"/>
          <w:sz w:val="24"/>
        </w:rPr>
        <w:t xml:space="preserve">作日内启动履约验收工作。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验收方式：成立验收小组，负责采购项目履约验收具体工作。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验收内容：制定验收工作实施方案，按照方案开展验收，出具验收意见。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验收标准：法律法规以及国家强制性标准、合同约定、招标文件要求等。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2、付款方式：合同签订后，货到现场并安装完毕后付至合同价的6</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验收合格后付至100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3.履约保证金：合同金额的</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也可以</w:t>
      </w:r>
      <w:r>
        <w:rPr>
          <w:rFonts w:ascii="宋体" w:hAnsi="宋体"/>
          <w:color w:val="000000" w:themeColor="text1"/>
          <w:sz w:val="24"/>
          <w:lang w:val="zh-CN"/>
        </w:rPr>
        <w:t xml:space="preserve">自主选择以支票、汇票、本票、保函等非现金形式缴纳或提交。</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应当在合同签订前向采购人足额提交履约保证金。</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年后7个工作日内退还剩余的履约保证金（无息）。</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成交</w:t>
      </w:r>
      <w:r>
        <w:rPr>
          <w:rFonts w:ascii="宋体" w:hAnsi="宋体"/>
          <w:color w:val="000000" w:themeColor="text1"/>
          <w:sz w:val="24"/>
          <w:lang w:val="zh-CN"/>
        </w:rPr>
        <w:t xml:space="preserve">投标人不履行合同</w:t>
      </w:r>
      <w:r>
        <w:rPr>
          <w:rFonts w:hint="eastAsia" w:ascii="宋体" w:hAnsi="宋体"/>
          <w:color w:val="000000" w:themeColor="text1"/>
          <w:sz w:val="24"/>
          <w:lang w:val="zh-CN"/>
        </w:rPr>
        <w:t xml:space="preserve">，履约保证金不予退还；如果成交</w:t>
      </w:r>
      <w:r>
        <w:rPr>
          <w:rFonts w:ascii="宋体" w:hAnsi="宋体"/>
          <w:color w:val="000000" w:themeColor="text1"/>
          <w:sz w:val="24"/>
          <w:lang w:val="zh-CN"/>
        </w:rPr>
        <w:t xml:space="preserve">投标人未能按合同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有权从履约保证金中取得补偿或赔偿</w:t>
      </w:r>
      <w:r>
        <w:rPr>
          <w:rFonts w:hint="eastAsia" w:ascii="宋体" w:hAnsi="宋体"/>
          <w:color w:val="000000" w:themeColor="text1"/>
          <w:sz w:val="24"/>
          <w:lang w:val="zh-CN"/>
        </w:rPr>
        <w:t xml:space="preserve">，同时不影响采购人要求成交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承担合同约定的超过履约保证金的违约责任的权利。</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8、其他：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rPr>
        <w:t xml:space="preserve"> </w:t>
      </w:r>
      <w:r>
        <w:rPr>
          <w:rFonts w:hint="eastAsia" w:ascii="宋体" w:hAnsi="宋体"/>
          <w:color w:val="000000" w:themeColor="text1"/>
          <w:sz w:val="24"/>
          <w:u w:val="single"/>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种方式解决争议：</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”系统在线签订。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2、本合同一式陆份，甲方执肆份，乙方执贰份。</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3、本合同应按照中华人民共和国的现行法律进行解释。</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CellMar>
          <w:left w:w="10" w:type="dxa"/>
          <w:right w:w="1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4"/>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rFonts w:hint="eastAsia"/>
          <w:b/>
          <w:color w:val="000000" w:themeColor="text1"/>
          <w:sz w:val="24"/>
        </w:rPr>
        <w:t xml:space="preserve">或不享受</w:t>
      </w:r>
      <w:r>
        <w:rPr>
          <w:rFonts w:hint="eastAsia" w:ascii="宋体" w:hAnsi="宋体" w:cs="楷体"/>
          <w:b/>
          <w:bCs/>
          <w:color w:val="000000" w:themeColor="text1"/>
          <w:sz w:val="24"/>
        </w:rPr>
        <w:t xml:space="preserve">价格评审优惠</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南医大常州医疗健康科技园新建一期物理实验室教学相关仪器设备采购</w:t>
      </w:r>
      <w:r>
        <w:rPr>
          <w:rFonts w:hint="eastAsia" w:ascii="Arial" w:hAnsi="Arial"/>
          <w:bCs/>
          <w:color w:val="000000" w:themeColor="text1"/>
        </w:rPr>
        <w:t xml:space="preserve"> </w:t>
      </w:r>
      <w:r>
        <w:rPr>
          <w:rFonts w:ascii="Arial" w:hAnsi="Arial"/>
          <w:bCs/>
          <w:color w:val="000000" w:themeColor="text1"/>
        </w:rPr>
        <w:t xml:space="preserve">                            </w:t>
      </w:r>
      <w:r/>
    </w:p>
    <w:p>
      <w:pPr>
        <w:spacing w:line="360" w:lineRule="auto"/>
        <w:rPr>
          <w:color w:val="000000" w:themeColor="text1"/>
        </w:rPr>
      </w:pPr>
      <w:r>
        <w:rPr>
          <w:rFonts w:ascii="Arial" w:hAnsi="Arial"/>
          <w:bCs/>
          <w:color w:val="000000" w:themeColor="text1"/>
        </w:rPr>
        <w:t xml:space="preserve"> </w:t>
      </w:r>
      <w:r/>
    </w:p>
    <w:tbl>
      <w:tblPr>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7"/>
        <w:gridCol w:w="1029"/>
        <w:gridCol w:w="966"/>
        <w:gridCol w:w="1414"/>
        <w:gridCol w:w="784"/>
        <w:gridCol w:w="784"/>
        <w:gridCol w:w="980"/>
        <w:gridCol w:w="727"/>
        <w:gridCol w:w="1373"/>
        <w:gridCol w:w="1246"/>
      </w:tblGrid>
      <w:tr>
        <w:trPr>
          <w:cantSplit/>
          <w:jc w:val="center"/>
          <w:trHeight w:val="544"/>
        </w:trPr>
        <w:tc>
          <w:tcPr>
            <w:tcW w:w="555" w:type="dxa"/>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序号</w:t>
            </w:r>
            <w:r/>
          </w:p>
        </w:tc>
        <w:tc>
          <w:tcPr>
            <w:gridSpan w:val="2"/>
            <w:tcW w:w="103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产品</w:t>
            </w:r>
            <w:r/>
          </w:p>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名称</w:t>
            </w:r>
            <w:r/>
          </w:p>
        </w:tc>
        <w:tc>
          <w:tcPr>
            <w:tcW w:w="96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规格</w:t>
            </w:r>
            <w:r/>
          </w:p>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型号</w:t>
            </w:r>
            <w:r/>
          </w:p>
        </w:tc>
        <w:tc>
          <w:tcPr>
            <w:tcW w:w="784" w:type="dxa"/>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技术参数</w:t>
            </w:r>
            <w:r/>
          </w:p>
        </w:tc>
        <w:tc>
          <w:tcPr>
            <w:tcW w:w="78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产地</w:t>
            </w:r>
            <w:r/>
          </w:p>
        </w:tc>
        <w:tc>
          <w:tcPr>
            <w:tcW w:w="98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单位</w:t>
            </w:r>
            <w:r/>
          </w:p>
        </w:tc>
        <w:tc>
          <w:tcPr>
            <w:tcW w:w="727"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数量</w:t>
            </w:r>
            <w:r/>
          </w:p>
        </w:tc>
        <w:tc>
          <w:tcPr>
            <w:tcW w:w="137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单价</w:t>
            </w:r>
            <w:r/>
          </w:p>
        </w:tc>
        <w:tc>
          <w:tcPr>
            <w:tcW w:w="124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合价</w:t>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1</w:t>
            </w:r>
            <w:r/>
          </w:p>
        </w:tc>
        <w:tc>
          <w:tcPr>
            <w:gridSpan w:val="2"/>
            <w:tcW w:w="103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696"/>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2</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724"/>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3</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640"/>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4</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580"/>
        </w:trPr>
        <w:tc>
          <w:tcPr>
            <w:gridSpan w:val="8"/>
            <w:tcW w:w="6519" w:type="dxa"/>
            <w:vAlign w:val="center"/>
            <w:vMerge w:val="restar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投标总报价（人民币：元）</w:t>
            </w:r>
            <w:r/>
          </w:p>
        </w:tc>
        <w:tc>
          <w:tcPr>
            <w:gridSpan w:val="3"/>
            <w:tcW w:w="33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t xml:space="preserve">大写：</w:t>
            </w:r>
            <w:r/>
          </w:p>
        </w:tc>
      </w:tr>
      <w:tr>
        <w:trPr>
          <w:cantSplit/>
          <w:jc w:val="center"/>
          <w:trHeight w:val="650"/>
        </w:trPr>
        <w:tc>
          <w:tcPr>
            <w:gridSpan w:val="8"/>
            <w:tcW w:w="6519" w:type="dxa"/>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gridSpan w:val="3"/>
            <w:tcW w:w="334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小写：</w:t>
            </w:r>
            <w:r/>
          </w:p>
        </w:tc>
      </w:tr>
      <w:tr>
        <w:trPr>
          <w:cantSplit/>
          <w:jc w:val="center"/>
          <w:trHeight w:val="650"/>
        </w:trPr>
        <w:tc>
          <w:tcPr>
            <w:gridSpan w:val="2"/>
            <w:tcW w:w="562" w:type="dxa"/>
            <w:textDirection w:val="lrTb"/>
            <w:noWrap w:val="false"/>
          </w:tcPr>
          <w:p>
            <w:pPr>
              <w:rPr>
                <w:b/>
                <w:bCs/>
                <w:color w:val="000000" w:themeColor="text1"/>
                <w:szCs w:val="21"/>
              </w:rPr>
            </w:pPr>
            <w:r>
              <w:rPr>
                <w:b/>
                <w:bCs/>
                <w:color w:val="000000" w:themeColor="text1"/>
                <w:szCs w:val="21"/>
              </w:rPr>
            </w:r>
            <w:r/>
          </w:p>
        </w:tc>
        <w:tc>
          <w:tcPr>
            <w:gridSpan w:val="9"/>
            <w:tcW w:w="9303" w:type="dxa"/>
            <w:vAlign w:val="center"/>
            <w:textDirection w:val="lrTb"/>
            <w:noWrap w:val="false"/>
          </w:tcPr>
          <w:p>
            <w:pPr>
              <w:rPr>
                <w:rFonts w:hint="eastAsia" w:ascii="宋体" w:hAnsi="宋体"/>
                <w:color w:val="000000" w:themeColor="text1"/>
                <w:sz w:val="24"/>
              </w:rPr>
            </w:pPr>
            <w:r>
              <w:rPr>
                <w:rFonts w:hint="eastAsia"/>
                <w:b/>
                <w:bCs/>
                <w:color w:val="000000" w:themeColor="text1"/>
                <w:szCs w:val="21"/>
              </w:rPr>
              <w:t xml:space="preserve">本采购项目中提供的符合本国产品标准的产品成本之和占该采购包提供的全部产品成本之和的比例为</w:t>
            </w:r>
            <w:r>
              <w:rPr>
                <w:rFonts w:hint="eastAsia"/>
                <w:b/>
                <w:bCs/>
                <w:color w:val="000000" w:themeColor="text1"/>
                <w:szCs w:val="21"/>
                <w:u w:val="single"/>
              </w:rPr>
              <w:t xml:space="preserve">        </w:t>
            </w:r>
            <w:r>
              <w:rPr>
                <w:rFonts w:hint="eastAsia"/>
                <w:b/>
                <w:bCs/>
                <w:color w:val="000000" w:themeColor="text1"/>
                <w:szCs w:val="21"/>
              </w:rPr>
              <w:t xml:space="preserve">%</w:t>
            </w:r>
            <w:r>
              <w:rPr>
                <w:rFonts w:hint="eastAsia"/>
                <w:b/>
                <w:bCs/>
                <w:color w:val="000000" w:themeColor="text1"/>
                <w:szCs w:val="21"/>
              </w:rPr>
              <w:t xml:space="preserve">。【如项目不适用本国产品标准政策（见第二章“前附表”），此处可不填写。】</w:t>
            </w:r>
            <w:r/>
          </w:p>
        </w:tc>
      </w:tr>
    </w:tbl>
    <w:p>
      <w:pPr>
        <w:spacing w:line="360" w:lineRule="auto"/>
        <w:rPr>
          <w:color w:val="000000" w:themeColor="text1"/>
        </w:rPr>
      </w:pPr>
      <w:r>
        <w:rPr>
          <w:color w:val="000000" w:themeColor="text1"/>
        </w:rPr>
      </w:r>
      <w:r/>
    </w:p>
    <w:p>
      <w:pPr>
        <w:jc w:val="left"/>
        <w:spacing w:line="360" w:lineRule="auto"/>
        <w:tabs>
          <w:tab w:val="left" w:pos="1800" w:leader="none"/>
          <w:tab w:val="left" w:pos="5580" w:leader="none"/>
        </w:tabs>
        <w:rPr>
          <w:rFonts w:hint="eastAsia" w:ascii="宋体" w:hAnsi="宋体" w:cs="楷体"/>
          <w:color w:val="000000" w:themeColor="text1"/>
          <w:sz w:val="24"/>
        </w:rPr>
      </w:pPr>
      <w:r>
        <w:rPr>
          <w:rFonts w:ascii="宋体" w:hAnsi="宋体" w:cs="楷体"/>
          <w:color w:val="000000" w:themeColor="text1"/>
          <w:sz w:val="24"/>
        </w:rPr>
        <w:t xml:space="preserve">注：</w:t>
      </w:r>
      <w:r>
        <w:rPr>
          <w:rFonts w:ascii="宋体" w:hAnsi="宋体" w:cs="楷体"/>
          <w:b/>
          <w:bCs/>
          <w:color w:val="000000" w:themeColor="text1"/>
          <w:sz w:val="24"/>
        </w:rPr>
        <w:t xml:space="preserve">1</w:t>
      </w:r>
      <w:r>
        <w:rPr>
          <w:rFonts w:hint="eastAsia" w:ascii="宋体" w:hAnsi="宋体" w:cs="楷体"/>
          <w:b/>
          <w:bCs/>
          <w:color w:val="000000" w:themeColor="text1"/>
          <w:sz w:val="24"/>
        </w:rPr>
        <w:t xml:space="preserve">、本表按本招标文件“第五章采购需求”-“采购清单”中的标的逐项报价。</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2、</w:t>
      </w:r>
      <w:r>
        <w:rPr>
          <w:rFonts w:ascii="宋体" w:hAnsi="宋体" w:cs="楷体"/>
          <w:color w:val="000000" w:themeColor="text1"/>
          <w:sz w:val="24"/>
        </w:rPr>
        <w:t xml:space="preserve">如果不提供</w:t>
      </w:r>
      <w:r>
        <w:rPr>
          <w:rFonts w:hint="eastAsia" w:ascii="宋体" w:hAnsi="宋体" w:cs="楷体"/>
          <w:color w:val="000000" w:themeColor="text1"/>
          <w:sz w:val="24"/>
        </w:rPr>
        <w:t xml:space="preserve">明细</w:t>
      </w:r>
      <w:r>
        <w:rPr>
          <w:rFonts w:ascii="宋体" w:hAnsi="宋体" w:cs="楷体"/>
          <w:color w:val="000000" w:themeColor="text1"/>
          <w:sz w:val="24"/>
        </w:rPr>
        <w:t xml:space="preserve">报价将视为没有实质性响应</w:t>
      </w:r>
      <w:r>
        <w:rPr>
          <w:rFonts w:hint="eastAsia" w:ascii="宋体" w:hAnsi="宋体" w:cs="楷体"/>
          <w:color w:val="000000" w:themeColor="text1"/>
          <w:sz w:val="24"/>
        </w:rPr>
        <w:t xml:space="preserve">招标</w:t>
      </w:r>
      <w:r>
        <w:rPr>
          <w:rFonts w:ascii="宋体" w:hAnsi="宋体" w:cs="楷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color w:val="000000" w:themeColor="text1"/>
          <w:sz w:val="24"/>
        </w:rPr>
      </w:pPr>
      <w:r>
        <w:rPr>
          <w:rFonts w:hint="eastAsia" w:ascii="宋体" w:hAnsi="宋体" w:cs="楷体"/>
          <w:color w:val="000000" w:themeColor="text1"/>
          <w:sz w:val="24"/>
        </w:rPr>
        <w:t xml:space="preserve">4、</w:t>
      </w:r>
      <w:r>
        <w:rPr>
          <w:rFonts w:ascii="宋体" w:hAnsi="宋体" w:cs="楷体"/>
          <w:color w:val="000000" w:themeColor="text1"/>
          <w:sz w:val="24"/>
        </w:rPr>
        <w:t xml:space="preserve">上述各项的详细规格</w:t>
      </w:r>
      <w:r>
        <w:rPr>
          <w:rFonts w:hint="eastAsia" w:ascii="宋体" w:hAnsi="宋体" w:cs="楷体"/>
          <w:color w:val="000000" w:themeColor="text1"/>
          <w:sz w:val="24"/>
        </w:rPr>
        <w:t xml:space="preserve">、技术参数如表格中填写不下的</w:t>
      </w:r>
      <w:r>
        <w:rPr>
          <w:rFonts w:ascii="宋体" w:hAnsi="宋体" w:cs="楷体"/>
          <w:color w:val="000000" w:themeColor="text1"/>
          <w:sz w:val="24"/>
        </w:rPr>
        <w:t xml:space="preserve">，可</w:t>
      </w:r>
      <w:r>
        <w:rPr>
          <w:rFonts w:hint="eastAsia" w:ascii="宋体" w:hAnsi="宋体" w:cs="楷体"/>
          <w:color w:val="000000" w:themeColor="text1"/>
          <w:sz w:val="24"/>
        </w:rPr>
        <w:t xml:space="preserve">以逐项</w:t>
      </w:r>
      <w:r>
        <w:rPr>
          <w:rFonts w:ascii="宋体" w:hAnsi="宋体" w:cs="楷体"/>
          <w:color w:val="000000" w:themeColor="text1"/>
          <w:sz w:val="24"/>
        </w:rPr>
        <w:t xml:space="preserve">另页描述</w:t>
      </w:r>
      <w:r>
        <w:rPr>
          <w:rFonts w:ascii="楷体" w:hAnsi="楷体" w:eastAsia="楷体"/>
          <w:color w:val="000000" w:themeColor="text1"/>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color w:val="000000" w:themeColor="text1"/>
          <w:sz w:val="24"/>
        </w:rPr>
      </w:pPr>
      <w:r>
        <w:rPr>
          <w:rFonts w:hint="eastAsia" w:ascii="宋体" w:hAnsi="宋体" w:cs="楷体"/>
          <w:color w:val="000000" w:themeColor="text1"/>
          <w:sz w:val="24"/>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5"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2"/>
        <w:spacing w:line="43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弗兰克赫兹实验仪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分光计及光谱</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迈克尔逊干涉仪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杨氏模量实验仪（伸长法）</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5、</w:t>
      </w:r>
      <w:r>
        <w:rPr>
          <w:rFonts w:hint="eastAsia" w:ascii="宋体" w:hAnsi="宋体" w:eastAsia="宋体" w:cs="楷体"/>
          <w:color w:val="000000" w:themeColor="text1"/>
          <w:sz w:val="24"/>
          <w:szCs w:val="24"/>
          <w:u w:val="single"/>
        </w:rPr>
        <w:t xml:space="preserve">人耳听觉听阈实验仪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6、</w:t>
      </w:r>
      <w:r>
        <w:rPr>
          <w:rFonts w:hint="eastAsia" w:ascii="宋体" w:hAnsi="宋体" w:eastAsia="宋体" w:cs="楷体"/>
          <w:color w:val="000000" w:themeColor="text1"/>
          <w:sz w:val="24"/>
          <w:szCs w:val="24"/>
          <w:u w:val="single"/>
        </w:rPr>
        <w:t xml:space="preserve">惠斯通电桥（定值电阻、变温电阻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7、</w:t>
      </w:r>
      <w:r>
        <w:rPr>
          <w:rFonts w:hint="eastAsia" w:ascii="宋体" w:hAnsi="宋体" w:eastAsia="宋体" w:cs="楷体"/>
          <w:color w:val="000000" w:themeColor="text1"/>
          <w:sz w:val="24"/>
          <w:szCs w:val="24"/>
          <w:u w:val="single"/>
        </w:rPr>
        <w:t xml:space="preserve">落球法</w:t>
      </w:r>
      <w:r>
        <w:rPr>
          <w:rFonts w:hint="eastAsia" w:ascii="宋体" w:hAnsi="宋体" w:eastAsia="宋体" w:cs="楷体"/>
          <w:color w:val="000000" w:themeColor="text1"/>
          <w:sz w:val="24"/>
          <w:szCs w:val="24"/>
          <w:u w:val="single"/>
        </w:rPr>
        <w:t xml:space="preserve">液体粘滞系数测量实验仪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w:t>
      </w:r>
      <w:r>
        <w:rPr>
          <w:rFonts w:hint="eastAsia" w:ascii="宋体" w:hAnsi="宋体" w:eastAsia="宋体" w:cs="楷体"/>
          <w:color w:val="000000" w:themeColor="text1"/>
          <w:sz w:val="24"/>
          <w:szCs w:val="24"/>
        </w:rPr>
        <w:t xml:space="preserve">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8、</w:t>
      </w:r>
      <w:r>
        <w:rPr>
          <w:rFonts w:hint="eastAsia" w:ascii="宋体" w:hAnsi="宋体" w:eastAsia="宋体" w:cs="楷体"/>
          <w:color w:val="000000" w:themeColor="text1"/>
          <w:sz w:val="24"/>
          <w:szCs w:val="24"/>
          <w:u w:val="single"/>
        </w:rPr>
        <w:t xml:space="preserve"> 简谐振动与弹簧劲度系数实验仪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9、</w:t>
      </w:r>
      <w:r>
        <w:rPr>
          <w:rFonts w:hint="eastAsia" w:ascii="宋体" w:hAnsi="宋体" w:eastAsia="宋体" w:cs="楷体"/>
          <w:color w:val="000000" w:themeColor="text1"/>
          <w:sz w:val="24"/>
          <w:szCs w:val="24"/>
          <w:u w:val="single"/>
        </w:rPr>
        <w:t xml:space="preserve"> 液体表面张力系数测量实验仪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10、</w:t>
      </w:r>
      <w:r>
        <w:rPr>
          <w:rFonts w:hint="eastAsia" w:ascii="宋体" w:hAnsi="宋体" w:eastAsia="宋体" w:cs="楷体"/>
          <w:color w:val="000000" w:themeColor="text1"/>
          <w:sz w:val="24"/>
          <w:szCs w:val="24"/>
          <w:u w:val="single"/>
        </w:rPr>
        <w:t xml:space="preserve">奥氏粘度计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11、</w:t>
      </w:r>
      <w:r>
        <w:rPr>
          <w:rFonts w:hint="eastAsia" w:ascii="宋体" w:hAnsi="宋体" w:eastAsia="宋体" w:cs="楷体"/>
          <w:color w:val="000000" w:themeColor="text1"/>
          <w:sz w:val="24"/>
          <w:szCs w:val="24"/>
          <w:u w:val="single"/>
        </w:rPr>
        <w:t xml:space="preserve">虚拟实验管理系统</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12、</w:t>
      </w:r>
      <w:r>
        <w:rPr>
          <w:rFonts w:hint="eastAsia" w:ascii="宋体" w:hAnsi="宋体" w:eastAsia="宋体" w:cs="楷体"/>
          <w:color w:val="000000" w:themeColor="text1"/>
          <w:sz w:val="24"/>
          <w:szCs w:val="24"/>
          <w:u w:val="single"/>
        </w:rPr>
        <w:t xml:space="preserve">LB-TVC液体表面张力/粘滞系数测量仪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13、</w:t>
      </w:r>
      <w:r>
        <w:rPr>
          <w:rFonts w:hint="eastAsia" w:ascii="宋体" w:hAnsi="宋体" w:eastAsia="宋体" w:cs="楷体"/>
          <w:color w:val="000000" w:themeColor="text1"/>
          <w:sz w:val="24"/>
          <w:szCs w:val="24"/>
          <w:u w:val="single"/>
        </w:rPr>
        <w:t xml:space="preserve">变温粘滞系数实验仪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jc w:val="center"/>
        <w:rPr>
          <w:rFonts w:hint="eastAsia" w:ascii="宋体" w:hAnsi="宋体" w:cs="楷体"/>
          <w:b/>
          <w:color w:val="000000" w:themeColor="text1"/>
          <w:sz w:val="32"/>
          <w:szCs w:val="32"/>
        </w:rPr>
      </w:pPr>
      <w:r>
        <w:rPr>
          <w:rFonts w:hint="eastAsia" w:ascii="宋体" w:hAnsi="宋体" w:cs="楷体"/>
          <w:b/>
          <w:color w:val="000000" w:themeColor="text1"/>
          <w:sz w:val="32"/>
          <w:szCs w:val="32"/>
        </w:rPr>
        <w:br w:type="page" w:clear="all"/>
      </w: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296" w:name="_Toc29116"/>
      <w:r/>
      <w:bookmarkStart w:id="297" w:name="_Toc425"/>
      <w:r/>
      <w:bookmarkStart w:id="298" w:name="_Toc373054875"/>
      <w:r/>
      <w:bookmarkStart w:id="299" w:name="_Toc30417"/>
      <w:r/>
      <w:bookmarkEnd w:id="295"/>
      <w:r/>
      <w:bookmarkEnd w:id="296"/>
      <w:r/>
      <w:bookmarkEnd w:id="297"/>
      <w:r/>
      <w:bookmarkEnd w:id="298"/>
      <w:r/>
      <w:bookmarkEnd w:id="299"/>
      <w:r>
        <w:rPr>
          <w:rFonts w:hint="eastAsia"/>
          <w:b/>
          <w:bCs/>
          <w:color w:val="000000" w:themeColor="text1"/>
          <w:sz w:val="32"/>
          <w:szCs w:val="32"/>
        </w:rPr>
        <w:t xml:space="preserve">六、关于符合本国产品标准的声明函（实质性格式）</w:t>
      </w:r>
      <w:r/>
    </w:p>
    <w:p>
      <w:pPr>
        <w:pStyle w:val="1013"/>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17"/>
          <w:rFonts w:hint="eastAsia"/>
          <w:color w:val="000000" w:themeColor="text1"/>
          <w:u w:val="single"/>
          <w:shd w:val="clear" w:color="auto" w:fill="ffffff"/>
        </w:rPr>
        <w:t xml:space="preserve">（产品名称1）</w:t>
      </w:r>
      <w:r>
        <w:rPr>
          <w:rStyle w:val="1017"/>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17"/>
          <w:rFonts w:hint="eastAsia"/>
          <w:color w:val="000000" w:themeColor="text1"/>
          <w:u w:val="single"/>
          <w:shd w:val="clear" w:color="auto" w:fill="ffffff"/>
        </w:rPr>
        <w:t xml:space="preserve">（厂名）</w:t>
      </w:r>
      <w:r>
        <w:rPr>
          <w:rStyle w:val="1017"/>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17"/>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17"/>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17"/>
          <w:rFonts w:hint="eastAsia"/>
          <w:color w:val="000000" w:themeColor="text1"/>
          <w:u w:val="single"/>
          <w:shd w:val="clear" w:color="auto" w:fill="ffffff"/>
        </w:rPr>
        <w:t xml:space="preserve">（规定比例）</w:t>
      </w:r>
      <w:r>
        <w:rPr>
          <w:rStyle w:val="1017"/>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17"/>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（关键组件）</w:t>
      </w:r>
      <w:r>
        <w:rPr>
          <w:rStyle w:val="1017"/>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17"/>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（关键工序）</w:t>
      </w:r>
      <w:r>
        <w:rPr>
          <w:rStyle w:val="1017"/>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17"/>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17"/>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17"/>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17"/>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17"/>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17"/>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17"/>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13"/>
        <w:spacing w:before="0" w:beforeAutospacing="0" w:after="0" w:afterAutospacing="0" w:line="500" w:lineRule="exact"/>
        <w:rPr>
          <w:rFonts w:hint="eastAsia"/>
          <w:color w:val="000000" w:themeColor="text1"/>
        </w:rPr>
      </w:pPr>
      <w:r>
        <w:rPr>
          <w:rFonts w:hint="eastAsia"/>
          <w:color w:val="000000" w:themeColor="text1"/>
        </w:rPr>
      </w:r>
      <w:r/>
    </w:p>
    <w:p>
      <w:pPr>
        <w:pStyle w:val="1013"/>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13"/>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1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1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p>
    <w:p>
      <w:pPr>
        <w:pStyle w:val="101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300"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301" w:name="_Hlk89243734"/>
      <w:r>
        <w:rPr>
          <w:rFonts w:hint="eastAsia" w:ascii="宋体" w:hAnsi="宋体"/>
          <w:color w:val="000000" w:themeColor="text1"/>
          <w:sz w:val="24"/>
        </w:rPr>
        <w:t xml:space="preserve">任何我单位放弃权利或承担义务的意思表示</w:t>
      </w:r>
      <w:bookmarkEnd w:id="301"/>
      <w:r>
        <w:rPr>
          <w:rFonts w:hint="eastAsia" w:ascii="宋体" w:hAnsi="宋体"/>
          <w:color w:val="000000" w:themeColor="text1"/>
          <w:sz w:val="24"/>
        </w:rPr>
        <w:t xml:space="preserve">，</w:t>
      </w:r>
      <w:bookmarkStart w:id="302" w:name="_Hlk89243746"/>
      <w:r>
        <w:rPr>
          <w:rFonts w:hint="eastAsia" w:ascii="宋体" w:hAnsi="宋体"/>
          <w:color w:val="000000" w:themeColor="text1"/>
          <w:sz w:val="24"/>
        </w:rPr>
        <w:t xml:space="preserve">应加盖我单位有效印章</w:t>
      </w:r>
      <w:bookmarkEnd w:id="302"/>
      <w:r>
        <w:rPr>
          <w:rFonts w:hint="eastAsia" w:ascii="宋体" w:hAnsi="宋体"/>
          <w:color w:val="000000" w:themeColor="text1"/>
          <w:sz w:val="24"/>
        </w:rPr>
        <w:t xml:space="preserve">方对我单位具有约束力</w:t>
      </w:r>
      <w:bookmarkEnd w:id="300"/>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3" w:name="_Hlt26955070"/>
      <w:r/>
      <w:bookmarkStart w:id="304" w:name="_Hlt26671380"/>
      <w:r/>
      <w:bookmarkStart w:id="305" w:name="_格式3__银行出具的资信证明"/>
      <w:r/>
      <w:bookmarkEnd w:id="303"/>
      <w:r/>
      <w:bookmarkEnd w:id="304"/>
      <w:r/>
      <w:bookmarkEnd w:id="305"/>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6"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6"/>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07"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7"/>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w:t>
            </w:r>
            <w:r>
              <w:rPr>
                <w:rFonts w:hint="eastAsia"/>
                <w:b/>
                <w:bCs/>
                <w:color w:val="000000" w:themeColor="text1"/>
                <w:sz w:val="24"/>
              </w:rPr>
              <w:t xml:space="preserve">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rPr>
          <w:color w:val="000000" w:themeColor="text1"/>
        </w:rPr>
      </w:pPr>
      <w:r>
        <w:rPr>
          <w:color w:val="000000" w:themeColor="text1"/>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0"/>
      <w:headerReference w:type="first" r:id="rId11"/>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黑体">
    <w:panose1 w:val="02010609060101010101"/>
  </w:font>
  <w:font w:name="等线">
    <w:panose1 w:val="02010600030101010101"/>
  </w:font>
  <w:font w:name="方正魏碑_GBK">
    <w:panose1 w:val="020B0503020202020204"/>
  </w:font>
  <w:font w:name="华文新魏">
    <w:panose1 w:val="02010800040101010101"/>
  </w:font>
  <w:font w:name="Segoe UI Symbol">
    <w:panose1 w:val="020B0502040204020203"/>
  </w:font>
  <w:font w:name="Calibri">
    <w:panose1 w:val="020F0502020204030204"/>
  </w:font>
  <w:font w:name="楷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align>center</wp:align>
              </wp:positionH>
              <wp:positionV relativeFrom="page">
                <wp:align>bottom</wp:align>
              </wp:positionV>
              <wp:extent cx="1826260" cy="345440"/>
              <wp:effectExtent l="0" t="0" r="2540" b="0"/>
              <wp:wrapNone/>
              <wp:docPr id="1" name="文本框 14"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1826260" cy="345440"/>
              <wp:effectExtent l="0" t="0" r="2540" b="0"/>
              <wp:wrapNone/>
              <wp:docPr id="2" name="文本框 13"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p>
    <w:pPr>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align>center</wp:align>
              </wp:positionH>
              <wp:positionV relativeFrom="page">
                <wp:align>bottom</wp:align>
              </wp:positionV>
              <wp:extent cx="1826260" cy="345440"/>
              <wp:effectExtent l="0" t="0" r="2540" b="0"/>
              <wp:wrapNone/>
              <wp:docPr id="3" name="文本框 17"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fldChar w:fldCharType="begin"/>
    </w:r>
    <w:r>
      <w:instrText xml:space="preserve">PAGE  </w:instrText>
    </w:r>
    <w:r>
      <w:fldChar w:fldCharType="end"/>
    </w:r>
    <w:r/>
  </w:p>
  <w:p>
    <w:pPr>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center</wp:align>
              </wp:positionH>
              <wp:positionV relativeFrom="page">
                <wp:align>bottom</wp:align>
              </wp:positionV>
              <wp:extent cx="1826260" cy="345440"/>
              <wp:effectExtent l="0" t="0" r="2540" b="0"/>
              <wp:wrapNone/>
              <wp:docPr id="4" name="文本框 16"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4"/>
    <w:next w:val="1004"/>
    <w:link w:val="831"/>
    <w:uiPriority w:val="9"/>
    <w:qFormat/>
    <w:pPr>
      <w:keepLines/>
      <w:keepNext/>
      <w:spacing w:before="480" w:after="200"/>
      <w:outlineLvl w:val="0"/>
    </w:pPr>
    <w:rPr>
      <w:rFonts w:ascii="Arial" w:hAnsi="Arial" w:eastAsia="Arial" w:cs="Arial"/>
      <w:sz w:val="40"/>
      <w:szCs w:val="40"/>
    </w:rPr>
  </w:style>
  <w:style w:type="character" w:styleId="831">
    <w:name w:val="Heading 1 Char"/>
    <w:basedOn w:val="1005"/>
    <w:link w:val="830"/>
    <w:uiPriority w:val="9"/>
    <w:rPr>
      <w:rFonts w:ascii="Arial" w:hAnsi="Arial" w:eastAsia="Arial" w:cs="Arial"/>
      <w:sz w:val="40"/>
      <w:szCs w:val="40"/>
    </w:rPr>
  </w:style>
  <w:style w:type="paragraph" w:styleId="832">
    <w:name w:val="Heading 2"/>
    <w:basedOn w:val="1004"/>
    <w:next w:val="1004"/>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basedOn w:val="1005"/>
    <w:link w:val="832"/>
    <w:uiPriority w:val="9"/>
    <w:rPr>
      <w:rFonts w:ascii="Arial" w:hAnsi="Arial" w:eastAsia="Arial" w:cs="Arial"/>
      <w:sz w:val="34"/>
    </w:rPr>
  </w:style>
  <w:style w:type="paragraph" w:styleId="834">
    <w:name w:val="Heading 3"/>
    <w:basedOn w:val="1004"/>
    <w:next w:val="1004"/>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basedOn w:val="1005"/>
    <w:link w:val="834"/>
    <w:uiPriority w:val="9"/>
    <w:rPr>
      <w:rFonts w:ascii="Arial" w:hAnsi="Arial" w:eastAsia="Arial" w:cs="Arial"/>
      <w:sz w:val="30"/>
      <w:szCs w:val="30"/>
    </w:rPr>
  </w:style>
  <w:style w:type="paragraph" w:styleId="836">
    <w:name w:val="Heading 4"/>
    <w:basedOn w:val="1004"/>
    <w:next w:val="1004"/>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basedOn w:val="1005"/>
    <w:link w:val="836"/>
    <w:uiPriority w:val="9"/>
    <w:rPr>
      <w:rFonts w:ascii="Arial" w:hAnsi="Arial" w:eastAsia="Arial" w:cs="Arial"/>
      <w:b/>
      <w:bCs/>
      <w:sz w:val="26"/>
      <w:szCs w:val="26"/>
    </w:rPr>
  </w:style>
  <w:style w:type="paragraph" w:styleId="838">
    <w:name w:val="Heading 5"/>
    <w:basedOn w:val="1004"/>
    <w:next w:val="1004"/>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basedOn w:val="1005"/>
    <w:link w:val="838"/>
    <w:uiPriority w:val="9"/>
    <w:rPr>
      <w:rFonts w:ascii="Arial" w:hAnsi="Arial" w:eastAsia="Arial" w:cs="Arial"/>
      <w:b/>
      <w:bCs/>
      <w:sz w:val="24"/>
      <w:szCs w:val="24"/>
    </w:rPr>
  </w:style>
  <w:style w:type="paragraph" w:styleId="840">
    <w:name w:val="Heading 6"/>
    <w:basedOn w:val="1004"/>
    <w:next w:val="1004"/>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basedOn w:val="1005"/>
    <w:link w:val="840"/>
    <w:uiPriority w:val="9"/>
    <w:rPr>
      <w:rFonts w:ascii="Arial" w:hAnsi="Arial" w:eastAsia="Arial" w:cs="Arial"/>
      <w:b/>
      <w:bCs/>
      <w:sz w:val="22"/>
      <w:szCs w:val="22"/>
    </w:rPr>
  </w:style>
  <w:style w:type="paragraph" w:styleId="842">
    <w:name w:val="Heading 7"/>
    <w:basedOn w:val="1004"/>
    <w:next w:val="1004"/>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basedOn w:val="1005"/>
    <w:link w:val="842"/>
    <w:uiPriority w:val="9"/>
    <w:rPr>
      <w:rFonts w:ascii="Arial" w:hAnsi="Arial" w:eastAsia="Arial" w:cs="Arial"/>
      <w:b/>
      <w:bCs/>
      <w:i/>
      <w:iCs/>
      <w:sz w:val="22"/>
      <w:szCs w:val="22"/>
    </w:rPr>
  </w:style>
  <w:style w:type="paragraph" w:styleId="844">
    <w:name w:val="Heading 8"/>
    <w:basedOn w:val="1004"/>
    <w:next w:val="1004"/>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basedOn w:val="1005"/>
    <w:link w:val="844"/>
    <w:uiPriority w:val="9"/>
    <w:rPr>
      <w:rFonts w:ascii="Arial" w:hAnsi="Arial" w:eastAsia="Arial" w:cs="Arial"/>
      <w:i/>
      <w:iCs/>
      <w:sz w:val="22"/>
      <w:szCs w:val="22"/>
    </w:rPr>
  </w:style>
  <w:style w:type="paragraph" w:styleId="846">
    <w:name w:val="Heading 9"/>
    <w:basedOn w:val="1004"/>
    <w:next w:val="1004"/>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basedOn w:val="1005"/>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4"/>
    <w:next w:val="1004"/>
    <w:link w:val="850"/>
    <w:uiPriority w:val="10"/>
    <w:qFormat/>
    <w:pPr>
      <w:contextualSpacing/>
      <w:spacing w:before="300" w:after="200"/>
    </w:pPr>
    <w:rPr>
      <w:sz w:val="48"/>
      <w:szCs w:val="48"/>
    </w:rPr>
  </w:style>
  <w:style w:type="character" w:styleId="850">
    <w:name w:val="Title Char"/>
    <w:basedOn w:val="1005"/>
    <w:link w:val="849"/>
    <w:uiPriority w:val="10"/>
    <w:rPr>
      <w:sz w:val="48"/>
      <w:szCs w:val="48"/>
    </w:rPr>
  </w:style>
  <w:style w:type="paragraph" w:styleId="851">
    <w:name w:val="Subtitle"/>
    <w:basedOn w:val="1004"/>
    <w:next w:val="1004"/>
    <w:link w:val="852"/>
    <w:uiPriority w:val="11"/>
    <w:qFormat/>
    <w:pPr>
      <w:spacing w:before="200" w:after="200"/>
    </w:pPr>
    <w:rPr>
      <w:sz w:val="24"/>
      <w:szCs w:val="24"/>
    </w:rPr>
  </w:style>
  <w:style w:type="character" w:styleId="852">
    <w:name w:val="Subtitle Char"/>
    <w:basedOn w:val="1005"/>
    <w:link w:val="851"/>
    <w:uiPriority w:val="11"/>
    <w:rPr>
      <w:sz w:val="24"/>
      <w:szCs w:val="24"/>
    </w:rPr>
  </w:style>
  <w:style w:type="paragraph" w:styleId="853">
    <w:name w:val="Quote"/>
    <w:basedOn w:val="1004"/>
    <w:next w:val="1004"/>
    <w:link w:val="854"/>
    <w:uiPriority w:val="29"/>
    <w:qFormat/>
    <w:pPr>
      <w:ind w:left="720" w:right="720"/>
    </w:pPr>
    <w:rPr>
      <w:i/>
    </w:rPr>
  </w:style>
  <w:style w:type="character" w:styleId="854">
    <w:name w:val="Quote Char"/>
    <w:link w:val="853"/>
    <w:uiPriority w:val="29"/>
    <w:rPr>
      <w:i/>
    </w:rPr>
  </w:style>
  <w:style w:type="paragraph" w:styleId="855">
    <w:name w:val="Intense Quote"/>
    <w:basedOn w:val="1004"/>
    <w:next w:val="1004"/>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character" w:styleId="857">
    <w:name w:val="Header Char"/>
    <w:basedOn w:val="1005"/>
    <w:link w:val="1012"/>
    <w:uiPriority w:val="99"/>
  </w:style>
  <w:style w:type="character" w:styleId="858">
    <w:name w:val="Footer Char"/>
    <w:basedOn w:val="1005"/>
    <w:link w:val="1011"/>
    <w:uiPriority w:val="99"/>
  </w:style>
  <w:style w:type="paragraph" w:styleId="859">
    <w:name w:val="Caption"/>
    <w:basedOn w:val="1004"/>
    <w:next w:val="1004"/>
    <w:uiPriority w:val="35"/>
    <w:semiHidden/>
    <w:unhideWhenUsed/>
    <w:qFormat/>
    <w:pPr>
      <w:spacing w:line="276" w:lineRule="auto"/>
    </w:pPr>
    <w:rPr>
      <w:b/>
      <w:bCs/>
      <w:color w:val="4f81bd" w:themeColor="accent1"/>
      <w:sz w:val="18"/>
      <w:szCs w:val="18"/>
    </w:rPr>
  </w:style>
  <w:style w:type="character" w:styleId="860">
    <w:name w:val="Caption Char"/>
    <w:basedOn w:val="859"/>
    <w:link w:val="1011"/>
    <w:uiPriority w:val="99"/>
  </w:style>
  <w:style w:type="table" w:styleId="861">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basedOn w:val="1005"/>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5"/>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qFormat/>
    <w:pPr>
      <w:jc w:val="both"/>
      <w:widowControl w:val="off"/>
    </w:pPr>
    <w:rPr>
      <w:rFonts w:asciiTheme="minorHAnsi" w:hAnsiTheme="minorHAnsi" w:eastAsiaTheme="minorEastAsia" w:cstheme="minorBidi"/>
      <w:sz w:val="21"/>
      <w:szCs w:val="22"/>
    </w:rPr>
  </w:style>
  <w:style w:type="character" w:styleId="1005" w:default="1">
    <w:name w:val="Default Paragraph Font"/>
    <w:uiPriority w:val="1"/>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annotation text"/>
    <w:basedOn w:val="1004"/>
    <w:link w:val="1022"/>
    <w:qFormat/>
    <w:pPr>
      <w:jc w:val="left"/>
    </w:pPr>
  </w:style>
  <w:style w:type="paragraph" w:styleId="1009">
    <w:name w:val="Body Text"/>
    <w:basedOn w:val="1004"/>
    <w:link w:val="1027"/>
    <w:qFormat/>
    <w:pPr>
      <w:spacing w:after="120"/>
    </w:pPr>
  </w:style>
  <w:style w:type="paragraph" w:styleId="1010">
    <w:name w:val="Balloon Text"/>
    <w:basedOn w:val="1004"/>
    <w:link w:val="1021"/>
    <w:qFormat/>
    <w:rPr>
      <w:sz w:val="18"/>
      <w:szCs w:val="18"/>
    </w:rPr>
  </w:style>
  <w:style w:type="paragraph" w:styleId="1011">
    <w:name w:val="Footer"/>
    <w:basedOn w:val="1004"/>
    <w:link w:val="1020"/>
    <w:qFormat/>
    <w:pPr>
      <w:jc w:val="left"/>
      <w:tabs>
        <w:tab w:val="center" w:pos="4153" w:leader="none"/>
        <w:tab w:val="right" w:pos="8306" w:leader="none"/>
      </w:tabs>
    </w:pPr>
    <w:rPr>
      <w:sz w:val="18"/>
      <w:szCs w:val="18"/>
    </w:rPr>
  </w:style>
  <w:style w:type="paragraph" w:styleId="1012">
    <w:name w:val="Header"/>
    <w:basedOn w:val="1004"/>
    <w:link w:val="1019"/>
    <w:qFormat/>
    <w:pPr>
      <w:jc w:val="center"/>
      <w:tabs>
        <w:tab w:val="center" w:pos="4153" w:leader="none"/>
        <w:tab w:val="right" w:pos="8306" w:leader="none"/>
      </w:tabs>
    </w:pPr>
    <w:rPr>
      <w:sz w:val="18"/>
      <w:szCs w:val="18"/>
    </w:rPr>
  </w:style>
  <w:style w:type="paragraph" w:styleId="1013">
    <w:name w:val="Normal (Web)"/>
    <w:basedOn w:val="100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4">
    <w:name w:val="annotation subject"/>
    <w:basedOn w:val="1008"/>
    <w:next w:val="1008"/>
    <w:link w:val="1023"/>
    <w:qFormat/>
    <w:rPr>
      <w:b/>
      <w:bCs/>
    </w:rPr>
  </w:style>
  <w:style w:type="paragraph" w:styleId="1015">
    <w:name w:val="Body Text First Indent"/>
    <w:basedOn w:val="1009"/>
    <w:link w:val="1028"/>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6">
    <w:name w:val="Table Grid"/>
    <w:basedOn w:val="1006"/>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name w:val="Emphasis"/>
    <w:qFormat/>
    <w:rPr>
      <w:color w:val="cc0033"/>
    </w:rPr>
  </w:style>
  <w:style w:type="character" w:styleId="1018">
    <w:name w:val="annotation reference"/>
    <w:basedOn w:val="1005"/>
    <w:qFormat/>
    <w:rPr>
      <w:sz w:val="21"/>
      <w:szCs w:val="21"/>
    </w:rPr>
  </w:style>
  <w:style w:type="character" w:styleId="1019" w:customStyle="1">
    <w:name w:val="页眉 字符"/>
    <w:basedOn w:val="1005"/>
    <w:link w:val="1012"/>
    <w:qFormat/>
    <w:rPr>
      <w:sz w:val="18"/>
      <w:szCs w:val="18"/>
    </w:rPr>
  </w:style>
  <w:style w:type="character" w:styleId="1020" w:customStyle="1">
    <w:name w:val="页脚 字符"/>
    <w:basedOn w:val="1005"/>
    <w:link w:val="1011"/>
    <w:qFormat/>
    <w:rPr>
      <w:sz w:val="18"/>
      <w:szCs w:val="18"/>
    </w:rPr>
  </w:style>
  <w:style w:type="character" w:styleId="1021" w:customStyle="1">
    <w:name w:val="批注框文本 字符"/>
    <w:basedOn w:val="1005"/>
    <w:link w:val="1010"/>
    <w:qFormat/>
    <w:rPr>
      <w:sz w:val="18"/>
      <w:szCs w:val="18"/>
    </w:rPr>
  </w:style>
  <w:style w:type="character" w:styleId="1022" w:customStyle="1">
    <w:name w:val="批注文字 字符"/>
    <w:basedOn w:val="1005"/>
    <w:link w:val="1008"/>
    <w:qFormat/>
    <w:rPr>
      <w:sz w:val="21"/>
      <w:szCs w:val="22"/>
    </w:rPr>
  </w:style>
  <w:style w:type="character" w:styleId="1023" w:customStyle="1">
    <w:name w:val="批注主题 字符"/>
    <w:basedOn w:val="1022"/>
    <w:link w:val="1014"/>
    <w:qFormat/>
    <w:rPr>
      <w:b/>
      <w:bCs/>
      <w:sz w:val="21"/>
      <w:szCs w:val="22"/>
    </w:rPr>
  </w:style>
  <w:style w:type="paragraph" w:styleId="1024" w:customStyle="1">
    <w:name w:val="修订1"/>
    <w:hidden/>
    <w:uiPriority w:val="99"/>
    <w:unhideWhenUsed/>
    <w:qFormat/>
    <w:rPr>
      <w:rFonts w:asciiTheme="minorHAnsi" w:hAnsiTheme="minorHAnsi" w:eastAsiaTheme="minorEastAsia" w:cstheme="minorBidi"/>
      <w:sz w:val="21"/>
      <w:szCs w:val="22"/>
    </w:rPr>
  </w:style>
  <w:style w:type="character" w:styleId="1025" w:customStyle="1">
    <w:name w:val="font11"/>
    <w:basedOn w:val="1005"/>
    <w:qFormat/>
    <w:rPr>
      <w:rFonts w:hint="eastAsia" w:ascii="宋体" w:hAnsi="宋体" w:eastAsia="宋体" w:cs="宋体"/>
      <w:color w:val="000000"/>
      <w:sz w:val="21"/>
      <w:szCs w:val="21"/>
      <w:u w:val="none"/>
    </w:rPr>
  </w:style>
  <w:style w:type="paragraph" w:styleId="1026">
    <w:name w:val="List Paragraph"/>
    <w:basedOn w:val="1004"/>
    <w:uiPriority w:val="99"/>
    <w:unhideWhenUsed/>
    <w:qFormat/>
    <w:pPr>
      <w:ind w:firstLine="420"/>
    </w:pPr>
  </w:style>
  <w:style w:type="character" w:styleId="1027" w:customStyle="1">
    <w:name w:val="正文文本 字符"/>
    <w:basedOn w:val="1005"/>
    <w:link w:val="1009"/>
    <w:qFormat/>
    <w:rPr>
      <w:sz w:val="21"/>
      <w:szCs w:val="22"/>
    </w:rPr>
  </w:style>
  <w:style w:type="character" w:styleId="1028" w:customStyle="1">
    <w:name w:val="正文文本首行缩进 字符"/>
    <w:basedOn w:val="1027"/>
    <w:link w:val="1015"/>
    <w:uiPriority w:val="99"/>
    <w:qFormat/>
    <w:rPr>
      <w:rFonts w:ascii="宋体" w:hAnsi="宋体" w:eastAsia="宋体" w:cs="Times New Roman"/>
      <w:sz w:val="24"/>
      <w:szCs w:val="24"/>
    </w:rPr>
  </w:style>
  <w:style w:type="paragraph" w:styleId="1029" w:customStyle="1">
    <w:name w:val="Default"/>
    <w:link w:val="1030"/>
    <w:qFormat/>
    <w:pPr>
      <w:widowControl w:val="off"/>
    </w:pPr>
    <w:rPr>
      <w:rFonts w:ascii="Symbol" w:hAnsi="Symbol" w:cs="Symbol"/>
      <w:color w:val="000000"/>
      <w:sz w:val="24"/>
      <w:szCs w:val="24"/>
    </w:rPr>
  </w:style>
  <w:style w:type="character" w:styleId="1030" w:customStyle="1">
    <w:name w:val="Default Char"/>
    <w:link w:val="1029"/>
    <w:qFormat/>
    <w:rPr>
      <w:rFonts w:ascii="Symbol" w:hAnsi="Symbol" w:eastAsia="宋体" w:cs="Symbol"/>
      <w:color w:val="000000"/>
      <w:sz w:val="24"/>
      <w:szCs w:val="24"/>
    </w:rPr>
  </w:style>
  <w:style w:type="paragraph" w:styleId="1031" w:customStyle="1">
    <w:name w:val="修订2"/>
    <w:hidden/>
    <w:uiPriority w:val="99"/>
    <w:unhideWhenUsed/>
    <w:qFormat/>
    <w:rPr>
      <w:rFonts w:asciiTheme="minorHAnsi" w:hAnsiTheme="minorHAnsi" w:eastAsiaTheme="minorEastAsia" w:cstheme="minorBidi"/>
      <w:sz w:val="21"/>
      <w:szCs w:val="22"/>
    </w:rPr>
  </w:style>
  <w:style w:type="paragraph" w:styleId="1032" w:customStyle="1">
    <w:name w:val="修订3"/>
    <w:hidden/>
    <w:uiPriority w:val="99"/>
    <w:unhideWhenUsed/>
    <w:qFormat/>
    <w:rPr>
      <w:rFonts w:asciiTheme="minorHAnsi" w:hAnsiTheme="minorHAnsi" w:eastAsiaTheme="minorEastAsia" w:cstheme="minorBidi"/>
      <w:sz w:val="21"/>
      <w:szCs w:val="22"/>
    </w:rPr>
  </w:style>
  <w:style w:type="character" w:styleId="1033" w:customStyle="1">
    <w:name w:val="fontstyle01"/>
    <w:qFormat/>
    <w:rPr>
      <w:rFonts w:ascii="宋体" w:hAnsi="宋体" w:eastAsia="宋体" w:cs="宋体"/>
      <w:color w:val="000000"/>
      <w:sz w:val="22"/>
      <w:szCs w:val="22"/>
    </w:rPr>
  </w:style>
  <w:style w:type="paragraph" w:styleId="1034" w:customStyle="1">
    <w:name w:val="列表段落1"/>
    <w:basedOn w:val="1004"/>
    <w:uiPriority w:val="34"/>
    <w:qFormat/>
    <w:pPr>
      <w:contextualSpacing/>
      <w:ind w:left="720"/>
      <w:jc w:val="left"/>
      <w:widowControl/>
    </w:pPr>
    <w:rPr>
      <w:rFonts w:ascii="Calibri" w:hAnsi="Calibri" w:eastAsia="宋体" w:cs="Times New Roman"/>
      <w:sz w:val="24"/>
      <w:szCs w:val="24"/>
      <w:lang w:eastAsia="en-US" w:bidi="en-US"/>
    </w:rPr>
  </w:style>
  <w:style w:type="paragraph" w:styleId="1035" w:customStyle="1">
    <w:name w:val="普通正文"/>
    <w:basedOn w:val="1004"/>
    <w:qFormat/>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钟冠华</cp:lastModifiedBy>
  <cp:revision>80</cp:revision>
  <dcterms:created xsi:type="dcterms:W3CDTF">2025-10-12T06:29:00Z</dcterms:created>
  <dcterms:modified xsi:type="dcterms:W3CDTF">2026-06-17T01:26:53Z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24F92EC18AC74C2A9A372CD4B359489C_13</vt:lpwstr>
  </property>
  <property fmtid="{D5CDD505-2E9C-101B-9397-08002B2CF9AE}" pid="4" name="KSOTemplateDocerSaveRecord">
    <vt:lpwstr>eyJoZGlkIjoiZTIxMTJhMjExMzViNzZhOWZlZTNiZWRjMTZjOWViZGMiLCJ1c2VySWQiOiI0NTAwMzkwNDAifQ==</vt:lpwstr>
  </property>
  <property fmtid="{D5CDD505-2E9C-101B-9397-08002B2CF9AE}" pid="5" name="ClassificationContentMarkingFooterShapeIds">
    <vt:lpwstr>53272893,18b2cc99,5755c0d5,7634c09f,736f85d8</vt:lpwstr>
  </property>
  <property fmtid="{D5CDD505-2E9C-101B-9397-08002B2CF9AE}" pid="6" name="ClassificationContentMarkingFooterFontProps">
    <vt:lpwstr>#d89b2b,10,Calibri</vt:lpwstr>
  </property>
  <property fmtid="{D5CDD505-2E9C-101B-9397-08002B2CF9AE}" pid="7" name="ClassificationContentMarkingFooterText">
    <vt:lpwstr>Confidential - Company Proprietary</vt:lpwstr>
  </property>
</Properties>
</file>