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color w:val="auto"/>
          <w:sz w:val="32"/>
          <w:szCs w:val="32"/>
          <w:highlight w:val="none"/>
        </w:rPr>
      </w:pPr>
      <w:r>
        <w:rPr>
          <w:b/>
          <w:color w:val="auto"/>
          <w:sz w:val="32"/>
          <w:szCs w:val="32"/>
          <w:highlight w:val="none"/>
        </w:rPr>
      </w:r>
      <w:r/>
    </w:p>
    <w:p>
      <w:pPr>
        <w:pStyle w:val="1054"/>
        <w:rPr>
          <w:color w:val="auto"/>
          <w:highlight w:val="none"/>
        </w:rPr>
      </w:pPr>
      <w:r>
        <w:rPr>
          <w:color w:val="auto"/>
          <w:highlight w:val="none"/>
        </w:rPr>
      </w:r>
      <w:r/>
    </w:p>
    <w:p>
      <w:pPr>
        <w:rPr>
          <w:b/>
          <w:color w:val="auto"/>
          <w:sz w:val="32"/>
          <w:szCs w:val="32"/>
          <w:highlight w:val="none"/>
        </w:rPr>
      </w:pPr>
      <w:r>
        <w:rPr>
          <w:b/>
          <w:color w:val="auto"/>
          <w:sz w:val="32"/>
          <w:szCs w:val="32"/>
          <w:highlight w:val="none"/>
        </w:rPr>
      </w:r>
      <w:r/>
    </w:p>
    <w:p>
      <w:pPr>
        <w:jc w:val="center"/>
        <w:rPr>
          <w:b/>
          <w:color w:val="auto"/>
          <w:sz w:val="28"/>
          <w:szCs w:val="28"/>
          <w:highlight w:val="none"/>
        </w:rPr>
        <w:outlineLvl w:val="0"/>
      </w:pPr>
      <w:r>
        <w:rPr>
          <w:b/>
          <w:color w:val="auto"/>
          <w:sz w:val="112"/>
          <w:szCs w:val="112"/>
          <w:highlight w:val="none"/>
        </w:rPr>
        <w:t xml:space="preserve">锡山区政府采购</w:t>
      </w:r>
      <w:r/>
    </w:p>
    <w:p>
      <w:pPr>
        <w:pStyle w:val="1022"/>
        <w:jc w:val="center"/>
        <w:spacing w:before="0" w:after="0" w:line="360" w:lineRule="auto"/>
        <w:rPr>
          <w:b w:val="0"/>
          <w:color w:val="auto"/>
          <w:sz w:val="28"/>
          <w:szCs w:val="28"/>
          <w:highlight w:val="none"/>
        </w:rPr>
      </w:pPr>
      <w:r>
        <w:rPr>
          <w:b w:val="0"/>
          <w:color w:val="auto"/>
          <w:sz w:val="72"/>
          <w:szCs w:val="72"/>
          <w:highlight w:val="none"/>
        </w:rPr>
        <w:t xml:space="preserve">公开招标文件</w:t>
      </w:r>
      <w:r/>
    </w:p>
    <w:p>
      <w:pPr>
        <w:pStyle w:val="1022"/>
        <w:jc w:val="center"/>
        <w:spacing w:before="0" w:after="0" w:line="360" w:lineRule="auto"/>
        <w:rPr>
          <w:b w:val="0"/>
          <w:color w:val="auto"/>
          <w:sz w:val="28"/>
          <w:szCs w:val="28"/>
          <w:highlight w:val="none"/>
        </w:rPr>
      </w:pPr>
      <w:r>
        <w:rPr>
          <w:rFonts w:hint="eastAsia"/>
          <w:b w:val="0"/>
          <w:color w:val="auto"/>
          <w:sz w:val="28"/>
          <w:szCs w:val="28"/>
          <w:highlight w:val="none"/>
        </w:rPr>
        <w:t xml:space="preserve">（全流程电子化）</w:t>
      </w:r>
      <w:r/>
    </w:p>
    <w:p>
      <w:pPr>
        <w:rPr>
          <w:b/>
          <w:color w:val="auto"/>
          <w:sz w:val="28"/>
          <w:szCs w:val="28"/>
          <w:highlight w:val="none"/>
        </w:rPr>
      </w:pPr>
      <w:r>
        <w:rPr>
          <w:b/>
          <w:color w:val="auto"/>
          <w:sz w:val="28"/>
          <w:szCs w:val="28"/>
          <w:highlight w:val="none"/>
        </w:rPr>
      </w:r>
      <w:r/>
    </w:p>
    <w:p>
      <w:pPr>
        <w:pStyle w:val="1121"/>
        <w:ind w:firstLine="562"/>
        <w:rPr>
          <w:b/>
          <w:color w:val="auto"/>
          <w:sz w:val="28"/>
          <w:szCs w:val="28"/>
          <w:highlight w:val="none"/>
        </w:rPr>
      </w:pPr>
      <w:r>
        <w:rPr>
          <w:b/>
          <w:color w:val="auto"/>
          <w:sz w:val="28"/>
          <w:szCs w:val="28"/>
          <w:highlight w:val="none"/>
        </w:rPr>
      </w:r>
      <w:r/>
    </w:p>
    <w:p>
      <w:pPr>
        <w:pStyle w:val="1121"/>
        <w:ind w:firstLine="562"/>
        <w:rPr>
          <w:b/>
          <w:color w:val="auto"/>
          <w:sz w:val="28"/>
          <w:szCs w:val="28"/>
          <w:highlight w:val="none"/>
        </w:rPr>
      </w:pPr>
      <w:r>
        <w:rPr>
          <w:b/>
          <w:color w:val="auto"/>
          <w:sz w:val="28"/>
          <w:szCs w:val="28"/>
          <w:highlight w:val="none"/>
        </w:rPr>
      </w:r>
      <w:r/>
    </w:p>
    <w:p>
      <w:pPr>
        <w:rPr>
          <w:rFonts w:hint="eastAsia" w:eastAsia="宋体"/>
          <w:color w:val="auto"/>
          <w:sz w:val="32"/>
          <w:szCs w:val="32"/>
          <w:highlight w:val="none"/>
          <w:lang w:eastAsia="zh-CN"/>
        </w:rPr>
        <w:outlineLvl w:val="0"/>
      </w:pPr>
      <w:r>
        <w:rPr>
          <w:b/>
          <w:color w:val="auto"/>
          <w:spacing w:val="108"/>
          <w:sz w:val="32"/>
          <w:szCs w:val="32"/>
          <w:highlight w:val="none"/>
        </w:rPr>
        <w:t xml:space="preserve">项目名</w:t>
      </w:r>
      <w:r>
        <w:rPr>
          <w:b/>
          <w:color w:val="auto"/>
          <w:sz w:val="32"/>
          <w:szCs w:val="32"/>
          <w:highlight w:val="none"/>
        </w:rPr>
        <w:t xml:space="preserve">称：</w:t>
      </w:r>
      <w:r>
        <w:rPr>
          <w:rFonts w:hint="eastAsia"/>
          <w:b/>
          <w:color w:val="auto"/>
          <w:sz w:val="32"/>
          <w:szCs w:val="32"/>
          <w:highlight w:val="none"/>
          <w:lang w:eastAsia="zh-CN"/>
        </w:rPr>
        <w:t xml:space="preserve">江苏省锡东高级中学大成分校实验室采购项目</w:t>
      </w:r>
      <w:r/>
    </w:p>
    <w:p>
      <w:pPr>
        <w:jc w:val="left"/>
        <w:rPr>
          <w:rFonts w:hint="eastAsia" w:eastAsia="宋体"/>
          <w:b/>
          <w:color w:val="auto"/>
          <w:sz w:val="32"/>
          <w:szCs w:val="32"/>
          <w:highlight w:val="none"/>
          <w:lang w:eastAsia="zh-CN"/>
        </w:rPr>
        <w:outlineLvl w:val="0"/>
      </w:pPr>
      <w:r>
        <w:rPr>
          <w:b/>
          <w:color w:val="auto"/>
          <w:spacing w:val="108"/>
          <w:sz w:val="32"/>
          <w:szCs w:val="32"/>
          <w:highlight w:val="none"/>
        </w:rPr>
        <w:t xml:space="preserve">项目编</w:t>
      </w:r>
      <w:r>
        <w:rPr>
          <w:b/>
          <w:color w:val="auto"/>
          <w:sz w:val="32"/>
          <w:szCs w:val="32"/>
          <w:highlight w:val="none"/>
        </w:rPr>
        <w:t xml:space="preserve">号：</w:t>
      </w:r>
      <w:r>
        <w:rPr>
          <w:rFonts w:hint="eastAsia" w:cs="Times New Roman"/>
          <w:b/>
          <w:i w:val="0"/>
          <w:iCs w:val="0"/>
          <w:caps w:val="0"/>
          <w:color w:val="auto"/>
          <w:spacing w:val="0"/>
          <w:sz w:val="32"/>
          <w:szCs w:val="32"/>
          <w:highlight w:val="none"/>
          <w:shd w:val="clear" w:color="auto"/>
          <w:lang w:eastAsia="zh-CN"/>
        </w:rPr>
        <w:t xml:space="preserve">JSZC-320205-WXXG-G2026-0010</w:t>
      </w:r>
      <w:r/>
    </w:p>
    <w:p>
      <w:pPr>
        <w:jc w:val="left"/>
        <w:rPr>
          <w:rFonts w:hint="eastAsia" w:eastAsia="宋体"/>
          <w:b/>
          <w:color w:val="auto"/>
          <w:sz w:val="32"/>
          <w:szCs w:val="32"/>
          <w:highlight w:val="none"/>
          <w:lang w:eastAsia="zh-CN"/>
        </w:rPr>
        <w:outlineLvl w:val="0"/>
      </w:pPr>
      <w:r>
        <w:rPr>
          <w:rFonts w:hint="eastAsia"/>
          <w:b/>
          <w:color w:val="auto"/>
          <w:spacing w:val="108"/>
          <w:sz w:val="32"/>
          <w:szCs w:val="32"/>
          <w:highlight w:val="none"/>
        </w:rPr>
        <w:t xml:space="preserve">采购人</w:t>
      </w:r>
      <w:r>
        <w:rPr>
          <w:b/>
          <w:color w:val="auto"/>
          <w:sz w:val="32"/>
          <w:szCs w:val="32"/>
          <w:highlight w:val="none"/>
        </w:rPr>
        <w:t xml:space="preserve">：</w:t>
      </w:r>
      <w:r>
        <w:rPr>
          <w:rFonts w:hint="eastAsia"/>
          <w:b/>
          <w:color w:val="auto"/>
          <w:sz w:val="32"/>
          <w:szCs w:val="32"/>
          <w:highlight w:val="none"/>
          <w:lang w:eastAsia="zh-CN"/>
        </w:rPr>
        <w:t xml:space="preserve">江苏省锡东高级中学大成分校</w:t>
      </w:r>
      <w:r/>
    </w:p>
    <w:p>
      <w:pPr>
        <w:jc w:val="left"/>
        <w:rPr>
          <w:rFonts w:hint="eastAsia" w:eastAsia="宋体"/>
          <w:b/>
          <w:color w:val="auto"/>
          <w:sz w:val="32"/>
          <w:szCs w:val="32"/>
          <w:highlight w:val="none"/>
          <w:lang w:eastAsia="zh-CN"/>
        </w:rPr>
        <w:outlineLvl w:val="0"/>
      </w:pPr>
      <w:r>
        <w:rPr>
          <w:b/>
          <w:color w:val="auto"/>
          <w:sz w:val="32"/>
          <w:szCs w:val="32"/>
          <w:highlight w:val="none"/>
        </w:rPr>
        <w:t xml:space="preserve">采购</w:t>
      </w:r>
      <w:r>
        <w:rPr>
          <w:rFonts w:hint="eastAsia"/>
          <w:b/>
          <w:color w:val="auto"/>
          <w:sz w:val="32"/>
          <w:szCs w:val="32"/>
          <w:highlight w:val="none"/>
        </w:rPr>
        <w:t xml:space="preserve">代理</w:t>
      </w:r>
      <w:r>
        <w:rPr>
          <w:b/>
          <w:color w:val="auto"/>
          <w:sz w:val="32"/>
          <w:szCs w:val="32"/>
          <w:highlight w:val="none"/>
        </w:rPr>
        <w:t xml:space="preserve">机构：</w:t>
      </w:r>
      <w:r>
        <w:rPr>
          <w:rFonts w:hint="eastAsia"/>
          <w:b/>
          <w:color w:val="auto"/>
          <w:sz w:val="32"/>
          <w:szCs w:val="32"/>
          <w:highlight w:val="none"/>
          <w:lang w:eastAsia="zh-CN"/>
        </w:rPr>
        <w:t xml:space="preserve">江苏新桂工程咨询有限公司</w:t>
      </w:r>
      <w:r/>
    </w:p>
    <w:p>
      <w:pPr>
        <w:pStyle w:val="1054"/>
        <w:rPr>
          <w:color w:val="auto"/>
          <w:highlight w:val="none"/>
        </w:rPr>
      </w:pPr>
      <w:r>
        <w:rPr>
          <w:rFonts w:hint="eastAsia"/>
          <w:b/>
          <w:color w:val="auto"/>
          <w:sz w:val="32"/>
          <w:szCs w:val="32"/>
          <w:highlight w:val="none"/>
        </w:rPr>
        <w:t xml:space="preserve">    </w:t>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jc w:val="center"/>
        <w:rPr>
          <w:b/>
          <w:color w:val="auto"/>
          <w:sz w:val="32"/>
          <w:szCs w:val="32"/>
          <w:highlight w:val="none"/>
        </w:rPr>
      </w:pPr>
      <w:r>
        <w:rPr>
          <w:b/>
          <w:color w:val="auto"/>
          <w:sz w:val="32"/>
          <w:szCs w:val="32"/>
          <w:highlight w:val="none"/>
        </w:rPr>
        <w:t xml:space="preserve">二</w:t>
      </w:r>
      <w:r>
        <w:rPr>
          <w:rFonts w:hint="eastAsia"/>
          <w:b/>
          <w:color w:val="auto"/>
          <w:sz w:val="32"/>
          <w:szCs w:val="32"/>
          <w:highlight w:val="none"/>
        </w:rPr>
        <w:t xml:space="preserve">〇</w:t>
      </w:r>
      <w:r>
        <w:rPr>
          <w:b/>
          <w:color w:val="auto"/>
          <w:sz w:val="32"/>
          <w:szCs w:val="32"/>
          <w:highlight w:val="none"/>
        </w:rPr>
        <w:t xml:space="preserve">二</w:t>
      </w:r>
      <w:r>
        <w:rPr>
          <w:rFonts w:hint="eastAsia"/>
          <w:b/>
          <w:color w:val="auto"/>
          <w:sz w:val="32"/>
          <w:szCs w:val="32"/>
          <w:highlight w:val="none"/>
        </w:rPr>
        <w:t xml:space="preserve">六</w:t>
      </w:r>
      <w:r>
        <w:rPr>
          <w:b/>
          <w:color w:val="auto"/>
          <w:sz w:val="32"/>
          <w:szCs w:val="32"/>
          <w:highlight w:val="none"/>
        </w:rPr>
        <w:t xml:space="preserve">年</w:t>
      </w:r>
      <w:r>
        <w:rPr>
          <w:rFonts w:hint="eastAsia"/>
          <w:b/>
          <w:color w:val="auto"/>
          <w:sz w:val="32"/>
          <w:szCs w:val="32"/>
          <w:highlight w:val="none"/>
          <w:lang w:val="en-US" w:eastAsia="zh-CN"/>
        </w:rPr>
        <w:t xml:space="preserve">五</w:t>
      </w:r>
      <w:r>
        <w:rPr>
          <w:rFonts w:hint="eastAsia"/>
          <w:b/>
          <w:color w:val="auto"/>
          <w:sz w:val="32"/>
          <w:szCs w:val="32"/>
          <w:highlight w:val="none"/>
        </w:rPr>
        <w:t xml:space="preserve">月</w:t>
      </w:r>
      <w:r/>
    </w:p>
    <w:p>
      <w:pPr>
        <w:pStyle w:val="1068"/>
        <w:jc w:val="center"/>
        <w:rPr>
          <w:b/>
          <w:bCs/>
          <w:color w:val="auto"/>
          <w:sz w:val="52"/>
          <w:szCs w:val="52"/>
          <w:highlight w:val="none"/>
        </w:rPr>
        <w:outlineLvl w:val="0"/>
      </w:pPr>
      <w:r>
        <w:rPr>
          <w:b/>
          <w:bCs/>
          <w:color w:val="auto"/>
          <w:sz w:val="52"/>
          <w:szCs w:val="52"/>
          <w:highlight w:val="none"/>
        </w:rPr>
        <w:br w:type="page" w:clear="all"/>
      </w:r>
      <w:r>
        <w:rPr>
          <w:b/>
          <w:bCs/>
          <w:color w:val="auto"/>
          <w:sz w:val="52"/>
          <w:szCs w:val="52"/>
          <w:highlight w:val="none"/>
        </w:rPr>
        <w:t xml:space="preserve">目    录</w:t>
      </w:r>
      <w:r/>
    </w:p>
    <w:p>
      <w:pPr>
        <w:pStyle w:val="1080"/>
        <w:spacing w:before="0" w:after="0"/>
        <w:rPr>
          <w:color w:val="auto"/>
          <w:highlight w:val="none"/>
        </w:rPr>
      </w:pPr>
      <w:r>
        <w:rPr>
          <w:color w:val="auto"/>
          <w:highlight w:val="none"/>
        </w:rPr>
      </w:r>
      <w:r/>
    </w:p>
    <w:p>
      <w:pPr>
        <w:pStyle w:val="1095"/>
        <w:ind w:left="0" w:firstLine="0"/>
        <w:rPr>
          <w:rStyle w:val="1109"/>
          <w:rFonts w:ascii="宋体" w:hAnsi="宋体"/>
          <w:color w:val="auto"/>
          <w:sz w:val="24"/>
          <w:highlight w:val="none"/>
        </w:rPr>
      </w:pPr>
      <w:r>
        <w:rPr>
          <w:rStyle w:val="1109"/>
          <w:rFonts w:ascii="宋体" w:hAnsi="宋体"/>
          <w:color w:val="auto"/>
          <w:sz w:val="24"/>
          <w:highlight w:val="none"/>
        </w:rPr>
        <w:t xml:space="preserve">一、投标邀请函</w:t>
      </w:r>
      <w:r>
        <w:rPr>
          <w:rStyle w:val="1109"/>
          <w:rFonts w:hint="eastAsia" w:ascii="宋体" w:hAnsi="宋体"/>
          <w:color w:val="auto"/>
          <w:sz w:val="24"/>
          <w:highlight w:val="none"/>
        </w:rPr>
        <w:t xml:space="preserve"> </w:t>
      </w:r>
      <w:r>
        <w:rPr>
          <w:rStyle w:val="1109"/>
          <w:rFonts w:ascii="宋体" w:hAnsi="宋体"/>
          <w:color w:val="auto"/>
          <w:sz w:val="24"/>
          <w:highlight w:val="none"/>
        </w:rPr>
        <w:t xml:space="preserve">………………………………………………………………………… </w:t>
      </w:r>
      <w:r>
        <w:rPr>
          <w:rStyle w:val="1109"/>
          <w:rFonts w:hint="eastAsia" w:ascii="宋体" w:hAnsi="宋体"/>
          <w:color w:val="auto"/>
          <w:sz w:val="24"/>
          <w:highlight w:val="none"/>
        </w:rPr>
        <w:t xml:space="preserve">3</w:t>
      </w:r>
      <w:r/>
    </w:p>
    <w:p>
      <w:pPr>
        <w:rPr>
          <w:rStyle w:val="1109"/>
          <w:rFonts w:ascii="宋体" w:hAnsi="宋体"/>
          <w:smallCaps/>
          <w:color w:val="auto"/>
          <w:sz w:val="24"/>
          <w:highlight w:val="none"/>
        </w:rPr>
      </w:pPr>
      <w:r>
        <w:rPr>
          <w:rFonts w:ascii="宋体" w:hAnsi="宋体"/>
          <w:smallCaps/>
          <w:color w:val="auto"/>
          <w:sz w:val="24"/>
          <w:highlight w:val="none"/>
        </w:rPr>
      </w:r>
      <w:r/>
    </w:p>
    <w:p>
      <w:pPr>
        <w:pStyle w:val="1095"/>
        <w:ind w:left="0" w:firstLine="0"/>
        <w:rPr>
          <w:rStyle w:val="1109"/>
          <w:rFonts w:hint="eastAsia" w:ascii="宋体" w:hAnsi="宋体" w:eastAsia="宋体"/>
          <w:color w:val="auto"/>
          <w:sz w:val="24"/>
          <w:highlight w:val="none"/>
          <w:lang w:eastAsia="zh-CN"/>
        </w:rPr>
      </w:pPr>
      <w:r>
        <w:rPr>
          <w:rStyle w:val="1109"/>
          <w:rFonts w:ascii="宋体" w:hAnsi="宋体"/>
          <w:color w:val="auto"/>
          <w:sz w:val="24"/>
          <w:highlight w:val="none"/>
        </w:rPr>
        <w:t xml:space="preserve">二、</w:t>
      </w:r>
      <w:r>
        <w:rPr>
          <w:rStyle w:val="1109"/>
          <w:rFonts w:hint="eastAsia" w:ascii="宋体" w:hAnsi="宋体"/>
          <w:color w:val="auto"/>
          <w:sz w:val="24"/>
          <w:highlight w:val="none"/>
        </w:rPr>
        <w:t xml:space="preserve">投标供应商</w:t>
      </w:r>
      <w:r>
        <w:rPr>
          <w:rStyle w:val="1109"/>
          <w:rFonts w:ascii="宋体" w:hAnsi="宋体"/>
          <w:color w:val="auto"/>
          <w:sz w:val="24"/>
          <w:highlight w:val="none"/>
        </w:rPr>
        <w:t xml:space="preserve">须知</w:t>
      </w:r>
      <w:r>
        <w:rPr>
          <w:rStyle w:val="1109"/>
          <w:rFonts w:hint="eastAsia" w:ascii="宋体" w:hAnsi="宋体"/>
          <w:color w:val="auto"/>
          <w:sz w:val="24"/>
          <w:highlight w:val="none"/>
        </w:rPr>
        <w:t xml:space="preserve"> </w:t>
      </w:r>
      <w:r>
        <w:rPr>
          <w:rStyle w:val="1109"/>
          <w:rFonts w:ascii="宋体" w:hAnsi="宋体"/>
          <w:color w:val="auto"/>
          <w:sz w:val="24"/>
          <w:highlight w:val="none"/>
        </w:rPr>
        <w:t xml:space="preserve">……………………………………………………………………</w:t>
      </w:r>
      <w:r>
        <w:rPr>
          <w:rStyle w:val="1109"/>
          <w:rFonts w:hint="eastAsia" w:ascii="宋体" w:hAnsi="宋体"/>
          <w:color w:val="auto"/>
          <w:sz w:val="24"/>
          <w:highlight w:val="none"/>
        </w:rPr>
        <w:t xml:space="preserve"> </w:t>
      </w:r>
      <w:r>
        <w:rPr>
          <w:rStyle w:val="1109"/>
          <w:rFonts w:hint="eastAsia" w:ascii="宋体" w:hAnsi="宋体"/>
          <w:color w:val="auto"/>
          <w:sz w:val="24"/>
          <w:highlight w:val="none"/>
          <w:lang w:val="en-US" w:eastAsia="zh-CN"/>
        </w:rPr>
        <w:t xml:space="preserve">6</w:t>
      </w:r>
      <w:r/>
    </w:p>
    <w:p>
      <w:pPr>
        <w:pStyle w:val="1095"/>
        <w:ind w:left="0" w:firstLine="0"/>
        <w:rPr>
          <w:rStyle w:val="1109"/>
          <w:rFonts w:ascii="宋体" w:hAnsi="宋体"/>
          <w:color w:val="auto"/>
          <w:sz w:val="24"/>
          <w:highlight w:val="none"/>
        </w:rPr>
      </w:pPr>
      <w:r>
        <w:rPr>
          <w:rFonts w:ascii="宋体" w:hAnsi="宋体"/>
          <w:color w:val="auto"/>
          <w:sz w:val="24"/>
          <w:highlight w:val="none"/>
        </w:rPr>
      </w:r>
      <w:r/>
    </w:p>
    <w:p>
      <w:pPr>
        <w:pStyle w:val="1095"/>
        <w:ind w:left="0" w:firstLine="0"/>
        <w:rPr>
          <w:rStyle w:val="1109"/>
          <w:rFonts w:hint="eastAsia" w:ascii="宋体" w:hAnsi="宋体" w:eastAsia="宋体"/>
          <w:color w:val="auto"/>
          <w:sz w:val="24"/>
          <w:highlight w:val="none"/>
          <w:lang w:eastAsia="zh-CN"/>
        </w:rPr>
      </w:pPr>
      <w:r>
        <w:rPr>
          <w:rStyle w:val="1109"/>
          <w:rFonts w:ascii="宋体" w:hAnsi="宋体"/>
          <w:color w:val="auto"/>
          <w:sz w:val="24"/>
          <w:highlight w:val="none"/>
        </w:rPr>
        <w:t xml:space="preserve">三、项目</w:t>
      </w:r>
      <w:r>
        <w:rPr>
          <w:rStyle w:val="1109"/>
          <w:rFonts w:hint="eastAsia" w:ascii="宋体" w:hAnsi="宋体"/>
          <w:color w:val="auto"/>
          <w:sz w:val="24"/>
          <w:highlight w:val="none"/>
        </w:rPr>
        <w:t xml:space="preserve">技术</w:t>
      </w:r>
      <w:r>
        <w:rPr>
          <w:rStyle w:val="1109"/>
          <w:rFonts w:ascii="宋体" w:hAnsi="宋体"/>
          <w:color w:val="auto"/>
          <w:sz w:val="24"/>
          <w:highlight w:val="none"/>
        </w:rPr>
        <w:t xml:space="preserve">要求和有关说明…………………………………………………………</w:t>
      </w:r>
      <w:r>
        <w:rPr>
          <w:rStyle w:val="1109"/>
          <w:rFonts w:hint="eastAsia" w:ascii="宋体" w:hAnsi="宋体"/>
          <w:color w:val="auto"/>
          <w:sz w:val="24"/>
          <w:highlight w:val="none"/>
        </w:rPr>
        <w:t xml:space="preserve"> 2</w:t>
      </w:r>
      <w:r>
        <w:rPr>
          <w:rStyle w:val="1109"/>
          <w:rFonts w:hint="eastAsia" w:ascii="宋体" w:hAnsi="宋体"/>
          <w:color w:val="auto"/>
          <w:sz w:val="24"/>
          <w:highlight w:val="none"/>
          <w:lang w:val="en-US" w:eastAsia="zh-CN"/>
        </w:rPr>
        <w:t xml:space="preserve">0</w:t>
      </w:r>
      <w:r/>
    </w:p>
    <w:p>
      <w:pPr>
        <w:rPr>
          <w:rStyle w:val="1109"/>
          <w:rFonts w:ascii="宋体" w:hAnsi="宋体"/>
          <w:smallCaps/>
          <w:color w:val="auto"/>
          <w:sz w:val="24"/>
          <w:highlight w:val="none"/>
        </w:rPr>
      </w:pPr>
      <w:r>
        <w:rPr>
          <w:rFonts w:ascii="宋体" w:hAnsi="宋体"/>
          <w:smallCaps/>
          <w:color w:val="auto"/>
          <w:sz w:val="24"/>
          <w:highlight w:val="none"/>
        </w:rPr>
      </w:r>
      <w:r/>
    </w:p>
    <w:p>
      <w:pPr>
        <w:pStyle w:val="1095"/>
        <w:ind w:left="0" w:firstLine="0"/>
        <w:rPr>
          <w:rStyle w:val="1109"/>
          <w:rFonts w:hint="default" w:ascii="宋体" w:hAnsi="宋体" w:eastAsia="宋体"/>
          <w:color w:val="auto"/>
          <w:sz w:val="24"/>
          <w:highlight w:val="none"/>
          <w:lang w:val="en-US" w:eastAsia="zh-CN"/>
        </w:rPr>
      </w:pPr>
      <w:r>
        <w:rPr>
          <w:rStyle w:val="1109"/>
          <w:rFonts w:hint="eastAsia" w:ascii="宋体" w:hAnsi="宋体"/>
          <w:color w:val="auto"/>
          <w:sz w:val="24"/>
          <w:highlight w:val="none"/>
        </w:rPr>
        <w:t xml:space="preserve">四</w:t>
      </w:r>
      <w:r>
        <w:rPr>
          <w:rStyle w:val="1109"/>
          <w:rFonts w:ascii="宋体" w:hAnsi="宋体"/>
          <w:color w:val="auto"/>
          <w:sz w:val="24"/>
          <w:highlight w:val="none"/>
        </w:rPr>
        <w:t xml:space="preserve">、合同</w:t>
      </w:r>
      <w:r>
        <w:rPr>
          <w:rStyle w:val="1109"/>
          <w:rFonts w:hint="eastAsia" w:ascii="宋体" w:hAnsi="宋体"/>
          <w:color w:val="auto"/>
          <w:sz w:val="24"/>
          <w:highlight w:val="none"/>
        </w:rPr>
        <w:t xml:space="preserve">书（格式文本）</w:t>
      </w:r>
      <w:r>
        <w:rPr>
          <w:rStyle w:val="1109"/>
          <w:rFonts w:ascii="宋体" w:hAnsi="宋体"/>
          <w:color w:val="auto"/>
          <w:sz w:val="24"/>
          <w:highlight w:val="none"/>
        </w:rPr>
        <w:t xml:space="preserve">………………………………………………………………</w:t>
      </w:r>
      <w:r>
        <w:rPr>
          <w:rStyle w:val="1109"/>
          <w:rFonts w:hint="eastAsia" w:ascii="宋体" w:hAnsi="宋体"/>
          <w:color w:val="auto"/>
          <w:sz w:val="24"/>
          <w:highlight w:val="none"/>
        </w:rPr>
        <w:t xml:space="preserve"> </w:t>
      </w:r>
      <w:r>
        <w:rPr>
          <w:rStyle w:val="1109"/>
          <w:rFonts w:hint="eastAsia" w:ascii="宋体" w:hAnsi="宋体"/>
          <w:color w:val="auto"/>
          <w:sz w:val="24"/>
          <w:highlight w:val="none"/>
          <w:lang w:val="en-US" w:eastAsia="zh-CN"/>
        </w:rPr>
        <w:t xml:space="preserve">176</w:t>
      </w:r>
      <w:r/>
    </w:p>
    <w:p>
      <w:pPr>
        <w:pStyle w:val="1095"/>
        <w:ind w:left="0" w:firstLine="0"/>
        <w:rPr>
          <w:rStyle w:val="1109"/>
          <w:rFonts w:ascii="宋体" w:hAnsi="宋体"/>
          <w:color w:val="auto"/>
          <w:sz w:val="24"/>
          <w:highlight w:val="none"/>
        </w:rPr>
      </w:pPr>
      <w:r>
        <w:rPr>
          <w:rFonts w:ascii="宋体" w:hAnsi="宋体"/>
          <w:color w:val="auto"/>
          <w:sz w:val="24"/>
          <w:highlight w:val="none"/>
        </w:rPr>
      </w:r>
      <w:r/>
    </w:p>
    <w:p>
      <w:pPr>
        <w:pStyle w:val="1095"/>
        <w:ind w:left="0" w:firstLine="0"/>
        <w:rPr>
          <w:rStyle w:val="1109"/>
          <w:rFonts w:hint="default" w:ascii="宋体" w:hAnsi="宋体" w:eastAsia="宋体"/>
          <w:color w:val="auto"/>
          <w:sz w:val="24"/>
          <w:highlight w:val="none"/>
          <w:lang w:val="en-US" w:eastAsia="zh-CN"/>
        </w:rPr>
      </w:pPr>
      <w:r>
        <w:rPr>
          <w:rStyle w:val="1109"/>
          <w:rFonts w:hint="eastAsia" w:ascii="宋体" w:hAnsi="宋体"/>
          <w:color w:val="auto"/>
          <w:sz w:val="24"/>
          <w:highlight w:val="none"/>
        </w:rPr>
        <w:t xml:space="preserve">五、</w:t>
      </w:r>
      <w:r>
        <w:rPr>
          <w:rStyle w:val="1109"/>
          <w:rFonts w:ascii="宋体" w:hAnsi="宋体"/>
          <w:color w:val="auto"/>
          <w:sz w:val="24"/>
          <w:highlight w:val="none"/>
        </w:rPr>
        <w:t xml:space="preserve">附件…………………………………………………………………………………</w:t>
      </w:r>
      <w:r>
        <w:rPr>
          <w:rStyle w:val="1109"/>
          <w:rFonts w:hint="eastAsia" w:ascii="宋体" w:hAnsi="宋体"/>
          <w:color w:val="auto"/>
          <w:sz w:val="24"/>
          <w:highlight w:val="none"/>
        </w:rPr>
        <w:t xml:space="preserve"> </w:t>
      </w:r>
      <w:r>
        <w:rPr>
          <w:rStyle w:val="1109"/>
          <w:rFonts w:hint="eastAsia" w:ascii="宋体" w:hAnsi="宋体"/>
          <w:color w:val="auto"/>
          <w:sz w:val="24"/>
          <w:highlight w:val="none"/>
          <w:lang w:val="en-US" w:eastAsia="zh-CN"/>
        </w:rPr>
        <w:t xml:space="preserve">190</w:t>
      </w:r>
      <w:r/>
    </w:p>
    <w:p>
      <w:pPr>
        <w:rPr>
          <w:color w:val="auto"/>
          <w:highlight w:val="none"/>
        </w:rPr>
      </w:pPr>
      <w:r>
        <w:rPr>
          <w:color w:val="auto"/>
          <w:highlight w:val="none"/>
        </w:rPr>
      </w:r>
      <w:r/>
    </w:p>
    <w:p>
      <w:pPr>
        <w:jc w:val="center"/>
        <w:rPr>
          <w:rFonts w:eastAsia="黑体"/>
          <w:bCs/>
          <w:color w:val="auto"/>
          <w:sz w:val="24"/>
          <w:szCs w:val="24"/>
          <w:highlight w:val="none"/>
        </w:rPr>
      </w:pPr>
      <w:r>
        <w:rPr>
          <w:rFonts w:eastAsia="黑体"/>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rPr>
          <w:rFonts w:eastAsia="黑体"/>
          <w:bCs/>
          <w:color w:val="auto"/>
          <w:sz w:val="28"/>
          <w:szCs w:val="28"/>
          <w:highlight w:val="none"/>
        </w:rPr>
      </w:pPr>
      <w:r>
        <w:rPr>
          <w:rFonts w:eastAsia="黑体"/>
          <w:bCs/>
          <w:color w:val="auto"/>
          <w:sz w:val="28"/>
          <w:szCs w:val="28"/>
          <w:highlight w:val="none"/>
        </w:rPr>
      </w:r>
      <w:r/>
    </w:p>
    <w:p>
      <w:pPr>
        <w:pStyle w:val="1382"/>
        <w:rPr>
          <w:color w:val="auto"/>
          <w:highlight w:val="none"/>
        </w:rPr>
      </w:pPr>
      <w:r>
        <w:rPr>
          <w:color w:val="auto"/>
          <w:highlight w:val="none"/>
        </w:rPr>
      </w:r>
      <w:r/>
    </w:p>
    <w:p>
      <w:pPr>
        <w:pStyle w:val="1021"/>
        <w:rPr>
          <w:color w:val="auto"/>
          <w:sz w:val="36"/>
          <w:szCs w:val="28"/>
          <w:highlight w:val="none"/>
        </w:rPr>
      </w:pPr>
      <w:r>
        <w:rPr>
          <w:color w:val="auto"/>
          <w:sz w:val="36"/>
          <w:szCs w:val="28"/>
          <w:highlight w:val="none"/>
        </w:rPr>
        <w:br w:type="page" w:clear="all"/>
      </w:r>
      <w:r>
        <w:rPr>
          <w:color w:val="auto"/>
          <w:sz w:val="36"/>
          <w:szCs w:val="28"/>
          <w:highlight w:val="none"/>
        </w:rPr>
        <w:t xml:space="preserve">一、投标邀请函</w:t>
      </w:r>
      <w:r/>
    </w:p>
    <w:p>
      <w:pPr>
        <w:ind w:firstLine="480"/>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江苏省锡东高级中学大成分校</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江苏省锡东高级中学大成分校实验室采购项目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p>
    <w:p>
      <w:pPr>
        <w:ind w:firstLine="42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bCs/>
          <w:color w:val="auto"/>
          <w:sz w:val="24"/>
          <w:szCs w:val="24"/>
          <w:highlight w:val="none"/>
          <w:lang w:eastAsia="zh-CN"/>
        </w:rPr>
        <w:t xml:space="preserve">江苏省锡东高级中学大成分校实验室采购项目</w:t>
      </w:r>
      <w:r/>
    </w:p>
    <w:p>
      <w:pPr>
        <w:ind w:firstLine="42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JSZC-320205-WXXG-G2026-0010</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4.项目预算金额：</w:t>
      </w:r>
      <w:r>
        <w:rPr>
          <w:rFonts w:hint="eastAsia" w:ascii="宋体" w:hAnsi="宋体" w:cs="宋体"/>
          <w:color w:val="auto"/>
          <w:sz w:val="24"/>
          <w:szCs w:val="24"/>
          <w:highlight w:val="none"/>
          <w:lang w:val="en-US" w:eastAsia="zh-CN"/>
        </w:rPr>
        <w:t xml:space="preserve">374.32</w:t>
      </w:r>
      <w:r>
        <w:rPr>
          <w:rFonts w:hint="eastAsia" w:ascii="宋体" w:hAnsi="宋体" w:cs="宋体"/>
          <w:color w:val="auto"/>
          <w:sz w:val="24"/>
          <w:szCs w:val="24"/>
          <w:highlight w:val="none"/>
        </w:rPr>
        <w:t xml:space="preserve">万元。投标最高限价：</w:t>
      </w:r>
      <w:r>
        <w:rPr>
          <w:rFonts w:hint="eastAsia" w:ascii="宋体" w:hAnsi="宋体" w:cs="宋体"/>
          <w:color w:val="auto"/>
          <w:sz w:val="24"/>
          <w:szCs w:val="24"/>
          <w:highlight w:val="none"/>
          <w:lang w:val="en-US" w:eastAsia="zh-CN"/>
        </w:rPr>
        <w:t xml:space="preserve">374.32</w:t>
      </w:r>
      <w:r>
        <w:rPr>
          <w:rFonts w:hint="eastAsia" w:ascii="宋体" w:hAnsi="宋体" w:cs="宋体"/>
          <w:color w:val="auto"/>
          <w:sz w:val="24"/>
          <w:szCs w:val="24"/>
          <w:highlight w:val="none"/>
        </w:rPr>
        <w:t xml:space="preserve">万元。供应商的投标总价在最高限价以内的为有效报价，</w:t>
      </w:r>
      <w:r>
        <w:rPr>
          <w:rFonts w:hint="eastAsia" w:ascii="宋体" w:hAnsi="宋体"/>
          <w:bCs/>
          <w:color w:val="auto"/>
          <w:sz w:val="24"/>
          <w:highlight w:val="none"/>
          <w:lang w:val="zh-CN"/>
        </w:rPr>
        <w:t xml:space="preserve">超过</w:t>
      </w:r>
      <w:r>
        <w:rPr>
          <w:rFonts w:hint="eastAsia" w:ascii="宋体" w:hAnsi="宋体" w:cs="宋体"/>
          <w:color w:val="auto"/>
          <w:sz w:val="24"/>
          <w:szCs w:val="24"/>
          <w:highlight w:val="none"/>
          <w:lang w:val="zh-CN"/>
        </w:rPr>
        <w:t xml:space="preserve">最高限价的</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文件无效</w:t>
      </w:r>
      <w:r>
        <w:rPr>
          <w:rFonts w:hint="eastAsia" w:ascii="宋体" w:hAnsi="宋体" w:cs="宋体"/>
          <w:color w:val="auto"/>
          <w:sz w:val="24"/>
          <w:szCs w:val="24"/>
          <w:highlight w:val="none"/>
        </w:rPr>
        <w:t xml:space="preserve">；</w:t>
      </w:r>
      <w:r/>
    </w:p>
    <w:p>
      <w:pPr>
        <w:pStyle w:val="873"/>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5.供货期：合同签订后30日历天内到货并安装完毕交付使用。</w:t>
      </w:r>
      <w:r/>
    </w:p>
    <w:p>
      <w:pPr>
        <w:pStyle w:val="873"/>
        <w:rPr>
          <w:rFonts w:ascii="宋体" w:hAnsi="宋体" w:cs="宋体"/>
          <w:color w:val="auto"/>
          <w:sz w:val="24"/>
          <w:szCs w:val="24"/>
          <w:highlight w:val="none"/>
        </w:rPr>
      </w:pPr>
      <w:r>
        <w:rPr>
          <w:rFonts w:hint="eastAsia" w:ascii="宋体" w:hAnsi="宋体" w:cs="宋体"/>
          <w:color w:val="auto"/>
          <w:sz w:val="24"/>
          <w:szCs w:val="24"/>
          <w:highlight w:val="none"/>
        </w:rPr>
        <w:t xml:space="preserve">4.项目整体免费质保期：自验收合格之日起3年</w:t>
      </w:r>
      <w:r>
        <w:rPr>
          <w:rFonts w:hint="eastAsia" w:hAnsi="宋体"/>
          <w:color w:val="auto"/>
          <w:sz w:val="24"/>
          <w:szCs w:val="24"/>
          <w:highlight w:val="none"/>
        </w:rPr>
        <w:t xml:space="preserve">。</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工业（制造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w:t>
      </w:r>
      <w:r>
        <w:rPr>
          <w:rFonts w:hint="eastAsia" w:ascii="宋体" w:hAnsi="宋体" w:cs="宋体"/>
          <w:b/>
          <w:bCs/>
          <w:color w:val="auto"/>
          <w:sz w:val="24"/>
          <w:szCs w:val="24"/>
          <w:highlight w:val="none"/>
          <w:u w:val="single"/>
          <w:lang w:val="en-US" w:eastAsia="zh-CN"/>
        </w:rPr>
        <w:t xml:space="preserve">是</w:t>
      </w:r>
      <w:r>
        <w:rPr>
          <w:rFonts w:hint="eastAsia" w:ascii="宋体" w:hAnsi="宋体" w:cs="宋体"/>
          <w:color w:val="auto"/>
          <w:sz w:val="24"/>
          <w:szCs w:val="24"/>
          <w:highlight w:val="none"/>
        </w:rPr>
        <w:t xml:space="preserve">。</w:t>
      </w:r>
      <w:r/>
    </w:p>
    <w:p>
      <w:pPr>
        <w:ind w:firstLine="420"/>
        <w:widowControl/>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rPr>
        <w:t xml:space="preserve">10.</w:t>
      </w:r>
      <w:r>
        <w:rPr>
          <w:rFonts w:hint="eastAsia" w:ascii="宋体" w:hAnsi="宋体" w:cs="宋体"/>
          <w:bCs/>
          <w:color w:val="auto"/>
          <w:sz w:val="24"/>
          <w:szCs w:val="24"/>
          <w:highlight w:val="none"/>
        </w:rPr>
        <w:t xml:space="preserve">本项目</w:t>
      </w:r>
      <w:r>
        <w:rPr>
          <w:rFonts w:hint="eastAsia" w:ascii="宋体" w:hAnsi="宋体" w:cs="宋体"/>
          <w:b/>
          <w:color w:val="auto"/>
          <w:sz w:val="24"/>
          <w:szCs w:val="24"/>
          <w:highlight w:val="none"/>
          <w:u w:val="single"/>
          <w:lang w:val="en-US" w:eastAsia="zh-CN"/>
        </w:rPr>
        <w:t xml:space="preserve">不</w:t>
      </w:r>
      <w:r>
        <w:rPr>
          <w:rFonts w:hint="eastAsia" w:ascii="宋体" w:hAnsi="宋体" w:cs="宋体"/>
          <w:b/>
          <w:color w:val="auto"/>
          <w:sz w:val="24"/>
          <w:szCs w:val="24"/>
          <w:highlight w:val="none"/>
          <w:u w:val="single"/>
        </w:rPr>
        <w:t xml:space="preserve">接受</w:t>
      </w:r>
      <w:r>
        <w:rPr>
          <w:rFonts w:hint="eastAsia" w:ascii="宋体" w:hAnsi="宋体" w:cs="宋体"/>
          <w:bCs/>
          <w:color w:val="auto"/>
          <w:sz w:val="24"/>
          <w:szCs w:val="24"/>
          <w:highlight w:val="none"/>
        </w:rPr>
        <w:t xml:space="preserve">联合体投标</w:t>
      </w:r>
      <w:r>
        <w:rPr>
          <w:rFonts w:hint="eastAsia" w:ascii="宋体" w:hAnsi="宋体" w:cs="宋体"/>
          <w:bCs/>
          <w:color w:val="auto"/>
          <w:sz w:val="24"/>
          <w:szCs w:val="24"/>
          <w:highlight w:val="none"/>
          <w:lang w:eastAsia="zh-CN"/>
        </w:rPr>
        <w:t xml:space="preserve">。</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p>
    <w:p>
      <w:pPr>
        <w:ind w:firstLine="480"/>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widowControl/>
        <w:rPr>
          <w:rFonts w:ascii="宋体" w:hAnsi="宋体"/>
          <w:color w:val="auto"/>
          <w:sz w:val="24"/>
          <w:szCs w:val="24"/>
          <w:highlight w:val="none"/>
        </w:rPr>
      </w:pPr>
      <w:r>
        <w:rPr>
          <w:rFonts w:hint="eastAsia" w:ascii="宋体" w:hAnsi="宋体"/>
          <w:color w:val="auto"/>
          <w:sz w:val="24"/>
          <w:szCs w:val="24"/>
          <w:highlight w:val="none"/>
        </w:rPr>
        <w:t xml:space="preserve">2.未被“信用中国”网站（</w:t>
      </w:r>
      <w:r>
        <w:rPr>
          <w:rFonts w:ascii="宋体" w:hAnsi="宋体"/>
          <w:color w:val="auto"/>
          <w:sz w:val="24"/>
          <w:szCs w:val="24"/>
          <w:highlight w:val="none"/>
        </w:rPr>
        <w:t xml:space="preserve">www.creditchina.gov.cn</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p>
    <w:p>
      <w:pPr>
        <w:ind w:firstLine="4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3、落实政府采购政策需满足的资格要求：本项目专门面向中小微企业，货物制造商应为中/小/微企业或监狱企业或残疾人福利性单位；</w:t>
      </w:r>
      <w:r/>
    </w:p>
    <w:p>
      <w:pPr>
        <w:ind w:firstLine="4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4、本项目的特定资格要求：/；</w:t>
      </w:r>
      <w:r/>
    </w:p>
    <w:p>
      <w:pPr>
        <w:ind w:firstLine="4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5、本项目不接受联合体投标。</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技术支持QQ：田女士：3071474382；王先生：897651173。</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（四）获取招标文件</w:t>
      </w:r>
      <w:r/>
    </w:p>
    <w:p>
      <w:pPr>
        <w:ind w:firstLine="480"/>
        <w:jc w:val="left"/>
        <w:widowControl/>
        <w:rPr>
          <w:rFonts w:ascii="宋体" w:hAnsi="宋体" w:cs="宋体"/>
          <w:color w:val="auto"/>
          <w:sz w:val="24"/>
          <w:szCs w:val="24"/>
          <w:highlight w:val="none"/>
        </w:rPr>
      </w:pPr>
      <w:r>
        <w:rPr>
          <w:rFonts w:hint="eastAsia" w:ascii="宋体" w:hAnsi="宋体"/>
          <w:color w:val="auto"/>
          <w:sz w:val="24"/>
          <w:szCs w:val="24"/>
          <w:highlight w:val="none"/>
        </w:rPr>
        <w:t xml:space="preserve">潜在投标供应商如确定投标，必须在苏采云平台（http://jszfcg.jsczt.cn/jszc/login）中免费下载公开招标文件[在江苏省政府采购（苏采云）平台或“政府采购客户端（苏采云）”中免费下载文件（“项目参与”——找到需要获取招标文件的项目，点击“我要参与”——“参与投标”——“下载文件”）]，完成项目报名，方可按要求制作、上传投标文件。供应商须对招标文件各项内容做出实质性响应，否则其投标文件无效。</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将以电话咨询、电子邮箱等方式开展线上不见面答疑服务。截至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月2日10:00，</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投标供应商如有需要对招标文件要求澄清的问题，请以电子邮箱形式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olor w:val="auto"/>
          <w:sz w:val="24"/>
          <w:szCs w:val="24"/>
          <w:highlight w:val="none"/>
          <w:lang w:eastAsia="zh-CN"/>
        </w:rPr>
        <w:t xml:space="preserve">JSZC-320205-WXXG-G2026-0010</w:t>
      </w:r>
      <w:r>
        <w:rPr>
          <w:rFonts w:hint="eastAsia" w:ascii="宋体" w:hAnsi="宋体"/>
          <w:color w:val="auto"/>
          <w:sz w:val="24"/>
          <w:szCs w:val="24"/>
          <w:highlight w:val="none"/>
        </w:rPr>
        <w:t xml:space="preserve">项目需澄清问题”</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并于答疑</w:t>
      </w:r>
      <w:r>
        <w:rPr>
          <w:rFonts w:hint="eastAsia" w:ascii="宋体" w:hAnsi="宋体"/>
          <w:bCs/>
          <w:color w:val="auto"/>
          <w:sz w:val="24"/>
          <w:szCs w:val="24"/>
          <w:highlight w:val="none"/>
        </w:rPr>
        <w:t xml:space="preserve">截止时间前发送至邮箱</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487572551@qq.com</w:t>
      </w:r>
      <w:r>
        <w:rPr>
          <w:rFonts w:hint="eastAsia" w:ascii="宋体" w:hAnsi="宋体"/>
          <w:color w:val="auto"/>
          <w:sz w:val="24"/>
          <w:szCs w:val="24"/>
          <w:highlight w:val="none"/>
        </w:rPr>
        <w:t xml:space="preserve">）给项目联系人</w:t>
      </w:r>
      <w:r>
        <w:rPr>
          <w:rFonts w:hint="eastAsia" w:ascii="宋体" w:hAnsi="宋体"/>
          <w:bCs/>
          <w:color w:val="auto"/>
          <w:sz w:val="24"/>
          <w:szCs w:val="24"/>
          <w:highlight w:val="none"/>
        </w:rPr>
        <w:t xml:space="preserve">。若未在法定时间内提出澄清，由此造成的损失及风险由投标供应商自行承担。</w:t>
      </w:r>
      <w:r/>
    </w:p>
    <w:p>
      <w:pPr>
        <w:ind w:firstLine="480"/>
        <w:jc w:val="left"/>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（六）投标及开标、定标时间、地点</w:t>
      </w:r>
      <w:r/>
    </w:p>
    <w:p>
      <w:pPr>
        <w:ind w:firstLine="480"/>
        <w:jc w:val="left"/>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auto"/>
          <w:sz w:val="24"/>
          <w:szCs w:val="24"/>
          <w:highlight w:val="none"/>
        </w:rPr>
        <w:t xml:space="preserve">请在规定时间内登录网上开标大厅参与采购活动。  </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投标截止时间（苏采云投标客户端投标）：</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日</w:t>
      </w:r>
      <w:r>
        <w:rPr>
          <w:rFonts w:hint="eastAsia" w:ascii="宋体" w:hAnsi="宋体"/>
          <w:bCs/>
          <w:color w:val="auto"/>
          <w:sz w:val="24"/>
          <w:szCs w:val="24"/>
          <w:highlight w:val="none"/>
        </w:rPr>
        <w:t xml:space="preserve">9:30</w:t>
      </w:r>
      <w:r>
        <w:rPr>
          <w:rFonts w:hint="eastAsia" w:ascii="宋体" w:hAnsi="宋体"/>
          <w:color w:val="auto"/>
          <w:sz w:val="24"/>
          <w:szCs w:val="24"/>
          <w:highlight w:val="none"/>
        </w:rPr>
        <w:t xml:space="preserve">，投标截止时间后的投标文件恕不接受</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开标时间（网上投标解密时间）：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日</w:t>
      </w:r>
      <w:r>
        <w:rPr>
          <w:rFonts w:hint="eastAsia" w:ascii="宋体" w:hAnsi="宋体"/>
          <w:color w:val="auto"/>
          <w:sz w:val="24"/>
          <w:szCs w:val="24"/>
          <w:highlight w:val="none"/>
        </w:rPr>
        <w:t xml:space="preserve">开启解密后半小时。</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投标及开标地点：</w:t>
      </w:r>
      <w:r>
        <w:rPr>
          <w:rFonts w:hint="eastAsia" w:ascii="宋体" w:hAnsi="宋体" w:cs="宋体"/>
          <w:color w:val="auto"/>
          <w:sz w:val="24"/>
          <w:szCs w:val="24"/>
          <w:highlight w:val="none"/>
        </w:rPr>
        <w:t xml:space="preserve">江苏省政府采购（苏采云）平台。</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定标时间：评标结束。</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定标地点：</w:t>
      </w:r>
      <w:r>
        <w:rPr>
          <w:rFonts w:hint="eastAsia" w:ascii="宋体" w:hAnsi="宋体" w:cs="宋体"/>
          <w:color w:val="auto"/>
          <w:sz w:val="24"/>
          <w:szCs w:val="24"/>
          <w:highlight w:val="none"/>
        </w:rPr>
        <w:t xml:space="preserve">江苏省政府采购（苏采云）平台</w:t>
      </w:r>
      <w:r>
        <w:rPr>
          <w:rFonts w:hint="eastAsia" w:ascii="宋体" w:hAnsi="宋体" w:cs="宋体"/>
          <w:bCs/>
          <w:color w:val="auto"/>
          <w:sz w:val="24"/>
          <w:szCs w:val="24"/>
          <w:highlight w:val="none"/>
        </w:rPr>
        <w:t xml:space="preserve">。</w:t>
      </w:r>
      <w:r/>
    </w:p>
    <w:p>
      <w:pPr>
        <w:ind w:firstLine="480"/>
        <w:rPr>
          <w:rFonts w:ascii="宋体" w:hAnsi="宋体"/>
          <w:bCs/>
          <w:color w:val="auto"/>
          <w:sz w:val="24"/>
          <w:szCs w:val="24"/>
          <w:highlight w:val="none"/>
        </w:rPr>
      </w:pPr>
      <w:r>
        <w:rPr>
          <w:rFonts w:hint="eastAsia" w:ascii="黑体" w:hAnsi="黑体" w:eastAsia="黑体"/>
          <w:bCs/>
          <w:color w:val="auto"/>
          <w:sz w:val="24"/>
          <w:szCs w:val="24"/>
          <w:highlight w:val="none"/>
        </w:rPr>
        <w:t xml:space="preserve">（七）投标文件份数：</w:t>
      </w:r>
      <w:r>
        <w:rPr>
          <w:rFonts w:hint="eastAsia" w:ascii="宋体" w:hAnsi="宋体"/>
          <w:bCs/>
          <w:color w:val="auto"/>
          <w:sz w:val="24"/>
          <w:szCs w:val="24"/>
          <w:highlight w:val="none"/>
        </w:rPr>
        <w:t xml:space="preserve">请按规定上传电子投标文件，不接收纸质投标文件。</w:t>
      </w:r>
      <w:r/>
    </w:p>
    <w:p>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（八）投标有效期：</w:t>
      </w:r>
      <w:r>
        <w:rPr>
          <w:rFonts w:hint="eastAsia" w:ascii="宋体" w:hAnsi="宋体"/>
          <w:bCs/>
          <w:color w:val="auto"/>
          <w:sz w:val="24"/>
          <w:szCs w:val="24"/>
          <w:highlight w:val="none"/>
        </w:rPr>
        <w:t xml:space="preserve">投标文件递交截止之日起90天</w:t>
      </w:r>
      <w:r/>
    </w:p>
    <w:p>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（九）采购方法：</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本次采购采用《无锡市政府采购交易管理一体化系统》进行招标投标活动，招标、投标、评标和中标结果发布全程电子化。</w:t>
      </w:r>
      <w:r/>
    </w:p>
    <w:p>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（十）其他</w:t>
      </w:r>
      <w:r/>
    </w:p>
    <w:p>
      <w:pPr>
        <w:ind w:firstLine="480"/>
        <w:rPr>
          <w:rFonts w:hint="eastAsia" w:hAnsi="宋体" w:eastAsia="宋体"/>
          <w:color w:val="auto"/>
          <w:sz w:val="24"/>
          <w:highlight w:val="none"/>
          <w:lang w:eastAsia="zh-CN"/>
        </w:rPr>
      </w:pPr>
      <w:r>
        <w:rPr>
          <w:rFonts w:hint="eastAsia" w:ascii="宋体" w:hAnsi="宋体"/>
          <w:bCs/>
          <w:color w:val="auto"/>
          <w:sz w:val="24"/>
          <w:szCs w:val="24"/>
          <w:highlight w:val="none"/>
        </w:rPr>
        <w:t xml:space="preserve">采购人：</w:t>
      </w:r>
      <w:r>
        <w:rPr>
          <w:rFonts w:hint="eastAsia" w:hAnsi="宋体"/>
          <w:color w:val="auto"/>
          <w:sz w:val="24"/>
          <w:highlight w:val="none"/>
          <w:lang w:eastAsia="zh-CN"/>
        </w:rPr>
        <w:t xml:space="preserve">江苏省锡东高级中学大成分校</w:t>
      </w:r>
      <w:r/>
    </w:p>
    <w:p>
      <w:pPr>
        <w:ind w:firstLine="480"/>
        <w:widowControl/>
        <w:rPr>
          <w:rFonts w:hint="eastAsia" w:ascii="宋体" w:hAnsi="宋体"/>
          <w:bCs/>
          <w:color w:val="auto"/>
          <w:sz w:val="24"/>
          <w:szCs w:val="24"/>
          <w:highlight w:val="none"/>
        </w:rPr>
      </w:pPr>
      <w:r>
        <w:rPr>
          <w:rFonts w:hint="eastAsia" w:ascii="宋体" w:hAnsi="宋体"/>
          <w:color w:val="auto"/>
          <w:sz w:val="24"/>
          <w:highlight w:val="none"/>
        </w:rPr>
        <w:t xml:space="preserve">采购人地址：</w:t>
      </w:r>
      <w:r>
        <w:rPr>
          <w:rFonts w:hint="eastAsia" w:ascii="宋体" w:hAnsi="宋体"/>
          <w:bCs/>
          <w:color w:val="auto"/>
          <w:sz w:val="24"/>
          <w:szCs w:val="24"/>
          <w:highlight w:val="none"/>
        </w:rPr>
        <w:t xml:space="preserve">无锡市锡山区厚桥街道东盛路1068号</w:t>
      </w:r>
      <w:r/>
    </w:p>
    <w:p>
      <w:pPr>
        <w:ind w:firstLine="480"/>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联 系 人：汪政</w:t>
      </w:r>
      <w:r/>
    </w:p>
    <w:p>
      <w:pPr>
        <w:ind w:firstLine="480"/>
        <w:widowControl/>
        <w:rPr>
          <w:color w:val="auto"/>
          <w:highlight w:val="none"/>
        </w:rPr>
      </w:pPr>
      <w:r>
        <w:rPr>
          <w:rFonts w:hint="eastAsia" w:ascii="宋体" w:hAnsi="宋体"/>
          <w:bCs/>
          <w:color w:val="auto"/>
          <w:sz w:val="24"/>
          <w:szCs w:val="24"/>
          <w:highlight w:val="none"/>
        </w:rPr>
        <w:t xml:space="preserve">联系方式：0510-88714393</w:t>
      </w:r>
      <w:r/>
    </w:p>
    <w:p>
      <w:pPr>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江苏新桂工程咨询有限公司</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代理机构地址：无锡市滨湖区太湖西大道2188号9楼904室</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代理机构联系人：宗玲</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代理机构电话：18021186726</w:t>
      </w:r>
      <w:r/>
    </w:p>
    <w:p>
      <w:pPr>
        <w:ind w:firstLine="480"/>
        <w:widowControl/>
        <w:rPr>
          <w:rFonts w:ascii="宋体" w:hAnsi="宋体" w:cs="宋体"/>
          <w:color w:val="auto"/>
          <w:sz w:val="24"/>
          <w:szCs w:val="24"/>
          <w:highlight w:val="none"/>
        </w:rPr>
      </w:pPr>
      <w:r>
        <w:rPr>
          <w:rFonts w:hint="eastAsia" w:ascii="宋体" w:hAnsi="宋体"/>
          <w:bCs/>
          <w:color w:val="auto"/>
          <w:sz w:val="24"/>
          <w:szCs w:val="24"/>
          <w:highlight w:val="none"/>
        </w:rPr>
        <w:t xml:space="preserve">代理机构邮编：214000</w:t>
      </w:r>
      <w:r/>
    </w:p>
    <w:p>
      <w:pPr>
        <w:pStyle w:val="1021"/>
        <w:ind w:left="0" w:firstLine="0"/>
        <w:rPr>
          <w:color w:val="auto"/>
          <w:sz w:val="36"/>
          <w:szCs w:val="28"/>
          <w:highlight w:val="none"/>
        </w:rPr>
      </w:pPr>
      <w:r>
        <w:rPr>
          <w:color w:val="auto"/>
          <w:sz w:val="36"/>
          <w:szCs w:val="28"/>
          <w:highlight w:val="none"/>
        </w:rPr>
        <w:br w:type="page" w:clear="all"/>
      </w:r>
      <w:r>
        <w:rPr>
          <w:color w:val="auto"/>
          <w:sz w:val="36"/>
          <w:szCs w:val="28"/>
          <w:highlight w:val="none"/>
        </w:rPr>
        <w:t xml:space="preserve">二、</w:t>
      </w:r>
      <w:r>
        <w:rPr>
          <w:rFonts w:hint="eastAsia"/>
          <w:color w:val="auto"/>
          <w:sz w:val="36"/>
          <w:szCs w:val="28"/>
          <w:highlight w:val="none"/>
        </w:rPr>
        <w:t xml:space="preserve">投标供应商</w:t>
      </w:r>
      <w:r>
        <w:rPr>
          <w:color w:val="auto"/>
          <w:sz w:val="36"/>
          <w:szCs w:val="28"/>
          <w:highlight w:val="none"/>
        </w:rPr>
        <w:t xml:space="preserve">须知</w:t>
      </w:r>
      <w:r/>
    </w:p>
    <w:p>
      <w:pPr>
        <w:ind w:firstLine="480"/>
        <w:tabs>
          <w:tab w:val="left" w:pos="735" w:leader="none"/>
        </w:tabs>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一</w:t>
      </w:r>
      <w:r>
        <w:rPr>
          <w:rFonts w:hint="eastAsia" w:eastAsia="黑体"/>
          <w:bCs/>
          <w:color w:val="auto"/>
          <w:sz w:val="24"/>
          <w:szCs w:val="24"/>
          <w:highlight w:val="none"/>
        </w:rPr>
        <w:t xml:space="preserve">）</w:t>
      </w:r>
      <w:r>
        <w:rPr>
          <w:rFonts w:eastAsia="黑体"/>
          <w:bCs/>
          <w:color w:val="auto"/>
          <w:sz w:val="24"/>
          <w:szCs w:val="24"/>
          <w:highlight w:val="none"/>
        </w:rPr>
        <w:t xml:space="preserve">遵循原则：</w:t>
      </w:r>
      <w:r/>
    </w:p>
    <w:p>
      <w:pPr>
        <w:ind w:firstLine="480"/>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firstLine="480"/>
        <w:tabs>
          <w:tab w:val="left" w:pos="735" w:leader="none"/>
        </w:tabs>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二</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1．招标文件包括本文件目录所列全部内容，</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应仔细阅读，并在投标文件中充分响应招标文件的所有要求。</w:t>
      </w:r>
      <w:r/>
    </w:p>
    <w:p>
      <w:pPr>
        <w:ind w:firstLine="480"/>
        <w:jc w:val="lef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潜在投标供应商可在项目招标公告附件中查看公开招标文件，如确定投标，必须在苏采云平台（http://jszfcg.jsczt.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招标文件各项内容做出实质性响应，否则其投标文件无效。</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一旦参加本项目投标，即表明承诺接受了本招标文件中的所有条件和规定。</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4．招标文件仅作为本次招投标使用。</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本项目</w:t>
      </w:r>
      <w:r>
        <w:rPr>
          <w:rFonts w:hint="eastAsia" w:ascii="宋体" w:hAnsi="宋体"/>
          <w:b/>
          <w:color w:val="auto"/>
          <w:sz w:val="24"/>
          <w:szCs w:val="24"/>
          <w:highlight w:val="none"/>
          <w:u w:val="single"/>
          <w:lang w:val="en-US" w:eastAsia="zh-CN"/>
        </w:rPr>
        <w:t xml:space="preserve">不</w:t>
      </w:r>
      <w:r>
        <w:rPr>
          <w:rFonts w:hint="eastAsia" w:ascii="宋体" w:hAnsi="宋体"/>
          <w:b/>
          <w:color w:val="auto"/>
          <w:sz w:val="24"/>
          <w:szCs w:val="24"/>
          <w:highlight w:val="none"/>
          <w:u w:val="single"/>
        </w:rPr>
        <w:t xml:space="preserve">接受</w:t>
      </w:r>
      <w:r>
        <w:rPr>
          <w:rFonts w:hint="eastAsia" w:ascii="宋体" w:hAnsi="宋体"/>
          <w:bCs/>
          <w:color w:val="auto"/>
          <w:sz w:val="24"/>
          <w:szCs w:val="24"/>
          <w:highlight w:val="none"/>
        </w:rPr>
        <w:t xml:space="preserve">联合体投标。</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6. 招标文件中的“法定代表人”是指投标供应商的营业执照或相关部门的登记证明文件中的“法定代表人”或“负责人”。</w:t>
      </w:r>
      <w:r/>
    </w:p>
    <w:p>
      <w:pPr>
        <w:ind w:firstLine="360"/>
        <w:tabs>
          <w:tab w:val="left" w:pos="735"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w:t>
      </w:r>
      <w:r>
        <w:rPr>
          <w:rFonts w:eastAsia="黑体"/>
          <w:bCs/>
          <w:color w:val="auto"/>
          <w:sz w:val="24"/>
          <w:szCs w:val="24"/>
          <w:highlight w:val="none"/>
        </w:rPr>
        <w:t xml:space="preserve">三</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招标文件的解释：</w:t>
      </w:r>
      <w:r/>
    </w:p>
    <w:p>
      <w:pPr>
        <w:ind w:firstLine="480"/>
        <w:tabs>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本文件的最终解释权归</w:t>
      </w:r>
      <w:r>
        <w:rPr>
          <w:rFonts w:hint="eastAsia" w:ascii="宋体" w:hAnsi="宋体"/>
          <w:bCs/>
          <w:color w:val="auto"/>
          <w:sz w:val="24"/>
          <w:szCs w:val="24"/>
          <w:highlight w:val="none"/>
        </w:rPr>
        <w:t xml:space="preserve">采购人及</w:t>
      </w:r>
      <w:r>
        <w:rPr>
          <w:rFonts w:hint="eastAsia" w:ascii="宋体" w:hAnsi="宋体"/>
          <w:bCs/>
          <w:color w:val="auto"/>
          <w:sz w:val="24"/>
          <w:szCs w:val="24"/>
          <w:highlight w:val="none"/>
          <w:lang w:eastAsia="zh-CN"/>
        </w:rPr>
        <w:t xml:space="preserve">江苏新桂工程咨询有限公司</w:t>
      </w:r>
      <w:r>
        <w:rPr>
          <w:rFonts w:ascii="宋体" w:hAnsi="宋体"/>
          <w:bCs/>
          <w:color w:val="auto"/>
          <w:sz w:val="24"/>
          <w:szCs w:val="24"/>
          <w:highlight w:val="none"/>
        </w:rPr>
        <w:t xml:space="preserve">。</w:t>
      </w:r>
      <w:r/>
    </w:p>
    <w:p>
      <w:pPr>
        <w:ind w:firstLine="480"/>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四</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招标文件的补充或修正： </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可在投标截止时间15日前对招标文件进行必要的澄清或者修改，不足15日的，将顺延提交投标文件的截止时间。</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本项目招标文件要求，而造成的损失及风险（包括但不限于未中标）由投标供应商自行承担。</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对无效质疑不予受理。</w:t>
      </w:r>
      <w:r/>
    </w:p>
    <w:p>
      <w:pPr>
        <w:ind w:firstLine="480"/>
        <w:tabs>
          <w:tab w:val="left" w:pos="1050"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w:t>
      </w:r>
      <w:r>
        <w:rPr>
          <w:rFonts w:eastAsia="黑体"/>
          <w:bCs/>
          <w:color w:val="auto"/>
          <w:sz w:val="24"/>
          <w:szCs w:val="24"/>
          <w:highlight w:val="none"/>
        </w:rPr>
        <w:t xml:space="preserve">五</w:t>
      </w:r>
      <w:r>
        <w:rPr>
          <w:rFonts w:hint="eastAsia" w:eastAsia="黑体"/>
          <w:bCs/>
          <w:color w:val="auto"/>
          <w:sz w:val="24"/>
          <w:szCs w:val="24"/>
          <w:highlight w:val="none"/>
        </w:rPr>
        <w:t xml:space="preserve">）</w:t>
      </w:r>
      <w:r>
        <w:rPr>
          <w:rFonts w:eastAsia="黑体"/>
          <w:bCs/>
          <w:color w:val="auto"/>
          <w:sz w:val="24"/>
          <w:szCs w:val="24"/>
          <w:highlight w:val="none"/>
        </w:rPr>
        <w:t xml:space="preserve">投标文件的组成：</w:t>
      </w:r>
      <w:r/>
    </w:p>
    <w:p>
      <w:pPr>
        <w:ind w:firstLine="480"/>
        <w:tabs>
          <w:tab w:val="left" w:pos="1050" w:leader="none"/>
        </w:tabs>
        <w:rPr>
          <w:rFonts w:ascii="宋体" w:hAnsi="宋体"/>
          <w:b/>
          <w:color w:val="auto"/>
          <w:sz w:val="24"/>
          <w:highlight w:val="none"/>
        </w:rPr>
      </w:pPr>
      <w:r/>
      <w:bookmarkStart w:id="0" w:name="_Hlk6917373"/>
      <w:r>
        <w:rPr>
          <w:rFonts w:hint="eastAsia" w:ascii="宋体" w:hAnsi="宋体"/>
          <w:b/>
          <w:color w:val="auto"/>
          <w:sz w:val="24"/>
          <w:highlight w:val="none"/>
        </w:rPr>
        <w:t xml:space="preserve">投标文件包括明标部分及暗标部分</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相应内容上传至投标客户端。</w:t>
      </w:r>
      <w:bookmarkEnd w:id="0"/>
      <w:r/>
      <w:r/>
    </w:p>
    <w:p>
      <w:pPr>
        <w:ind w:left="0" w:firstLine="480"/>
        <w:jc w:val="both"/>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明标部分：</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1.投标函</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2.资格、资信证明文件</w:t>
      </w:r>
      <w:r>
        <w:rPr>
          <w:rFonts w:hint="eastAsia" w:ascii="宋体" w:hAnsi="宋体" w:eastAsia="宋体" w:cs="宋体"/>
          <w:b/>
          <w:bCs w:val="0"/>
          <w:color w:val="auto"/>
          <w:sz w:val="24"/>
          <w:szCs w:val="24"/>
          <w:highlight w:val="none"/>
        </w:rPr>
        <w:t xml:space="preserve">（扫描后上传</w:t>
      </w:r>
      <w:r>
        <w:rPr>
          <w:rFonts w:hint="eastAsia" w:ascii="宋体" w:hAnsi="宋体" w:cs="宋体"/>
          <w:b/>
          <w:bCs w:val="0"/>
          <w:color w:val="auto"/>
          <w:sz w:val="24"/>
          <w:szCs w:val="24"/>
          <w:highlight w:val="none"/>
          <w:lang w:val="en-US" w:eastAsia="zh-CN"/>
        </w:rPr>
        <w:t xml:space="preserve">至投标文件</w:t>
      </w:r>
      <w:r>
        <w:rPr>
          <w:rFonts w:hint="eastAsia" w:ascii="宋体" w:hAnsi="宋体" w:eastAsia="宋体" w:cs="宋体"/>
          <w:b/>
          <w:bCs w:val="0"/>
          <w:color w:val="auto"/>
          <w:sz w:val="24"/>
          <w:szCs w:val="24"/>
          <w:highlight w:val="none"/>
        </w:rPr>
        <w:t xml:space="preserve">，身份证应为正、反面）</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加盖公章（投标人如是允许以分支机构身份参加投标的，提供投标人分支机构的营业执照扫描件；投标人如是自然人情形的，提供有效身份证扫描件</w:t>
      </w:r>
      <w:r>
        <w:rPr>
          <w:rFonts w:hint="eastAsia" w:ascii="宋体" w:hAnsi="宋体" w:cs="宋体"/>
          <w:bCs/>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（3）投标供应商法定代表人授权委托书加盖公章</w:t>
      </w:r>
      <w:r>
        <w:rPr>
          <w:rFonts w:hint="eastAsia" w:ascii="宋体" w:hAnsi="宋体" w:eastAsia="宋体" w:cs="宋体"/>
          <w:b/>
          <w:bCs w:val="0"/>
          <w:color w:val="auto"/>
          <w:sz w:val="24"/>
          <w:szCs w:val="24"/>
          <w:highlight w:val="none"/>
        </w:rPr>
        <w:t xml:space="preserve">（格式见附件，法定代表人亲自参加投标的除外）</w:t>
      </w:r>
      <w:r>
        <w:rPr>
          <w:rFonts w:hint="eastAsia" w:ascii="宋体" w:hAnsi="宋体" w:cs="宋体"/>
          <w:b/>
          <w:bCs w:val="0"/>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（4）投标供应商法定代表人身份证</w:t>
      </w:r>
      <w:r>
        <w:rPr>
          <w:rFonts w:hint="eastAsia" w:ascii="宋体" w:hAnsi="宋体" w:cs="宋体"/>
          <w:bCs/>
          <w:color w:val="auto"/>
          <w:sz w:val="24"/>
          <w:szCs w:val="24"/>
          <w:highlight w:val="none"/>
          <w:lang w:val="en-US" w:eastAsia="zh-CN"/>
        </w:rPr>
        <w:t xml:space="preserve">扫描件加盖公章</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（5）投标供应商法定代表人授权代表身份证扫描件加盖公章（</w:t>
      </w:r>
      <w:r>
        <w:rPr>
          <w:rFonts w:hint="eastAsia" w:ascii="宋体" w:hAnsi="宋体" w:eastAsia="宋体" w:cs="宋体"/>
          <w:bCs/>
          <w:color w:val="auto"/>
          <w:sz w:val="24"/>
          <w:szCs w:val="24"/>
          <w:highlight w:val="none"/>
          <w:lang w:val="en-US" w:eastAsia="zh-CN"/>
        </w:rPr>
        <w:t xml:space="preserve">正、反面</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法定代表人亲自参加投标的除外）；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标当月）的财务状况报告（资产负债表和利润表）或由会计师事务所出具的近两年中任意一个年度的审计报告和所附已审财务报告扫描件，新成立的公司（成立不满三个自然月的公司、企业）除外；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标当月）的依法缴纳税收的相关材料（提供相关主管部门证明或银行代扣证明）扫描件，若供应商无需依法缴纳税收，请提供纳税申报表；</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标当月）的依法缴纳社会保障资金的相关材料（提供相关主管部门证明或银行代扣证明）扫描件，新成立的公司（成立不满三个自然月的公司、企业）除外；</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或残疾人福利性单位声明函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或由省级以上监狱管理局、戒毒管理局(含新疆生产建设兵团)出具的属于监狱企业的证明文件扫描件加盖公章</w:t>
      </w:r>
      <w:r>
        <w:rPr>
          <w:rFonts w:hint="eastAsia" w:ascii="宋体" w:hAnsi="宋体" w:cs="宋体"/>
          <w:bCs/>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3.开标一览表</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cs="宋体"/>
          <w:bCs/>
          <w:color w:val="auto"/>
          <w:sz w:val="24"/>
          <w:szCs w:val="24"/>
          <w:highlight w:val="none"/>
          <w:lang w:val="en-US" w:eastAsia="zh-CN"/>
        </w:rPr>
        <w:t xml:space="preserve">明细报价</w:t>
      </w:r>
      <w:r>
        <w:rPr>
          <w:rFonts w:hint="eastAsia" w:ascii="宋体" w:hAnsi="宋体" w:eastAsia="宋体" w:cs="宋体"/>
          <w:bCs/>
          <w:color w:val="auto"/>
          <w:sz w:val="24"/>
          <w:szCs w:val="24"/>
          <w:highlight w:val="none"/>
        </w:rPr>
        <w:t xml:space="preserve">表</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lang w:val="en-US" w:eastAsia="zh-CN"/>
        </w:rPr>
        <w:t xml:space="preserve">偏离表（</w:t>
      </w:r>
      <w:r>
        <w:rPr>
          <w:rFonts w:hint="eastAsia" w:ascii="宋体" w:hAnsi="宋体" w:eastAsia="宋体" w:cs="宋体"/>
          <w:b/>
          <w:bCs w:val="0"/>
          <w:color w:val="auto"/>
          <w:sz w:val="24"/>
          <w:szCs w:val="24"/>
          <w:highlight w:val="none"/>
          <w:lang w:val="en-US" w:eastAsia="zh-CN"/>
        </w:rPr>
        <w:t xml:space="preserve">格式见附件）</w:t>
      </w:r>
      <w:r/>
    </w:p>
    <w:p>
      <w:pPr>
        <w:ind w:left="0" w:firstLine="480"/>
        <w:jc w:val="both"/>
        <w:keepLines w:val="0"/>
        <w:keepNext w:val="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服务保障承诺书</w:t>
      </w:r>
      <w:r>
        <w:rPr>
          <w:rFonts w:hint="eastAsia" w:ascii="宋体" w:hAnsi="宋体" w:eastAsia="宋体" w:cs="宋体"/>
          <w:b/>
          <w:bCs w:val="0"/>
          <w:color w:val="auto"/>
          <w:sz w:val="24"/>
          <w:szCs w:val="24"/>
          <w:highlight w:val="none"/>
        </w:rPr>
        <w:t xml:space="preserve">（格式见附件）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w:t>
      </w:r>
      <w:r>
        <w:rPr>
          <w:rFonts w:hint="eastAsia" w:ascii="宋体" w:hAnsi="宋体" w:cs="宋体"/>
          <w:bCs/>
          <w:color w:val="auto"/>
          <w:sz w:val="24"/>
          <w:szCs w:val="24"/>
          <w:highlight w:val="none"/>
          <w:lang w:val="en-US" w:eastAsia="zh-CN"/>
        </w:rPr>
        <w:t xml:space="preserve">基本</w:t>
      </w:r>
      <w:r>
        <w:rPr>
          <w:rFonts w:hint="eastAsia" w:ascii="宋体" w:hAnsi="宋体" w:eastAsia="宋体" w:cs="宋体"/>
          <w:bCs/>
          <w:color w:val="auto"/>
          <w:sz w:val="24"/>
          <w:szCs w:val="24"/>
          <w:highlight w:val="none"/>
        </w:rPr>
        <w:t xml:space="preserve">情况表（格式见附件）</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.提供第三章项目技术要求和有关说明中需提供的相关证明材料（如有）</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.评分标准中对应的其他所需证明材料（详见评分标准）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.要求采购人提供的配合（如有格式自拟并自行添加）</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.其他（投标供应商认为有必要提供的声明和文件，如有格式自拟并自行添加）</w:t>
      </w:r>
      <w:r/>
    </w:p>
    <w:p>
      <w:pPr>
        <w:ind w:left="0" w:right="0" w:firstLine="602"/>
        <w:keepLines w:val="0"/>
        <w:keepNext w:val="0"/>
        <w:pageBreakBefore w:val="0"/>
        <w:spacing w:line="360" w:lineRule="auto"/>
        <w:rPr>
          <w:rFonts w:hint="eastAsia" w:ascii="宋体" w:hAnsi="宋体"/>
          <w:bCs/>
          <w:color w:val="auto"/>
          <w:sz w:val="24"/>
          <w:highlight w:val="none"/>
        </w:rPr>
      </w:pPr>
      <w:r>
        <w:rPr>
          <w:rFonts w:hint="eastAsia" w:ascii="宋体" w:hAnsi="宋体"/>
          <w:b/>
          <w:color w:val="auto"/>
          <w:sz w:val="30"/>
          <w:szCs w:val="30"/>
          <w:highlight w:val="none"/>
        </w:rPr>
        <w:t xml:space="preserve">暗标部分：</w:t>
      </w:r>
      <w:r/>
    </w:p>
    <w:p>
      <w:p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技术文件</w:t>
      </w:r>
      <w:r/>
    </w:p>
    <w:p>
      <w:pPr>
        <w:ind w:left="0" w:firstLine="480"/>
        <w:jc w:val="both"/>
        <w:keepLines w:val="0"/>
        <w:keepNext w:val="0"/>
        <w:pageBreakBefore w:val="0"/>
        <w:spacing w:line="360" w:lineRule="auto"/>
        <w:widowControl w:val="off"/>
        <w:rPr>
          <w:bCs/>
          <w:color w:val="auto"/>
          <w:sz w:val="24"/>
          <w:szCs w:val="24"/>
          <w:highlight w:val="none"/>
        </w:rPr>
      </w:pPr>
      <w:r>
        <w:rPr>
          <w:rFonts w:hint="eastAsia" w:ascii="宋体" w:hAnsi="宋体" w:eastAsia="宋体" w:cs="宋体"/>
          <w:bCs/>
          <w:color w:val="auto"/>
          <w:sz w:val="24"/>
          <w:szCs w:val="24"/>
          <w:highlight w:val="none"/>
        </w:rPr>
        <w:t xml:space="preserve">上述</w:t>
      </w:r>
      <w:r>
        <w:rPr>
          <w:rFonts w:hint="eastAsia" w:ascii="宋体" w:hAnsi="宋体" w:eastAsia="宋体" w:cs="宋体"/>
          <w:bCs/>
          <w:color w:val="auto"/>
          <w:sz w:val="24"/>
          <w:szCs w:val="24"/>
          <w:highlight w:val="none"/>
          <w:lang w:val="en-US" w:eastAsia="zh-CN"/>
        </w:rPr>
        <w:t xml:space="preserve">明标部分</w:t>
      </w: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暗标部分，</w:t>
      </w:r>
      <w:r>
        <w:rPr>
          <w:rFonts w:hint="eastAsia" w:ascii="宋体" w:hAnsi="宋体" w:eastAsia="宋体" w:cs="宋体"/>
          <w:bCs/>
          <w:color w:val="auto"/>
          <w:sz w:val="24"/>
          <w:szCs w:val="24"/>
          <w:highlight w:val="none"/>
        </w:rPr>
        <w:t xml:space="preserve">投标供应商必须按要求全部提供，否则投标文件无效。如上述资格证明文件遇年检、换证，则必须提供法定年检、换证单位出具的有效证明扫描件。如上述资格证明文件第（</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）（7）（8）</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w:t>
      </w:r>
      <w:r>
        <w:rPr>
          <w:rFonts w:hint="eastAsia" w:ascii="宋体" w:hAnsi="宋体" w:cs="宋体"/>
          <w:bCs/>
          <w:color w:val="auto"/>
          <w:sz w:val="24"/>
          <w:szCs w:val="24"/>
          <w:highlight w:val="none"/>
          <w:lang w:eastAsia="zh-CN"/>
        </w:rPr>
        <w:t xml:space="preserve">或其他</w:t>
      </w:r>
      <w:r>
        <w:rPr>
          <w:rFonts w:hint="eastAsia" w:ascii="宋体" w:hAnsi="宋体" w:eastAsia="宋体" w:cs="宋体"/>
          <w:bCs/>
          <w:color w:val="auto"/>
          <w:sz w:val="24"/>
          <w:szCs w:val="24"/>
          <w:highlight w:val="none"/>
        </w:rPr>
        <w:t xml:space="preserve">可在中国大陆有效居留的许可证明。</w:t>
      </w:r>
      <w:r/>
    </w:p>
    <w:p>
      <w:pPr>
        <w:numPr>
          <w:ilvl w:val="0"/>
          <w:numId w:val="5"/>
        </w:numPr>
        <w:tabs>
          <w:tab w:val="left" w:pos="52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投标文件的要求：</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所有文件、往来函件均应使用简体中文（规格、型号辅助符号除外）。</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投标文件由投标供应商按给定格式如实填写（编写），须有法人（签章）、法定代表人或被授权代表签字或签章，方为有效，未尽事宜可自行补充。</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投标供应商报价一律以人民币为报价结算货币，结算单位为“元”。</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投标费用自理。</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投标供应商应由其法定代表人或法定代表人授权代表在规定的网上投标时间内，凭CA数字证书登录系统获取招标文件，按要求制作投标文件（电子数据），并在投标截止时间之前上传投标文件。</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投标供应商应对CA数字证书妥善保管，如被他人盗用投标，后果自负。</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投标供应商按招标文件规定的网上解密时间进行解密，如未按时解密后果自负。</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投标供应商应当对招标文件提出的要求和条件作出实质性响应，并在电子投标系统逐条应答。</w:t>
      </w:r>
      <w:r/>
    </w:p>
    <w:p>
      <w:pPr>
        <w:numPr>
          <w:ilvl w:val="1"/>
          <w:numId w:val="6"/>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投标供应商应对要求提供的资格证明文件（如资质证书、资格证书）、技术资料（如白皮书、彩页、手册、业绩、报告等）扫描上传至投标系统。</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特别注意：评分标准中除投标报价以外，还须包含明标和暗标两大部分，其暗标编制要求如下：</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color w:val="auto"/>
          <w:sz w:val="24"/>
          <w:highlight w:val="none"/>
        </w:rPr>
      </w:pPr>
      <w:r>
        <w:rPr>
          <w:rFonts w:hint="eastAsia" w:ascii="宋体" w:hAnsi="宋体"/>
          <w:b/>
          <w:bCs/>
          <w:color w:val="auto"/>
          <w:sz w:val="24"/>
          <w:highlight w:val="none"/>
        </w:rPr>
        <w:t xml:space="preserve">(1)暗标编制应按采购文件规定的格式制作，要求版面整洁、字迹清楚、不得涂改、不得标注。</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b/>
          <w:bCs/>
          <w:color w:val="auto"/>
          <w:sz w:val="24"/>
          <w:highlight w:val="none"/>
          <w:lang w:eastAsia="zh-CN"/>
        </w:rPr>
      </w:pPr>
      <w:r>
        <w:rPr>
          <w:rFonts w:hint="eastAsia" w:ascii="宋体" w:hAnsi="宋体"/>
          <w:b/>
          <w:bCs/>
          <w:color w:val="auto"/>
          <w:sz w:val="24"/>
          <w:highlight w:val="none"/>
        </w:rPr>
        <w:t xml:space="preserve">(2)暗标所有正文中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rPr>
          <w:rFonts w:hint="eastAsia" w:ascii="宋体" w:hAnsi="宋体"/>
          <w:b/>
          <w:bCs/>
          <w:color w:val="auto"/>
          <w:sz w:val="24"/>
          <w:highlight w:val="none"/>
          <w:lang w:eastAsia="zh-CN"/>
        </w:rPr>
        <w:t xml:space="preserve">。</w:t>
      </w:r>
      <w:r/>
    </w:p>
    <w:p>
      <w:pPr>
        <w:ind w:firstLine="480"/>
        <w:tabs>
          <w:tab w:val="left" w:pos="525" w:leader="none"/>
        </w:tabs>
        <w:rPr>
          <w:rFonts w:eastAsia="黑体"/>
          <w:bCs/>
          <w:color w:val="auto"/>
          <w:sz w:val="24"/>
          <w:szCs w:val="24"/>
          <w:highlight w:val="none"/>
        </w:rPr>
      </w:pPr>
      <w:r>
        <w:rPr>
          <w:rFonts w:hint="eastAsia" w:eastAsia="黑体"/>
          <w:bCs/>
          <w:color w:val="auto"/>
          <w:sz w:val="24"/>
          <w:szCs w:val="24"/>
          <w:highlight w:val="none"/>
        </w:rPr>
        <w:t xml:space="preserve">（七）网上投标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供应商应由其法定代表人或法定代表人授权代表在规定的网上投标时间内，凭CA数字证书登录政府采购交易管理一体化系统获取招标文件，在苏采云投标客户端制作投标文件（电子数据），并在投标截止时间之前上传投标文件。</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2.投标供应商应对CA数字证书妥善保管，如被他人盗用投标，后果自负。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3.投标供应商按招标文件规定的网上解密时间进行解密，如未按时解密后果自负。</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4.投标供应商应当对招标文件提出的要求和条件作出实质性响应，并在电子投标系统逐条应答。</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5.投标供应商应对要求提供的资格证明文件（如资质证书、资格证书）、技术资料（如白皮书、彩页、手册、检测报告等）扫描上传至投标系统。</w:t>
      </w:r>
      <w:r/>
    </w:p>
    <w:p>
      <w:pPr>
        <w:pStyle w:val="1076"/>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6.投标供应商进行网上投标请参照《政府采购项目电子交易管理操作指南－供应商》。</w:t>
      </w:r>
      <w:r/>
    </w:p>
    <w:p>
      <w:pPr>
        <w:pStyle w:val="1076"/>
        <w:ind w:firstLine="480"/>
        <w:rPr>
          <w:color w:val="auto"/>
          <w:highlight w:val="none"/>
        </w:rPr>
      </w:pPr>
      <w:r>
        <w:rPr>
          <w:rFonts w:hint="eastAsia" w:ascii="宋体" w:hAnsi="宋体" w:eastAsia="宋体" w:cs="宋体"/>
          <w:b/>
          <w:bCs/>
          <w:color w:val="auto"/>
          <w:sz w:val="24"/>
          <w:szCs w:val="24"/>
          <w:highlight w:val="none"/>
        </w:rPr>
        <w:t xml:space="preserve">特别提醒 ：开标后，</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如未按要求应答，由此所产生的损失及风险由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自行承担</w:t>
      </w:r>
      <w:r>
        <w:rPr>
          <w:rFonts w:hint="eastAsia" w:ascii="宋体" w:hAnsi="宋体" w:eastAsia="宋体" w:cs="宋体"/>
          <w:b/>
          <w:bCs/>
          <w:color w:val="auto"/>
          <w:sz w:val="24"/>
          <w:szCs w:val="24"/>
          <w:highlight w:val="none"/>
          <w:lang w:eastAsia="zh-CN"/>
        </w:rPr>
        <w:t xml:space="preserve">。</w:t>
      </w:r>
      <w:r/>
    </w:p>
    <w:p>
      <w:pPr>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（八）</w:t>
      </w:r>
      <w:r>
        <w:rPr>
          <w:rFonts w:eastAsia="黑体"/>
          <w:bCs/>
          <w:color w:val="auto"/>
          <w:sz w:val="24"/>
          <w:szCs w:val="24"/>
          <w:highlight w:val="none"/>
        </w:rPr>
        <w:t xml:space="preserve">无效投标文件的确认：</w:t>
      </w:r>
      <w:r/>
    </w:p>
    <w:p>
      <w:pPr>
        <w:ind w:firstLine="480"/>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电子投标文件未按规定时间上传的；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投标人未按招标文件要求解密的；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的法定代表人授权代表无法定代表人授权委托书的；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含有采购人不能接受的附加条件的；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未按</w:t>
      </w:r>
      <w:r>
        <w:rPr>
          <w:rFonts w:hint="eastAsia" w:ascii="宋体" w:hAnsi="宋体"/>
          <w:color w:val="auto"/>
          <w:sz w:val="24"/>
          <w:highlight w:val="none"/>
          <w:lang w:val="en-US" w:eastAsia="zh-CN"/>
        </w:rPr>
        <w:t xml:space="preserve">招标文件</w:t>
      </w:r>
      <w:r>
        <w:rPr>
          <w:rFonts w:hint="eastAsia" w:ascii="宋体" w:hAnsi="宋体"/>
          <w:color w:val="auto"/>
          <w:sz w:val="24"/>
          <w:highlight w:val="none"/>
        </w:rPr>
        <w:t xml:space="preserve">规定的内容和要求填写、制作的；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书写潦草、字迹模糊不清、无法辨认的；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中有</w:t>
      </w:r>
      <w:r>
        <w:rPr>
          <w:rFonts w:hint="eastAsia" w:ascii="宋体" w:hAnsi="宋体"/>
          <w:color w:val="auto"/>
          <w:sz w:val="24"/>
          <w:highlight w:val="none"/>
          <w:lang w:val="en-US" w:eastAsia="zh-CN"/>
        </w:rPr>
        <w:t xml:space="preserve">招标文件</w:t>
      </w:r>
      <w:r>
        <w:rPr>
          <w:rFonts w:hint="eastAsia" w:ascii="宋体" w:hAnsi="宋体"/>
          <w:color w:val="auto"/>
          <w:sz w:val="24"/>
          <w:highlight w:val="none"/>
        </w:rPr>
        <w:t xml:space="preserve">未允许提供的选择性内容的；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投标系统中不同投标人的MAC地址一致或标书制作工具客户端标识码一致的</w:t>
      </w:r>
      <w:r>
        <w:rPr>
          <w:rFonts w:hint="eastAsia" w:ascii="宋体" w:hAnsi="宋体"/>
          <w:color w:val="auto"/>
          <w:sz w:val="24"/>
          <w:highlight w:val="none"/>
          <w:lang w:eastAsia="zh-CN"/>
        </w:rPr>
        <w:t xml:space="preserve">；</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恶意串通其他</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，故意哄抬价格或压价的；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7"/>
        </w:numPr>
        <w:ind w:left="0" w:right="0" w:firstLine="480"/>
        <w:keepLines w:val="0"/>
        <w:keepNext w:val="0"/>
        <w:pageBreakBefore w:val="0"/>
        <w:spacing w:line="360" w:lineRule="auto"/>
        <w:rPr>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商务标（明标）未加盖</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公章及法定代表人或</w:t>
      </w:r>
      <w:r>
        <w:rPr>
          <w:rFonts w:hint="eastAsia" w:ascii="宋体" w:hAnsi="宋体"/>
          <w:color w:val="auto"/>
          <w:sz w:val="24"/>
          <w:highlight w:val="none"/>
          <w:lang w:eastAsia="zh-CN"/>
        </w:rPr>
        <w:t xml:space="preserve">被授权委托人</w:t>
      </w:r>
      <w:r>
        <w:rPr>
          <w:rFonts w:hint="eastAsia" w:ascii="宋体" w:hAnsi="宋体"/>
          <w:color w:val="auto"/>
          <w:sz w:val="24"/>
          <w:highlight w:val="none"/>
        </w:rPr>
        <w:t xml:space="preserve">签字和盖章的；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投标人投标文件</w:t>
      </w:r>
      <w:r>
        <w:rPr>
          <w:rFonts w:hint="eastAsia" w:ascii="宋体" w:hAnsi="宋体"/>
          <w:color w:val="auto"/>
          <w:sz w:val="24"/>
          <w:highlight w:val="none"/>
        </w:rPr>
        <w:t xml:space="preserve">中的项目相关人员出现同一人的；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聘请同一人为其报价提供技术或经济咨询服务的；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的单位负责人为同一人或者存在直接控股、管理关系的；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为本项目提供整体设计、规范编制或者项目管理、监理、检测等服务的；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异常一致或者报价呈规律性差异；</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商务标（明标）中同一方案有选择性报价且未声明以哪一个为准的；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技术标（暗标）中出现</w:t>
      </w:r>
      <w:r>
        <w:rPr>
          <w:rFonts w:hint="eastAsia" w:ascii="宋体" w:hAnsi="宋体"/>
          <w:color w:val="auto"/>
          <w:sz w:val="24"/>
          <w:highlight w:val="none"/>
          <w:lang w:eastAsia="zh-CN"/>
        </w:rPr>
        <w:t xml:space="preserve">投标人名称</w:t>
      </w:r>
      <w:r>
        <w:rPr>
          <w:rFonts w:hint="eastAsia" w:ascii="宋体" w:hAnsi="宋体"/>
          <w:color w:val="auto"/>
          <w:sz w:val="24"/>
          <w:highlight w:val="none"/>
        </w:rPr>
        <w:t xml:space="preserve">、相关人员姓名等和其他可识别</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身份的字符、徽标、印章、商标、人员名称</w:t>
      </w:r>
      <w:r>
        <w:rPr>
          <w:rFonts w:hint="eastAsia" w:ascii="宋体" w:hAnsi="宋体"/>
          <w:color w:val="auto"/>
          <w:sz w:val="24"/>
          <w:highlight w:val="none"/>
          <w:lang w:eastAsia="zh-CN"/>
        </w:rPr>
        <w:t xml:space="preserve">或其他</w:t>
      </w:r>
      <w:r>
        <w:rPr>
          <w:rFonts w:hint="eastAsia" w:ascii="宋体" w:hAnsi="宋体"/>
          <w:color w:val="auto"/>
          <w:sz w:val="24"/>
          <w:highlight w:val="none"/>
        </w:rPr>
        <w:t xml:space="preserve">提示性的标记或标识等；</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改变</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文件规定的误期违约金、质量标准及质量违约金的；</w:t>
      </w:r>
      <w:r/>
    </w:p>
    <w:p>
      <w:pPr>
        <w:numPr>
          <w:ilvl w:val="0"/>
          <w:numId w:val="7"/>
        </w:numPr>
        <w:ind w:left="0" w:righ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商务标（明标）和技术标（暗标），其中某一标被本项目</w:t>
      </w:r>
      <w:r>
        <w:rPr>
          <w:rFonts w:hint="eastAsia" w:ascii="宋体" w:hAnsi="宋体"/>
          <w:color w:val="auto"/>
          <w:sz w:val="24"/>
          <w:highlight w:val="none"/>
          <w:lang w:val="en-US" w:eastAsia="zh-CN"/>
        </w:rPr>
        <w:t xml:space="preserve">评审</w:t>
      </w:r>
      <w:r>
        <w:rPr>
          <w:rFonts w:hint="eastAsia" w:ascii="宋体" w:hAnsi="宋体"/>
          <w:color w:val="auto"/>
          <w:sz w:val="24"/>
          <w:highlight w:val="none"/>
        </w:rPr>
        <w:t xml:space="preserve">小组确认为无效</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报价出现前后不一致，</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拒不确认修正后的报价的；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报价超过招标文件中规定的预算金额或最高限价的；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eastAsia="宋体"/>
          <w:bCs/>
          <w:color w:val="auto"/>
          <w:sz w:val="24"/>
          <w:szCs w:val="24"/>
          <w:highlight w:val="none"/>
        </w:rPr>
        <w:t xml:space="preserve">评标委员会按照本招标文件规定对投标人进行异常低价投标（响应）审查后，认为投标人不能证明其报价合理性的</w:t>
      </w:r>
      <w:r>
        <w:rPr>
          <w:rFonts w:hint="eastAsia" w:ascii="宋体" w:hAnsi="宋体"/>
          <w:color w:val="auto"/>
          <w:sz w:val="24"/>
          <w:highlight w:val="none"/>
        </w:rPr>
        <w:t xml:space="preserve">；</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未通过初步资格性审查、</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资格性检查、</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符合性检查的；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列入失信被执行人、</w:t>
      </w:r>
      <w:r>
        <w:rPr>
          <w:rFonts w:hint="eastAsia" w:ascii="宋体" w:hAnsi="宋体" w:cs="宋体"/>
          <w:color w:val="auto"/>
          <w:sz w:val="24"/>
          <w:highlight w:val="none"/>
        </w:rPr>
        <w:t xml:space="preserve">重大税收违法失信主体</w:t>
      </w:r>
      <w:r>
        <w:rPr>
          <w:rFonts w:hint="eastAsia" w:ascii="宋体" w:hAnsi="宋体"/>
          <w:color w:val="auto"/>
          <w:sz w:val="24"/>
          <w:highlight w:val="none"/>
        </w:rPr>
        <w:t xml:space="preserve">、政府采购严重违法失信行为记录名单及其他不符合《中华人民共和国政府采购法》第二十二条规定条件的；</w:t>
      </w:r>
      <w:r/>
    </w:p>
    <w:p>
      <w:pPr>
        <w:numPr>
          <w:ilvl w:val="0"/>
          <w:numId w:val="7"/>
        </w:numPr>
        <w:ind w:left="0" w:right="0" w:firstLine="482"/>
        <w:keepLines w:val="0"/>
        <w:keepNext w:val="0"/>
        <w:pageBreakBefore w:val="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未按要求提供技术文件</w:t>
      </w:r>
      <w:r>
        <w:rPr>
          <w:rFonts w:hint="eastAsia" w:ascii="宋体" w:hAnsi="宋体"/>
          <w:b/>
          <w:bCs/>
          <w:color w:val="auto"/>
          <w:sz w:val="24"/>
          <w:highlight w:val="none"/>
          <w:lang w:val="en-US" w:eastAsia="zh-CN"/>
        </w:rPr>
        <w:t xml:space="preserve">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的报价畸高或畸低，在询标时没有合理的解释或者不能提供计算依据和报价依据的；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投标人投标文件</w:t>
      </w:r>
      <w:r>
        <w:rPr>
          <w:rFonts w:hint="eastAsia" w:ascii="宋体" w:hAnsi="宋体"/>
          <w:color w:val="auto"/>
          <w:sz w:val="24"/>
          <w:highlight w:val="none"/>
        </w:rPr>
        <w:t xml:space="preserve">内容存在非正常一致、项目组成员或者联系人员出现同一人、</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中错误（或异常）一致或雷同、电子文档信息一致或雷同的；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的委托代理人、项目负责人以及其他相关人员有在同一个单位缴纳社会保险的；</w:t>
      </w:r>
      <w:r/>
    </w:p>
    <w:p>
      <w:pPr>
        <w:numPr>
          <w:ilvl w:val="0"/>
          <w:numId w:val="7"/>
        </w:numPr>
        <w:ind w:left="0" w:righ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同一</w:t>
      </w: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中单位名称落款与公章不是同一单位的；</w:t>
      </w:r>
      <w:r/>
    </w:p>
    <w:p>
      <w:pPr>
        <w:numPr>
          <w:ilvl w:val="0"/>
          <w:numId w:val="7"/>
        </w:numPr>
        <w:ind w:left="0" w:right="0" w:firstLine="480"/>
        <w:keepLines w:val="0"/>
        <w:keepNext w:val="0"/>
        <w:pageBreakBefore w:val="0"/>
        <w:spacing w:line="360" w:lineRule="auto"/>
        <w:rPr>
          <w:rFonts w:eastAsia="黑体"/>
          <w:bCs/>
          <w:color w:val="auto"/>
          <w:sz w:val="24"/>
          <w:szCs w:val="24"/>
          <w:highlight w:val="none"/>
        </w:rPr>
      </w:pPr>
      <w:r>
        <w:rPr>
          <w:rFonts w:hint="eastAsia" w:ascii="宋体" w:hAnsi="宋体"/>
          <w:b w:val="0"/>
          <w:bCs w:val="0"/>
          <w:color w:val="auto"/>
          <w:sz w:val="24"/>
          <w:highlight w:val="none"/>
        </w:rPr>
        <w:t xml:space="preserve">不同</w:t>
      </w:r>
      <w:r>
        <w:rPr>
          <w:rFonts w:hint="eastAsia" w:ascii="宋体" w:hAnsi="宋体"/>
          <w:b w:val="0"/>
          <w:bCs w:val="0"/>
          <w:color w:val="auto"/>
          <w:sz w:val="24"/>
          <w:highlight w:val="none"/>
          <w:lang w:eastAsia="zh-CN"/>
        </w:rPr>
        <w:t xml:space="preserve">投标人</w:t>
      </w:r>
      <w:r>
        <w:rPr>
          <w:rFonts w:hint="eastAsia" w:ascii="宋体" w:hAnsi="宋体"/>
          <w:b w:val="0"/>
          <w:bCs w:val="0"/>
          <w:color w:val="auto"/>
          <w:sz w:val="24"/>
          <w:highlight w:val="none"/>
        </w:rPr>
        <w:t xml:space="preserve">委托同一单位或者个人办理报价事宜的；</w:t>
      </w:r>
      <w:r/>
    </w:p>
    <w:p>
      <w:pPr>
        <w:numPr>
          <w:ilvl w:val="0"/>
          <w:numId w:val="7"/>
        </w:numPr>
        <w:ind w:left="0" w:right="0" w:firstLine="480"/>
        <w:keepLines w:val="0"/>
        <w:keepNext w:val="0"/>
        <w:pageBreakBefore w:val="0"/>
        <w:spacing w:line="360" w:lineRule="auto"/>
        <w:rPr>
          <w:rFonts w:eastAsia="黑体"/>
          <w:bCs/>
          <w:color w:val="auto"/>
          <w:sz w:val="24"/>
          <w:szCs w:val="24"/>
          <w:highlight w:val="none"/>
        </w:rPr>
      </w:pPr>
      <w:r>
        <w:rPr>
          <w:rFonts w:hint="eastAsia" w:ascii="宋体" w:hAnsi="宋体"/>
          <w:color w:val="auto"/>
          <w:sz w:val="24"/>
          <w:highlight w:val="none"/>
          <w:lang w:eastAsia="zh-CN"/>
        </w:rPr>
        <w:t xml:space="preserve">投标文件</w:t>
      </w:r>
      <w:r>
        <w:rPr>
          <w:rFonts w:hint="eastAsia" w:ascii="宋体" w:hAnsi="宋体"/>
          <w:color w:val="auto"/>
          <w:sz w:val="24"/>
          <w:highlight w:val="none"/>
        </w:rPr>
        <w:t xml:space="preserve">内容不全或不符合法律法规和</w:t>
      </w:r>
      <w:r>
        <w:rPr>
          <w:rFonts w:hint="eastAsia" w:ascii="宋体" w:hAnsi="宋体"/>
          <w:color w:val="auto"/>
          <w:sz w:val="24"/>
          <w:highlight w:val="none"/>
          <w:lang w:val="en-US" w:eastAsia="zh-CN"/>
        </w:rPr>
        <w:t xml:space="preserve">招标</w:t>
      </w:r>
      <w:r>
        <w:rPr>
          <w:rFonts w:hint="eastAsia" w:ascii="宋体" w:hAnsi="宋体"/>
          <w:color w:val="auto"/>
          <w:sz w:val="24"/>
          <w:highlight w:val="none"/>
        </w:rPr>
        <w:t xml:space="preserve">文件中规定的其他实质性要求的</w:t>
      </w:r>
      <w:r>
        <w:rPr>
          <w:rFonts w:hint="eastAsia" w:ascii="宋体" w:hAnsi="宋体" w:eastAsia="黑体"/>
          <w:color w:val="auto"/>
          <w:sz w:val="24"/>
          <w:highlight w:val="none"/>
        </w:rPr>
        <w:t xml:space="preserve">。</w:t>
      </w:r>
      <w:r>
        <w:rPr>
          <w:rFonts w:eastAsia="黑体"/>
          <w:bCs/>
          <w:color w:val="auto"/>
          <w:sz w:val="24"/>
          <w:szCs w:val="24"/>
          <w:highlight w:val="none"/>
        </w:rPr>
        <w:t xml:space="preserve"> </w:t>
      </w:r>
      <w:r>
        <w:rPr>
          <w:rFonts w:hint="eastAsia" w:eastAsia="黑体"/>
          <w:bCs/>
          <w:color w:val="auto"/>
          <w:sz w:val="24"/>
          <w:szCs w:val="24"/>
          <w:highlight w:val="none"/>
        </w:rPr>
        <w:t xml:space="preserve">（九）</w:t>
      </w:r>
      <w:r>
        <w:rPr>
          <w:rFonts w:eastAsia="黑体"/>
          <w:bCs/>
          <w:color w:val="auto"/>
          <w:sz w:val="24"/>
          <w:szCs w:val="24"/>
          <w:highlight w:val="none"/>
        </w:rPr>
        <w:t xml:space="preserve">开标、评标：</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1.所有投标单位在招标文件规定的时间内解密各自投标文件。</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投标截止时间后参加投标的供应商或解密投标文件的供应商不足三家的，不开标；开标后，所有投标人可在线上开标大厅中看到所有投标人的投标报价。</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3.投标文件的审查</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①投标文件中开标一览表（报价表）内容与投标文件中相应内容不一致的，以开标一览表（报价表）为准；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②大写金额和小写金额不一致的，以大写金额为准；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③单价金额小数点或者百分比有明显错位的，以开标一览表的总价为准，并修改单价；</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④总价金额与按单价汇总金额不一致的，以单价金额计算结果为准。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（2）对不同文字文本投标文件的解释发生异议的，以中文文本为准。</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（3）投标人未参加开标的，视同认可开标结果。</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4.评标程序</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评标工作由代理公司负责组织，具体评标事务由依法组建的评标委员会负责。</w:t>
      </w:r>
      <w:r/>
    </w:p>
    <w:p>
      <w:pPr>
        <w:ind w:left="0" w:firstLine="480"/>
        <w:jc w:val="both"/>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（1）投标文件初审。初审分为资格性检查和符合性检查。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eastAsia="宋体" w:cs="宋体"/>
          <w:bCs/>
          <w:color w:val="auto"/>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rPr>
          <w:rFonts w:ascii="宋体" w:hAnsi="宋体"/>
          <w:bCs/>
          <w:color w:val="auto"/>
          <w:sz w:val="24"/>
          <w:szCs w:val="24"/>
          <w:highlight w:val="none"/>
        </w:rPr>
        <w:t xml:space="preserve">。</w:t>
      </w:r>
      <w:r/>
    </w:p>
    <w:p>
      <w:pPr>
        <w:ind w:firstLine="480"/>
        <w:jc w:val="center"/>
        <w:tabs>
          <w:tab w:val="left" w:pos="525" w:leader="none"/>
          <w:tab w:val="left" w:pos="1050" w:leader="none"/>
        </w:tabs>
        <w:rPr>
          <w:rFonts w:ascii="宋体" w:hAnsi="宋体"/>
          <w:bCs/>
          <w:color w:val="auto"/>
          <w:sz w:val="24"/>
          <w:szCs w:val="24"/>
          <w:highlight w:val="none"/>
        </w:rPr>
      </w:pPr>
      <w:r>
        <w:rPr>
          <w:rFonts w:hint="eastAsia" w:ascii="宋体" w:hAnsi="宋体" w:eastAsia="宋体" w:cs="宋体"/>
          <w:b/>
          <w:color w:val="auto"/>
          <w:sz w:val="24"/>
          <w:szCs w:val="24"/>
          <w:highlight w:val="none"/>
        </w:rPr>
        <w:t xml:space="preserve">资格性审查表</w:t>
      </w:r>
      <w:r/>
    </w:p>
    <w:tbl>
      <w:tblPr>
        <w:tblStyle w:val="808"/>
        <w:tblW w:w="95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3059"/>
        <w:gridCol w:w="5544"/>
      </w:tblGrid>
      <w:tr>
        <w:trPr>
          <w:trHeight w:val="186"/>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auto"/>
                <w:sz w:val="24"/>
                <w:szCs w:val="32"/>
                <w:highlight w:val="none"/>
              </w:rPr>
              <w:suppressLineNumbers w:val="0"/>
            </w:pPr>
            <w:r>
              <w:rPr>
                <w:rFonts w:hint="eastAsia" w:ascii="宋体" w:hAnsi="宋体" w:cs="宋体"/>
                <w:b/>
                <w:bCs/>
                <w:color w:val="auto"/>
                <w:sz w:val="24"/>
                <w:szCs w:val="32"/>
                <w:highlight w:val="none"/>
              </w:rPr>
              <w:t xml:space="preserve">序号</w:t>
            </w:r>
            <w:r/>
          </w:p>
        </w:tc>
        <w:tc>
          <w:tcPr>
            <w:gridSpan w:val="2"/>
            <w:tcW w:w="8603"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auto"/>
                <w:sz w:val="24"/>
                <w:szCs w:val="32"/>
                <w:highlight w:val="none"/>
              </w:rPr>
              <w:suppressLineNumbers w:val="0"/>
            </w:pPr>
            <w:r>
              <w:rPr>
                <w:rFonts w:hint="eastAsia" w:ascii="宋体" w:hAnsi="宋体" w:cs="宋体"/>
                <w:b/>
                <w:bCs/>
                <w:color w:val="auto"/>
                <w:sz w:val="24"/>
                <w:szCs w:val="32"/>
                <w:highlight w:val="none"/>
              </w:rPr>
              <w:t xml:space="preserve">资格审查内容</w:t>
            </w:r>
            <w:r/>
          </w:p>
        </w:tc>
      </w:tr>
      <w:tr>
        <w:trPr>
          <w:trHeight w:val="389"/>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1</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关于资格的声明函</w:t>
            </w:r>
            <w:r/>
          </w:p>
        </w:tc>
        <w:tc>
          <w:tcPr>
            <w:tcW w:w="554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格式见附件</w:t>
            </w:r>
            <w:r/>
          </w:p>
        </w:tc>
      </w:tr>
      <w:tr>
        <w:trPr>
          <w:trHeight w:val="288"/>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2</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具有独立承担民事责任的能力</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tabs>
                <w:tab w:val="left" w:pos="1050" w:leader="none"/>
              </w:tabs>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30"/>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3</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投标供应商法定代表人授权委托书</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tabs>
                <w:tab w:val="left" w:pos="1050" w:leader="none"/>
              </w:tabs>
              <w:rPr>
                <w:rFonts w:ascii="宋体" w:hAnsi="宋体" w:cs="宋体"/>
                <w:color w:val="auto"/>
                <w:szCs w:val="24"/>
                <w:highlight w:val="none"/>
              </w:rPr>
              <w:suppressLineNumbers w:val="0"/>
            </w:pPr>
            <w:r>
              <w:rPr>
                <w:rFonts w:hint="eastAsia" w:ascii="宋体" w:hAnsi="宋体" w:eastAsia="宋体" w:cs="宋体"/>
                <w:b w:val="0"/>
                <w:bCs/>
                <w:color w:val="auto"/>
                <w:sz w:val="24"/>
                <w:szCs w:val="24"/>
                <w:highlight w:val="none"/>
                <w:lang w:val="en-US" w:eastAsia="zh-CN" w:bidi="ar-SA"/>
              </w:rPr>
              <w:t xml:space="preserve">法定代表人亲自参与投标的除外，格式见附件</w:t>
            </w:r>
            <w:r/>
          </w:p>
        </w:tc>
      </w:tr>
      <w:tr>
        <w:trPr>
          <w:trHeight w:val="213"/>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4</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投标供应商法定代表人身份证</w:t>
            </w:r>
            <w:r>
              <w:rPr>
                <w:rFonts w:hint="eastAsia" w:ascii="宋体" w:hAnsi="宋体" w:eastAsia="宋体" w:cs="宋体"/>
                <w:bCs/>
                <w:color w:val="auto"/>
                <w:sz w:val="24"/>
                <w:szCs w:val="24"/>
                <w:highlight w:val="none"/>
                <w:lang w:val="en-US" w:eastAsia="zh-CN" w:bidi="ar-SA"/>
              </w:rPr>
              <w:t xml:space="preserve">扫描件</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身份证应为正、反面</w:t>
            </w:r>
            <w:r/>
          </w:p>
        </w:tc>
      </w:tr>
      <w:tr>
        <w:trPr>
          <w:trHeight w:val="213"/>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5</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投标供应商法定代表人授权代表身份证扫描件</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身份证应为正、反面，法定代表人亲自参加投标的除外</w:t>
            </w:r>
            <w:r/>
          </w:p>
        </w:tc>
      </w:tr>
      <w:tr>
        <w:trPr>
          <w:trHeight w:val="423"/>
        </w:trPr>
        <w:tc>
          <w:tcPr>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6</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具有良好的商业信誉和健全的财务会计制度</w:t>
            </w:r>
            <w:r/>
          </w:p>
        </w:tc>
        <w:tc>
          <w:tcPr>
            <w:tcW w:w="554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tabs>
                <w:tab w:val="left" w:pos="1050" w:leader="none"/>
              </w:tabs>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标当月）的财务状况报告（资产负债表和利润表）或由会计师事务所出具的近两年中任意一个年度的审计报告和所附已审财务报告扫描件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新成立公司（成立不满三个自然月）除外</w:t>
            </w:r>
            <w:r/>
          </w:p>
        </w:tc>
      </w:tr>
      <w:tr>
        <w:trPr>
          <w:trHeight w:val="201"/>
        </w:trPr>
        <w:tc>
          <w:tcPr>
            <w:shd w:val="clear" w:color="auto" w:fill="auto"/>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7</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具有依法缴纳税收的良好记录</w:t>
            </w:r>
            <w:r/>
          </w:p>
        </w:tc>
        <w:tc>
          <w:tcPr>
            <w:tcW w:w="5544" w:type="dxa"/>
            <w:vAlign w:val="top"/>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标当月）的依法缴纳税收的相关材料（提供相关主管部门证明或银行代扣证明）扫描件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若供应商无需依法缴纳税收，请提供纳税申报表</w:t>
            </w:r>
            <w:r/>
          </w:p>
        </w:tc>
      </w:tr>
      <w:tr>
        <w:trPr>
          <w:trHeight w:val="201"/>
        </w:trPr>
        <w:tc>
          <w:tcPr>
            <w:shd w:val="clear" w:color="auto" w:fill="auto"/>
            <w:tcW w:w="906"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4"/>
                <w:highlight w:val="none"/>
              </w:rPr>
              <w:suppressLineNumbers w:val="0"/>
            </w:pPr>
            <w:r>
              <w:rPr>
                <w:rFonts w:hint="eastAsia" w:ascii="宋体" w:hAnsi="宋体" w:cs="宋体"/>
                <w:color w:val="auto"/>
                <w:szCs w:val="24"/>
                <w:highlight w:val="none"/>
              </w:rPr>
              <w:t xml:space="preserve">8</w:t>
            </w:r>
            <w:r/>
          </w:p>
        </w:tc>
        <w:tc>
          <w:tcPr>
            <w:shd w:val="clear" w:color="auto" w:fill="auto"/>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具有依法缴纳社会保障资金的良好记录</w:t>
            </w:r>
            <w:r/>
          </w:p>
        </w:tc>
        <w:tc>
          <w:tcPr>
            <w:tcW w:w="5544" w:type="dxa"/>
            <w:vAlign w:val="top"/>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bidi="ar-SA"/>
              </w:rPr>
              <w:t xml:space="preserve">近三个月中任意一个月份（不含</w:t>
            </w:r>
            <w:r>
              <w:rPr>
                <w:rFonts w:hint="eastAsia" w:ascii="宋体" w:hAnsi="宋体" w:cs="宋体"/>
                <w:bCs/>
                <w:color w:val="auto"/>
                <w:sz w:val="24"/>
                <w:szCs w:val="24"/>
                <w:highlight w:val="none"/>
                <w:lang w:val="en-US" w:eastAsia="zh-CN" w:bidi="ar-SA"/>
              </w:rPr>
              <w:t xml:space="preserve">开</w:t>
            </w:r>
            <w:r>
              <w:rPr>
                <w:rFonts w:hint="eastAsia" w:ascii="宋体" w:hAnsi="宋体" w:eastAsia="宋体" w:cs="宋体"/>
                <w:bCs/>
                <w:color w:val="auto"/>
                <w:sz w:val="24"/>
                <w:szCs w:val="24"/>
                <w:highlight w:val="none"/>
                <w:lang w:val="en-US" w:eastAsia="zh-CN" w:bidi="ar-SA"/>
              </w:rPr>
              <w:t xml:space="preserve">标当月）的依法缴纳社会保障资金的相关材料（提供相关主管部门证明或银行代扣证明）扫描件</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新成立公司（成立不满三个自然月）除外</w:t>
            </w:r>
            <w:r/>
          </w:p>
        </w:tc>
      </w:tr>
      <w:tr>
        <w:trPr>
          <w:trHeight w:val="199"/>
        </w:trPr>
        <w:tc>
          <w:tcPr>
            <w:tcW w:w="9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lang w:eastAsia="zh-CN"/>
              </w:rPr>
              <w:suppressLineNumbers w:val="0"/>
            </w:pPr>
            <w:r>
              <w:rPr>
                <w:rFonts w:hint="eastAsia" w:ascii="宋体" w:hAnsi="宋体" w:cs="宋体"/>
                <w:color w:val="auto"/>
                <w:szCs w:val="24"/>
                <w:highlight w:val="none"/>
                <w:lang w:val="en-US" w:eastAsia="zh-CN"/>
              </w:rPr>
              <w:t xml:space="preserve">9</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落实政府采购政策需满足的资格要求</w:t>
            </w:r>
            <w:r/>
          </w:p>
        </w:tc>
        <w:tc>
          <w:tcPr>
            <w:tcW w:w="554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rPr>
              <w:t xml:space="preserve">中小企业声明函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或残疾人福利性单位声明函</w:t>
            </w:r>
            <w:r>
              <w:rPr>
                <w:rFonts w:hint="eastAsia" w:ascii="宋体" w:hAnsi="宋体" w:eastAsia="宋体" w:cs="宋体"/>
                <w:b/>
                <w:bCs w:val="0"/>
                <w:color w:val="auto"/>
                <w:sz w:val="24"/>
                <w:szCs w:val="24"/>
                <w:highlight w:val="none"/>
              </w:rPr>
              <w:t xml:space="preserve">（格式见附件）</w:t>
            </w:r>
            <w:r>
              <w:rPr>
                <w:rFonts w:hint="eastAsia" w:ascii="宋体" w:hAnsi="宋体" w:eastAsia="宋体" w:cs="宋体"/>
                <w:bCs/>
                <w:color w:val="auto"/>
                <w:sz w:val="24"/>
                <w:szCs w:val="24"/>
                <w:highlight w:val="none"/>
              </w:rPr>
              <w:t xml:space="preserve">或由省级以上监狱管理局、戒毒管理局(含新疆生产建设兵团)出具的属于监狱企业的证明文件扫描件</w:t>
            </w:r>
            <w:r/>
          </w:p>
        </w:tc>
      </w:tr>
      <w:tr>
        <w:trPr>
          <w:trHeight w:val="247"/>
        </w:trPr>
        <w:tc>
          <w:tcPr>
            <w:tcW w:w="90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4"/>
                <w:highlight w:val="none"/>
                <w:lang w:val="en-US" w:eastAsia="zh-CN"/>
              </w:rPr>
              <w:suppressLineNumbers w:val="0"/>
            </w:pPr>
            <w:r>
              <w:rPr>
                <w:rFonts w:hint="eastAsia" w:ascii="宋体" w:hAnsi="宋体" w:cs="宋体"/>
                <w:color w:val="auto"/>
                <w:szCs w:val="24"/>
                <w:highlight w:val="none"/>
                <w:lang w:val="en-US" w:eastAsia="zh-CN"/>
              </w:rPr>
              <w:t xml:space="preserve">10</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bCs/>
                <w:color w:val="auto"/>
                <w:sz w:val="24"/>
                <w:szCs w:val="24"/>
                <w:highlight w:val="none"/>
                <w:lang w:val="en-US" w:eastAsia="zh-CN" w:bidi="ar-SA"/>
              </w:rPr>
              <w:t xml:space="preserve">特定资格要求</w:t>
            </w:r>
            <w:r/>
          </w:p>
        </w:tc>
        <w:tc>
          <w:tcPr>
            <w:tcW w:w="554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等线" w:cs="宋体"/>
                <w:color w:val="auto"/>
                <w:sz w:val="24"/>
                <w:szCs w:val="24"/>
                <w:highlight w:val="none"/>
                <w:lang w:val="en-US" w:eastAsia="zh-CN" w:bidi="ar-SA"/>
              </w:rPr>
              <w:t xml:space="preserve">/</w:t>
            </w:r>
            <w:r/>
          </w:p>
        </w:tc>
      </w:tr>
      <w:tr>
        <w:trPr>
          <w:trHeight w:val="199"/>
        </w:trPr>
        <w:tc>
          <w:tcPr>
            <w:tcW w:w="9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lang w:eastAsia="zh-CN"/>
              </w:rPr>
              <w:suppressLineNumbers w:val="0"/>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1</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信用记录</w:t>
            </w:r>
            <w:r/>
          </w:p>
          <w:p>
            <w:pPr>
              <w:pStyle w:val="818"/>
              <w:ind w:left="0" w:right="0"/>
              <w:jc w:val="both"/>
              <w:keepLines w:val="0"/>
              <w:keepNext w:val="0"/>
              <w:pageBreakBefore w:val="0"/>
              <w:spacing w:before="0" w:beforeAutospacing="0" w:after="0" w:afterAutospacing="0" w:line="240" w:lineRule="auto"/>
              <w:widowControl w:val="off"/>
              <w:tabs>
                <w:tab w:val="center" w:pos="4153" w:leader="none"/>
                <w:tab w:val="clear" w:pos="7143" w:leader="none"/>
                <w:tab w:val="right" w:pos="8306" w:leader="none"/>
                <w:tab w:val="clear" w:pos="14287" w:leader="none"/>
              </w:tabs>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 由网上直接查询，供应商无需提供证明材料。）</w:t>
            </w:r>
            <w:r/>
          </w:p>
        </w:tc>
        <w:tc>
          <w:tcPr>
            <w:tcW w:w="5544" w:type="dxa"/>
            <w:vAlign w:val="top"/>
            <w:textDirection w:val="lrTb"/>
            <w:noWrap w:val="false"/>
          </w:tcPr>
          <w:p>
            <w:pPr>
              <w:ind w:left="0" w:right="0"/>
              <w:jc w:val="both"/>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141"/>
        </w:trPr>
        <w:tc>
          <w:tcPr>
            <w:tcW w:w="9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4"/>
                <w:highlight w:val="none"/>
                <w:lang w:eastAsia="zh-CN"/>
              </w:rPr>
              <w:suppressLineNumbers w:val="0"/>
            </w:pPr>
            <w:r>
              <w:rPr>
                <w:rFonts w:hint="eastAsia" w:ascii="宋体" w:hAnsi="宋体" w:cs="宋体"/>
                <w:color w:val="auto"/>
                <w:szCs w:val="24"/>
                <w:highlight w:val="none"/>
              </w:rPr>
              <w:t xml:space="preserve">1</w:t>
            </w:r>
            <w:r>
              <w:rPr>
                <w:rFonts w:hint="eastAsia" w:ascii="宋体" w:hAnsi="宋体" w:cs="宋体"/>
                <w:color w:val="auto"/>
                <w:szCs w:val="24"/>
                <w:highlight w:val="none"/>
                <w:lang w:val="en-US" w:eastAsia="zh-CN"/>
              </w:rPr>
              <w:t xml:space="preserve">2</w:t>
            </w:r>
            <w:r/>
          </w:p>
        </w:tc>
        <w:tc>
          <w:tcPr>
            <w:tcW w:w="305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关于联合体投标</w:t>
            </w:r>
            <w:r/>
          </w:p>
        </w:tc>
        <w:tc>
          <w:tcPr>
            <w:tcW w:w="554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ascii="宋体" w:hAnsi="宋体" w:cs="宋体"/>
                <w:color w:val="auto"/>
                <w:szCs w:val="24"/>
                <w:highlight w:val="none"/>
              </w:rPr>
              <w:suppressLineNumbers w:val="0"/>
            </w:pPr>
            <w:r>
              <w:rPr>
                <w:rFonts w:hint="eastAsia" w:ascii="宋体" w:hAnsi="宋体" w:eastAsia="宋体" w:cs="宋体"/>
                <w:color w:val="auto"/>
                <w:sz w:val="24"/>
                <w:szCs w:val="24"/>
                <w:highlight w:val="none"/>
                <w:lang w:val="en-US" w:eastAsia="zh-CN" w:bidi="ar-SA"/>
              </w:rPr>
              <w:t xml:space="preserve">本项目不接受联合体投标；不允许分包、转包</w:t>
            </w:r>
            <w:r/>
          </w:p>
        </w:tc>
      </w:tr>
    </w:tbl>
    <w:p>
      <w:pPr>
        <w:pStyle w:val="873"/>
        <w:rPr>
          <w:rFonts w:hint="eastAsia" w:eastAsia="宋体"/>
          <w:color w:val="auto"/>
          <w:highlight w:val="none"/>
          <w:lang w:eastAsia="zh-CN"/>
        </w:rPr>
      </w:pPr>
      <w:r>
        <w:rPr>
          <w:rFonts w:hint="eastAsia" w:ascii="宋体" w:hAnsi="宋体" w:eastAsia="宋体" w:cs="宋体"/>
          <w:b/>
          <w:color w:val="auto"/>
          <w:sz w:val="24"/>
          <w:szCs w:val="24"/>
          <w:highlight w:val="none"/>
        </w:rPr>
        <w:t xml:space="preserve">特别提醒：资格审查不合格的投标供应商的投标文件不进入后续评审</w:t>
      </w:r>
      <w:r>
        <w:rPr>
          <w:rFonts w:hint="eastAsia" w:ascii="宋体" w:hAnsi="宋体" w:eastAsia="宋体" w:cs="宋体"/>
          <w:b/>
          <w:color w:val="auto"/>
          <w:sz w:val="24"/>
          <w:szCs w:val="24"/>
          <w:highlight w:val="none"/>
          <w:lang w:eastAsia="zh-CN"/>
        </w:rPr>
        <w:t xml:space="preserve">。</w:t>
      </w:r>
      <w:r/>
    </w:p>
    <w:p>
      <w:pPr>
        <w:numPr>
          <w:ilvl w:val="0"/>
          <w:numId w:val="8"/>
        </w:num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873"/>
        <w:ind w:firstLine="0"/>
        <w:jc w:val="center"/>
        <w:rPr>
          <w:color w:val="auto"/>
          <w:highlight w:val="none"/>
        </w:rPr>
      </w:pPr>
      <w:r/>
      <w:bookmarkStart w:id="1" w:name="_Toc116946315"/>
      <w:r>
        <w:rPr>
          <w:rFonts w:hint="eastAsia" w:ascii="宋体" w:hAnsi="宋体" w:eastAsia="宋体" w:cs="宋体"/>
          <w:b/>
          <w:bCs w:val="0"/>
          <w:color w:val="auto"/>
          <w:sz w:val="24"/>
          <w:szCs w:val="24"/>
          <w:highlight w:val="none"/>
        </w:rPr>
        <w:t xml:space="preserve">符合性审查表</w:t>
      </w:r>
      <w:bookmarkEnd w:id="1"/>
      <w:r/>
      <w:r/>
    </w:p>
    <w:tbl>
      <w:tblPr>
        <w:tblStyle w:val="808"/>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3007"/>
        <w:gridCol w:w="5511"/>
      </w:tblGrid>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ascii="宋体" w:hAnsi="宋体" w:cs="宋体"/>
                <w:b/>
                <w:bCs/>
                <w:color w:val="auto"/>
                <w:sz w:val="24"/>
                <w:szCs w:val="32"/>
                <w:highlight w:val="none"/>
              </w:rPr>
              <w:suppressLineNumbers w:val="0"/>
            </w:pPr>
            <w:r>
              <w:rPr>
                <w:rFonts w:hint="eastAsia" w:ascii="宋体" w:hAnsi="宋体" w:cs="宋体"/>
                <w:b/>
                <w:bCs/>
                <w:color w:val="auto"/>
                <w:sz w:val="24"/>
                <w:szCs w:val="32"/>
                <w:highlight w:val="none"/>
              </w:rPr>
              <w:t xml:space="preserve">序号</w:t>
            </w:r>
            <w:r/>
          </w:p>
        </w:tc>
        <w:tc>
          <w:tcPr>
            <w:tcW w:w="3007"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auto"/>
                <w:sz w:val="24"/>
                <w:szCs w:val="32"/>
                <w:highlight w:val="none"/>
              </w:rPr>
              <w:suppressLineNumbers w:val="0"/>
            </w:pPr>
            <w:r>
              <w:rPr>
                <w:rFonts w:hint="eastAsia" w:ascii="宋体" w:hAnsi="宋体" w:cs="宋体"/>
                <w:b/>
                <w:color w:val="auto"/>
                <w:sz w:val="24"/>
                <w:szCs w:val="32"/>
                <w:highlight w:val="none"/>
              </w:rPr>
              <w:t xml:space="preserve">评审点要求概况</w:t>
            </w:r>
            <w:r/>
          </w:p>
        </w:tc>
        <w:tc>
          <w:tcPr>
            <w:tcW w:w="5511"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auto"/>
                <w:sz w:val="24"/>
                <w:szCs w:val="32"/>
                <w:highlight w:val="none"/>
              </w:rPr>
              <w:suppressLineNumbers w:val="0"/>
            </w:pPr>
            <w:r>
              <w:rPr>
                <w:rFonts w:hint="eastAsia" w:ascii="宋体" w:hAnsi="宋体" w:cs="宋体"/>
                <w:b/>
                <w:color w:val="auto"/>
                <w:sz w:val="24"/>
                <w:szCs w:val="32"/>
                <w:highlight w:val="none"/>
              </w:rPr>
              <w:t xml:space="preserve">评审点具体描述</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投标函</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开标一览表</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3</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明细报价表</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4</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偏离表</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服务保障承诺书</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609"/>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情况表</w:t>
            </w:r>
            <w:r/>
          </w:p>
        </w:tc>
        <w:tc>
          <w:tcPr>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按招标文件填写 ，格式见附件</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7</w:t>
            </w:r>
            <w:r/>
          </w:p>
        </w:tc>
        <w:tc>
          <w:tcPr>
            <w:shd w:val="clear" w:color="auto" w:fill="auto"/>
            <w:tcW w:w="3007" w:type="dxa"/>
            <w:vAlign w:val="center"/>
            <w:textDirection w:val="lrTb"/>
            <w:noWrap w:val="false"/>
          </w:tcPr>
          <w:p>
            <w:pPr>
              <w:ind w:left="0" w:right="0"/>
              <w:jc w:val="center"/>
              <w:keepLines w:val="0"/>
              <w:keepNext w:val="0"/>
              <w:spacing w:before="0" w:beforeAutospacing="0" w:after="0" w:afterAutospacing="0" w:line="440" w:lineRule="exact"/>
              <w:widowControl w:val="off"/>
              <w:tabs>
                <w:tab w:val="left" w:pos="480" w:leader="none"/>
              </w:tabs>
              <w:rPr>
                <w:rFonts w:hint="eastAsia" w:ascii="宋体" w:hAnsi="宋体" w:eastAsia="宋体" w:cs="宋体"/>
                <w:color w:val="auto"/>
                <w:sz w:val="24"/>
                <w:szCs w:val="24"/>
                <w:highlight w:val="none"/>
                <w:lang w:val="en-US" w:eastAsia="zh-CN" w:bidi="ar-SA"/>
              </w:rPr>
              <w:outlineLvl w:val="0"/>
              <w:suppressLineNumbers w:val="0"/>
            </w:pPr>
            <w:r>
              <w:rPr>
                <w:rFonts w:hint="eastAsia" w:ascii="宋体" w:hAnsi="宋体" w:eastAsia="宋体" w:cs="宋体"/>
                <w:bCs/>
                <w:color w:val="auto"/>
                <w:sz w:val="24"/>
                <w:szCs w:val="24"/>
                <w:highlight w:val="none"/>
                <w:lang w:val="en-US" w:eastAsia="zh-CN" w:bidi="ar-SA"/>
              </w:rPr>
              <w:t xml:space="preserve">满足采购需求</w:t>
            </w:r>
            <w:r/>
          </w:p>
        </w:tc>
        <w:tc>
          <w:tcPr>
            <w:shd w:val="clear" w:color="auto" w:fill="auto"/>
            <w:tcW w:w="5511" w:type="dxa"/>
            <w:vAlign w:val="center"/>
            <w:textDirection w:val="lrTb"/>
            <w:noWrap w:val="false"/>
          </w:tcPr>
          <w:p>
            <w:pPr>
              <w:ind w:left="0" w:right="0"/>
              <w:jc w:val="center"/>
              <w:keepLines w:val="0"/>
              <w:keepNext w:val="0"/>
              <w:spacing w:before="0" w:beforeAutospacing="0" w:after="0" w:afterAutospacing="0" w:line="440" w:lineRule="exact"/>
              <w:widowControl w:val="off"/>
              <w:tabs>
                <w:tab w:val="left" w:pos="480" w:leader="none"/>
              </w:tabs>
              <w:rPr>
                <w:rFonts w:hint="eastAsia" w:ascii="宋体" w:hAnsi="宋体" w:eastAsia="宋体" w:cs="宋体"/>
                <w:color w:val="auto"/>
                <w:sz w:val="24"/>
                <w:szCs w:val="24"/>
                <w:highlight w:val="none"/>
                <w:lang w:val="en-US" w:eastAsia="zh-CN" w:bidi="ar-SA"/>
              </w:rPr>
              <w:outlineLvl w:val="0"/>
              <w:suppressLineNumbers w:val="0"/>
            </w:pPr>
            <w:r>
              <w:rPr>
                <w:rFonts w:hint="eastAsia" w:ascii="宋体" w:hAnsi="宋体" w:eastAsia="宋体" w:cs="宋体"/>
                <w:bCs/>
                <w:color w:val="auto"/>
                <w:sz w:val="24"/>
                <w:szCs w:val="24"/>
                <w:highlight w:val="none"/>
                <w:lang w:val="en-US" w:eastAsia="zh-CN" w:bidi="ar-SA"/>
              </w:rPr>
              <w:t xml:space="preserve">满足采购文件第三章项目技术要求和有关说明，提供相关证明材料（如有）</w:t>
            </w:r>
            <w:r/>
          </w:p>
        </w:tc>
      </w:tr>
      <w:tr>
        <w:trPr>
          <w:jc w:val="center"/>
          <w:trHeight w:val="408"/>
        </w:trPr>
        <w:tc>
          <w:tcPr>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8</w:t>
            </w:r>
            <w:r/>
          </w:p>
        </w:tc>
        <w:tc>
          <w:tcPr>
            <w:shd w:val="clear" w:color="auto" w:fill="auto"/>
            <w:tcW w:w="30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投标文件内容</w:t>
            </w:r>
            <w:r/>
          </w:p>
        </w:tc>
        <w:tc>
          <w:tcPr>
            <w:shd w:val="clear" w:color="auto" w:fill="auto"/>
            <w:tcW w:w="55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不存在供应商须知第八条中的情形</w:t>
            </w:r>
            <w:r/>
          </w:p>
        </w:tc>
      </w:tr>
    </w:tbl>
    <w:p>
      <w:pPr>
        <w:pStyle w:val="873"/>
        <w:ind w:firstLine="0"/>
        <w:rPr>
          <w:color w:val="auto"/>
          <w:highlight w:val="none"/>
        </w:rPr>
      </w:pPr>
      <w:r>
        <w:rPr>
          <w:color w:val="auto"/>
          <w:highlight w:val="none"/>
        </w:rPr>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澄清有关问题。对投标文件中含义不明确、同类问题表述不一致或者有明显文字和计算错误的内容，</w:t>
      </w:r>
      <w:r>
        <w:rPr>
          <w:rFonts w:hint="eastAsia" w:ascii="宋体" w:hAnsi="宋体"/>
          <w:bCs/>
          <w:color w:val="auto"/>
          <w:sz w:val="24"/>
          <w:szCs w:val="24"/>
          <w:highlight w:val="none"/>
        </w:rPr>
        <w:t xml:space="preserve">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firstLine="482"/>
        <w:tabs>
          <w:tab w:val="left" w:pos="1365" w:leader="none"/>
        </w:tabs>
        <w:rPr>
          <w:rFonts w:ascii="宋体" w:hAnsi="宋体"/>
          <w:b/>
          <w:color w:val="auto"/>
          <w:sz w:val="24"/>
          <w:highlight w:val="none"/>
        </w:rPr>
      </w:pPr>
      <w:r>
        <w:rPr>
          <w:rFonts w:hint="eastAsia" w:ascii="宋体" w:hAnsi="宋体"/>
          <w:b/>
          <w:color w:val="auto"/>
          <w:sz w:val="24"/>
          <w:highlight w:val="none"/>
        </w:rPr>
        <w:t xml:space="preserve">（3）启动</w:t>
      </w:r>
      <w:r>
        <w:rPr>
          <w:rFonts w:ascii="宋体" w:hAnsi="宋体"/>
          <w:b/>
          <w:color w:val="auto"/>
          <w:sz w:val="24"/>
          <w:highlight w:val="none"/>
        </w:rPr>
        <w:t xml:space="preserve">异常低价投标（响应）审查的情形和具体要求：</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异常低价投标（响应）审查的情形和具体要求（财库〔2026〕2号），包括：</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1）采购人应当在招标文件中明确，在政府采购评审中出现下列情形之一的，评审委员会应当启动异常低价投标（响应）审查程序：</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②投标（响应）报价低于通过符合性审查的次低报价供应商投标（响应）报价50%的，即投标（响应）报价〈通过符合性审查的次低报价供应商投标（响应）报价×50%；</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③投标（响应）报价低于采购项目最高限价</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%的，即投标（响应）报价〈采购项目最高限价×</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④评审委员会基于专业判断，认为供应商报价过低，有可能影响产品质量或者不能诚信履约的其他情形。</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tabs>
          <w:tab w:val="left" w:pos="1365" w:leader="none"/>
        </w:tabs>
        <w:rPr>
          <w:color w:val="auto"/>
          <w:highlight w:val="none"/>
        </w:rPr>
      </w:pPr>
      <w:r>
        <w:rPr>
          <w:rFonts w:hint="eastAsia" w:ascii="宋体" w:hAnsi="宋体" w:cs="宋体"/>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5. 评标方法</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（1）供应商通过初审的，方可进入比较与评价程序，本项目采用综合评分法。</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（2）评标委员会遵循公平、公正、择优原则，独立按照评分标准分别评定供应商的分值；各供应商的评审后得分为</w:t>
      </w:r>
      <w:r>
        <w:rPr>
          <w:rFonts w:hint="eastAsia" w:ascii="宋体" w:hAnsi="宋体"/>
          <w:bCs/>
          <w:color w:val="auto"/>
          <w:sz w:val="24"/>
          <w:szCs w:val="24"/>
          <w:highlight w:val="none"/>
        </w:rPr>
        <w:t xml:space="preserve">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采购本国产品的支持政策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Cs/>
          <w:color w:val="auto"/>
          <w:sz w:val="24"/>
          <w:szCs w:val="24"/>
          <w:highlight w:val="none"/>
        </w:rPr>
      </w:pPr>
      <w:r>
        <w:rPr>
          <w:rFonts w:hint="default"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1）提供本国产品进行投标（报价）的供应商需在其投</w:t>
      </w:r>
      <w:r>
        <w:rPr>
          <w:rFonts w:hint="eastAsia" w:ascii="宋体" w:hAnsi="宋体" w:eastAsia="宋体" w:cs="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2）当采购项目或者采购包中含有多种产品，除按上述要求提供《关于符合本国产品标准的声明函》外，供应商还应在《</w:t>
      </w:r>
      <w:r>
        <w:rPr>
          <w:rFonts w:hint="eastAsia" w:ascii="宋体" w:hAnsi="宋体" w:eastAsia="宋体" w:cs="宋体"/>
          <w:bCs/>
          <w:color w:val="auto"/>
          <w:sz w:val="24"/>
          <w:szCs w:val="24"/>
          <w:highlight w:val="none"/>
          <w:lang w:val="en-US" w:eastAsia="zh-CN"/>
        </w:rPr>
        <w:t xml:space="preserve">报价明细表</w:t>
      </w:r>
      <w:r>
        <w:rPr>
          <w:rFonts w:hint="eastAsia" w:ascii="宋体" w:hAnsi="宋体" w:eastAsia="宋体" w:cs="宋体"/>
          <w:bCs/>
          <w:color w:val="auto"/>
          <w:sz w:val="24"/>
          <w:szCs w:val="24"/>
          <w:highlight w:val="none"/>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例如，供应商总报价1000000元，经认定可以享受小微型企业价格扣除政策以及本国产品价格扣除政策的，则该供应商参与评审的报价为：</w:t>
      </w:r>
      <w:r/>
    </w:p>
    <w:p>
      <w:pPr>
        <w:ind w:firstLine="480"/>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1000000×[1-（10%+20%）]=700000元</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．评标标准：</w:t>
      </w:r>
      <w:r>
        <w:rPr>
          <w:rFonts w:hint="eastAsia" w:ascii="宋体" w:hAnsi="宋体"/>
          <w:bCs/>
          <w:color w:val="auto"/>
          <w:sz w:val="24"/>
          <w:szCs w:val="24"/>
          <w:highlight w:val="none"/>
        </w:rPr>
        <w:t xml:space="preserve">详见附件。</w:t>
      </w:r>
      <w:r/>
    </w:p>
    <w:p>
      <w:pPr>
        <w:ind w:firstLine="480"/>
        <w:rPr>
          <w:rFonts w:eastAsia="黑体"/>
          <w:bCs/>
          <w:color w:val="auto"/>
          <w:sz w:val="24"/>
          <w:szCs w:val="24"/>
          <w:highlight w:val="none"/>
        </w:rPr>
      </w:pPr>
      <w:r>
        <w:rPr>
          <w:rFonts w:hint="eastAsia" w:eastAsia="黑体"/>
          <w:bCs/>
          <w:color w:val="auto"/>
          <w:sz w:val="24"/>
          <w:szCs w:val="24"/>
          <w:highlight w:val="none"/>
        </w:rPr>
        <w:t xml:space="preserve">（十）</w:t>
      </w:r>
      <w:r>
        <w:rPr>
          <w:rFonts w:eastAsia="黑体"/>
          <w:bCs/>
          <w:color w:val="auto"/>
          <w:sz w:val="24"/>
          <w:szCs w:val="24"/>
          <w:highlight w:val="none"/>
        </w:rPr>
        <w:t xml:space="preserve">定标：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将在江苏政府采购网上发布中标公告。</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和评标委员会对未中标原因不作解释。如有质疑，应在法定质疑期限内，即中标公告期限届满之日起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个工作日内，以书面形式（原件）送达</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。质疑函应当列明具体的质疑事项及事实根据（格式详见中国政府采购网《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w:t>
      </w:r>
      <w:bookmarkStart w:id="2" w:name="_Hlt50664451"/>
      <w:r/>
      <w:bookmarkStart w:id="3" w:name="_Hlt50664450"/>
      <w:r>
        <w:rPr>
          <w:rFonts w:hint="eastAsia" w:ascii="宋体" w:hAnsi="宋体"/>
          <w:bCs/>
          <w:color w:val="auto"/>
          <w:sz w:val="24"/>
          <w:szCs w:val="24"/>
          <w:highlight w:val="none"/>
        </w:rPr>
        <w:t xml:space="preserve">函</w:t>
      </w:r>
      <w:bookmarkEnd w:id="2"/>
      <w:r/>
      <w:bookmarkEnd w:id="3"/>
      <w:r>
        <w:rPr>
          <w:rFonts w:hint="eastAsia" w:ascii="宋体" w:hAnsi="宋体"/>
          <w:bCs/>
          <w:color w:val="auto"/>
          <w:sz w:val="24"/>
          <w:szCs w:val="24"/>
          <w:highlight w:val="none"/>
        </w:rPr>
        <w:t xml:space="preserve">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》），认为自己合法权益</w:t>
      </w:r>
      <w:r>
        <w:rPr>
          <w:rFonts w:ascii="宋体" w:hAnsi="宋体"/>
          <w:bCs/>
          <w:color w:val="auto"/>
          <w:sz w:val="24"/>
          <w:szCs w:val="24"/>
          <w:highlight w:val="none"/>
        </w:rPr>
        <w:t xml:space="preserve">受到损害的</w:t>
      </w:r>
      <w:r>
        <w:rPr>
          <w:rFonts w:hint="eastAsia" w:ascii="宋体" w:hAnsi="宋体"/>
          <w:bCs/>
          <w:color w:val="auto"/>
          <w:sz w:val="24"/>
          <w:szCs w:val="24"/>
          <w:highlight w:val="none"/>
        </w:rPr>
        <w:t xml:space="preserve">相关证据材料以及质疑供应商的名称、地址、邮编、联系人、联系电话、日期，同时该质疑函应由投标供应商法定代表人签字并加盖单位公章（原件）。</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2．在发布中标公告的同时，</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将向中标供应商发出中标通知书。</w:t>
      </w:r>
      <w:r/>
    </w:p>
    <w:p>
      <w:pPr>
        <w:ind w:firstLine="480"/>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3．投标供应商电子投标文件将作为电子档案保存</w:t>
      </w:r>
      <w:r>
        <w:rPr>
          <w:bCs/>
          <w:color w:val="auto"/>
          <w:sz w:val="24"/>
          <w:szCs w:val="24"/>
          <w:highlight w:val="none"/>
        </w:rPr>
        <w:t xml:space="preserve">。</w:t>
      </w:r>
      <w:r/>
    </w:p>
    <w:p>
      <w:pPr>
        <w:ind w:firstLine="480"/>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十</w:t>
      </w:r>
      <w:r>
        <w:rPr>
          <w:rFonts w:hint="eastAsia" w:eastAsia="黑体"/>
          <w:bCs/>
          <w:color w:val="auto"/>
          <w:sz w:val="24"/>
          <w:szCs w:val="24"/>
          <w:highlight w:val="none"/>
        </w:rPr>
        <w:t xml:space="preserve">一）废标的确认</w:t>
      </w:r>
      <w:r>
        <w:rPr>
          <w:rFonts w:eastAsia="黑体"/>
          <w:bCs/>
          <w:color w:val="auto"/>
          <w:sz w:val="24"/>
          <w:szCs w:val="24"/>
          <w:highlight w:val="none"/>
        </w:rPr>
        <w:t xml:space="preserve">：</w:t>
      </w:r>
      <w:r/>
    </w:p>
    <w:p>
      <w:pPr>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1．符合专业条件的投标供应商或者对招标文件作出实质性响应的投标供应商不足三家；</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2．出现影响采购公正的违法、违规行为；</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3．投标供应商的报价均超过采购预算，采购人不能支付的；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4．因重大变故，采购任务取消。</w:t>
      </w:r>
      <w:r/>
    </w:p>
    <w:p>
      <w:pPr>
        <w:ind w:firstLine="480"/>
        <w:rPr>
          <w:rFonts w:eastAsia="黑体"/>
          <w:bCs/>
          <w:color w:val="auto"/>
          <w:sz w:val="24"/>
          <w:szCs w:val="24"/>
          <w:highlight w:val="none"/>
        </w:rPr>
      </w:pPr>
      <w:r>
        <w:rPr>
          <w:rFonts w:hint="eastAsia" w:eastAsia="黑体"/>
          <w:bCs/>
          <w:color w:val="auto"/>
          <w:sz w:val="24"/>
          <w:szCs w:val="24"/>
          <w:highlight w:val="none"/>
        </w:rPr>
        <w:t xml:space="preserve">（十二）中标无效的确认：</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．采取不正当手段诋毁、排挤其他投标供应商的；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．与招标采购人、其他投标供应商恶意串通的；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．向招标采购人行贿或者提供其他不正当利益的；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．至5．项情形之一的，中标无效。有上述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eastAsia="黑体"/>
          <w:bCs/>
          <w:color w:val="auto"/>
          <w:sz w:val="24"/>
          <w:szCs w:val="24"/>
          <w:highlight w:val="none"/>
        </w:rPr>
        <w:outlineLvl w:val="0"/>
      </w:pPr>
      <w:r>
        <w:rPr>
          <w:rFonts w:hint="eastAsia" w:eastAsia="黑体"/>
          <w:bCs/>
          <w:color w:val="auto"/>
          <w:sz w:val="24"/>
          <w:szCs w:val="24"/>
          <w:highlight w:val="none"/>
        </w:rPr>
        <w:t xml:space="preserve">（十三）</w:t>
      </w:r>
      <w:r>
        <w:rPr>
          <w:rFonts w:eastAsia="黑体"/>
          <w:bCs/>
          <w:color w:val="auto"/>
          <w:sz w:val="24"/>
          <w:szCs w:val="24"/>
          <w:highlight w:val="none"/>
        </w:rPr>
        <w:t xml:space="preserve">签订、履行合同：</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bCs/>
          <w:color w:val="auto"/>
          <w:sz w:val="24"/>
          <w:szCs w:val="24"/>
          <w:highlight w:val="none"/>
          <w:lang w:eastAsia="zh-CN"/>
        </w:rPr>
        <w:t xml:space="preserve">江苏新桂工程咨询有限公司</w:t>
      </w:r>
      <w:r>
        <w:rPr>
          <w:rFonts w:hint="eastAsia" w:ascii="宋体" w:hAnsi="宋体"/>
          <w:bCs/>
          <w:color w:val="auto"/>
          <w:sz w:val="24"/>
          <w:szCs w:val="24"/>
          <w:highlight w:val="none"/>
        </w:rPr>
        <w:t xml:space="preserve">备案。</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中标供应商非因不可抗力未履行招、投标文件和合同规定的义务，一经查实，</w:t>
      </w:r>
      <w:r>
        <w:rPr>
          <w:rFonts w:hint="eastAsia" w:ascii="宋体" w:hAnsi="宋体"/>
          <w:bCs/>
          <w:color w:val="auto"/>
          <w:sz w:val="24"/>
          <w:szCs w:val="24"/>
          <w:highlight w:val="none"/>
          <w:lang w:eastAsia="zh-CN"/>
        </w:rPr>
        <w:t xml:space="preserve">江苏新桂工程咨询有限公司</w:t>
      </w:r>
      <w:r>
        <w:rPr>
          <w:rFonts w:ascii="宋体" w:hAnsi="宋体"/>
          <w:bCs/>
          <w:color w:val="auto"/>
          <w:sz w:val="24"/>
          <w:szCs w:val="24"/>
          <w:highlight w:val="none"/>
        </w:rPr>
        <w:t xml:space="preserve">将根据具体情况提请政府采购管理部门作出相应处理。</w:t>
      </w:r>
      <w:r/>
    </w:p>
    <w:p>
      <w:pPr>
        <w:ind w:firstLine="480"/>
        <w:rPr>
          <w:rFonts w:eastAsia="黑体"/>
          <w:bCs/>
          <w:color w:val="auto"/>
          <w:sz w:val="24"/>
          <w:szCs w:val="24"/>
          <w:highlight w:val="none"/>
        </w:rPr>
        <w:outlineLvl w:val="0"/>
      </w:pPr>
      <w:r>
        <w:rPr>
          <w:rFonts w:hint="eastAsia" w:eastAsia="黑体"/>
          <w:bCs/>
          <w:color w:val="auto"/>
          <w:sz w:val="24"/>
          <w:szCs w:val="24"/>
          <w:highlight w:val="none"/>
        </w:rPr>
        <w:t xml:space="preserve"> （十四）注意事项：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（3）拒绝履行合同义务的。</w:t>
      </w:r>
      <w:r/>
    </w:p>
    <w:p>
      <w:pPr>
        <w:ind w:firstLine="480"/>
        <w:rPr>
          <w:rFonts w:ascii="宋体" w:cs="宋体"/>
          <w:b/>
          <w:bCs/>
          <w:color w:val="auto"/>
          <w:sz w:val="24"/>
          <w:szCs w:val="28"/>
          <w:highlight w:val="none"/>
        </w:rPr>
        <w:outlineLvl w:val="0"/>
      </w:pPr>
      <w:r>
        <w:rPr>
          <w:rFonts w:hint="eastAsia" w:eastAsia="黑体"/>
          <w:bCs/>
          <w:color w:val="auto"/>
          <w:sz w:val="24"/>
          <w:szCs w:val="24"/>
          <w:highlight w:val="none"/>
        </w:rPr>
        <w:t xml:space="preserve">（</w:t>
      </w: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hint="eastAsia" w:ascii="宋体" w:hAnsi="宋体" w:cs="宋体"/>
          <w:b/>
          <w:bCs/>
          <w:color w:val="auto"/>
          <w:sz w:val="24"/>
          <w:szCs w:val="28"/>
          <w:highlight w:val="none"/>
          <w:lang w:val="en-US" w:eastAsia="zh-CN"/>
        </w:rPr>
        <w:t xml:space="preserve">代理</w:t>
      </w:r>
      <w:r>
        <w:rPr>
          <w:rFonts w:hint="eastAsia" w:ascii="宋体" w:hAnsi="宋体" w:cs="宋体"/>
          <w:b/>
          <w:bCs/>
          <w:color w:val="auto"/>
          <w:sz w:val="24"/>
          <w:szCs w:val="28"/>
          <w:highlight w:val="none"/>
        </w:rPr>
        <w:t xml:space="preserve">服务费：</w:t>
      </w:r>
      <w:r/>
    </w:p>
    <w:p>
      <w:pPr>
        <w:numPr>
          <w:ilvl w:val="-1"/>
          <w:numId w:val="0"/>
        </w:numPr>
        <w:ind w:left="0" w:firstLine="480"/>
        <w:spacing w:line="360" w:lineRule="auto"/>
        <w:tabs>
          <w:tab w:val="left" w:pos="525" w:leader="none"/>
          <w:tab w:val="left" w:pos="1050" w:leader="none"/>
        </w:tabs>
        <w:rPr>
          <w:rFonts w:hint="eastAsia" w:ascii="宋体" w:hAnsi="宋体" w:eastAsia="宋体" w:cs="Times New Roman"/>
          <w:b/>
          <w:bCs w:val="0"/>
          <w:color w:val="auto"/>
          <w:sz w:val="24"/>
          <w:szCs w:val="24"/>
          <w:highlight w:val="none"/>
          <w:u w:val="none"/>
        </w:rPr>
      </w:pPr>
      <w:r>
        <w:rPr>
          <w:rFonts w:hint="eastAsia" w:ascii="宋体" w:hAnsi="宋体" w:eastAsia="宋体" w:cs="Times New Roman"/>
          <w:b/>
          <w:bCs w:val="0"/>
          <w:color w:val="auto"/>
          <w:sz w:val="24"/>
          <w:szCs w:val="24"/>
          <w:highlight w:val="none"/>
          <w:shd w:val="clear" w:color="auto"/>
        </w:rPr>
        <w:t xml:space="preserve">本项目代理服务费由</w:t>
      </w:r>
      <w:r>
        <w:rPr>
          <w:rFonts w:hint="eastAsia" w:ascii="宋体" w:hAnsi="宋体" w:cs="Times New Roman"/>
          <w:b/>
          <w:bCs w:val="0"/>
          <w:color w:val="auto"/>
          <w:sz w:val="24"/>
          <w:szCs w:val="24"/>
          <w:highlight w:val="none"/>
          <w:shd w:val="clear" w:color="auto"/>
          <w:lang w:val="en-US" w:eastAsia="zh-CN"/>
        </w:rPr>
        <w:t xml:space="preserve">采购</w:t>
      </w:r>
      <w:r>
        <w:rPr>
          <w:rFonts w:hint="eastAsia" w:ascii="宋体" w:hAnsi="宋体" w:eastAsia="宋体" w:cs="Times New Roman"/>
          <w:b/>
          <w:bCs w:val="0"/>
          <w:color w:val="auto"/>
          <w:sz w:val="24"/>
          <w:szCs w:val="24"/>
          <w:highlight w:val="none"/>
          <w:shd w:val="clear" w:color="auto"/>
          <w:lang w:val="en-US" w:eastAsia="zh-CN"/>
        </w:rPr>
        <w:t xml:space="preserve">人</w:t>
      </w:r>
      <w:r>
        <w:rPr>
          <w:rFonts w:hint="eastAsia" w:ascii="宋体" w:hAnsi="宋体" w:eastAsia="宋体" w:cs="Times New Roman"/>
          <w:b/>
          <w:bCs w:val="0"/>
          <w:color w:val="auto"/>
          <w:sz w:val="24"/>
          <w:szCs w:val="24"/>
          <w:highlight w:val="none"/>
          <w:shd w:val="clear" w:color="auto"/>
        </w:rPr>
        <w:t xml:space="preserve">支付，</w:t>
      </w:r>
      <w:r>
        <w:rPr>
          <w:rFonts w:hint="eastAsia" w:ascii="宋体" w:hAnsi="宋体" w:eastAsia="宋体" w:cs="Times New Roman"/>
          <w:b/>
          <w:bCs w:val="0"/>
          <w:color w:val="auto"/>
          <w:sz w:val="24"/>
          <w:szCs w:val="24"/>
          <w:highlight w:val="none"/>
          <w:shd w:val="clear" w:color="auto"/>
          <w:lang w:val="en-US" w:eastAsia="zh-CN"/>
        </w:rPr>
        <w:t xml:space="preserve">招标代理服务费以中标金额为计算基数，采用差额定率累进计费方式，按下列费率的</w:t>
      </w:r>
      <w:r>
        <w:rPr>
          <w:rFonts w:hint="eastAsia" w:ascii="宋体" w:hAnsi="宋体" w:cs="Times New Roman"/>
          <w:b/>
          <w:bCs w:val="0"/>
          <w:color w:val="auto"/>
          <w:sz w:val="24"/>
          <w:szCs w:val="24"/>
          <w:highlight w:val="none"/>
          <w:shd w:val="clear" w:color="auto"/>
          <w:lang w:val="en-US" w:eastAsia="zh-CN"/>
        </w:rPr>
        <w:t xml:space="preserve">77.7</w:t>
      </w:r>
      <w:r>
        <w:rPr>
          <w:rFonts w:hint="eastAsia" w:ascii="宋体" w:hAnsi="宋体" w:eastAsia="宋体" w:cs="Times New Roman"/>
          <w:b/>
          <w:bCs w:val="0"/>
          <w:color w:val="auto"/>
          <w:sz w:val="24"/>
          <w:szCs w:val="24"/>
          <w:highlight w:val="none"/>
          <w:shd w:val="clear" w:color="auto"/>
          <w:lang w:val="en-US" w:eastAsia="zh-CN"/>
        </w:rPr>
        <w:t xml:space="preserve">%计取：100万以下费率为1.5%，100万-500万费率为</w:t>
      </w:r>
      <w:r>
        <w:rPr>
          <w:rFonts w:hint="eastAsia" w:ascii="宋体" w:hAnsi="宋体" w:cs="Times New Roman"/>
          <w:b/>
          <w:bCs w:val="0"/>
          <w:color w:val="auto"/>
          <w:sz w:val="24"/>
          <w:szCs w:val="24"/>
          <w:highlight w:val="none"/>
          <w:shd w:val="clear" w:color="auto"/>
          <w:lang w:val="en-US" w:eastAsia="zh-CN"/>
        </w:rPr>
        <w:t xml:space="preserve">1.1</w:t>
      </w:r>
      <w:r>
        <w:rPr>
          <w:rFonts w:hint="eastAsia" w:ascii="宋体" w:hAnsi="宋体" w:eastAsia="宋体" w:cs="Times New Roman"/>
          <w:b/>
          <w:bCs w:val="0"/>
          <w:color w:val="auto"/>
          <w:sz w:val="24"/>
          <w:szCs w:val="24"/>
          <w:highlight w:val="none"/>
          <w:shd w:val="clear" w:color="auto"/>
          <w:lang w:val="en-US" w:eastAsia="zh-CN"/>
        </w:rPr>
        <w:t xml:space="preserve">%</w:t>
      </w:r>
      <w:r>
        <w:rPr>
          <w:rFonts w:hint="eastAsia" w:ascii="宋体" w:hAnsi="宋体" w:eastAsia="宋体" w:cs="Times New Roman"/>
          <w:b/>
          <w:bCs w:val="0"/>
          <w:color w:val="auto"/>
          <w:sz w:val="24"/>
          <w:szCs w:val="24"/>
          <w:highlight w:val="none"/>
          <w:u w:val="none"/>
        </w:rPr>
        <w:t xml:space="preserve">。</w:t>
      </w:r>
      <w:r/>
    </w:p>
    <w:p>
      <w:pPr>
        <w:ind w:firstLine="480"/>
        <w:jc w:val="both"/>
        <w:spacing w:line="360" w:lineRule="auto"/>
        <w:rPr>
          <w:rFonts w:hint="eastAsia" w:ascii="黑体" w:hAnsi="宋体" w:eastAsia="黑体" w:cs="Times New Roman"/>
          <w:bCs/>
          <w:color w:val="auto"/>
          <w:spacing w:val="0"/>
          <w:sz w:val="24"/>
          <w:szCs w:val="24"/>
          <w:highlight w:val="none"/>
          <w:lang w:val="en-US" w:eastAsia="zh-CN"/>
        </w:rPr>
        <w:outlineLvl w:val="1"/>
      </w:pPr>
      <w:r>
        <w:rPr>
          <w:rFonts w:hint="eastAsia" w:ascii="黑体" w:hAnsi="宋体" w:eastAsia="黑体" w:cs="Times New Roman"/>
          <w:bCs/>
          <w:color w:val="auto"/>
          <w:spacing w:val="0"/>
          <w:sz w:val="24"/>
          <w:szCs w:val="24"/>
          <w:highlight w:val="none"/>
          <w:lang w:val="en-US" w:eastAsia="zh-CN"/>
        </w:rPr>
        <w:t xml:space="preserve">（十六）合同融资、履约担保</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1.根据国家扶持中小企业的有关政策，本次采购项目中标的供应商，如需要政府采购合同融资，请按锡财购【2020】17号文件执行。</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合同融资，是指参与政府采购</w:t>
      </w:r>
      <w:r>
        <w:rPr>
          <w:rFonts w:hint="eastAsia" w:ascii="宋体" w:hAnsi="宋体" w:eastAsia="宋体" w:cs="宋体"/>
          <w:color w:val="auto"/>
          <w:spacing w:val="0"/>
          <w:sz w:val="24"/>
          <w:szCs w:val="24"/>
          <w:highlight w:val="none"/>
        </w:rPr>
        <w:t xml:space="preserve">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中标、中标供应商可根据自身情况，自行决定是否选择采用合同融资形式，在无锡政府采购网——政采贷专栏提供的银行名录内自主选择合作银行。</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履约担保，是指由专业担保机构为中标、中标供应商支付履约保证金的义务向采购人提供的保函担保。专业担保机构根据中标、中标供应商的中标（成交）通知书为凭据，进行资信审查后出具保函,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pStyle w:val="1110"/>
        <w:ind w:left="0" w:firstLine="480"/>
        <w:jc w:val="both"/>
        <w:keepLines w:val="0"/>
        <w:keepNext w:val="0"/>
        <w:pageBreakBefore w:val="0"/>
        <w:spacing w:after="0"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numPr>
          <w:ilvl w:val="0"/>
          <w:numId w:val="0"/>
        </w:numPr>
        <w:ind w:firstLine="482"/>
        <w:rPr>
          <w:rFonts w:hint="default" w:ascii="Times New Roman" w:hAnsi="Times New Roman" w:eastAsia="黑体" w:cs="Times New Roman"/>
          <w:b w:val="0"/>
          <w:bCs/>
          <w:color w:val="auto"/>
          <w:sz w:val="24"/>
          <w:szCs w:val="24"/>
          <w:highlight w:val="none"/>
        </w:rPr>
        <w:sectPr>
          <w:headerReference w:type="default" r:id="rId9"/>
          <w:footerReference w:type="default" r:id="rId11"/>
          <w:footnotePr/>
          <w:endnotePr/>
          <w:type w:val="nextPage"/>
          <w:pgSz w:w="11905" w:h="16838" w:orient="portrait"/>
          <w:pgMar w:top="1417" w:right="1134" w:bottom="1134" w:left="1134" w:header="850" w:footer="992" w:gutter="0"/>
          <w:cols w:num="1" w:sep="0" w:space="1701" w:equalWidth="1"/>
          <w:docGrid w:linePitch="360"/>
        </w:sectPr>
        <w:outlineLvl w:val="0"/>
      </w:pPr>
      <w:r>
        <w:rPr>
          <w:rFonts w:hint="default" w:ascii="Times New Roman" w:hAnsi="Times New Roman" w:eastAsia="黑体" w:cs="Times New Roman"/>
          <w:b w:val="0"/>
          <w:bCs/>
          <w:color w:val="auto"/>
          <w:sz w:val="24"/>
          <w:szCs w:val="24"/>
          <w:highlight w:val="none"/>
        </w:rPr>
      </w:r>
      <w:r/>
    </w:p>
    <w:p>
      <w:pPr>
        <w:pStyle w:val="1021"/>
        <w:ind w:left="0" w:firstLine="0"/>
        <w:rPr>
          <w:bCs/>
          <w:color w:val="auto"/>
          <w:sz w:val="30"/>
          <w:szCs w:val="30"/>
          <w:highlight w:val="none"/>
        </w:rPr>
      </w:pPr>
      <w:r>
        <w:rPr>
          <w:rFonts w:hint="eastAsia"/>
          <w:b/>
          <w:color w:val="auto"/>
          <w:sz w:val="30"/>
          <w:szCs w:val="30"/>
          <w:highlight w:val="none"/>
        </w:rPr>
        <w:t xml:space="preserve">第三章 项目技术要求和有关说明</w:t>
      </w:r>
      <w:r/>
    </w:p>
    <w:p>
      <w:pPr>
        <w:ind w:firstLine="480"/>
        <w:keepLines w:val="0"/>
        <w:keepNext w:val="0"/>
        <w:pageBreakBefore w:val="0"/>
        <w:spacing w:after="5"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为</w:t>
      </w:r>
      <w:r>
        <w:rPr>
          <w:rFonts w:hint="eastAsia" w:ascii="宋体" w:hAnsi="宋体" w:cs="宋体"/>
          <w:color w:val="auto"/>
          <w:sz w:val="24"/>
          <w:szCs w:val="24"/>
          <w:highlight w:val="none"/>
          <w:lang w:val="en-US" w:eastAsia="zh-CN"/>
        </w:rPr>
        <w:t xml:space="preserve">江苏省锡东高级中学大成分校实验室采购项目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本项目核心产品为：</w:t>
      </w:r>
      <w:r>
        <w:rPr>
          <w:rFonts w:hint="eastAsia" w:ascii="宋体" w:hAnsi="宋体" w:cs="宋体"/>
          <w:b/>
          <w:bCs/>
          <w:color w:val="auto"/>
          <w:sz w:val="24"/>
          <w:szCs w:val="24"/>
          <w:highlight w:val="none"/>
          <w:lang w:val="en-US" w:eastAsia="zh-CN"/>
        </w:rPr>
        <w:t xml:space="preserve">学生实验桌</w:t>
      </w:r>
      <w:r>
        <w:rPr>
          <w:rFonts w:hint="eastAsia" w:ascii="宋体" w:hAnsi="宋体" w:eastAsia="宋体" w:cs="宋体"/>
          <w:color w:val="auto"/>
          <w:sz w:val="24"/>
          <w:szCs w:val="24"/>
          <w:highlight w:val="none"/>
        </w:rPr>
        <w:t xml:space="preserve">。投标人所投内容必须满足以下要求，不得有负偏离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若不满足视为无效投标文件</w:t>
      </w:r>
      <w:r>
        <w:rPr>
          <w:rFonts w:hint="eastAsia" w:ascii="宋体" w:hAnsi="宋体" w:eastAsia="宋体"/>
          <w:color w:val="auto"/>
          <w:sz w:val="24"/>
          <w:szCs w:val="24"/>
          <w:highlight w:val="none"/>
        </w:rPr>
        <w:t xml:space="preserve">。</w:t>
      </w:r>
      <w:r>
        <w:rPr>
          <w:rFonts w:hint="eastAsia" w:ascii="宋体" w:hAnsi="宋体" w:eastAsia="宋体" w:cs="宋体"/>
          <w:bCs/>
          <w:color w:val="auto"/>
          <w:sz w:val="24"/>
          <w:highlight w:val="none"/>
        </w:rPr>
        <w:t xml:space="preserve">项目需求如下：</w:t>
      </w:r>
      <w:r/>
    </w:p>
    <w:p>
      <w:pPr>
        <w:pStyle w:val="1467"/>
        <w:numPr>
          <w:ilvl w:val="1"/>
          <w:numId w:val="0"/>
        </w:numPr>
        <w:ind w:firstLine="482"/>
        <w:keepLines w:val="0"/>
        <w:keepNext w:val="0"/>
        <w:pageBreakBefore w:val="0"/>
        <w:rPr>
          <w:rFonts w:hint="eastAsia"/>
          <w:color w:val="auto"/>
          <w:highlight w:val="none"/>
        </w:rPr>
      </w:pPr>
      <w:r>
        <w:rPr>
          <w:rFonts w:hint="eastAsia" w:ascii="宋体" w:hAnsi="宋体" w:eastAsia="宋体" w:cs="宋体"/>
          <w:b/>
          <w:bCs/>
          <w:color w:val="auto"/>
          <w:sz w:val="24"/>
          <w:szCs w:val="24"/>
          <w:highlight w:val="none"/>
          <w:lang w:val="en-US" w:eastAsia="zh-CN"/>
        </w:rPr>
        <w:t xml:space="preserve">本项目属性：货物类</w:t>
      </w:r>
      <w:r>
        <w:rPr>
          <w:rFonts w:hint="eastAsia" w:ascii="宋体" w:eastAsia="宋体" w:cs="宋体"/>
          <w:b/>
          <w:bCs/>
          <w:color w:val="auto"/>
          <w:sz w:val="24"/>
          <w:szCs w:val="24"/>
          <w:highlight w:val="none"/>
          <w:lang w:val="en-US" w:eastAsia="zh-CN"/>
        </w:rPr>
        <w:t xml:space="preserve">。</w:t>
      </w:r>
      <w:r/>
    </w:p>
    <w:p>
      <w:pPr>
        <w:numPr>
          <w:ilvl w:val="0"/>
          <w:numId w:val="0"/>
        </w:numPr>
        <w:ind w:firstLine="482"/>
        <w:keepLines w:val="0"/>
        <w:keepNext w:val="0"/>
        <w:pageBreakBefore w:val="0"/>
        <w:spacing w:after="5"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项目基本情况：</w:t>
      </w:r>
      <w:r/>
    </w:p>
    <w:p>
      <w:pPr>
        <w:pStyle w:val="1382"/>
        <w:ind w:firstLine="480"/>
        <w:jc w:val="left"/>
        <w:keepLines w:val="0"/>
        <w:keepNext w:val="0"/>
        <w:pageBreakBefore w:val="0"/>
        <w:spacing w:line="360" w:lineRule="auto"/>
        <w:tabs>
          <w:tab w:val="left" w:pos="1080" w:leader="none"/>
        </w:tabs>
        <w:rPr>
          <w:rFonts w:ascii="宋体" w:hAnsi="宋体" w:cs="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项目地址：</w:t>
      </w:r>
      <w:r>
        <w:rPr>
          <w:rFonts w:hint="eastAsia" w:ascii="宋体" w:hAnsi="宋体" w:cs="宋体"/>
          <w:color w:val="auto"/>
          <w:sz w:val="24"/>
          <w:szCs w:val="24"/>
          <w:highlight w:val="none"/>
          <w:lang w:val="en-US" w:eastAsia="zh-CN"/>
        </w:rPr>
        <w:t xml:space="preserve">江苏省锡东高级中学大成分校</w:t>
      </w:r>
      <w:r>
        <w:rPr>
          <w:rFonts w:hint="eastAsia" w:ascii="宋体" w:hAnsi="宋体" w:cs="宋体"/>
          <w:color w:val="auto"/>
          <w:sz w:val="24"/>
          <w:szCs w:val="24"/>
          <w:highlight w:val="none"/>
        </w:rPr>
        <w:t xml:space="preserve">。</w:t>
      </w:r>
      <w:r/>
    </w:p>
    <w:p>
      <w:pPr>
        <w:pStyle w:val="1382"/>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采购范围：清单范围内的</w:t>
      </w:r>
      <w:r>
        <w:rPr>
          <w:rFonts w:hint="eastAsia" w:ascii="宋体" w:hAnsi="宋体" w:cs="宋体"/>
          <w:color w:val="auto"/>
          <w:sz w:val="24"/>
          <w:szCs w:val="24"/>
          <w:highlight w:val="none"/>
          <w:lang w:val="en-US" w:eastAsia="zh-CN"/>
        </w:rPr>
        <w:t xml:space="preserve">江苏省锡东高级中学大成分校</w:t>
      </w:r>
      <w:r>
        <w:rPr>
          <w:rFonts w:hint="eastAsia" w:ascii="宋体" w:hAnsi="宋体" w:cs="宋体"/>
          <w:bCs/>
          <w:color w:val="auto"/>
          <w:sz w:val="24"/>
          <w:szCs w:val="24"/>
          <w:highlight w:val="none"/>
          <w:lang w:val="en-US" w:eastAsia="zh-CN"/>
        </w:rPr>
        <w:t xml:space="preserve">实验室</w:t>
      </w:r>
      <w:r>
        <w:rPr>
          <w:rFonts w:hint="eastAsia" w:ascii="宋体" w:hAnsi="宋体" w:cs="宋体"/>
          <w:bCs/>
          <w:color w:val="auto"/>
          <w:sz w:val="24"/>
          <w:szCs w:val="24"/>
          <w:highlight w:val="none"/>
          <w:lang w:eastAsia="zh-CN"/>
        </w:rPr>
        <w:t xml:space="preserve">采购</w:t>
      </w:r>
      <w:r>
        <w:rPr>
          <w:rFonts w:hint="eastAsia" w:ascii="宋体" w:hAnsi="宋体" w:cs="宋体"/>
          <w:color w:val="auto"/>
          <w:sz w:val="24"/>
          <w:szCs w:val="24"/>
          <w:highlight w:val="none"/>
        </w:rPr>
        <w:t xml:space="preserve">。</w:t>
      </w:r>
      <w:r/>
    </w:p>
    <w:p>
      <w:pPr>
        <w:pStyle w:val="1382"/>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质量标准：所供货物达到国家及行业标准，满足采购需求，并按照</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要求安装调试到位。</w:t>
      </w:r>
      <w:r/>
    </w:p>
    <w:p>
      <w:pPr>
        <w:pStyle w:val="1382"/>
        <w:ind w:firstLine="480"/>
        <w:jc w:val="left"/>
        <w:keepLines w:val="0"/>
        <w:keepNext w:val="0"/>
        <w:pageBreakBefore w:val="0"/>
        <w:spacing w:line="360" w:lineRule="auto"/>
        <w:tabs>
          <w:tab w:val="left" w:pos="1080" w:leader="none"/>
        </w:tabs>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4.完工期限</w:t>
      </w:r>
      <w:r>
        <w:rPr>
          <w:rFonts w:hint="eastAsia" w:ascii="宋体" w:hAnsi="宋体" w:cs="宋体"/>
          <w:color w:val="auto"/>
          <w:sz w:val="24"/>
          <w:szCs w:val="24"/>
          <w:highlight w:val="none"/>
          <w:lang w:val="zh-CN"/>
        </w:rPr>
        <w:t xml:space="preserve">：合同签订后30日历天内到货并安装完毕交付使用</w:t>
      </w:r>
      <w:r>
        <w:rPr>
          <w:rFonts w:hint="eastAsia" w:ascii="宋体" w:hAnsi="宋体" w:cs="宋体"/>
          <w:bCs/>
          <w:color w:val="auto"/>
          <w:sz w:val="24"/>
          <w:highlight w:val="none"/>
          <w:lang w:eastAsia="zh-CN"/>
        </w:rPr>
        <w:t xml:space="preserve">。</w:t>
      </w:r>
      <w:r/>
    </w:p>
    <w:p>
      <w:pPr>
        <w:pStyle w:val="1382"/>
        <w:ind w:firstLine="480"/>
        <w:jc w:val="left"/>
        <w:keepLines w:val="0"/>
        <w:keepNext w:val="0"/>
        <w:pageBreakBefore w:val="0"/>
        <w:spacing w:line="360" w:lineRule="auto"/>
        <w:tabs>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项目整体免费质保期：自验收合格之日起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p>
    <w:p>
      <w:pPr>
        <w:pStyle w:val="1382"/>
        <w:ind w:firstLine="480"/>
        <w:jc w:val="left"/>
        <w:keepLines w:val="0"/>
        <w:keepNext w:val="0"/>
        <w:pageBreakBefore w:val="0"/>
        <w:spacing w:line="360" w:lineRule="auto"/>
        <w:tabs>
          <w:tab w:val="left" w:pos="108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付款方式：</w:t>
      </w:r>
      <w:r>
        <w:rPr>
          <w:rFonts w:hint="eastAsia" w:ascii="宋体" w:hAnsi="宋体"/>
          <w:bCs/>
          <w:color w:val="auto"/>
          <w:sz w:val="24"/>
          <w:highlight w:val="none"/>
        </w:rPr>
        <w:t xml:space="preserve">供货完成，安装调试完成验收合格后，支付合同价的</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0%，验收合格满一年后付清</w:t>
      </w:r>
      <w:r>
        <w:rPr>
          <w:rFonts w:hint="eastAsia" w:ascii="宋体" w:hAnsi="宋体"/>
          <w:bCs/>
          <w:color w:val="auto"/>
          <w:sz w:val="24"/>
          <w:highlight w:val="none"/>
          <w:lang w:val="en-US" w:eastAsia="zh-CN"/>
        </w:rPr>
        <w:t xml:space="preserve">余款</w:t>
      </w:r>
      <w:r>
        <w:rPr>
          <w:rFonts w:hint="eastAsia" w:ascii="宋体" w:hAnsi="宋体"/>
          <w:bCs/>
          <w:color w:val="auto"/>
          <w:sz w:val="24"/>
          <w:highlight w:val="none"/>
        </w:rPr>
        <w:t xml:space="preserve">（不计息）。采购人原则上应当自收到发票后10个工作日内将资金支付到合同约定的供应商账户。若中标人未能按期开具发票，采购人可顺延付款</w:t>
      </w:r>
      <w:r>
        <w:rPr>
          <w:rFonts w:hint="eastAsia" w:ascii="宋体" w:hAnsi="宋体" w:cs="宋体"/>
          <w:color w:val="auto"/>
          <w:sz w:val="24"/>
          <w:szCs w:val="24"/>
          <w:highlight w:val="none"/>
          <w:lang w:val="en-US" w:eastAsia="zh-CN"/>
        </w:rPr>
        <w:t xml:space="preserve">。</w:t>
      </w:r>
      <w:r/>
    </w:p>
    <w:p>
      <w:pPr>
        <w:pStyle w:val="1382"/>
        <w:ind w:firstLine="480"/>
        <w:jc w:val="left"/>
        <w:keepLines w:val="0"/>
        <w:keepNext w:val="0"/>
        <w:pageBreakBefore w:val="0"/>
        <w:spacing w:line="360" w:lineRule="auto"/>
        <w:tabs>
          <w:tab w:val="left" w:pos="1080" w:leader="none"/>
        </w:tabs>
        <w:rPr>
          <w:rFonts w:hint="eastAsia" w:ascii="黑体" w:hAnsi="黑体" w:eastAsia="黑体" w:cs="黑体"/>
          <w:color w:val="auto"/>
          <w:sz w:val="24"/>
          <w:szCs w:val="24"/>
          <w:highlight w:val="none"/>
        </w:rPr>
      </w:pP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标的</w:t>
      </w:r>
      <w:r>
        <w:rPr>
          <w:rFonts w:hint="eastAsia" w:ascii="宋体" w:hAnsi="宋体" w:cs="宋体"/>
          <w:color w:val="auto"/>
          <w:sz w:val="24"/>
          <w:szCs w:val="24"/>
          <w:highlight w:val="none"/>
          <w:lang w:val="en-US" w:eastAsia="zh-CN" w:bidi="ar"/>
        </w:rPr>
        <w:t xml:space="preserve">物</w:t>
      </w:r>
      <w:r>
        <w:rPr>
          <w:rFonts w:hint="eastAsia" w:ascii="宋体" w:hAnsi="宋体" w:cs="宋体"/>
          <w:color w:val="auto"/>
          <w:sz w:val="24"/>
          <w:szCs w:val="24"/>
          <w:highlight w:val="none"/>
          <w:lang w:bidi="ar"/>
        </w:rPr>
        <w:t xml:space="preserve">明细表</w:t>
      </w:r>
      <w:r>
        <w:rPr>
          <w:rFonts w:hint="eastAsia" w:ascii="宋体" w:hAnsi="宋体" w:cs="宋体"/>
          <w:color w:val="auto"/>
          <w:sz w:val="24"/>
          <w:szCs w:val="24"/>
          <w:highlight w:val="none"/>
        </w:rPr>
        <w:t xml:space="preserve">：本项目为货物采购，中小企业声明函所对应的采购标的名称及对应的中小企业划分标准所属行业如下表</w:t>
      </w:r>
      <w:r>
        <w:rPr>
          <w:rFonts w:hint="eastAsia" w:ascii="宋体" w:hAnsi="宋体" w:eastAsia="宋体" w:cs="宋体"/>
          <w:color w:val="auto"/>
          <w:sz w:val="24"/>
          <w:szCs w:val="24"/>
          <w:highlight w:val="none"/>
          <w:lang w:val="en-US" w:eastAsia="zh-CN" w:bidi="ar-SA"/>
        </w:rPr>
        <w:t xml:space="preserve">。</w:t>
      </w:r>
      <w:r/>
    </w:p>
    <w:tbl>
      <w:tblPr>
        <w:tblStyle w:val="808"/>
        <w:tblW w:w="49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3"/>
        <w:gridCol w:w="1959"/>
        <w:gridCol w:w="1851"/>
        <w:gridCol w:w="505"/>
        <w:gridCol w:w="2944"/>
        <w:gridCol w:w="192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所属行业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94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故障显示模块</w:t>
            </w:r>
            <w:r/>
          </w:p>
        </w:tc>
        <w:tc>
          <w:tcPr>
            <w:shd w:val="clear" w:color="auto" w:fill="auto"/>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多功能劳技桌</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废水存储过滤系统</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辅助套件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劳技柜工具墙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收纳柜（带收纳盒）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吸水纸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物镜测微尺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激光切割机耗材包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罐装橡皮泥双色</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桌面智能真空成型机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（教育级）</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DNA双螺旋结构模型组件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智能真空成型机耗材包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解剖器7件套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混色3D打印机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生物玻片标本</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高速3D打印机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圆底不锈钢盒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桌面3D扫描打印仪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塑料小球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青少年3D打印创新教育平台（单节点）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塑料小球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3D打印耗材</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擦镜纸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PBL综合创作套包（标准包）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PBL综合创作套包（进阶包）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单面刀片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电工工具箱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滤纸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绑带</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透明广口瓶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落地式紧急冲淋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调节仪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多功能防溅水槽柜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封口膜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棉花球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通风矢量控制模块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铝合金万向罩</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钓鱼线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活动式学生端抽风装置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吊装式通风模块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短颈漏斗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防腐风机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点样毛细管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摇臂升降动力模块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离心管圆底</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主体结构模块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短柄药勺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多功能伸缩摇臂集成功能模块舱体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智能摇臂升降模块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供应端口</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故障显示模块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废水存储过滤模块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给水管路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双面刀片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排水管路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卫生香</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小狼毫毛笔</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刻度试管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涂布器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水浴锅</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铁铲</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保温漏斗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塑料洗瓶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棉签</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血球计数板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不锈钢拾取器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洗耳球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移液管架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高中教师输出模块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电子天平（100g，0.01g）</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二氧化碳灭火器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电子天平（200g，0.001g）</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电子天平（400g，0.1g）</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黄沙箱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教学用测量仪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防护手套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数字测量仪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防护眼镜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多用途表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酸碱手套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演示用仪表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防毒面罩</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酸度计（pH计）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微型溶液导电实验器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中和热测定仪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微量移液器吸头</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化学实验废液处理装置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气体实验微型装置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高压灭菌锅</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氢燃料电池演示器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超净工作台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氢燃料电池实验器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干热灭菌箱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电解槽演示器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微生物箱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电冰箱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电泳演示器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DNA电泳图谱观察仪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丁达尔现象实验器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电泳仪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二氧化氮球</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水平电泳槽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放电反应实验仪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光照培养架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光化学实验演示器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组织捣碎匀浆机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果酒果醋发酵装置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金刚石结构模型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石墨结构模型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碳-60结构模型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氯化钠晶体结构模型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氯化铯晶体结构模型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二氧化碳晶体结构模型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二氧化硅晶体结构模型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金属晶体结构模型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电子云杂化轨道模型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气体摩尔体积模型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泡菜坛</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分子立体结构模型绘制软件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精密PH试纸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彩色玻璃纸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DNA结构模型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彩色卡纸加厚硬纸板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减数分裂中染色体变化模型组件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检查图</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实验方格纸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枝剪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弯头镊子</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G6玻璃砂漏斗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细胞结构模型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解剖盘蜡盘</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移液管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长颈漏斗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喷水瓶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透析袋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透析袋夹</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砧板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陶瓷刀</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尼龙布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记号笔</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数码液晶显微镜（学生端）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数码液晶显微镜（教师端）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燃烧管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显微互动教学平台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Y形试管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三口烧瓶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干燥塔</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气体洗瓶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加大仪器柜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学生端调节终端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伸缩线束</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智能升降模块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单刀开关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蜂巢电路板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钴玻璃片</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螺线管（套装）</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螺旋测微器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塑料直尺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鳄鱼夹（带防护套）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稳压二极管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普通小电阻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数字式多用电表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蜂鸣器（电）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下口瓶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称量瓶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教学用镊子</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发光二极管（电）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发光二极管（电）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光敏电阻（电）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干簧管（电）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二连球</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强光手电筒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电阻箱</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水果电池套件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学生套尺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大头针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梯形玻璃砖</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洗耳球</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油膜实验器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滴定管刷</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微型物理观察仪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电磁打点计时器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电火花打点计时器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钩码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胡克定律实验器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钓鱼线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单摆球组</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电子计时器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白金丝</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蓝石蕊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图钉</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红石蕊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淀粉碘化钾试纸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实验方格纸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高中化学实验材料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燕尾夹</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电极材料</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回形针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圆规</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尖嘴钳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铁架台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力学轨道小车及配件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制图板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碰撞实验器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玻璃管切割器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平抛实验器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向心力实验演示器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气垫导轨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小型气源</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耐酸型乳胶手套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数字计时器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方格纸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实验防护屏</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蓝色钴玻璃片</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肥皂液</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铂丝棒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NTC热敏电阻（电）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PTC热敏电阻（电）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瓷坩埚</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带绝缘柄的金属小球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球形导体</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毛玻璃片</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有机玻璃棒（附丝绸）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鲁尔阀</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有机橡胶棒（附毛皮）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长颈圆底烧瓶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验电器连接杆</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缝衣针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细棉线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单层云母片套件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红色石蕊试纸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液体表面张力实验器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止水夹</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蒸馏头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安培力实验器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分液漏斗梨形</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手摇发电机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铝箔纸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光学干涉衍射片套件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盐桥</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光偏振演示器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短柄药勺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光源发生器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碘化钾试纸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光学刻度盘</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半圆玻璃砖</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光屏</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圆底烧瓶短颈</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插片支架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蓝色石蕊试纸</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抽气筒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空气压缩引火仪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长颈圆底烧瓶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阶梯药品柜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物体重心实验器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储藏桶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带钩双孔木块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手提式干粉灭火器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小铁球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小铁球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防爆离心风机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静电计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锌板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平行板电容器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双极电场线演示板套件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光具座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废气净化装置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安培力演示器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弹簧振子装置</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常规毒品柜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发波水槽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反冲演示器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展示波形器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霍尔元件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手提式干粉灭火器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洛伦兹力演示器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散流器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牛顿管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PP离心风机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指针式测量器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受迫振动和共振演示器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共振演示器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长玻璃管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绳波演示器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多普勒效应演示器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曲线运动方向实验器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纵波演示器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光导纤维应用演示器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危化品室防火门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钢制隔热防火门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实验用蜂蜡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防盗窗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u型磁铁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危化品室文化建设</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红蜡块</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定制插座</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电子称重器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金属网罩</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防爆应急标志灯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LED防爆照明灯</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防爆挠性软管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力的合成分解演示器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strike w:val="0"/>
                <w:color w:val="auto"/>
                <w:sz w:val="22"/>
                <w:szCs w:val="22"/>
                <w:highlight w:val="none"/>
                <w:u w:val="none"/>
                <w:lang w:val="en-US" w:eastAsia="zh-CN" w:bidi="ar"/>
              </w:rPr>
              <w:t xml:space="preserve">防爆防腐配电装置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小沙袋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室内自动灭火装置（悬挂式七氟丙烷气体灭火装置）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防爆温湿度检测仪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点型可燃气体探测器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电磁波的发送和接收演示器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防爆控制系统</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防爆摄像仪</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泡沫小球</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定制入侵报警平台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防爆排风扇</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电谐振演示器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防静电装置（防爆防腐配电装置）</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纵横波演示器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防爆空调机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光折射演示器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应急器材柜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楞次定律演示器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人体静电释放报警器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电磁感应演示器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三相电机原理演示器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自感现象演示器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手摇三相交流发电机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旋片式真空泵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验电羽</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赫兹实验演示器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小磁针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翼型磁针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铁粉盒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电磁阻尼演示器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变压器原理说明器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光谱管组</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分光镜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电磁振荡演示仪</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阶梯药品柜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库伦扭秤模型</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PP离心风机</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体重秤</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范氏起电机</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奥斯特演示器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特殊圆锥曲面演示器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单摆实验器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电容充放电</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伏安特性实验板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电阻率与温度关系演示器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常用电容器示教板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常用电阻器示教板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霍尔效应示教板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交流电路特性演示器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门窗防盗报警装置演示器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光控开关</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多功能防溅水槽柜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光控开关（无继电器）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光电效应演示器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三极管的性质实验板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光敏、热敏电阻应用演示板</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温差发电实验器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摇臂升降动力模块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自动控制模块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主体结构模块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多功能伸缩摇臂集成功能模块舱体</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智能摇臂升降模块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学生模块</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numPr>
                <w:ilvl w:val="0"/>
                <w:numId w:val="9"/>
              </w:num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供应端口</w:t>
            </w:r>
            <w:r/>
          </w:p>
        </w:tc>
        <w:tc>
          <w:tcPr>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numPr>
                <w:ilvl w:val="0"/>
                <w:numId w:val="10"/>
              </w:numPr>
              <w:ind w:left="425" w:right="0" w:hanging="425"/>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加大仪器柜</w:t>
            </w:r>
            <w:r/>
          </w:p>
        </w:tc>
        <w:tc>
          <w:tcPr>
            <w:shd w:val="clear" w:color="auto" w:fill="auto"/>
            <w:tcBorders>
              <w:top w:val="single" w:color="000000" w:sz="4" w:space="0"/>
              <w:left w:val="single" w:color="000000" w:sz="4" w:space="0"/>
              <w:bottom w:val="single" w:color="000000" w:sz="4" w:space="0"/>
              <w:right w:val="single" w:color="000000" w:sz="4" w:space="0"/>
            </w:tcBorders>
            <w:tcW w:w="19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工业（制造业）</w:t>
            </w:r>
            <w:r/>
          </w:p>
        </w:tc>
      </w:tr>
    </w:tbl>
    <w:p>
      <w:pPr>
        <w:pStyle w:val="1382"/>
        <w:ind w:left="0" w:firstLine="0"/>
        <w:jc w:val="left"/>
        <w:spacing w:line="360" w:lineRule="auto"/>
        <w:tabs>
          <w:tab w:val="left" w:pos="1080" w:leader="none"/>
        </w:tabs>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spacing w:after="5"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采购清单</w:t>
      </w:r>
      <w:r>
        <w:rPr>
          <w:rFonts w:hint="eastAsia" w:ascii="宋体" w:hAnsi="宋体" w:eastAsia="宋体" w:cs="宋体"/>
          <w:color w:val="auto"/>
          <w:sz w:val="24"/>
          <w:szCs w:val="24"/>
          <w:highlight w:val="none"/>
          <w:lang w:val="en-US" w:eastAsia="zh-CN"/>
        </w:rPr>
        <w:t xml:space="preserve">及技术参数</w:t>
      </w:r>
      <w:r/>
    </w:p>
    <w:tbl>
      <w:tblPr>
        <w:tblStyle w:val="808"/>
        <w:tblW w:w="949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7"/>
        <w:gridCol w:w="1"/>
        <w:gridCol w:w="1157"/>
        <w:gridCol w:w="6117"/>
        <w:gridCol w:w="3"/>
        <w:gridCol w:w="668"/>
        <w:gridCol w:w="870"/>
      </w:tblGrid>
      <w:tr>
        <w:trPr>
          <w:trHeight w:val="27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编号</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名称</w:t>
            </w:r>
            <w:r/>
          </w:p>
        </w:tc>
        <w:tc>
          <w:tcPr>
            <w:shd w:val="clear" w:color="auto" w:fill="auto"/>
            <w:tcW w:w="611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技术参数、规格、功能</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智能制造教室</w:t>
            </w:r>
            <w:r/>
          </w:p>
        </w:tc>
      </w:tr>
      <w:tr>
        <w:trPr>
          <w:trHeight w:val="9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规格：2400mm×700mm×900mm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1、台面：采用≥50mm松木指接板，木质颜色自然，台面表面清漆处理，清漆表面光滑，平整光亮，具有耐磨、耐压、耐撞击等特点。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4、储物柜门和抽面：采用双层结构，组装式设计，保证单层钢板双面都喷涂处理，门板中间填充隔音材料，减少关门时产生的噪声。防撞胶垫：装于抽屉及门板内侧，减缓碰撞，保护柜体。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20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多功能劳技桌</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规格：1200mm×1200mm×</w:t>
            </w:r>
            <w:r>
              <w:rPr>
                <w:rFonts w:hint="eastAsia" w:ascii="宋体" w:hAnsi="宋体" w:cs="宋体"/>
                <w:i w:val="0"/>
                <w:iCs w:val="0"/>
                <w:color w:val="auto"/>
                <w:sz w:val="22"/>
                <w:szCs w:val="22"/>
                <w:highlight w:val="none"/>
                <w:u w:val="none"/>
                <w:lang w:val="en-US" w:eastAsia="zh-CN" w:bidi="ar"/>
              </w:rPr>
              <w:t xml:space="preserve">780</w:t>
            </w:r>
            <w:r>
              <w:rPr>
                <w:rFonts w:hint="eastAsia" w:ascii="宋体" w:hAnsi="宋体" w:eastAsia="宋体" w:cs="宋体"/>
                <w:i w:val="0"/>
                <w:iCs w:val="0"/>
                <w:color w:val="auto"/>
                <w:sz w:val="22"/>
                <w:szCs w:val="22"/>
                <w:highlight w:val="none"/>
                <w:u w:val="none"/>
                <w:lang w:val="en-US" w:eastAsia="zh-CN" w:bidi="ar"/>
              </w:rPr>
              <w:t xml:space="preserve">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1、主框架采用≥120mm×120mm×2mm优质方管作为桌腿，≥80mm×80mm×2mm的方管作为横梁，两者焊接成型，整体牢固不晃动，承重力强。表面采用高温粉体环氧喷涂；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2、台面采用≥40mm厚纯实木台面，四周加厚到150mm，台面上开≥16mm圆孔。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3、框架与台面中间加装阻尼弹簧减振器，保证学生操作时，减少噪声及操作台之间不产生共振。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4、劳技桌台面下面装有由外径≥12mm内径≥9mm的不锈钢管拼装固定在框架上的支撑架，用于常用工具的收纳。</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9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终端模块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φ10cm*H38cm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1、采用一体式气动杆，为升降提供稳定的结构支撑，15000次以上按压测试，人性化升降速度防止压伤，最大直径10cm，底部高度≥16cm，插座升出后高度≥22.5cm。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2、四面通用插孔分布，解决电器用电多且杂乱的问题。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3、插孔采用高精度品质锡磷青铜一次冲压成型，柔韧性和散热性好，高弹变形，导电性好。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4、采用防水防尘结构，与台面齐平的面板设计以及内部隔绝防水结构，使产品具有良好的防水性能，用电更安全。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5、插座采用保护门设计，防止触电。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6、PC材料，阻燃耐高温，不变形，850度高温都不自燃，安全倍至。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7、台面开孔：圆形直径≥8.5cm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78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辅助套件</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140mm定位销≥4个，267mm×200mm×200mm的180°、90°螺旋压紧器≥2个，267mm×20mm0×200mm的45°螺旋压紧器≥2个多种夹具，满足适合夹紧各种产品，满足台虎钳的功能；台面表面清漆处理，清漆表面光滑，平整光亮，耐磨、耐压、耐撞击。</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97"/>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规格：500mm×260mm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1、教师演示台配备总漏电保护，可控制学生电源，确保学生实验安全方便；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2、预留安装孔。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4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规格：360mm×260mm×440mm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1、采用≥25mm×25mm×1.2mm厚钢质方管，聚酯型粉末静电喷塑，环保无毒害、无气味、平整美观，不易脱落。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2、凳面面板：≥16mm三聚氰胺板，桌脚带ABS塑料防滑垫。</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248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劳技柜工具墙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规格：3000mm×260mm×1800mm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1、结构：全钢结构，采用≥1.5mm镀锌钢板表面环氧树脂喷涂，耐腐蚀，不易生锈；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2、功能：模块化集成工具墙，带隔板，可收纳工具及展示作品，工具墙配置不同功能的挂钩，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可悬挂各种工具及螺丝螺钉等。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3、配单直挂钩≥40个、锯用挂钩≥4个、强磁工具挂架≥4个、螺丝刀架≥4个、钻头架≥4个</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9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收纳柜（带收纳盒）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规格：1320mm×900mm×450mm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1、材质：采用≥16mmE1级三聚氰胺板，其截面用≥2mm厚PVC封边条机械高温热熔胶封边。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2、功能：配置PE收纳盒，可收纳各种教学用具。</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36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钢制线盒，预留标准安装位，可同时安装2个86型五孔插座，主框架采用裸板实际厚度≥1.0mm厚优质钢材产一级高强度镀锌钢板经CNC机压成型、焊接制作，环氧树脂静电粉末涂装处理。可安装2个86款插座。</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108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规格：86mm×86mm。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1、数量5个。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2、10A交流输出五孔插座</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40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智能制造教室</w:t>
            </w:r>
            <w:r/>
          </w:p>
        </w:tc>
      </w:tr>
      <w:tr>
        <w:trPr>
          <w:trHeight w:val="96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激光切割机耗材包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耗材种类包含：椴木板、奥松板、牛皮纸、瓦楞纸、透明亚克力等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每块耗材尺寸≥长200mm*宽270mm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耗材数量≥120块</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12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桌面智能真空成型机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（教育级）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1、产品尺寸：长*宽*高（mm）≥500mm*260mm*400mm；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2、加工幅面：≥长300mm*宽200mm；最大吸塑高度：≥180mm；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3、产品结构：铝合金外壳、钢化玻璃面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4、加热热源：远红外微晶面板热源；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5、支持智能温控；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6、配置动态真空与鼓风系统、智能耗材系统、智能安全锁、智能锁紧；</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28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智能真空成型机耗材包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1、PETG 330mm*225mm*0.5mm 数量*15；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2、白色HIPS  330mm*225mm*0.5mm 数量*20；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3、白色HIPS  330mm*225mm*1.0mm 数量*5；</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9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混色3D打印机</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成型尺寸：≥200mm*200mm*450mm（长*宽*高）；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机器重量：≥22kg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设备尺寸：≥200mm*200mm*450mm（长*宽*高）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 喷头数量：≥1个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 喷头直径：0.4mm；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 喷头结构：混合型二进料单喷嘴；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 多模式打印，支持混色模式、双色模式、分层模式、单色模式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 耗材直径：Φ1.75mm；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 打印材料：PLA/TPU/PVA等；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 加热平台：支持0-120°，喷头最高温度≥230°；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 最快速度：≥150mm/s；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 支持断电续打、中途换料、加热异常保护。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00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高速3D打印机</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1.成型原理：熔融堆积成型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2.机器重量：≥28kg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3.设备尺寸：≥500mm*400mm*500mm（长*宽*高）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4.成型尺寸：≥300mm*300mm*300mm（长*宽*高）；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5.打印速度：≥500mm/S；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6.耗材直径：Φ1.75mm；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7.喷头最高温度：≥250℃；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8.喷嘴直径：0.4mm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9.打印材料：PLA、ABS、PETG等；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10.支持自动调平；</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8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桌面3D扫描打印仪</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规格：300mm×300mm×500mm。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1.扫描方式及光源：非接触光栅式面扫描，白光LED</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2.扫描模式：转台全自动、自由扫描。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3.扫描范围：转台全自动扫描≥200mm*200mm*200mm，自由扫描：≥700mm*700mm*700mm。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4.扫描速度：转台全自动扫描：≤2min；自由扫描：＜6s（单幅）。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5.拼接模式：转台自动拼接、标记点拼接、手动拼接、特征拼接。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6.扫描精度：体积精度≤0.1mm。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7.输出格式：STL，ASC，OBJ，PLY，VTX，OFF、</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8.支持一键3D打印。</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90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青少年3D打印创新教育平台（单节点）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1.多种建模方式：图片建模、文字建模、绘制图形；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2.具备照片合成三维人像功能，具备交互式三维人像设计；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3.支持多种建模功能：单体堆叠、连续堆叠、拉伸堆叠、编组等功能；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4.支持多种三维模型设计：实体建模、草图建模、雕刻建模、编程交互式建模等；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5.配套模型素材库，包含多种主题模型素材；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6.配套不少于30个项目制3D设计课程、不少于15个项目制3D编程课程。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9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3D打印耗材</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PLA耗材，耗材直径： 1.75毫米，每卷≥1KG，多色。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19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PBL综合创作套包（标准包）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课程器材以项目课程分包，所有项目合计主控类电子模块不少于6块，合计传感器模块、运动模块、显示模块不少于12件，连接类排线不少于50组，五金螺丝不少于50套，可拼接椴木板独立塑封，不少于8套，满足全项目搭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2、配套全套教学内容，每节主题课程包含教学PPT、纸质版教案书籍，配套组装视频课程、接线原理图以及课程源码等辅助教学内容；课程内容不少于36课时；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3、电子模块以优质自封袋独立包装，项目课程以精品环保纸盒独立包装。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4、所有项目课程图纸开源，并能结合激光切割机完成图纸二次制作。</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1329"/>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PBL综合创作套包（进阶包）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课程器材以项目课程分包，所有项目合计主控类电子模块不少于6块，合计传感器模块、运动模块、显示模块不少于12件，连接类排线不少于50组，五金螺丝不少于50套，可拼接椴木板独立塑封，不少于8套，满足全项目搭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2、配套全套教学内容，课程包包含有教学PPT、纸质版教学讲义书籍，配套组装视频课程、接线原理图以及课程源码等辅助教学内容；课程内容不少于36课时；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3、电子模块以优质自封袋独立包装，项目课程以精品环保纸盒独立包装。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4、所有项目课程图纸开源，并能结合激光切割机完成图纸二次制作。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5、课程以标准包作为升级，难度有所增加，课程项目综合程度更高。</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1385"/>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木工工具箱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工具箱包含：钢卷尺*1、木工凿*1、螺丝刀*1、水平尺*1、木工锉*1、剪刀*1、勾刀*1、钢丝钳*1、美工刀*1、G形木工夹*2、直角尺*1、油石*1、折叠锯*1、羊角锤*1、木工刨*1、木工铅笔*1、鸟刨*1、墨斗*1、钻头*12。</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92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金工工具箱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规格：400mm×500×100mm。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具箱包含：钢丝钳*1、尖嘴钳*1、钢直尺*1、扁锉刀*1、半圆锉刀*1、三角锉*1、圆锉刀*1、划针*1、划规*1、样冲*1、什锦锉*6、钳工锤*1、圆头锤*1、扳牙扳手*12、钢卷尺*1、两用扳手*4、内六角扳手*9、三叉扳手*1、螺丝刀*2、活动扳手*1、钢丝刷*1、钢锯架*1、铁皮剪*1、三角尺*1。</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800"/>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电工工具箱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规格：400mm×500×100mm。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具箱包含：电工胶布*1、芝麻柄螺丝批*6、钢卷尺*1、吸锡器*1、剥线钳*1、刷子*1、焊锡丝*1、小钢锯*1、测电笔*1、活动扳手*1、羊角锤*1、钢丝钳*1、尖嘴钳*1、斜口钳*1、数显万用表*1、精密螺丝批*6、电烙铁*1、美工刀*1、烙铁架*1、内六角扳手*1。</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676"/>
        </w:trPr>
        <w:tc>
          <w:tcPr>
            <w:shd w:val="clear" w:color="auto" w:fill="auto"/>
            <w:tcW w:w="6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3"/>
            <w:shd w:val="clear" w:color="auto" w:fill="auto"/>
            <w:tcW w:w="117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2、顶面成品处理。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器材室</w:t>
            </w:r>
            <w:r/>
          </w:p>
        </w:tc>
      </w:tr>
      <w:tr>
        <w:trPr>
          <w:trHeight w:val="1860"/>
        </w:trPr>
        <w:tc>
          <w:tcPr>
            <w:shd w:val="clear" w:color="auto" w:fill="auto"/>
            <w:tcW w:w="6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3"/>
            <w:shd w:val="clear" w:color="auto" w:fill="auto"/>
            <w:tcW w:w="1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化学实验室1</w:t>
            </w:r>
            <w:r/>
          </w:p>
        </w:tc>
      </w:tr>
      <w:tr>
        <w:trPr>
          <w:trHeight w:val="114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规格：3000mm×700mm×900mm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4、储物柜门和抽面：采用双层结构，组装式设计，保证单层钢板双面都喷涂处理，门板中间填充隔音材料，减少关门时产生的噪声。防撞胶垫：装于抽屉及门板内侧，减缓碰撞，保护柜体。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2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20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落地式紧急冲淋</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立式不锈钢材质</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1、紧急冲淋洗眼装置的关节采用插拔式的连接方式，既缩短整个产品的安装工时，又能彻底解决管件连接处的漏水问题，轻松满足360度任意定位安装的人性化需要，外观整洁大方，检修及部件更换更加便捷。</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2、主体、冲淋阀、洗眼阀、洗眼盆、拉手、推手和脚踏等部件均采用卫生级304不锈钢无缝钢管，镍含量超过8%，耐腐蚀性能出众。</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3、采用冷轧工艺生产，不易变形，同时管壁光滑无油脂，经久耐用。</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4、洗眼喷头内置减压装置，防止对眼睛二次伤害；配置水压调节系统来适应不同场所的水压。</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5、冲淋球阀和洗眼球阀均采用双片式阀门结构，密封性和抗压性能更好，使用寿命更长。</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6、阀门管道采用由任（即活接头）的管道连接设计，使维修保养费用极低，避免了由于阀门或部件损坏后无法更换而导致整个洗眼器报废的情况。</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学生实验操作及学习区</w:t>
            </w:r>
            <w:r/>
          </w:p>
        </w:tc>
      </w:tr>
      <w:tr>
        <w:trPr>
          <w:trHeight w:val="52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规格：1220mm×600mm×780mm/820mm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15mm止滑陶瓷台面。陶瓷台面坯体黑色一体实芯和釉面经高温一体煅烧而成。台面操作边设有≥13mm×1.5mm止滑凹槽，有效防止在实验过程中试管、液体等实验物品滑落造成意外伤害，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钢铝结构，外形尺寸≥1220mm×600mm×780mm（台面）/820mm（围边），含功能围栏总高度≥925mm；左右侧围边采用一体化压铸铝工艺，尺寸≥405mm×75mm×17mm，围边长度达到390mm，高出台面≥38mm，防止仪器设备掉落的风险；后挡条为铝合金一体成型工艺，高出台面≥38mm，金属表面经环氧树脂粉末喷涂高温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3、后功能栏杆，采用≥20mm×30mm×1.0mm的方管弯管成型工艺，高出台面达到145mm，防止实验器材跌落；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4、下面设计两个书包斗，材质采用ABS一体化成型工艺，镂空设计，不屯垃圾，便于清理，中间设挂凳卡；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桌腿采用两节折叠式设计，上部分尺寸≥120mm×210mm×50mm，一体化压铸工艺；下部分采用≥100mm×40mm×1.8mm钢管制作而成；下脚尺寸≥565mm×60mm×40mm，采用不低于2mm钢板冲压一体化成型，金属表面经环氧树脂粉末喷涂高温固化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668"/>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万向抽风装置</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规格：90mm×150mm×45mm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万向抽风装置支架采用ABS材质一体成型设计，尺寸≥90mm×150mm×45mm，左右移动式万向抽装置，风口可以任意角度旋转，满足整个桌面的抽风需求，万向抽风装置支架与风管可以拆卸。抽风口设有防鼠网，方便拆卸维护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23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多功能防溅水槽柜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围尺寸≥590mm×440mm×60mm，中间部分尺寸≥600mm×450mm×735mm；材质≥1.0mm镀锌钢板，表面环氧喷涂；上面水槽为PP改性材质，水槽尺寸≥450mmx600mmx475mm，水槽内上部尺寸≥405mm×480mm，底部尺寸≥345mm×425mm，水槽最高深度≥370mm，最低深度≥300mm，保障洗涤时水不飞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2、水槽内部带滴水架，滴水架不少于10个滴水棒，滴水棒可以收纳；下带两层过滤网，可拆卸清理维护。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3、水槽柜上面带检修口，同时可以收纳水管。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4、检修门带锁，底围安装≥1寸定向轮。</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水龙头</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1、主体材质为加厚铜管，主管管径≥25mm铜管，表面经环氧树脂喷涂处理。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2、双龙头可以独立折叠式设计，使用时打开折叠双联龙头在使用过程中可以自由升降水嘴，以满足不同身高的高度仪器清洗要求使用。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4、实验室龙头采用壁式安装，壁厚≥2.5mm，固定底座直径≥50mm，底座锁母与台面中间添加齿形止退垫，使连接后不易松动稳定性强，与台面安装牢固。双联龙头可以分开折叠90度收纳，保证实验室的整洁美观。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5、开关旋钮：材质PP，符合人体工学设计，启闭方式为平面式，开关标识清晰醒目，装配好的开关旋钮应平稳轻便无卡阻，与阀杆连接后不易松动稳定性强。</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89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规格：Φ310mm×450mm～500mm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1、凳脚材质：4个凳脚采用≥15mm×30mm×1.7mm钢管模具弯制一次成型，全圆满焊接完成，结构牢固，经高温粉体烤漆处理，长时间使用也不会产生表面烤漆剥落现象 螺旋升降式，升降距离为50mm，最高离地距离≥500mm。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2、ABS凳面材质：采用ABS注塑。表面细纹咬花，防滑不发光，凳面底部镶嵌4枚螺纹，采用标准螺栓与圆形托盘固定。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3、脚垫材质：采用PP加耐磨纤维增强塑料，实心倒钩式一体射出成型。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4、凳托与凳脚留有一定的空间便于凳子挂在挂凳扣上，方便教室的打扫</w:t>
            </w:r>
            <w:r>
              <w:rPr>
                <w:rFonts w:hint="eastAsia" w:ascii="宋体" w:hAnsi="宋体" w:cs="宋体"/>
                <w:i w:val="0"/>
                <w:iCs w:val="0"/>
                <w:color w:val="auto"/>
                <w:sz w:val="22"/>
                <w:szCs w:val="22"/>
                <w:highlight w:val="none"/>
                <w:u w:val="none"/>
                <w:lang w:val="en-US" w:eastAsia="zh-CN" w:bidi="ar"/>
              </w:rPr>
              <w:t xml:space="preserve">。</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107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控制设备</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500mm*260mm*100mm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1、教师演示台配备总漏电保护和分组保护，可分组控制学生的高低压电源，确保学生实验安全方便；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2、教师电源总控采用≥225mm×127mm尺寸的面板，具备智能控制按键，并能显示电源电压；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3、教师交流电源通过智能控制按键直接选取0V～24V电压，最小调节单元可达1V，额定电流3A；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4、教师直流电源也是通过智能控制按键直接选取，调节范围为1.5V～24V，分辨率可达0.1V，额定电流3A；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5、低压大电流值为10A，自动关断；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教学电源：交流输出为带安全门的插座，带有电源指示，学生低压交流电源可通过智能控制按键直接选取0V～24V电压，最小调节单元为1V，分组输送至学生桌；低压直流电压教师能准确控制，最小调节单元为0.1V。</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9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通风矢量控制模块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矢量控制：应用空间电压矢量控制原理，采用模块化设计、双CPU控制，是集数字技术、计算机技术、现代自控技术于一体的高科技产品，具有精度高、噪声低、转矩大、性能可靠等特点。主要参数指标为：1.频率指示、异常指示、转速指示、状态指示等均由LED显示；2.控制方式：空间电压矢量控制；3.保护功能：输入缺相、输入欠压、直流过压、过载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16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集中控制：可执行各分项分页控制。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给排水控制：控制顶装给排水。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照明控制：控制顶装照明。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电源控制：控制学生AC电源和低压电源。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摇臂控制：控制摇臂升降。</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1、APP登入有网络注册功能，注册后登入系统操作，使用者忘记密码方便找回，同时方便升级系统，带来新的体验。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2、能使用APP能控制总电源关闭；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3、APP能显示当前温度、相对湿度及当前时间；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4、使用APP能控制学生低压电源的交流电压，且电压值为实测值。如APP给学生交流3V，学生电源电压实测电压为3V；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5、使用APP同时控制水电风光源开启与关闭，同时可以扩展功能（监控布防、空调控制等等）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内置精密温湿度传感装置，实时监控房间内的温度和湿度，保障室内舒适的环境舒适性，能在智能控制平台中实时显示当前环境的温度和湿度。</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通风设备</w:t>
            </w:r>
            <w:r/>
          </w:p>
        </w:tc>
      </w:tr>
      <w:tr>
        <w:trPr>
          <w:trHeight w:val="3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铝合金万向罩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1、关节：高密度PP材质表面磨砂，可360°旋转调节。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2、关节密封圈：高密度橡胶。在关节之间随着旋钮压力加大而产生阻尼效果。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3、关节连接杆：304不锈钢双头连接杆。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4、关节盖：高密度PP材质表面磨砂，组合式安装拆装方便。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5、关节松紧旋钮：高密度PP材质，调节旋钮可以调节关节旋转扭矩。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6、铝合金万向罩口：直径≥230mm，高密度铝合金制成，防止实验时的火焰使其燃烧。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7、导管：4节直径≥55mm的抗氧化抗腐蚀的镁硅铝合金，表面做特氟龙表面处理，耐酸、耐碱、耐划痕。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8、旋转关节：采用抗氧化抗腐蚀的镁硅铝合金，和铝合金万向罩口连接的导管设计旋转功能。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9、扭簧：使用90度的≥4mm专用弹簧钢抗氧化处理，防止吸风罩自重导致导管下滑。</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2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万向吸风罩底座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1.整体采用钢制结构，由上固定底座、下固定底座、镀锌方管三者采用螺栓螺母固定连接组装而成。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2.上固定底座，尺寸≥103*100*58mm，采用≥厚1.0mm的镀锌钢板折弯焊接而成。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3.下固定底座，尺寸≥103*106*103mm，采用≥厚1.0mm的镀锌钢板折弯焊接而成。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4.镀锌方管，尺寸≥60*60mm，厚度≥2mm。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0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活动式学生端抽风装置</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下部分两侧暗藏两根φ50mm的风管，拉伸前长200mm，拉伸后长1500mm，采用尼龙材质，风管与其他装置连接，形成排风管道装置，当收纳时，再次拉伸风管，风管自动收起。可左右移动式抽风装置，尺寸≥500*200*80mm，采用PP材质，风口可以任意角度旋转，满足整个桌面的抽风需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41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吊装式通风模块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室内通风主管道、支管道均采用防腐蚀材质，主管道：定制风管，满足实验室通风要求；接口保证无漏风。</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r>
      <w:tr>
        <w:trPr>
          <w:trHeight w:val="21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1、采用pp防腐蚀材质，具有整体结构性能好、严密性高等优点，同时具有耐酸碱性能。</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2、规格：定制风管，满足实验室通风要求</w:t>
            </w:r>
            <w:r>
              <w:rPr>
                <w:rFonts w:hint="eastAsia" w:ascii="宋体" w:hAnsi="宋体" w:cs="宋体"/>
                <w:i w:val="0"/>
                <w:iCs w:val="0"/>
                <w:color w:val="auto"/>
                <w:sz w:val="22"/>
                <w:szCs w:val="22"/>
                <w:highlight w:val="none"/>
                <w:u w:val="none"/>
                <w:lang w:val="en-US" w:eastAsia="zh-CN" w:bidi="ar"/>
              </w:rPr>
              <w:t xml:space="preserve">。</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3、管卡采用碳钢制作，表面经防锈处理，具有耐腐蚀、防火、防潮等功能。</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4、配套规格：φ400mm或600*250mm或500mm*320mm。根据现场风井带下选用相应规格。米数≥20米。</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防腐风机</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功率：7.5kW。风量：10602-21204m3/h。风压：1550—984Pa。</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8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风机控制线</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1、单芯标称截面积 4mm²，共3芯；单芯标称截面积 2.5mm²，共2芯，米数共计≥150米。</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2、导体材质：多股绞合软铜导体，导电性能优异</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3、绝缘护套：双层 PVC 材质，绝缘、耐磨且柔韧性好</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4、外观特性：圆形护套，整体柔软</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0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活性炭废气处理器，处理风量：9000m3/h。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①、吸附单元在设备箱体内分层格栅式安装，要求能够非常方便地检修及更换。吸附单元选用硬PP板材制作。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②、检查门开启方便，密封严密。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③、进出气口是法兰式接口，可以连接风管。风管连接工艺采用法兰连接方式，法兰之间连接应有3㎜的橡胶垫皮，起到密封作用。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顶装舱体</w:t>
            </w:r>
            <w:r/>
          </w:p>
        </w:tc>
      </w:tr>
      <w:tr>
        <w:trPr>
          <w:trHeight w:val="15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摇臂升降动力模块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采用24V 250mm 14mm/s 4000N推杆电机，采用三支点式支撑设计，三点支撑材质采用三件压铸铝组合组装合成，每件之间采用轴销连接，三个压铸尺寸分别为：≥195mm×125mm×115mm、≥270mm×165mm×30mm、≥160mm×70mm×30mm，保证运动过程结构稳定，噪声不超过65分贝，抗腐蚀能力强。</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15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自动控制模块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集成式控制单元：主要用单片机、电源模块、控制电路组成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执行给排水控制：给水系统：设有每个学生设有给水控制阀门，可以对给水进行控制，可以单独进行控制，进行单选、全选、反选，分组进行控制，教师可以方便对全室供水系统进行控制，学生功能板处设置给水接口，接口与学生水槽柜采用硅胶软管连接，接口均采用自动锁紧插拔式连接方式，用时接上，不用时可收起。自动排水系统：所有排水由智能化控制系统集中控制，学生功能板处设置排水接口，接口与学生水槽柜采用优质硅胶软管（具有防酸、防碱、耐腐蚀功能）连接，接口均采用自动锁紧插拔式连接方式（拔掉时没有污水流出），用时接上，不用时可收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2、执行智能摇臂控制：可以对摇臂进行控制，可以单独进行控制，进行单选、全选、反选，分组进行控制；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3、执行电源控制：可以对低压电源进行控制，可以单独进行控制，进行单选、全选、反选，分组进行控制。对低压电源的电压进行调节及锁定。</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8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主体结构模块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两侧采用≥1200mm×200mm×35mm铝合金一体成型工艺，底部采用钢制焊接而成，主框架承重部分采用加厚钢板焊接，顶部设有防尘盖，防止灰尘进入影响设备运行，增加设备寿命。</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多功能伸缩摇臂</w:t>
            </w:r>
            <w:r/>
          </w:p>
        </w:tc>
      </w:tr>
      <w:tr>
        <w:trPr>
          <w:trHeight w:val="10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多功能伸缩摇臂集成功能模块舱体</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规格：550mm×85mm×240mm</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分两段式设计，上部分由外壳、安装导轨、捆绑服务软管和桥式塑料拖链线槽等组成；下部分预留安装学生电源、供应端口、抽风管道空间位置，上下部分的运动间隙采用硅胶材质密封片，保证密闭性。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智能摇臂升降模块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由24V推杆机连接运动的摇臂和固定部分，运动范围从收纳的水平状态到使用时的垂直状态，摇臂可以随时停留的范围内的任意位置。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1389"/>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学生终端模块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包含：低压交流0V～24V输出1组、直流1.5V～24V输出1组、交流插座2个、USB输出5V电源1组。</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2、学生电源采用耐磨、耐腐蚀、耐高温的PC亮光薄膜面板，学生电源的控制采用按钮式按键，可以随意设置电压，贴片元件生产技术，微电脑控制，采用≥45mm×20mm尺寸面板，用于展示学生的交直流电压数据；</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3、学生交流电源通过上下键0V～24V电压，最小调节单元可达1V，额定电流3A；</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4、学生直流电源也是通过上下键选取，调节范围为1.5V～24V，分辨率可达0.1V，额定电流2A。</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r>
      <w:tr>
        <w:trPr>
          <w:trHeight w:val="10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供应端口</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1、给排水端口：采用PVC材质，具有耐酸碱，拔插轻松，不生锈等特点；即插即用，带自动锁紧功能，即使在供水排水工作时，随时拔掉接口也不会有任何滴漏现象；</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2、控制端口：采用航空插头供应装置，保证水槽柜供应电源及控制信号线。</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r>
      <w:tr>
        <w:trPr>
          <w:trHeight w:val="7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故障显示模块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接收智能平台控制，摇臂运动故障亮红灯警报故障。功能面板采用≥145mm×20mm，配置LED故障灯≥1个，灯罩采用ABS一次成型，设计安装磨砂透明均光板，不仅能使光线扩散均匀更能起到安全防护作用。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13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废水存储过滤模块</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水过滤箱和排水装置组成。尺寸≥280mm×330mm×290mm。水过滤箱包括箱体、过滤件组成，具有耐酸碱，箱体由一隔板分为上下两层，过滤件设置在上层，抽水装置设置在下层。入水口处设置有液位计传感器，检测箱体的水位，排水装置包含水泵和控制器，控制器接收控制系统信号，控制器与液位计信号连接，且与水泵的开关信号连接。设备下面配有一个万向轮，方便设备移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r>
      <w:tr>
        <w:trPr>
          <w:trHeight w:val="3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系统工程</w:t>
            </w:r>
            <w:r/>
          </w:p>
        </w:tc>
      </w:tr>
      <w:tr>
        <w:trPr>
          <w:trHeight w:val="6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给水管路</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采用φ20mm～32mmPP-R给水管，连接每组模块给水。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排水管路</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采用φ50-75mmPVC-U国标管，连接每组模块排水。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电源供应线路</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采用2.5mm</w:t>
            </w:r>
            <w:r>
              <w:rPr>
                <w:rStyle w:val="1150"/>
                <w:rFonts w:hint="eastAsia" w:ascii="宋体" w:hAnsi="宋体" w:eastAsia="宋体" w:cs="宋体"/>
                <w:color w:val="auto"/>
                <w:highlight w:val="none"/>
                <w:lang w:val="en-US" w:eastAsia="zh-CN" w:bidi="ar"/>
              </w:rPr>
              <w:t xml:space="preserve">²</w:t>
            </w:r>
            <w:r>
              <w:rPr>
                <w:rFonts w:hint="eastAsia" w:ascii="宋体" w:hAnsi="宋体" w:eastAsia="宋体" w:cs="宋体"/>
                <w:i w:val="0"/>
                <w:iCs w:val="0"/>
                <w:color w:val="auto"/>
                <w:sz w:val="22"/>
                <w:szCs w:val="22"/>
                <w:highlight w:val="none"/>
                <w:u w:val="none"/>
                <w:lang w:val="en-US" w:eastAsia="zh-CN" w:bidi="ar"/>
              </w:rPr>
              <w:t xml:space="preserve">电线进行系统布线。连接每组模块供电。</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智能控制系统线路</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采用1mm</w:t>
            </w:r>
            <w:r>
              <w:rPr>
                <w:rStyle w:val="1150"/>
                <w:rFonts w:hint="eastAsia" w:ascii="宋体" w:hAnsi="宋体" w:eastAsia="宋体" w:cs="宋体"/>
                <w:color w:val="auto"/>
                <w:highlight w:val="none"/>
                <w:lang w:val="en-US" w:eastAsia="zh-CN" w:bidi="ar"/>
              </w:rPr>
              <w:t xml:space="preserve">²</w:t>
            </w:r>
            <w:r>
              <w:rPr>
                <w:rFonts w:hint="eastAsia" w:ascii="宋体" w:hAnsi="宋体" w:eastAsia="宋体" w:cs="宋体"/>
                <w:i w:val="0"/>
                <w:iCs w:val="0"/>
                <w:color w:val="auto"/>
                <w:sz w:val="22"/>
                <w:szCs w:val="22"/>
                <w:highlight w:val="none"/>
                <w:u w:val="none"/>
                <w:lang w:val="en-US" w:eastAsia="zh-CN" w:bidi="ar"/>
              </w:rPr>
              <w:t xml:space="preserve">屏蔽电线进行系统布线，连接每组模块通讯。</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68"/>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采用双槽钢横梁吊装方式，减少楼板承重，防止左右晃动，可进行上下、左右的平衡调节，实验功能板离地≥2m左右，主要辅件有：槽钢等（不含桁架）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W w:w="6117"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2、顶面成品处理。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高中化学学生实验仪器清单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10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w:t>
            </w:r>
            <w:r/>
          </w:p>
        </w:tc>
        <w:tc>
          <w:tcPr>
            <w:shd w:val="clear" w:color="auto" w:fill="auto"/>
            <w:tcW w:w="6117" w:type="dxa"/>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产品为手持式打孔器，要求用优质钢材制造，刀刃硬度不低于HRC55；四件套，穿孔管外径6mm、8mm、10mm，壁厚1mm冷拔无缝钢管；配一支带柄金属通扦，直径2．8mm碳素钢丝制成；</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2．空心结构，一端带柄，一端有刃，刃口平整、锋利</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3．空管与手柄焊接牢固，使用中不得脱柄。</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4．仪器表面色泽光亮，防锈性能好。</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4162"/>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打孔夹板</w:t>
            </w:r>
            <w:r/>
          </w:p>
        </w:tc>
        <w:tc>
          <w:tcPr>
            <w:shd w:val="clear" w:color="auto" w:fill="auto"/>
            <w:tcW w:w="6117" w:type="dxa"/>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1.产品由上夹板、下夹板、螺钉及紧固蝴蝶螺母等组成；</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2．产品长不小于175 mm，宽不小于40 mm；</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3．上下夹板应由透明塑料板制成，表面光洁，透明度好；</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4．上夹板应备有直径为6 mm，8 mm，10 mm，12 mm直穿孔4个；</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5．紧固螺钉与下夹板紧固为一体，不得松动，紧固螺钉长度不小于80 mm，上夹板上下高度可调，由蝴蝶螺母定位；</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6．上夹板、下夹板厚度不小于11 mm，夹板应有足够的强度，正常情况下使用不变形，不断裂</w:t>
            </w:r>
            <w:r>
              <w:rPr>
                <w:rFonts w:hint="eastAsia" w:ascii="宋体" w:hAnsi="宋体" w:cs="宋体"/>
                <w:i w:val="0"/>
                <w:iCs w:val="0"/>
                <w:color w:val="auto"/>
                <w:sz w:val="22"/>
                <w:szCs w:val="22"/>
                <w:highlight w:val="none"/>
                <w:u w:val="none"/>
                <w:lang w:val="en-US" w:eastAsia="zh-CN" w:bidi="ar"/>
              </w:rPr>
              <w:t xml:space="preserve">。</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打孔器刮刀</w:t>
            </w:r>
            <w:r/>
          </w:p>
        </w:tc>
        <w:tc>
          <w:tcPr>
            <w:shd w:val="clear" w:color="auto" w:fill="auto"/>
            <w:tcW w:w="6117" w:type="dxa"/>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1.产品由刀架、刀片、刀片定位销钉、刀片张角定位螺钉和手柄组成，刀体长度不小于80mm；</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2．刀架应采用金属材料制作，表面做防锈处理。刀架工作端为1:4锥度圆锥体，经调节刀片张角，可修削刀口直径4mm～13mm的打孔器刀口；</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3．刀片应采用工具钢片，具有足够钢性和硬度，刀刃应锋利、无缺损、变形、卷刃现象，刀体与刀柄连接牢固；</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4．手柄表面光洁，大小适当，握持手感舒适；</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5．刀片与刀架配合灵活，便于装拆。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手摇钻孔器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组成：仪器由旋转立柱、夹持固定装置、四个不同直径刀头及捅条组成；2、螺旋立柱应能通过手轮的转动向安装后的刀头稳定加压打孔；3、四支刀口外径分别为Φ12mm，Φ10mm，Φ8mm，Φ6mm，捅条直径不小于Φ4mm，刀口锋利，无卷边；</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72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仪器车</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双层物架，尺寸为：600 mm×400 mm×800 mm；采用不锈钢板制作，总载重≥60 kg，万向滚轮。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辆</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电动离心机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0r/min~3000r/min,10mL×6</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磁力加热搅拌器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、使用电源： AC ±22V</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、消耗功率： 300W±25W。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、能够搅拌1000 ml 玻璃烧杯中的实验物质。配二粒搅拌籽。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 、电机采用无级调速，调速范围为 250 r / min ～ 2600 r / min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 、加热温度采用无级调温，调温加热盘温度小于300℃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 、搅拌时噪声不大于55 dB（A）。</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酒精喷灯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1.由灯壶、灯管、空气调节器、预热盘、加料口等部分组成；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2.规格（宽*高）：104*160mm。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3.可调节火力大小，温度800-1000℃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8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水浴锅</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2.规格：约Φ140mm×80mm。容积约1000ml，盖子由从小到大的五层圈组成。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保温漏斗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1.材质：≥0.5mm厚的铜皮；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2.由漏斗体，漏斗颈，加热头三部分组成，带有手柄。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3.规格：外径约90mm，高100mm.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塑料洗瓶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规格：约6.5*17cm，250 mL ，水嘴略向下倾斜，口径1 mm～ 2 mm，瓶口紧实不漏气</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试剂瓶托盘</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1、尺寸约300mm×250mm×70mm，短边有提手，一盘内可同时放小试剂瓶约30个。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2、材质为耐酸碱塑料注塑成型，化学稳定性好，防腐蚀；</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试剂瓶托盘</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本盘内径尺寸约380mm×280mm×70mm，四边有护边，盘内可同时放125mL细口瓶30个以内。材质为ABS注塑成型。托盘厚度≥2mm，底部有加强筋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实验用品提篮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木制  可固定试管、试剂瓶等仪器，底部有抽屉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1.半透明塑料注塑成型。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2.外形尺寸：约250mm×180mm×100mm。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碘升华凝华管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造型为密封的T型玻璃瓶，用硬质玻璃管，部分抽真空；内盛有固态碘，两端密封不漏气。</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方座支架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由矩形底座、立杆、烧瓶夹、大小铁环、垂直夹（2只）、平行夹等组成。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2．方座支架的底座尺寸约为210×135mm，立杆直径约为φ10mm，一端有M10×18mm螺纹，底座和立杆表面做防锈处理。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万能夹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1.由夹杆、夹头组成。夹头分三爪，铝合金压铸成夹叉形，夹口为张紧螺丝张口，双向紧固，每一夹叉上均粘接软木底垫。</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2.上下夹口转动灵活自如，最大开口≥40mm，夹杆Φ7mm。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三脚架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1.由铁环和3只脚组成；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2.铁环内径：约74mm， 外径：约90mm，高：约130mm。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泥三角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由金属丝和套在其上的石棉筒组成。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金属丝用Φ约2㎜的钢丝接成等边三角形，三角形的单边长≥80㎜，钢丝接头绞合，绞合长度≥20㎜。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石棉筒内径约为Φ4mm，外径约为Φ10mm。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 金属丝作防锈处理。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1、试管架为组装式，由底板1块、立杆4支、挡板1块组成。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2、试管架用工程PP塑料制作，防腐性好。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3、底座正面应有8个凹孔，8个凸柱。4角有4个固定立杆孔，外形尺寸不小于245X145X14mm，摆放平稳。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4、立杆用优质PP材料制作，直径不小于14mm，有效高度不小于68mm，一端插入底座，另一端插入挡板应结实坚固，无歪扭现象。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5、挡板用优质PP材料制作，规格尺寸不小于245X145X8mm，正面有16个直径不小于34mm的孔。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6、组装后的试管架应能放置8支试管和可晾干8支试管。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32孔，铝合金，与 φ 15mm×150mm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试管匹配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木制。1、漏斗架由漏斗板、支杆及底座三部分组成；2、漏斗板表面上有两个锥形孔。3、支杆为Φ15×230mm。4、底座为长方形：250mm×60mm×25mm，底座放置平稳；5、立杆与底座组装后应垂直，漏斗板组装后与立杆垂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滴定台</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1.矩形底座：尺寸不小于300 mm×150 mm×18 mm，底面四角嵌装橡胶脚垫，放置平稳；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2．立杆直径不小于12mm，长度不小于600 mm，表面镀铬；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3．立杆与底座垂直度误差不大于3 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1、滴定夹产品为组装式，由固定块、固定螺钉、可调滑块、活动夹、弹簧组成。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2、滴定夹用铝合金材料制作，表面做磨砂处理。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3、固定块外形尺寸不小于90*30*38mm上面有直径13mm的凸出点，中间M6的螺纹孔，下面有V形固定凹槽。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4、固定螺钉采用不锈钢材质，规格直径6*35mm，顶端手拧部位采用ABS工程塑料制作，手持部位尺寸不小于28*14*8mm，拧入固定块螺纹孔后，应结实坚固，无歪扭现象，上下拧动自如。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5、可调滑块采用铝合金材料制作，规格不小于55*115*8mm，左右夹点高度不小于15mm。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6、活动夹用铝合金制作，雌性和雄性各两个，雌性尺寸不小于95*22*12mm，夹点高度不小于15mm，雄性尺寸不小于95*20*8mm，夹点高度不小于15mm。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7、弹簧采用优质钢丝制作，规格不小于直径14*6mm，钢丝直径不小于1mm。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多用滴管架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由ABS塑料组成。由上架板、中架板、下架板和两块侧板黏接而成。尺寸：约220mm*56mm*55mm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移液管架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1.梯形8孔，采用厚度约3mm的有机玻璃制成；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2.规格：约220×110×205mm。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6孔，直径17mm。塑料制，尺寸：177×40×93mm，由上下二排管架组成。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高中教师输出模块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交流：2V～24V，2V～6V/12A，8V～12V/6A，14V～24V/3A；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直流：1.5V～25V，2V～6V/6A，8V～12V/4A，14V～24V/2A；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大电流：40A、8s自动关断。</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1.规格：长约20cm，高约15cm，托盘直径约8.5cm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2．最大秤量100g，分度值0.1g，标尺称量0-10g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3.秤量允许误差为±0.5d（分度值）</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1.规格：约25.5*8*17.5cm，最大秤量500g，分度值0.5g，标尺称量0-5g；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2.秤量允许误差为0.5d（分度值）；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3.砝码组合的总质量（包括标尺计量值）为天平的最大秤量。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电子天平（100g，0.01g）</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外形尺寸约24*18.5*14cm，称重范围0-100g，读数精度100mg，秤盘尺寸120mm，电源/50Hz。</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电子天平（200g，0.001g）</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最大称量200g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实际分度值0.001g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重复性（≤g）±0.001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最大允许误差（≤g）±0.002</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电子天平（400g，0.1g）</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1.最大秤量：400g，读数精度0.1g；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2.外形尺寸约24*18.5*14cm，秤盘尺寸约120mm，电源/50hz。</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电子停表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1.规格约6.3*7.5cm，教学用电子秒表，具有秒表（最小读数1/100秒）、10段存储显示、定时器、节拍器、时钟和定时闹响功能。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2.以扣式电池为能源的液晶数字式金属壳石英秒表。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3.秒表在工作温度为-5~+50℃内各功能应显示完整、正常。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4.按钮工作灵活可靠，手感或声感与按钮同步，不发生误动作，且按钮使用寿命不少于20000次。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6.标准配置中包含标称工作电压的新扣式电池，电池更换周期大于一年。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教学用测量仪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1.规格：长约30cm，直径约0.6cm，实验用玻璃仪器，测量范围：0～100℃。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2.最小分度值：1℃。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4.允许误差：±1℃。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5.玻管要直，不得弯曲，不得崩损缺口。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4.色泽；无色透明。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数字测量仪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量程-30 ℃～200 ℃，分辨力 0.1 ℃。不接电脑， 可独立运行，自带显示屏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多用途表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1、规格约为210*124*68mm，整流系，轴尖轴承支承式，指针式电表。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2、准确度等级：直流电流、电压、电阻测量档均为2.5级，交流电压测量档、直流电压0~2500V，为5.0级。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3、电压灵敏度：直流为5KΩ/V，交流为2.5KΩ/V。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4、量程范围：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直流电流：0~50uA~1mA～10mA~100mA～500mA~10A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直流电压：0~1V～2.5V~10V～50V~250V～500V~2500V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交流电流：0~1mA～10mA~100mA～500mA~5A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交流电压：0~1V～2.5V~10V～50V~250V～500V~2500V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电阻：R×1、R×10、R×100、R×1K、R×10K</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5、阻尼时间：不超过4S。绝缘电阻≥20兆欧。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6、转换开关各档位定位正确，无错位、转动时无卡碰。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7、电表指针挺直，机械调零时可在零刻度左右移动。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8、产品所附测量表笔及电池应完好有效。</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39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演示用仪表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规格约276*115*298mm，2.5级，检流，按照教育部理科实验室装备标准配备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密度计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1.标准温度20℃，温度范围0～70℃；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2．密度范围：1．000～2．000g/cm3；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3．在液体中倾斜度不大于0．2分度值。</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密度计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1.标准温度20℃，温度范围10～70℃；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2．密度范围：0．700～1．000g/cm3；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3．在液体中倾斜度不大于0．2分度值。</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酸度计（pH计）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测量范围：pH 0～14，分辨率：0.1</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444"/>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原电池实验器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1、供中学化学课学生分组进行原电池实验用。2、产品由容器、电极板（铜板、锌板、铝板）、电极卡、容器盖、接线柱组成。3、容器由透明塑料制成，内腔尺寸：60mm×30mm×75mm。4.电极板尺寸：60mm×15mm×1mm。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贮气装置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1、由出水管、贮水室、导气阀、贮气室、底座、乳胶管等组成，贮气装置用优质透明塑料和ABS工程塑料注塑成型。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2、贮气装置外形尺寸：直径约160mm，高约200mm，表面标有刻度线，最小刻度200mL，容量约3000mL。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3、各焊接部位牢固、密封、无漏气现象。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4、本装置有效贮气容量大于0.5L。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20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溶液导电演示器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1、溶液导电演示器主要由以下配件组成：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1.2示教板  1套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1.3支撑脚  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1.4溶液槽  5个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2、演示器为电表式，工作电压DC6V。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3、示教板采用优质工程塑料ABS制作，规格尺寸不小于295X255X25mm。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3.1示教左上方应安装调校开关，中间安装电表显示屏，右上方安装档位开关。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3.3.2调校开关应有高、低标注；电表应有电压和电流显示；档位开关应有1~7档标注。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3.3.3示教板中间装有5组插线装置和5组LED指示灯，右中间安装电流插孔，插线装置应1~5标注，电流插孔应有正、负极标注。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3.3.4示教板两侧开有飞机孔、便于支撑脚安装。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4、支撑脚采用ABS工程塑料制作，有效尺寸不小于115X13X120mm。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   4.1抱住示教板往上推到位后，应摆放平稳，无摇摆现象。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5、溶液槽采用透明塑料制作，规格不小于57X36X61mm，容量不小于60ml。采用石墨电极通电，通电线应有鱼叉接口，通电线长度不小于250mm。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6、电源连接线一端配有鱼叉，一端配有香蕉插，长度不小于400mm。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7、组装后的溶液导电演示器应摆放平稳，通电后按教学要求演示，性能稳定、效果好、正确。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微型溶液导电实验器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笔式。电源电压：DC3V,5#电池2节。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714"/>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中和热测定仪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产品由外筒、内筒、隔离泡沫、搅拌器、温度计及上盖组成。1.外筒为塑料制，直径98mm、高98mm。2.内筒为铝制，直径60mm，深73mm。3.搅拌器为直径2mm的铝丝绕制而成，附手柄套。</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化学实验废液处理装置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实验教学和废水处理兼用，单搅拌，每次处理的废水总量约12L。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采用塑料焊接和不锈钢件连接组成，框架支架为直径约150mm的不锈钢材。箱体采用环保PP材料。材质均耐酸碱腐蚀由主机（含搅拌机）、400ml试剂瓶4个、洗瓶、专用电源、水管、活性炭包、刷子、滤纸、滤纸夹4个、防护手套、药匙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2.电脑板控制速度，速度分为1-9数显。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3.外形尺寸约：365mm×370mm×550mm。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49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气体实验微型装置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以微型玻璃仪器为主，能完成氧气、氢气、二氧化碳、一氧化碳、氯气、氨气、二氧化硫、硫化氢、一氧化氮、二氧化氮等十几种气体的制备和性质实验，反应容器一般不超过30mL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氢燃料电池演示器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两个质子交换膜电极，膜电极不小于33mm×33mm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氢燃料电池实验器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一个质子交换膜电极，膜电极不小于15mm×15mm，带电流、电压表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电解槽演示器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离子交换膜</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离子交换柱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含玻璃纤维和离子交换树脂。用于做水的软化与净化的实验。由阳离子交换柱（深色）、阴离子交换柱（浅色）组成。交换柱采用透明塑料注塑成型，外径39mm，总长265mm，有进水口、软水出水口、纯净水出水口。</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电泳演示器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于中学化学演示胶体的电泳现象，认识形成电泳的原因；仪器外形结构由底座电源装置，U形管、电极插座和开关等组成。1.主要技术参数：输入电压：AC12V；输出电压大于120V；输出电流80mA。2.U型管直径约18mm。3.底座为塑料制，尺寸：150mm×110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丁达尔现象实验器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1、由盒体，电池盒，集光电珠，方形试管等组成。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2、盒体呈长方形，装有集光电珠的电池盒可以沿盒槽上下移动。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3、通过盒体前端的观察窗，就能看见胶体的丁达尔现象。盒体外形尺寸：约95mm×65mm×65mm。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二氧化氮球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1.玻璃制品，双球，呈U型，内封NO2和N2O4。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2.球体直径约28mm。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放电反应实验仪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通电两分钟之内即有氮气与氧气反应的现象，消耗功率不大于30W</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光化学实验演示器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结构：由底座、闪光装置、安全防护罩、手控按钮、开关、指示灯、试管3支及滴管等组成。能做氢、氯混合气体闪光引爆实验，溴化银感光分解实验，甲烷氯气混合气体取代反应闪光爆鸣实验。底座外形尺寸：175mm×95mm×140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59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炼铁高炉模型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1.炼铁高炉缩小模型，能反映内部结构。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2.它主要由炉喉、炉身、炉腹、炉缸等五个部分组成。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3.有两个进口（进料口和进风口），三个出口（出铁口、出渣口和高炉煤气出口）。</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4.外形尺寸带底座：约175mm×175mm×600mm。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演示用，氢原子球直径不小于 25mm， 其他原子球直径不小于 30mm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分组用，可搭出各种版本新化学课本中所要求的无机分子和有机分子的模型40余种，球与棍应采用新型材料，结构元件：碳（黑色）、氧（红色）、氯（绿色）、氮（蓝色）、硫（黄色）、磷（紫色）、氢（白色）、金属（银灰色）、单键（银灰色）、单离子键（紫色）、双、三键（银灰色）、双离子键（紫色）等。防水纸盒外包装，规格：190×110×50mm，球Φ23mm，球棍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金刚石结构模型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全塑料制，演示用。1.由Φ30mm的碳原子34个、连接键44根组成。2.碳原子为黑色，四孔；键为灰色，直径4mm，长42mm。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石墨结构模型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1.仪器可组装石墨晶体结构，由彩色橡胶球、金属杆、底座组成，演示用；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2．橡胶球直径不小于23 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3．球杆组装松紧适度，不应有自由转动、松脱，组装后不得有明显的弯曲变形及角度变</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4．教学演示效果明显。</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碳-60结构模型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1.模型由Φ23 mm的黑色塑料球60个和管状塑料</w:t>
            </w:r>
            <w:r>
              <w:rPr>
                <w:rStyle w:val="1150"/>
                <w:rFonts w:hint="eastAsia" w:ascii="宋体" w:hAnsi="宋体" w:eastAsia="宋体" w:cs="宋体"/>
                <w:color w:val="auto"/>
                <w:highlight w:val="none"/>
                <w:lang w:val="en-US" w:eastAsia="zh-CN" w:bidi="ar"/>
              </w:rPr>
              <w:t xml:space="preserve">Ø</w:t>
            </w:r>
            <w:r>
              <w:rPr>
                <w:rFonts w:hint="eastAsia" w:ascii="宋体" w:hAnsi="宋体" w:eastAsia="宋体" w:cs="宋体"/>
                <w:i w:val="0"/>
                <w:iCs w:val="0"/>
                <w:color w:val="auto"/>
                <w:sz w:val="22"/>
                <w:szCs w:val="22"/>
                <w:highlight w:val="none"/>
                <w:u w:val="none"/>
                <w:lang w:val="en-US" w:eastAsia="zh-CN" w:bidi="ar"/>
              </w:rPr>
              <w:t xml:space="preserve">5 mm×25 mm单键（黄色）60根和管状塑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料Φ5 mm×35 mm双键（绿色）60根及透明有机底座组成，演示用；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2．球与键的表面应光滑无划痕；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3．键与球的结合应松紧恰当；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4．透明有机底座板的厚度不小于3mm。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氯化钠晶体结构模型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1.全塑料制，演示用，由Φ30mm的氯原子13个、钠原子14个、长键54根组成。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2.氯原子为绿色、钠原子为灰色。键直径约5mm，长约60mm。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氯化铯晶体结构模型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1.含氯原子1个，直径约30mm（8孔）绿色球；铯原子8个直径约30mm（4孔）红色球；长键12根，长约110mm；短键8根，长约90mm；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2.连接键由金属制成，表面电镀处理。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二氧化碳晶体结构模型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产品由碳原子14个（6孔6个和8孔8个）黑色球，直径约30mm；氧原子28个，蓝色球，直径约30mm；短键14根，长60mm，中键24根，长90mm；长键12根，长130mm；连接键由金属制成，表面电镀处理。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二氧化硅晶体结构模型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全塑料制。产品由硅原子15个，直径约30mm，4孔红色球；氧原子16个，直径约22mm，2孔白色球；中键32根，紫色。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69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金属晶体结构模型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全塑料制。产品由面心立方堆积和面心立方晶胞构成。1.面心立方堆积由红色球20个，直径约30mm，短键18根，中键1根。2.面心立方晶胞由红色球14个，直径约30mm，中键12根，奶白，长键12根，金属电镀。</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电子云杂化轨道模型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1.模型包括：S电子云及SP、SP2、SP3、Px、Py、Pz杂化轨道模型，共7件一套。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2.模型的球体由聚乙烯塑料吸塑，连接杆由直径约4mm铝棒制，底座为塑料注塑成型，直径约100mm，高约60mm。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气体摩尔体积模型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1.模型采用拆装式，由1气体摩尔体积正方体组成；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2.规格：约282×282×282mm，由厚度≥2mm的透明有机玻璃构成，再用专门设计的透明塑料角联结。</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金属矿物、金属及合金标本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各类不少于5种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原油常见馏分标本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不少于8种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合成有机高分子材料标本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不少于10种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新型无机非金属材料标本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1.有收纳盒和标本，标本包含氧化铝陶瓷、氮化硅陶瓷、光导纤维；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2.收纳盒尺寸：约170*120*20mm。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分子立体结构模型绘制软件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CD-ROM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79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250ml，硬质采用透明玻璃制造，耐水等级≦3，铜红扩散印线，容量误差3ml，全高200±10mm，壁厚1.2mm，玻璃仪器总体要求：无内应力。</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89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酸式，25mL，玻璃制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酸式，50mL，玻璃制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碱式，25mL，玻璃制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碱式，50mL，玻璃制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移液管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φ12mm×70mm，玻璃制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Ф15mm×150mm、采用透明玻璃制造，耐水等级≦3，全长约150±2mm，外径约15±0.75mm，壁厚≥1.3mm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φ18mm×180mm，玻璃制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Ф32mm×200mm、采用透明玻璃制造，耐水等级≦3，全长约200±2mm，外径约32±0.75mm，壁厚≥1.3mm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99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φ40mm×200mm，玻璃制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φ18mm×180mm，玻璃制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硬质玻璃管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φ15mm×150mm，玻璃制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硬质玻璃管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φ20mm×250mm，玻璃制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燃烧管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φ25mm×300mm，玻璃制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Y形试管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250ml、采用3.3硼硅酸盐玻璃制造，全高约120±3mm，瓶外径约70±2mm，壁厚≥1mm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500ml、采用3.3硼硅酸盐玻璃制造，全高约140±3mm，瓶外径约85±2mm，壁厚≥1mm。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圆底，长颈，250mL，玻璃制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圆底，短颈，厚口250ml，玻璃制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圆底，长颈，500mL，玻璃制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平底，长颈，250mL，玻璃制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蒸馏烧瓶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三口烧瓶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酒精灯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干燥塔</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气体洗瓶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抽滤瓶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抽气管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2.长约330mm，带支管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气体发生器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直形，300mm，玻璃制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球形，300mm，玻璃制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弯形，φ18mm×150mm，玻璃制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直形，玻璃制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安全漏斗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双球，玻璃制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锥（梨）形，100mL，玻璃制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球形，50mL，玻璃制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布氏漏斗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瓷，80mm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T形管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T形玻璃管，φ7mm～8mm，玻璃制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Y形管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φ7mm～8mm，玻璃制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单球，150mm，玻璃制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U型，φ15mm×150mm，玻璃制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U型，φ20mm×200mm，玻璃制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干燥管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U型，具支，φ15mm×150mm，玻璃制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直形，橡胶制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T形，橡胶制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圆水槽</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φ200mm×100mm，玻璃制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圆水槽</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φ270mm×140mm，玻璃制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玻璃钟罩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φ150mm×280mm，玻璃制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钴玻璃片</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作焰色反应，玻璃制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125mL，附毛玻璃片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250mL，附毛玻璃片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500mL，附毛玻璃片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液封除毒气集气瓶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棕色，125mL，玻璃制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广口瓶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66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67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68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69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棕色，125mL，玻璃制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棕色，250mL，玻璃制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棕色，500mL，玻璃制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棕色，1000mL，玻璃制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细口瓶（棕色）</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棕色，3000mL，玻璃制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下口瓶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76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77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78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棕色，30mL，玻璃制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79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棕色，60mL，玻璃制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称量瓶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φ25mm×40mm，玻璃制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坩埚</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瓷，30ml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坩埚钳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1、不锈钢制造。总长度约为200mm；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2、钳子的夹持端为弯头，端头有齿纹，便于夹住物体，吻合一致。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铁制烧杯夹，长约295mm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教学用镊子</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不锈钢板材制成，宽度约9㎜，长度约125±5㎜。</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1.木制。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2．长度约200mm，宽度约20mm，厚度约20mm。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86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水止皮管夹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1.用直径Φ3mm的钢丝制成；做防锈处理；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2．制作光滑、平整、无缺陷；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3．夹持角度不小于60°，夹持可靠，吻合好，弹性好。</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87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螺旋皮管夹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用钢材制成，作防锈处理。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规格：旋钮长约34mm，主体宽约35mm、高约26mm，夹持范围最大不小于20㎜。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88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石棉网</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由金属网和附在网上的石棉组成。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金属网由Φ0.1㎜左右的钢丝编织而成，密度均匀，织网密度间距≤2㎜，金属网为边长≤125㎜的正方形，边缘作卷边处理。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金属网上所附石棉圈为双面附着的正圆形，直径≥Φ100㎜，厚度约3㎜.</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89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二连球</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由橡皮手捏充气球和橡皮贮气球及橡胶导气管相连接而成。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燃烧匙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由半圆面和金属丝结合制成。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半圆面为铜材制造，直径Φ为25㎜左右。光滑圆润无毛刺。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金属丝用Φ3㎜的钢丝制造，长度约为250㎜。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3个1组，大中小三个，勺长分别约为12cm、13.5cm、15cm。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φ5mm～φ6mm，长约200mm，玻璃制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φ7mm～φ8mm，长约200mm，玻璃制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φ3mm～φ4mm，长约200mm，玻璃制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φ5mm～φ6mm，长约200mm，玻璃制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196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软胶塞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用天然橡胶制造，白色0号～12号。</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197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产品用优质天然橡胶制造。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产品内径为7~8㎜，壁厚1㎜。</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千克</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198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外径约7 mm， 内径约5 mm 弹力好，可承受拉长为自身的6倍， 回弹力100%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199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洗耳球</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60mL，橡胶制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 18 mm ，手持部分顶端为环状，顶部有刷丝，铁丝不外露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烧瓶刷</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由金属丝和绞合在其上的猪鬃毛制成。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金属丝用约Φ3㎜左右的镀锌铁丝2根绞合，总长度不小于250㎜。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制成的烧瓶刷呈鼓形，最大直径不小于Φ60㎜，长度不小于100㎜。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滴定管刷</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由金属丝和绞合在其上的猪鬃毛制成，中号一个。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金属丝用Φ3㎜左右的镀锌铁丝2根绞合，总长度不小于500㎜。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结晶皿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100mm，玻璃制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06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瓷，60mm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07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瓷，90mm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08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蒸发皿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瓷，60mm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09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蒸发皿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反应板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至少6穴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9孔，0.7mL×9</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孔，5mL×6，附带双导气管的井穴 塞（ 塑料）</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塑料多用滴管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1.用能耐酸碱盐的塑料制成；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2.长约150mm，容量3ml。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白金丝</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Φ0.5mm×50mm；具金属柄，可拆卸</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pH广泛试纸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1〜14，80条/本</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蓝石蕊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试纸</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红石蕊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试纸</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淀粉碘化钾试纸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试纸，100条/本</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定性滤纸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快速，直径约9cm,100张/盒</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高中化学实验材料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小刀、棉花、木炭、火柴、蜡烛、剪刀、焊锡、炭棒、导线、电灯泡、木板、电池、电珠、砂纸等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份</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电极材料</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石墨、铜、锌、镁、铁、锡等电极</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一字螺丝刀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规格：杆长约75mm，直径约4.8mm；手柄长约76mm，直径约20mm，为塑料材质。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十字螺丝刀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规格：杆长约75mm，直径约4.8mm；手柄长约76mm，直径约20mm，为塑料材质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尖嘴钳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长160mm，铁质。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手锤</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规格：接触面直径20mm，手柄木质，柄长220mm。2．</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锤头为圆头，无毛刺，手柄光滑。3．</w:t>
            </w:r>
            <w:r>
              <w:rPr>
                <w:rStyle w:val="1150"/>
                <w:rFonts w:hint="eastAsia" w:ascii="宋体" w:hAnsi="宋体" w:eastAsia="宋体" w:cs="宋体"/>
                <w:color w:val="auto"/>
                <w:highlight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手柄与锤头装配紧密牢固。</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三角锉刀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尺寸250mm带柄</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铁制品。剪刀刃不小于80mm，总长度不小于190mm。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玻璃瓶盖开启器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由内丝旋套（塑料制）及塑料手柄带螺旋钢丝组成。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玻璃管切割器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由切割头、手柄两大部分组成；总长约160mm；切割头由金属架和金刚石刻刀组成，手柄为塑料制。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工作服</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棉质，成人大小尺寸，白色。所用材料能满足日常穿用和中学实验室日常使用要求，具有一定耐穿性和牢固性，防酸碱。</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护目镜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侧面完全遮挡，耐酸碱，抗冲击</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23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防护面罩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由≥2mm透明有机玻璃和帽架组成。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 面罩呈弧形，宽≥210mm，深≥70mm，高≥220mm。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 能屏蔽和吸收放射性α射线和低能量β射线，能防护辐射热所引起的灼伤和酸、碱、油类化学液体、金属溶液、铁屑或玻璃碎片飞溅而引起的危害。</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r>
      <w:tr>
        <w:trPr>
          <w:trHeight w:val="50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耐酸型乳胶手套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耐酸型乳胶手套</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w:t>
            </w:r>
            <w:r/>
          </w:p>
        </w:tc>
      </w:tr>
      <w:tr>
        <w:trPr>
          <w:trHeight w:val="74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一次性乳胶手套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乳胶手套，25双/盒，密封无渗漏，耐刺穿，磨砂防滑。S/M/L规格可选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r>
      <w:tr>
        <w:trPr>
          <w:trHeight w:val="8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实验防护屏</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1.三片折叠式结构，由透明度好的有机玻璃制造。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2．外形尺寸不小于650mm*360mm，厚度不小于5mm。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高中化学演示实验仪器清单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50mL，分度值2mL，刻度清晰</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mm±0.5mm，—端长度为55mm±2mm，一端长度约85mm，形状为直角，管口烧结处理，避免划伤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外径∅8 mm±0.5mm，内径∅5 mm±0.5mm，壁厚1.5mm，长度80mm±2mm，管口烧结处理，避免划伤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蓝色钴玻璃片</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特殊的观火玻璃，≥50mm×50mm×3mm，表面不平整，有丝纹麻点，装在透明的塑料盒内，外盒尺寸：≥57mm×61mm×17mm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铂丝棒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金属丝连接棒：塑料手柄，黄铜镀镍材质，铜棒直径3.8mm，杆长185mm±2mm，丝长50mm±2mm 直径0.2mm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泥三角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陶瓷材质，产品由三根直径11mm±0.5mm，长55mm±2mm陶瓷管用铁丝连接成三角形</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瓷坩埚</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瓷制，30mL，耐热≥1200°C，内外壁光滑，外壁涂釉，配有坩埚盖，坩埚平底直径24mm±0.5mm，口部直径42mm±0.5mm，内径38mm±0.5mm，盖盖后产品尺寸为：直径49mm±0.5mm×高58mm±2mm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升降台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铝制（100mm±2mm）×（100mm±2mm），防腐蚀，易清洁，结构牢固，升降平稳，黑色调节旋钮，可以根据需求轻松调节高度，升降范围在：45mm～145mm之间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集气瓶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125mL，透明钠钙玻璃制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毛玻璃片</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（50mm±2mm）×（50mm±2mm），透明钠钙玻璃制，磨砂面应均匀地覆盖瓶口端面与盖板，磨砂面不应有光斑；盖板四角应倒角，四边应磨光，盖板与瓶口充分湿润盖合后，倒提瓶体盖板在瓶口上保持30s不脱落</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片</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鲁尔阀</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两通阀－蓝柄无锁帽</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长颈圆底烧瓶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具支试管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透明硼硅酸盐玻璃制，管底厚薄应均匀，支管连接应平滑牢固，不应有偏歪，直径20mm±0.5mm×200mm±0.5mm，具支直径10mm×26mm±0.5mm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Φ30 mm±0.5mm×200mm±2mm，壁厚2mm，透明高硼硅玻璃制，口部做卷边处理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橡胶材质，锥形，14mm±0.5mm（底部直径）×20mm±0.5mm（顶部直径）×28.5mm±0.5mm（高度） ，无孔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外径∅8mm±0.5mm，内径∅5mm±0.5mm，壁厚1.5mm,—端长度为60mm±2mm，一端长度为30mm±2mm，中间一段长100mm±2mm,60mm±2mm一节呈90度角，30mm±2mm一端与中间一段呈30度角，管口烧结处理，避免划伤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红色石蕊试纸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碱性溶液（pH&gt;8）使红色试纸变蓝 100条/盒，尺寸为：≥73mm×30mm×15mm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止水夹</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 1～3 mm 钢丝制成，做防锈处理，夹持角度 ≥60° ， 弹性好，不漏液。2个/盒，透明塑料盒尺寸：≥56mm×53mm×12mm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外径∅8 mm±0.5mm，内径∅5 mm±0.5mm，壁厚1.5mm，长度约200mm，尖嘴口内径2 mm，直形，管口烧结处理，避免划伤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橡胶材质，锥形，22mm±0.5mm（底部直径）×30mm±0.5mm（顶部直径）×28.5mm±0.5mm（高度）， 双孔，孔径8mm±0.5mm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蒸馏头</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透明硼硅酸盐玻璃制，用于蒸馏实验用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透明硼硅酸盐玻璃制，口部磨口24/29mm，弯形，弯管直径为10mm±0.5mm，长80mm±2mm, 尖嘴处厚度2mm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冷凝管</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口径Φ24 mm±0.5mm，外径Φ 35 mm±0.5mm，总长380 mm±2mm，不同侧有具支接口，透明高硼硅玻璃制。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分液漏斗梨形</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梨形125mL，透明硼硅酸盐玻璃制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铝箔纸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450*450mm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盐桥</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间距30mm±2mm ，尺寸≥15mm×130mm ，管口内径13mm±0.5mm，有配套的乳白色橡胶塞， 溶液由琼脂+氯化钾组成</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短柄药勺</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红、黄、绿三种颜色。三尺寸分别为：123mm±2mm 、135mm±2mm、150mm±2mm，材质塑料</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碘化钾试纸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用于检验次氯酸钠、氯气、溴蒸气，亚硝酸等物质，由无色变为蓝色，不宜在＞40℃的条件下使用，尺寸为：≥73mm×30mm×15mm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直径60mm±0.5mm，玻璃厚度2mm，内凹约5mm无色透明硼硅酸盐玻璃制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无色透明玻璃制，总体尺寸：直径98mm±0.5mm×高21mm±2mm，底外径90mm±0.5mm，高19mm±2mm，盖外径98mm±0.5mm，高17mm±2mm，壁厚1～2mm，薄厚均匀，耐高温高压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圆底烧瓶短颈</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250mL，透明硼硅酸盐玻璃制，底部球直径84mm±0.5mm，口径31mm±0.5mm，总高136mm±2mm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蓝色石蕊试纸</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酸性溶液（pH&lt;4.5）使蓝色试纸变红 ,100条/盒，尺寸为：≥73mm×30mm×15mm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r>
      <w:tr>
        <w:trPr>
          <w:trHeight w:val="480"/>
        </w:trPr>
        <w:tc>
          <w:tcPr>
            <w:gridSpan w:val="2"/>
            <w:shd w:val="clear" w:color="auto" w:fill="auto"/>
            <w:tcW w:w="67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 </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玻璃板</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透明玻璃材质≥200mm×150mm，厚度1.5mm～2.0mm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化学准备室</w:t>
            </w:r>
            <w:r/>
          </w:p>
        </w:tc>
      </w:tr>
      <w:tr>
        <w:trPr>
          <w:trHeight w:val="35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准备台</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规格：3600mm×750mm×800mm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75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采用≥12.7mm厚实验室专用理化板。</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7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4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规格：1700mm×200mm×750mm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1、铝合金结构，表面喷涂高温固化匀乳白环氧树脂喷涂处理，具有较强的耐蚀性能，上下带塑胶模具堵头；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2、试剂架立柱截面尺寸：≥42mm×82mm，型材壁厚≥1.2mm；试剂架立柱双面升降槽，侧面双面镶嵌另色色条；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3、试剂架托架≥1.0mm高强度镀锌钢板，一次性冲压成型；试剂架护栏：护栏壁厚≥1.2mm，单面镶嵌另色色条。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4、立杆牢固固定于C型钢架底端，层板采用≥8mm厚的玻璃，安装后用户可根据试剂大小上下高低无级调节。</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3、滴水棒卡扣与主板卡槽紧密契合，不易松动，极好地保护实验器具。</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4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1、双眼洗眼器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1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93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阶梯药品柜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5、层板：上部配置阶梯层板，下部配置一块活动层板，层板全部采用改性PP材质注塑模一次成型，表面沙面和光面相结合处理，承重力强。整体设计为活动式，可随意抽取放在合适的隔层，自由组合各层空间。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层板内空净尺寸长宽≥550mm×400mm，双层层板设计，板材厚度≥0.75mm304不锈钢，立柱采用≥Φ28mm圆管，厚度≥1.0mm，二层之间层间距≥440mm，护栏采用≥16mm不锈钢，高≥70mm，每层加强横梁1根，单层载重不小于150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3、配件：优质静音万向轮，360°全方位旋转，其中2只带刹车功能，移动方便，安全更耐用。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4、产品采用焊接连接方式、经打磨抛光处理，无毛刺不刮手。</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储藏桶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0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含托盘，PP材质，注塑成型，载重36KG</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1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3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手提式干粉灭火器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1、商品剂量：士0.05KG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2、喷射距离：≥3.5CM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3、灭火级别：1A/21B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4、使用温度：-20°C~+50°C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5、瓶身材质：钢材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6、干粉保质：5年</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09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规格：≥1500mm×850mm×2350mm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1、结构组合：采用三段组合式柜体，上部柜体（通风柜），中间（操作台面），下部柜体内含单侧独立抽气式组成柜及另侧独立水、电、气体管线系统容纳柜设计。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2、外壳：全钢结构，采用≥1.0mm高强度镀锌钢板，表面经环氧树脂喷涂处理。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3、内壳：采用≥5mm厚耐酸碱、耐高温的抗倍特板制作。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5、照明：采用≥30W日光灯，并设有≥5mm厚磨砂玻璃。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6、移门拉手：采用铝合金一字拉手。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7、气流板：采用≥5mm厚抗倍特板，安装位置与角度满足排气顺畅。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8、化验水斗：采用PP制作，耐酸碱一体成型小水杯。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9、化验水嘴：采用实验室专用单口烤漆水嘴。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10、窗口：采用≥6mm厚的防爆钢化玻璃。内部采用垂体平衡装置，可以停留在上下任何位置。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8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防爆离心风机</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1.材质：玻璃钢材质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3.风机风量：≥1688-3517m³/h。</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4.风压: ≥1300-739Pa。</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5.转速: ≥2900(r/ mim)。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6.功率: ≥2.2kW/380V。</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59"/>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5#，PP材质，具有防雨功能，风阻小。配套防爆离心风机使用。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材质：软质PVC，尺寸：φ500mm—300mm*250mm</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材质：不锈钢，尺寸：300mm*250mmH，</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2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室内通风主管道、支管道均采用pp防腐蚀材质，严密性高等优点，同时具有耐酸碱性能，由大小管道组成。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主管道：定制风管，具有整体结构性能好，满足实验室通风要求，接口保证无漏风；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室内支管：采用De200及De160管道连接至通风设备，米数≥15米，具有整体结构性能好，满足实验室通风要求，接口保证无漏风。</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2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室外管道，采用防腐蚀PP材质，具有整体结构性能好、严密性高等优点大小管道组成，各主管风速小于12m/s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配套规格：φ315mm或400mm*250mm。根据现场风井选用相应规格。米数≥20米。</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1、单芯标称截面积 4mm²，共3芯；单芯标称截面积 2.5mm²，共2芯，米数共计≥150米。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2、导体材质：多股绞合软铜导体，导电性能优异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3、绝缘护套：双层 PVC 材质，绝缘、耐磨且柔韧性好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4、外观特性：圆形护套，整体柔软</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电箱尺寸不小于300*400*200mm，内含空开交流接触器散热风扇，变频调速系统：变频器：2.2KW,3个点，时间定时控制系统：含时控开关、配套继电器，实现手动、自动可以切换</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6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1、包含通风风管整体安装施工、配套专用支吊架制作安装作业；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3、风管拼接部位统一加装耐温密封垫片，保障接口密封严实、无漏风渗气；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废气净化装置</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1.箱体大小: ≥W800×D1000×H800mm。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2.处理风量≥4000 立方米每小时。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3.主要由活性炭层和承托层组成，具有很高的吸附能力，且吸附剂维护更换方便。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4.内置活性炭过滤模块。</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2、顶面刮白，乳胶漆涂料。</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危化品室</w:t>
            </w:r>
            <w:r/>
          </w:p>
        </w:tc>
      </w:tr>
      <w:tr>
        <w:trPr>
          <w:trHeight w:val="27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常规毒品柜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规格：≥900mm×510mm×2000mm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1、门类型：双开门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2、毒品柜外壳体全部采用≥1.2mm的冷轧钢板，柜体底座采用≥2.0mm的冷轧钢板，内外表面经环氧树脂粉末喷涂，烘热固化处理。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毒品柜体内胆均采用PP（聚丙烯树脂）板，厚度≥4mm；柜底部设置进风口，进风口配有PP（聚丙烯树脂）旋转式可调风阀；柜体的底板中部有≥Φ10mm漏液孔，漏液孔上面盖上60目304不锈钢网；柜体底部设≥h=160mm黄沙（防倒）挡板，柜体内部最下层留有可以存放不少于120mm厚黄沙的填埋腔，用于埋放金属钠、黄磷（白磷）等易燃物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4、柜底装有四个移动尼龙轮，便于易燃品毒害品储存柜移动；前轮后有2个手动调节螺杆，方便危化品储存柜定位。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柜中部有≥3个一次成型聚丙烯活动层板，层板四周边缘厚度平均值不小于4.4mm；每层阶梯板外延边有积液槽，积液槽高度平均值大于3.4mm，最大可能防止液体外溢；每个搁板靠背板处有一排导风口，阶梯高度不小于50mm（包括积液盘的高度）PP层板（非柜体所用板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6、柜顶部开出风口，配一次成型PP法兰（适配管道直径160mm），柜顶风口内置一个AC 50HZ 0.18A轴流风机，最大风量245m3/h，转速2550转/min，环境温度（-10～+70）摄氏度，无火花静电，当毒品柜通电前要把柜门下面中间的进风口推置打开状态。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7、密封件：柜体门与柜体之间应安装防火膨胀密封件。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8、陶瓷纤维棉：柜体应填充具有保温隔热作用的陶瓷纤维棉。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9、铰链：铰链应为钢琴式铰链，确保门能开180度。                                                                                                                                               </w:t>
            </w:r>
            <w:r>
              <w:rPr>
                <w:rFonts w:hint="eastAsia" w:ascii="宋体" w:hAnsi="宋体" w:eastAsia="宋体" w:cs="宋体"/>
                <w:i w:val="0"/>
                <w:iCs w:val="0"/>
                <w:color w:val="auto"/>
                <w:sz w:val="22"/>
                <w:szCs w:val="22"/>
                <w:highlight w:val="none"/>
                <w:u w:val="none"/>
                <w:lang w:val="en-US" w:eastAsia="zh-CN" w:bidi="ar"/>
              </w:rPr>
              <w:t xml:space="preserve">                     10、电子密码锁：配备《机械防盗锁》标准的B级机械钥匙锁及高保密性电子密码锁，实现双人双锁管理，同时锁具具有开锁记录查询功能及隐码功能；天地锁锁舌选用坚韧且有弹性的高分子合成塑料制成，耐磨且抗腐蚀性能极强。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11、通风控制装置：柜体底部应设置进风口及可调风阀，可调风阀旋转灵活，并能控制风量大小。通风管道口径宜采用≥Φ160mm，通风管应耐高温、阻燃、耐腐蚀。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12、温湿度报警装置：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12.1高灵敏度电化学探头，精确度高、响应快、稳定性强，探头测量精度不超过±5%。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12.2高精度探头，精确监测温湿度：柜顶应配置温湿度控制器，对柜内相对温湿度实时监控，操作屏可自行设定测量值，柜内的温湿度如超过设定的测量值及时报警提示，同时风机启动，直至低于设定值，风机停止运行或低速运行。温度启控-10～70℃，湿度启控0～99.9％RH；时控开关，能根据用户设定的时间自动打开和关闭风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12.3集时控开关、温湿度值于一体的≥4.3英寸嵌入式一体化触摸屏，防水、防腐蚀，可触摸控制，方便老师操作。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12.4对于温湿度的监测，用户可自行设置合适的报警点，提高实验室安全等级。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13、配备接地装置实现完全接地。</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7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双门柜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rPr>
                <w:rFonts w:hint="eastAsia" w:ascii="宋体" w:hAnsi="宋体" w:cs="宋体"/>
                <w:i w:val="0"/>
                <w:iCs w:val="0"/>
                <w:color w:val="auto"/>
                <w:sz w:val="22"/>
                <w:szCs w:val="22"/>
                <w:highlight w:val="none"/>
                <w:u w:val="none"/>
                <w:lang w:val="en-US" w:eastAsia="zh-CN" w:bidi="ar"/>
              </w:rPr>
              <w:t xml:space="preserve">1200</w:t>
            </w:r>
            <w:r>
              <w:rPr>
                <w:rFonts w:hint="eastAsia" w:ascii="宋体" w:hAnsi="宋体" w:eastAsia="宋体" w:cs="宋体"/>
                <w:i w:val="0"/>
                <w:iCs w:val="0"/>
                <w:color w:val="auto"/>
                <w:sz w:val="22"/>
                <w:szCs w:val="22"/>
                <w:highlight w:val="none"/>
                <w:u w:val="none"/>
                <w:lang w:val="en-US" w:eastAsia="zh-CN" w:bidi="ar"/>
              </w:rPr>
              <w:t xml:space="preserve">mm×1090mm×460mm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1、门类型：双开门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2、柜体厚度≥1.0mm优质冷轧钢板经过完全焊接，非铆接的构造结实牢固，延长使用寿命，并且由于减少了空隙，能够在火灾中提供更多的保护。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3、柜体采用双层钢板结构，两层钢板之间相隔有≥35mm的空气绝缘层，可有效隔离热源，柜子内外经后进行环氧树脂粉末静电喷涂，烘热固化处理。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4、柜中部配有2块镀锌层板，可上下调节，防液漏，最大可承托400lbs的钢制安全罐。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5、电子密码锁：可实现双人双锁管理，锁具经安部权威认证，同时锁具具有开锁记录查询功能及隐码功能；天地锁锁舌选用坚韧且有弹性的高分子合成塑料制成，耐磨且抗腐蚀性能极强。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6、铰链：铰链应为钢琴式铰链，确保门能开180度。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7、柜体两侧一上一下装设有防闭火装置的双透气孔；方便空气排散，防止有害气体聚集。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8、柜身设有静电接地传导端口，方便连接静电接地导线，防止静电聚集产生火花风险；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9、配备接地装置实现完全接地。</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2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托盘，PP材质，注塑成型，载重36KG</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11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1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手提式干粉灭火器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1、商品剂量：士0.05KG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2、喷射距离：≥3.5CM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3、灭火级别：1A/21B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4、使用温度：-20°C~+50°C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5、瓶身材质：钢材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6、干粉保质：5年</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散流器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ABS材质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8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PP离心风机</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功率；2.2KW，风量；3856—7728m³/h，压头：790—502Pa，转速；1440转/分，电压：380V</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59"/>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5#，PP材质，具有防雨功能，风阻小。</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De500/300mm*250mmH，软质PVC</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300mm*250mmH，不锈钢材质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1.排风系统管道尺寸≥150mm，设备排风通过排风管路与试剂柜排风口连接，并且按照试剂类型分系统进行处理。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2.材质：采用厚度≥3.5mm阻燃 PP 材质管道，管道长度根据现场布局情况制作。PP管道阻燃级别，可耐酸碱腐蚀、耐有机溶剂蒸汽腐蚀、耐老化。其中 PP 管道板材的垂直燃烧级别达到 V-0等级，不含二甲苯等可溶物。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3.排风系统管道方案设计时减少连接环节，减少系统漏风概率。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4.排风系统风管厚度和强度满足国家标准要求，要求排风管道表面光滑、美观、布局及连接整齐，风管的安装满足国家标准要求。风管水平安装时，直径或长边尺寸≥400 mm，吊架间距≥2.5m。风管垂直安装时，间距≥2m，每根立管有两个固定点</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室外管道，采用防腐蚀PP材质，具有整体结构性能好、严密性高等优点大小管道组成，各主管风速小于12m/s</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1、单芯标称截面积 4mm²，共3芯；单芯标称截面积 2.5mm²，共2芯，米数共计≥150米。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2、导体材质：多股绞合软铜导体，导电性能优异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3、绝缘护套：双层 PVC 材质，绝缘、耐磨且柔韧性好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4、外观特性：圆形护套，整体柔软</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电箱尺寸不小于300mm*400mm*200mm，内含空开交流接触器散热风扇，变频调速系统：变频器：2.2KW,3个点，时间定时控制系统：含时控开关、配套继电器，实现手动、自动可以切换</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1、包含通风风管整体安装施工、配套专用支吊架制作安装作业；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3、风管拼接部位统一加装耐温密封垫片，保障接口密封严实、无漏风渗气；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活性炭废气处理器，处理风量：3000m</w:t>
            </w:r>
            <w:r>
              <w:rPr>
                <w:rFonts w:hint="eastAsia" w:ascii="宋体" w:hAnsi="宋体" w:eastAsia="宋体" w:cs="宋体"/>
                <w:i w:val="0"/>
                <w:iCs w:val="0"/>
                <w:color w:val="auto"/>
                <w:sz w:val="22"/>
                <w:szCs w:val="22"/>
                <w:highlight w:val="none"/>
                <w:u w:val="none"/>
                <w:vertAlign w:val="superscript"/>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①、吸附单元在设备箱体内分层格栅式安装，要求能够非常方便地检修及更换。吸附单元选用硬PP板材制作。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②、检查门开启方便，密封严密。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③、进出气口是法兰式接口，可以连接风管。风管连接工艺采用法兰连接方式，法兰之间连接应有3㎜的橡胶垫皮，起到密封作用。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2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安装防护系统装置</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危化品室防火门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1.门扇结构为1.0mm厚钢板+1.5mm厚钢板+钢骨架（骨架钢板厚2.0mm，分布间格200mm×300mm）+1.0mm厚钢板，中间填充物为岩棉；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2.门框采用2.0mm厚钢板制作；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3.门扇铰链侧有4个明轴铰链和3个固定栓，门扇开启侧4个，上、下侧各1个活动门栓，活动门栓直径20.0mm，伸出长度22.0mm；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4.门扇上安装2把机械防盗锁，锁具安装部位有3.0mm厚钢板加强防护；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5.锁体内嵌门体内，由锁栓顶压锁定机构控制门栓，门扇上安装的按压式手柄由1把机械防盗锁实施控制；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6.门框厚度：1.98mm，外面板厚度：0.98mm+1.48mm，内面板厚度：0.98mm；</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钢制隔热防火门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1.产品名称：钢制防火门；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2.产品材质：钢制；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3.产品颜色：多色可选；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4.产品规格：可根据需要定制；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5.产品作用：防火抑制火势蔓延；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6.产品特点：耐火、防腐蚀、防氧化；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7、耐火时间：≥1.5小时；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8、门板厚度≥0.8mm、门框厚度≥1.2mm；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9、达到能A1级要求燃烧；达到产烟毒性危险分级ZA₂级要求；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10、形位公差：门扇两对角线长度差≤3mm；门扇扭曲度≤5mm，门扇宽度方向弯曲度&lt;2.0‰；门扇高度方向弯曲度&lt;2.0‰；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11、配合公差：门扇与门框搭接尺寸≥12；门扇与门框有合页一侧的配合活动间隙不大于设计图纸规定的尺寸公差。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防盗窗</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由窗，扇框架、玻璃等组成，窗框架使用≥40mm×80mm×2.0mm方钢管制作，扇框架使用40mm×60mm×2.0mm方钢管制作；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玻璃使用标称厚度13mm厚夹胶玻璃，玻璃结构为6mm厚玻璃+0.76mm 厚胶+6mm 厚玻璃。窗扇背面上端有2个明铰链；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下端安装2块磁铁。固定架使用≥50mm×70mm×2.0mm方钢管焊接制作。</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08"/>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危化品室文化建设</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试剂库标签、信息门牌</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0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定制插座</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1.额定电压：AC220V；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2.额定电流：≥16A；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3.外壳防护等级：IP66。</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定制开关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1.额定电压：AC220；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2.额定电流：1</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3.外壳防护等级：IP66。</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防爆声光报警器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1、外观≥160mm*210mm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2、管道19.5mm孔径8.7mm底座直径107mm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1、高硼硅钢化玻璃灯罩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2、高分贝蜂鸣器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3、抗摔网罩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4、铝合金压铸壳体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5、标准密封圈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产品参数：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1、工作电压：12V/24V/220V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2、声音分贝：≥110dB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3、功率：≥10W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4、防护等级：IP66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5、产品净重：≥1.3kg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6、防爆标志：Exe IICT4 Gb；Ex  lIC T80'C 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7、工作方式：LED模拟旋转，蜂鸣器发声</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防爆应急标志灯</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防爆应急灯的核心参数主要包括防爆性能、应急功能和电气规格：防爆标志如 Ex db II C T6 Gb（适用于气体环境，T6表示设备表面≤85℃，安全性高）和 Ex tb IIIC T80℃ Db（适用于粉尘环境），防护等级通常要求 IP65 或 IP67（防尘防水）；应急功能需满足 应急照明时间 ≥90分钟</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LED防爆照明灯</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1.产品材质：外壳材质为ADC12铝合金，玻璃罩材质为钢化玻璃；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2.产品电压：AC220V；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3.功率：≥70W；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4.防护等级：IP66。</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防爆挠性软管</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防爆挠性软管+镀锌</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strike w:val="0"/>
                <w:color w:val="auto"/>
                <w:sz w:val="22"/>
                <w:szCs w:val="22"/>
                <w:highlight w:val="none"/>
                <w:u w:val="none"/>
                <w:lang w:val="en-US" w:eastAsia="zh-CN" w:bidi="ar"/>
              </w:rPr>
              <w:t xml:space="preserve">防爆防腐配电装置</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电控柜防护等级不低于IP65。防爆等级达到ExdII BT6，外壳材料铝合金壁挂式，经环氧树脂涂装。</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室内自动灭火装置（悬挂式七氟丙烷气体灭火装置）</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升到68度自动灭火，灭火原理空气阻断，对设备电气化学品不会产生二次污染。</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防爆温湿度检测仪</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量程：-40~+80℃，0—100%RH；示值误差≤±5℃，湿度≤±1%RH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分辨率0.1℃，1%RH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响应时间≤30s（T90）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恢复时间≤30s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LED显示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防爆等级ExdIIC T6.1.防爆级别： ≥EXdIIBT4Gb。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2.检测库内温湿度情况，并自动同步联动风机进行紧急排风。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3.检测到的实时信息以及超限报警信息须集中到一个管控平台进行管理。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4.报警方式包括现场声光报警，手机移动端、PC 端等推送实时数据报警等。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5.防爆传感器外壳防护等级试验通过≥IP66。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6.外壳耐压通过 1.5倍参考压力的动力试验，热试验最高温度≤49℃。</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点型可燃气体探测器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1.检测原理：催化燃烧，传感器寿命：≥2 年。</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2.响应时间: T90≤20s。</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3.重复性: 典型值±2%FS; 精度: ±1%FS。</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4.电磁兼容:符合国标GB 16838的要求。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5.信号输出: ISBUS 四总线输出, 支持 Modbus RTU 485及无线拓展。</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6.继电器输出：两组常开继电器。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7.带联动风机功能。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8.电气接口: 本体≥2 个 NPT1/2 (内螺纹)接口。</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9.工作温度: - 40℃~70℃(可燃)。</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rPr>
              <w:t xml:space="preserve">10</w:t>
            </w:r>
            <w:r>
              <w:rPr>
                <w:rFonts w:hint="eastAsia" w:ascii="宋体" w:hAnsi="宋体" w:eastAsia="宋体" w:cs="宋体"/>
                <w:i w:val="0"/>
                <w:iCs w:val="0"/>
                <w:color w:val="auto"/>
                <w:sz w:val="22"/>
                <w:szCs w:val="22"/>
                <w:highlight w:val="none"/>
                <w:u w:val="none"/>
              </w:rPr>
              <w:t xml:space="preserve">.防护等级: ≥IP66。</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防爆控制系统</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1.1套智能控制系统装置,1套远传报警系统设备PLC，1套装置系统控制系统采用编程逻辑控制器(PLC)+软件管理系统系统完成电气和仪表部分的自动控制与监控管理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2.控制系统在应急情况下可使用实体键进入应急模式，控制照明、排风、废气净化、</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空调等基本功能。控制系统采用编程逻辑控制器(PLC)+远程监控及操控+软件管理系统，系统完成电气和仪表部分的自动控制与监控管理，提供实验室废弃物暂存柜云控制系统软件证明文件扫描件。 </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t xml:space="preserve">3：集成以太网口可与PLC进行通讯（最多可连接4台）隔离串口网口可以支持大多数PLC的以太网协议和标准的MODBUS，预留TCP协议以及网口自定</w:t>
            </w:r>
            <w:r>
              <w:rPr>
                <w:rFonts w:hint="eastAsia" w:ascii="宋体" w:hAnsi="宋体" w:eastAsia="宋体" w:cs="宋体"/>
                <w:i w:val="0"/>
                <w:iCs w:val="0"/>
                <w:color w:val="auto"/>
                <w:sz w:val="22"/>
                <w:szCs w:val="22"/>
                <w:highlight w:val="none"/>
                <w:u w:val="none"/>
              </w:rPr>
              <w:t xml:space="preserve">义协议，可根据客户要求联网并可以实现远程监控功能，手机和电脑端无需开发，即可生成与触摸屏一样的画面，短信或电话报警当柜内浓度高于15ppm时，智能安全系统将自动启动强制排风系统。当柜内浓度高于18ppm时，智能安全系统将启动声光报警灯，报警灯为磁吸款220v，红色有声可闪光，同时通过云控制平台给用户发警示短信或者打警示电话。集成以太网口可与 S7-200 系列 PLC 进行通讯（最多可连接 4 台）隔离串口网口可以支持大多数 PLC 的以太网协议和标准的 MODBUS 预留 TCP 协议以及网口自定义协议。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防爆摄像仪</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1.额定电压：AC220V；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2.额定电流：500mA；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3.防爆标志：ExdbICT6Gb、ExtbI1ICT80CDb；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4.外壳防护等级：IP68（水深1m，1h）；</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2</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定制入侵报警平台</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红外报警探测系统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1.防爆级别： ≥EXdⅡBT4Gb。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2.壳体采用铝合金压铸成型，表面高压静电喷塑。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3.钢化玻璃外罩，不锈钢外露紧固件，防护网罩采用镀锌后表面喷塑，双重防腐。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4.频闪频率： ≥60 次/ min。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5.声响强度： 100-115dB。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6.含设备安装及实现其功能所必须的辅材。</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防爆排风扇</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ExdⅡBT4</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防静电装置（防爆防腐配电装置）</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1.额定电压：AC220V；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2.额定电流：200A；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3.防爆标志：Ex dbⅡB T6 Gb、Ex tb ⅢC T80℃ Db；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4.产品组成：产品为隔爆外壳型结构，同时也是防粉尘点燃外壳结构，由上盖、壳体等组成，内装接线端子，壳体装有引入装置</w:t>
            </w:r>
            <w:r>
              <w:rPr>
                <w:rFonts w:hint="eastAsia" w:ascii="宋体" w:hAnsi="宋体" w:cs="宋体"/>
                <w:i w:val="0"/>
                <w:iCs w:val="0"/>
                <w:color w:val="auto"/>
                <w:sz w:val="22"/>
                <w:szCs w:val="22"/>
                <w:highlight w:val="none"/>
                <w:u w:val="none"/>
                <w:lang w:val="en-US" w:eastAsia="zh-CN" w:bidi="ar"/>
              </w:rPr>
              <w:t xml:space="preserve">。</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防爆空调机</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color w:val="auto"/>
                <w:szCs w:val="20"/>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1.功率≥2P。</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2.额定电压： AC220V-50Hz。制冷制热性能：制冷量一般为3.5kW，制热量约为4.2kW，适用面积在16-24㎡。功率与电流：制冷额定功率约830W，电流约</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.2A；制热额定功率约1120W，电流约5.0A。</w:t>
            </w:r>
            <w:r/>
          </w:p>
          <w:p>
            <w:pPr>
              <w:ind w:left="0" w:right="0"/>
              <w:jc w:val="left"/>
              <w:keepLines w:val="0"/>
              <w:keepNext w:val="0"/>
              <w:spacing w:before="0" w:beforeAutospacing="0" w:after="0" w:afterAutospacing="0"/>
              <w:widowControl/>
              <w:rPr>
                <w:rFonts w:hint="eastAsia"/>
                <w:color w:val="auto"/>
                <w:szCs w:val="20"/>
                <w:highlight w:val="none"/>
              </w:rPr>
              <w:suppressLineNumbers w:val="0"/>
            </w:pPr>
            <w:r>
              <w:rPr>
                <w:rFonts w:hint="eastAsia"/>
                <w:color w:val="auto"/>
                <w:szCs w:val="20"/>
                <w:highlight w:val="none"/>
                <w:lang w:val="en-US" w:eastAsia="zh-CN"/>
              </w:rPr>
              <w:t xml:space="preserve">3.</w:t>
            </w:r>
            <w:r>
              <w:rPr>
                <w:rFonts w:hint="eastAsia"/>
                <w:color w:val="auto"/>
                <w:szCs w:val="20"/>
                <w:highlight w:val="none"/>
              </w:rPr>
              <w:t xml:space="preserve">外壳防护等级</w:t>
            </w:r>
            <w:r>
              <w:rPr>
                <w:rFonts w:hint="eastAsia"/>
                <w:color w:val="auto"/>
                <w:szCs w:val="20"/>
                <w:highlight w:val="none"/>
                <w:lang w:eastAsia="zh-CN"/>
              </w:rPr>
              <w:t xml:space="preserve">：</w:t>
            </w:r>
            <w:r>
              <w:rPr>
                <w:rFonts w:hint="eastAsia"/>
                <w:color w:val="auto"/>
                <w:szCs w:val="20"/>
                <w:highlight w:val="none"/>
              </w:rPr>
              <w:t xml:space="preserve">防爆控制箱</w:t>
            </w:r>
            <w:r>
              <w:rPr>
                <w:rFonts w:hint="eastAsia"/>
                <w:color w:val="auto"/>
                <w:szCs w:val="20"/>
                <w:highlight w:val="none"/>
                <w:lang w:eastAsia="zh-CN"/>
              </w:rPr>
              <w:t xml:space="preserve">：</w:t>
            </w:r>
            <w:r>
              <w:rPr>
                <w:rFonts w:hint="eastAsia"/>
                <w:color w:val="auto"/>
                <w:szCs w:val="20"/>
                <w:highlight w:val="none"/>
              </w:rPr>
              <w:t xml:space="preserve">IP66</w:t>
            </w:r>
            <w:r>
              <w:rPr>
                <w:rFonts w:hint="eastAsia"/>
                <w:color w:val="auto"/>
                <w:szCs w:val="20"/>
                <w:highlight w:val="none"/>
                <w:lang w:eastAsia="zh-CN"/>
              </w:rPr>
              <w:t xml:space="preserve">：</w:t>
            </w:r>
            <w:r>
              <w:rPr>
                <w:rFonts w:hint="eastAsia"/>
                <w:color w:val="auto"/>
                <w:szCs w:val="20"/>
                <w:highlight w:val="none"/>
              </w:rPr>
              <w:t xml:space="preserve">进风口</w:t>
            </w:r>
            <w:r>
              <w:rPr>
                <w:rFonts w:hint="eastAsia"/>
                <w:color w:val="auto"/>
                <w:szCs w:val="20"/>
                <w:highlight w:val="none"/>
                <w:lang w:eastAsia="zh-CN"/>
              </w:rPr>
              <w:t xml:space="preserve">：</w:t>
            </w:r>
            <w:r>
              <w:rPr>
                <w:rFonts w:hint="eastAsia"/>
                <w:color w:val="auto"/>
                <w:szCs w:val="20"/>
                <w:highlight w:val="none"/>
              </w:rPr>
              <w:t xml:space="preserve">IP20</w:t>
            </w:r>
            <w:r>
              <w:rPr>
                <w:rFonts w:hint="eastAsia"/>
                <w:color w:val="auto"/>
                <w:szCs w:val="20"/>
                <w:highlight w:val="none"/>
                <w:lang w:eastAsia="zh-CN"/>
              </w:rPr>
              <w:t xml:space="preserve">：</w:t>
            </w:r>
            <w:r>
              <w:rPr>
                <w:rFonts w:hint="eastAsia"/>
                <w:color w:val="auto"/>
                <w:szCs w:val="20"/>
                <w:highlight w:val="none"/>
              </w:rPr>
              <w:t xml:space="preserve">出风口</w:t>
            </w:r>
            <w:r>
              <w:rPr>
                <w:rFonts w:hint="eastAsia"/>
                <w:color w:val="auto"/>
                <w:szCs w:val="20"/>
                <w:highlight w:val="none"/>
                <w:lang w:eastAsia="zh-CN"/>
              </w:rPr>
              <w:t xml:space="preserve">：</w:t>
            </w:r>
            <w:r>
              <w:rPr>
                <w:rFonts w:hint="eastAsia"/>
                <w:color w:val="auto"/>
                <w:szCs w:val="20"/>
                <w:highlight w:val="none"/>
              </w:rPr>
              <w:t xml:space="preserve">IP10。</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color w:val="auto"/>
                <w:szCs w:val="20"/>
                <w:highlight w:val="none"/>
                <w:lang w:val="en-US" w:eastAsia="zh-CN"/>
              </w:rPr>
              <w:t xml:space="preserve">4.</w:t>
            </w:r>
            <w:r>
              <w:rPr>
                <w:rFonts w:hint="eastAsia"/>
                <w:color w:val="auto"/>
                <w:szCs w:val="20"/>
                <w:highlight w:val="none"/>
              </w:rPr>
              <w:t xml:space="preserve">产品隔爆外壳紧固螺栓应保证抗拉强度≥600MPa、屈服强度≥480MPa。</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21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应急器材柜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1.规格尺寸： ≥W600×D350×H1800(mm)。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2.柜体采用≥1.0mm 的一级冷轧钢板，柜体底座采用≥2.0mm的一级冷轧钢板，内外表面经酸洗磷化，采用耐腐蚀型黄色环氧树脂粉末喷涂，烘热固化处理。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3.柜体设有化学品应急套装、急救药箱、个人防护用品、消防应急套装等储存区，其中独立储存单元≥4 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4.配套物资：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4.1 化学泄漏处置套装≥1 套：吸附条≥2条，吸附棉片≥20片，吸附剂≥1 瓶，防护围裙≥1 件，防护眼镜≥1 付，半面罩呼吸器≥1套，防护手套≥1 双，防护靴套≥1 双等。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4.2个人防护用品：防化服、防化学护目镜、半面罩+多用气体滤毒盒、防化靴和防化手套各≥2 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4.3 急救药箱≥1 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4.4 消防自呼≥2个。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4.5 灭火毯≥2 条： 尺寸≥1500×1500mm, 玻璃纤维材质。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人体静电释放报警器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1.防爆等级：ExiaIICT6</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2.主体材质：亚导体</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3.接地电阻：≤50Ω报警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4.响应时间：＜1秒</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5.工作电压：3.6V锂电</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6.工作温度：-40~60°C</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7.报警方式：声光＞90dB</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8.触摸提示：安全/报警</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9.适用环境：危险气体区</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化学准备室/仪器室和化学药品室共用一套通风</w:t>
            </w:r>
            <w:r/>
          </w:p>
        </w:tc>
      </w:tr>
      <w:tr>
        <w:trPr>
          <w:trHeight w:val="30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规格：3600mm×1200mm×800mm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0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采用12.7mm厚实验室专用理化板。</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8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5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规格：2800mm×300mm×750mm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1、铝合金结构，表面喷涂高温固化匀乳白环氧树脂喷涂处理，具有较强的耐蚀性能，上下带塑胶模具堵头；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2、试剂架立柱截面尺寸：≥42mm×82mm，型材壁厚≥1.2mm；试剂架立柱双面升降槽，侧面双面镶嵌另色色条；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3、试剂架托架≥1.0mm高强度镀锌钢板，一次性冲压成型；试剂架护栏：护栏壁厚≥1.2mm，单面镶嵌另色色条。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4、立杆牢固固定于C型钢架底端，层板采用≥8mm厚的玻璃，安装后用户可根据试剂大小上下高低无级调节。</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3、滴水棒卡扣与主板卡槽紧密契合，不易松动，极好地保护实验器具。</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3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1、双眼洗眼器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7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133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层板内空净尺寸长宽≥550mm×400mm，双层层板设计，板材厚度≥0.75mm304不锈钢，立柱采用≥Φ28mm圆管，厚度≥1.0mm，二层之间层间距≥440mm，护栏采用≥16mm不锈钢，高≥70mm，每层加强横梁1根，单层载重不小于150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3、配件：优质静音万向轮，360°全方位旋转，其中2只带刹车功能，移动方便，安全更耐用。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4、产品采用焊接连接方式、经打磨抛光处理，无毛刺不刮手。</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9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托盘，PP材质，注塑成型，载重36KG</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4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干粉灭火器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1、商品剂量：士0.05KG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2、喷射距离：≥3.5CM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3、灭火级别：1A/21B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4、使用温度：-20°C~+50°C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5、瓶身材质：钢材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6、干粉保质：5年</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32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通风柜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规格：1500mm×850mm×2350mm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1、结构组合：采用三段组合式柜体，上部柜体（通风柜），中间（操作台面），下部柜体内含单侧独立抽气式组成柜及另侧独立水、电、气体管线系统容纳柜设计。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2、外壳：全钢结构，采用≥1.0mm高强度镀锌钢板，表面经环氧树脂喷涂处理。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3、内壳：采用≥5mm厚耐酸碱、耐高温的抗倍特板制作。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5、照明：采用≥30W日光灯，并设有≥5mm厚磨砂玻璃。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6、移门拉手：采用铝合金一字拉手。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7、气流板：采用≥5mm厚抗倍特板，安装位置与角度满足排气顺畅。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8、化验水斗：采用PP制作，耐酸碱一体成型小水杯。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9、化验水嘴：采用实验室专用单口烤漆水嘴。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10、窗口：采用≥6mm厚的防爆钢化玻璃。内部采用垂体平衡装置，可以停留在上下任何位置。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室内管道，采用防腐蚀PP材质，具有整体结构性能好、严密性高等优点大小管道组成，各支管风速小于8m/s</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1、包含通风风管整体安装施工、配套专用支吊架制作安装作业；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3、风管拼接部位统一加装耐温密封垫片，保障接口密封严实、无漏风渗气；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化学药品室</w:t>
            </w:r>
            <w:r/>
          </w:p>
        </w:tc>
      </w:tr>
      <w:tr>
        <w:trPr>
          <w:trHeight w:val="2763"/>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2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阶梯药品柜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5、层板：上部配置阶梯层板，下部配置一块活动层板，层板全部采用改性PP材质注塑模一次成型，表面沙面和光面相结合处理，承重力强。整体设计为活动式，可随意抽取放在合适的隔层，自由组合各层空间。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8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PP离心风机</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功率；2.2KW，风量；3856—7728m³/h，压头：790—502Pa，转速；1440转/分，电压：380V</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59"/>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5#，PP材质，具有防雨功能，风阻小。配套2.2KW风机使用。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进风口软接头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材质：软质PVC，尺寸：φ500mm—300mm*250mm。</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不锈钢开关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材质：不锈钢，尺寸：300mm*250mmH，</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室内通风主管道、支管道均采用防腐蚀材质，严密性高等优点，同时具有耐酸碱性能，由大小管道组成。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主管道：定制风管，具有整体结构性能好，满足实验室通风要求，接口保证无漏风；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室内支管：采用De200及De160管道连接至通风设备，米数≥22米，具有整体结构性能好，满足实验室通风要求，接口保证无漏风。</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室外行程通风管道</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室外管道，采用防腐蚀PP材质，具有整体结构性能好、严密性高等优点大小管道组成，各主管风速小于12m/s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配套规格：φ315mm或400mm*250mm。根据现场风井选用相应规格。米数≥20米。</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7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风机电缆线、控制线</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1、单芯标称截面积 4mm²，共3芯；单芯标称截面积 2.5mm²，共2芯，米数共计≥150米。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2、导体材质：多股绞合软铜导体，导电性能优异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3、绝缘护套：双层 PVC 材质，绝缘、耐磨且柔韧性好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4、外观特性：圆形护套，整体柔软</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智能变频时控控制电箱</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电箱尺寸不小于300mm*400mm*200mm，内含空开交流接触器散热风扇，变频调速系统：变频器：2.2KW,3个点，时间定时控制系统：含时控开关、配套继电器，实现手动、自动可以切换</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耗材及附件</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1、包含通风风管整体安装施工、配套专用支吊架制作安装作业；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3、风管拼接部位统一加装耐温密封垫片，保障接口密封严实、无漏风渗气；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活性炭废气处理器，处理风量：4000m</w:t>
            </w:r>
            <w:r>
              <w:rPr>
                <w:rFonts w:hint="eastAsia" w:ascii="宋体" w:hAnsi="宋体" w:eastAsia="宋体" w:cs="宋体"/>
                <w:i w:val="0"/>
                <w:iCs w:val="0"/>
                <w:color w:val="auto"/>
                <w:sz w:val="22"/>
                <w:szCs w:val="22"/>
                <w:highlight w:val="none"/>
                <w:u w:val="none"/>
                <w:vertAlign w:val="superscript"/>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/h。</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①、吸附单元在设备箱体内分层格栅式安装，要求能够非常方便地检修及更换。吸附单元选用硬PP板材制作。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②、检查门开启方便，密封严密。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③、进出气口是法兰式接口，可以连接风管。风管连接工艺采用法兰连接方式，法兰之间连接应有3㎜的橡胶垫皮，起到密封作用。</w:t>
            </w:r>
            <w:r/>
          </w:p>
        </w:tc>
        <w:tc>
          <w:tcPr>
            <w:shd w:val="clear" w:color="auto" w:fill="auto"/>
            <w:tcW w:w="6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生物实验室1</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教师演示控制</w:t>
            </w:r>
            <w:r/>
          </w:p>
        </w:tc>
      </w:tr>
      <w:tr>
        <w:trPr>
          <w:trHeight w:val="164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规格：3000mm×700mm×900mm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4、储物柜门和抽面：采用双层结构，组装式设计，保证单层钢板双面都喷涂处理，门板中间填充隔音材料，减少关门时产生的噪声。防撞胶垫：装于抽屉及门板内侧，减缓碰撞，保护柜体。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1、单眼洗眼器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学生实验操作及学习区</w:t>
            </w:r>
            <w:r/>
          </w:p>
        </w:tc>
      </w:tr>
      <w:tr>
        <w:trPr>
          <w:trHeight w:val="159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规格：1220mm*600mm*780/820mm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15mm止滑陶瓷台面。陶瓷台面坯体黑色一体实芯和釉面经高温一体煅烧而成。台面操作边设有≥13mm×1.5mm止滑凹槽，有效防止在实验过程中试管、液体等实验物品滑落造成意外伤害，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钢铝结构，外形尺寸≥1220mm×600mm×780mm（台面）/820mm（围边），含功能围栏总高度≥925mm；左右侧围边采用一体化压铸铝工艺，尺寸≥405mm×75mm×17mm，围边长度达到390mm，高出台面≥38mm，防止仪器设备掉落的风险；后挡条为铝合金一体成型工艺，高出台面≥38mm，金属表面经环氧树脂粉末喷涂高温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3、后功能栏杆，采用≥20mm×30mm×1.0mm的方管弯管成型工艺，高出台面达到145mm，防止实验器材跌落；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4、下面设计两个书包斗，材质采用ABS一体化成型工艺，镂空设计，不屯垃圾，便于清理，中间设挂凳卡；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桌腿采用两节折叠式设计，上部分尺寸≥120mm×210mm×50mm，一体化压铸工艺；下部分采用≥100mm×40mm×1.8mm钢管制作而成；下脚尺寸≥565mm×60mm×40mm，采用不低于2mm钢板冲压一体化成型，金属表面经环氧树脂粉末喷涂高温固化处理。</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2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多功能防溅水槽柜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围尺寸≥590mm×440mm×60mm，中间部分尺寸≥600mm×450mm×735mm；材质≥1.0mm镀锌钢板，表面环氧喷涂；上面水槽为PP改性材质，水槽尺寸≥450mmx600mmx475mm，水槽内上部尺寸≥405mm×480mm，底部尺寸≥345mm×425mm，水槽最高深度≥370mm，最低深度≥300mm，保障洗涤时水不飞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2、水槽内部带滴水架，滴水架不少于10个滴水棒，滴水棒可以收纳；下带两层过滤网，可拆卸清理维护。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3、水槽柜上面带检修口，同时可以收纳水管。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4、检修门带锁，底围安装≥1寸定向轮。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8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水龙头</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1、主体材质为加厚铜管，主管管径≥25mm铜管，表面经环氧树脂喷涂处理。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2、双龙头可以独立折叠式设计，使用时打开折叠双联龙头在使用过程中可以自由升降水嘴，以满足不同身高的高度仪器清洗要求使用。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4、实验室龙头采用壁式安装，壁厚≥2.5mm，固定底座直径≥50mm，底座锁母与台面中间添加齿形止退垫，使连接后不易松动稳定性强，与台面安装牢固。双联龙头可以分开折叠90度收纳，保证实验室的整洁美观。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5、开关旋钮：材质PP，符合人体工学设计，启闭方式为平面式，开关标识清晰醒目，装配好的开关旋钮应平稳轻便无卡阻，与阀杆连接后不易松动稳定性强。</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01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规格：Φ310mm×450mm～500mm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1、凳脚材质：4个凳脚采用≥15mm×30mm×1.7mm钢管模具弯制一次成型，全圆满焊接完成，结构牢固，经高温粉体烤漆处理，长时间使用也不会产生表面烤漆剥落现象 螺旋升降式，升降距离为50mm，最高离地距离≥500mm。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2、ABS凳面材质：采用ABS注塑。表面细纹咬花，防滑不发光，凳面底部镶嵌4枚螺纹，采用标准螺栓与圆形托盘固定。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3、脚垫材质：采用PP加耐磨纤维增强塑料，实心倒钩式一体射出成型。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4、凳托与凳脚留有一定的空间便于凳子挂在挂凳扣上，方便教室的打扫。</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1615"/>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控制系统</w:t>
            </w:r>
            <w:r/>
          </w:p>
        </w:tc>
      </w:tr>
      <w:tr>
        <w:trPr>
          <w:trHeight w:val="126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1、教师演示台配备总漏电保护和分组保护，可分组控制学生的高低压电源，确保学生实验安全方便；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2、教师电源总控采用不小于225*127mm尺寸的面板，具备智能控制按键，并能显示电源电压；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3、教师交流电源通过智能控制按键直接选取0～24V电压，最小调节单元可达1V，额定电流3A；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4、教师直流电源也是通过智能控制按键直接选取，调节范围为1.5～24V，分辨率可达0.1V，额定电流3A；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5、低压大电流值为40A，自动关断；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教学电源：交流输出为带安全门的插座，带有电源指示，学生低压交流电源可通过智能控制按键直接选取0～24V电压，最小调节单元为1V，分组输送至学生桌；低压直流电压教师能准确控制，最小调节单元为0.1V。</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集中控制系统。可执行各分项分页控制。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给排水控制：控制顶装给排水。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电源控制：控制学生AC电源和低压电源。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摇臂控制：控制摇臂升降。</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1、APP登入有网络注册功能，注册后登入系统操作，使用者忘记密码方便找回，同时方便升级系统，带来新的体验。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2、能使用APP能控制总电源关闭；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3、APP能显示当前温度、相对湿度及当前时间；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4、使用APP能控制学生低压电源的交流电压，且电压值为实测值。如APP给学生交流3V，学生电源电压实测电压为3V；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5、使用APP同时控制水电风光源开启与关闭，同时可以扩展功能（监控布防、空调控制等等）</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内置精密温湿度传感装置，实时监控房间内的温度和湿度，保障室内舒适的环境舒适性，能在智能控制平台中实时显示当前环境的温度和湿度。</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顶装舱体</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摇臂升降动力模块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采用24V 250mm 14mm/s 4000N推杆电机，采用三支点式支撑设计，三点支撑材质采用三件压铸铝组合组装合成，每件之间采用轴销连接，三个压铸尺寸分别为：≥195mm×125mm×115mm、≥270mm×165mm×30mm、≥160mm×70mm×30mm，保证运动过程结构稳定，噪声不超过65分贝，抗腐蚀能力强。</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自动控制模块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集成式控制单元：主要用单片机、电源模块、控制电路组成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执行给排水控制：给水系统：设有每个学生设有给水控制阀门，可以对给水进行控制，可以单独进行控制，进行单选、全选、反选，分组进行控制，教师可以方便对全室供水系统进行控制，学生功能板处设置给水接口，接口与学生水槽柜采用硅胶软管连接，接口均采用自动锁紧插拔式连接方式，用时接上，不用时可收起。自动排水系统：所有排水由智能化控制系统集中控制，学生功能板处设置排水接口，接口与学生水槽柜采用优质硅胶软管（具有防酸、防碱、耐腐蚀功能）连接，接口均采用自动锁紧插拔式连接方式（拔掉时没有污水流出），用时接上，不用时可收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2、执行智能摇臂控制：可以对摇臂进行控制，可以单独进行控制，进行单选、全选、反选，分组进行控制；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3、执行电源控制：可以对低压电源进行控制，可以单独进行控制，进行单选、全选、反选，分组进行控制。对低压电源的电压进行调节及锁定。</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主体结构模块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两侧采用≥1200mm×200mm×35mm铝合金一体成型工艺，底部采用钢制焊接而成，主框架承重部分采用加厚钢板焊接，顶部设有防尘盖，防止灰尘进入影响设备运行，增加设备寿命。</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多功能伸缩摇臂</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多功能伸缩摇臂集成功能模块舱体</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规格：550mm×85mm×240mm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分两段式设计，上部分由外壳、安装导轨、捆绑服务软管和桥式塑料拖链线槽等组成；下部分预留安装学生电源、供应端口、抽风管道空间位置，上下部分的运动间隙采用硅胶材质密封片，保证密闭性。</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智能摇臂升降模块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由24V推杆机连接运动的摇臂和固定部分，运动范围从收纳的水平状态到使用时的垂直状态，摇臂可以随时停留的范围内的任意位置。</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21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学生模块</w:t>
            </w:r>
            <w:r/>
          </w:p>
        </w:tc>
        <w:tc>
          <w:tcPr>
            <w:gridSpan w:val="2"/>
            <w:shd w:val="clear" w:color="auto" w:fill="auto"/>
            <w:tcW w:w="61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包含：低压交流0V～24V输出1组、直流1.5V～24V输出1组、交流插座2个、USB输出5V电源1组。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2、学生电源采用耐磨、耐腐蚀、耐高温的PC亮光薄膜面板，学生电源的控制采用按钮式按键，可以随意设置电压，贴片元件生产技术，微电脑控制，采用≥45mm×20mm尺寸面板，用于展示学生的交直流电压数据；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3、学生交流电源通过上下键0V～24V电压，最小调节单元可达1V，额定电流3A；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4、学生直流电源也是通过上下键选取，调节范围为1.5V～24V，分辨率可达0.1V，额定电流2A。</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供应端口</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1、给排水端口：采用PVC材质，具有耐酸碱，拔插轻松，不生锈等特点；即插即用，带自动锁紧功能，即使在供水排水工作时，随时拔掉接口也不会有任何滴漏现象；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2、控制端口：采用航空插头供应装置，保证水槽柜供应电源及控制信号线。</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故障显示模块</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接收智能平台控制，摇臂运动故障亮红灯警报故障。功能面板采用≥145mm×20mm，配置LED故障灯≥1个，灯罩采用ABS一次成型，设计安装磨砂透明均光板，不仅能使光线扩散均匀更能起到安全防护作用。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废水存储过滤系统</w:t>
            </w:r>
            <w:r/>
          </w:p>
        </w:tc>
        <w:tc>
          <w:tcPr>
            <w:gridSpan w:val="2"/>
            <w:shd w:val="clear" w:color="auto" w:fill="auto"/>
            <w:tcW w:w="6120"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水过滤箱和排水装置组成。尺寸≥280mm×330mm×290mm。水过滤箱包括箱体、过滤件组成，具有耐酸碱，箱体由一隔板分为上下两层，过滤件设置在上层，抽水装置设置在下层。入水口处设置有液位计传感器，检测箱体的水位，排水装置包含水泵和控制器，控制器接收控制系统信号，控制器与液位计信号连接，且与水泵的开关信号连接。设备下面配有一个万向轮，方便设备移动。</w:t>
            </w:r>
            <w:r/>
          </w:p>
        </w:tc>
        <w:tc>
          <w:tcPr>
            <w:shd w:val="clear" w:color="auto" w:fill="auto"/>
            <w:tcW w:w="6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系统工程</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给水管路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采用φ20-32mmPP-R给水管，连接每组模块给水。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排水管路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采用φ50-75mmPVC-U国标管，连接每组模块排水。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电源供应线路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采用2.5mm²电线进行系统布线。连接每组模块供电。</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智能控制系统线路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采用1mm²屏蔽电线进行系统布线，连接每组模块通讯。</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采用双槽钢横梁吊装方式，减少楼板承重，防止左右晃动，可进行上下、左右的平衡调节，实验功能板离地2m左右，主要辅件有：槽钢等（不含桁架）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2、顶面成品处理。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r>
      <w:tr>
        <w:trPr>
          <w:trHeight w:val="270"/>
        </w:trPr>
        <w:tc>
          <w:tcPr>
            <w:gridSpan w:val="5"/>
            <w:shd w:val="clear" w:color="auto" w:fill="auto"/>
            <w:tcW w:w="795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高中生物学生实验仪器清单</w:t>
            </w:r>
            <w:r/>
          </w:p>
        </w:tc>
        <w:tc>
          <w:tcPr>
            <w:gridSpan w:val="2"/>
            <w:shd w:val="clear" w:color="auto" w:fill="auto"/>
            <w:tcW w:w="671"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吸水纸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中性棉质吸水纸，单张尺寸≥80mm×30mm，100片/盒。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物镜测微尺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玻璃材质≥75mm×25mm×1mm，外包装尺寸：≥85mm×36mm×16mm，上下垫海绵</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罐装橡皮泥双色</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双色组合，每盒50 g，两盒不同颜色搭配。采用超轻粘土材质，不粘手，具有超长延展性，安全环保无毒，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DNA双螺旋结构模型组件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四种碱基、脱氧核糖、磷酸彼此分离，产品外形尺寸：≥170mm×95mm×25mm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解剖器7件套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不锈钢材料，7件，包括：解剖剪大小各1把，解剖镊子平头、弯头各1把，解剖刀柄2把，解剖刀头圆头、尖头各1个、解剖针1根，马口盒包装，外盒尺寸：≥170mm×90mm×15mm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生物玻片标本</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高透光载玻片和盖玻片结构、玻片光滑打磨不伤手，采用特殊倒角处理，安全防扎手，部位着色明显清晰、整洁美观，组织结构清晰易见，100片/盒，内有动物、植物及人体组织各种类型。每片都有标识，每盒附有清单，玻片按清单的编号进行摆放，方便进行查找。每片玻片的尺寸为：≥75mm×25mm×1mm，图案为直径14mm±0.5mm的圆形，外包装为PP加厚材质的塑料盒，尺寸为：≥175mm×198mm×36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圆底不锈钢盒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不锈钢材质，无字，中号，直径107mm±2mm，高度48mm±2mm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塑料小球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塑料，D=15mm±0.5mm，蓝色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塑料小球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塑料，D=15mm±0.5mm，红色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擦镜纸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整本尺寸：≥100mm×150mm×3mm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胶头滴管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90±2mm直形，滴管直径10mm±0.5mm，尖嘴口径1mm～2mm，上端有防滑脱翻口，翻口处直径比滴管直径略多1mm～2mm，配有胶头。胶头组装后长度约110mm±2mm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无色透明玻璃制，总体尺寸：直径98mm±2mm×高21mm±1mm，底外径90mm±2mm，高19mm±1mm，盖外径98mm±2mm，高17mm±1mm，壁厚1mm～2mm，薄厚均匀，耐高温高压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单面刀片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单面刀片，≥40mm×20mm，5片/盒，外形尺寸：≥46mm×25mm×13mm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无色透明，平整，玻片≥24mm×32mm，厚度0.13mm～0.17mm，每盒100片</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高清透明，≥25mm×75mm，每盒50片</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塑料材质，用于放置离心管</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0.2mL，塑料材质，20支/袋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滤纸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快速定性滤纸，直径φ90mm±0.5mm，100张/盒，外盒尺寸：≥长95mm×宽95mm×厚25mm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绑带</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绑带，规格：≥长80mm×宽80mm×整包厚17mm，10片/包。</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250mL，透明硼硅酸盐玻璃制，烧杯的满口和标称容量的两液面间距大于10mm底部直径为70mm±0.5mm，口部外径79mm±0.5mm，内径65mm±0.5mm，总高97mm±2mm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透明广口瓶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250mL，透明钠钙玻璃制，瓶塞与瓶口紧实，不晃动；口部应圆整光滑，底部平整，放置平台上不摇晃或转动。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调节仪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材质：ABS；光源类型：LED灯，三档调节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标签纸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包装≥长160mm×宽92mm，每张≥24mm×27mm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100mL，透明硼硅酸盐玻璃制，烧杯的满口和标称容量的两液面间距大于10mm，烧杯底部直径为52mm±0.5mm，口部外径58mm±0.5mm内径49mm±0.5mm，总高71±2mm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100mL，透明硼硅酸盐玻璃制，放在平台上直立不摇晃、不转动。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点火器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智能脉冲点火器，可USB充电，电量显示，大容量锂电，续航更持久</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 100mL 容量 100mL，304 不锈钢材质；由灯帽、灯芯、灯芯导管、灯瓶、耐高温硅胶内塞组成；双层灯帽结构，具备密封防挥发、快速灭火功能；灯芯导管带火焰调节旋钮；底座直径 Φ73mm±1mm，整机尺寸 Φ80mm±1mm× 高 72mm±1mm，密封性好、防爆防倾倒、耐高温安全耐用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封口膜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直径16mm±0.5mm。尺寸≥120mm×120mm。产品特点：耐高温灭菌，在135℃、0.15MPa下可重复利用。适用范围：适配各种尺寸的培养皿</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棉花球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棉球0.5g/只，10g/袋。袋尺寸：≥160mm×100mm×18mm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Φ20mm±0.5mm×200mm±2mm，壁厚2mm，透明高硼硅玻璃制，口部做卷边处理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放大镜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手持式，放大镜外径84mm±0.5mm，内径70mm±0.5mm，小孔镜直径18mm±0.5mm，总长195mm±2mm，放大10倍，带LED灯，4.5V</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打孔直径6mm，≥长60mm×宽23mm×55mm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20mL，分度值1mL，刻度清晰。</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外壳塑料+尺带金属，L=5m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钓鱼线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6号，线径0.40mm，总长2000mm，透明盒装，尺寸75*70*18mm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50mL，透明硼硅酸盐玻璃制，烧杯的满口和标称容量的两液面间距大于10mm，烧杯底部直径为46mm±0.5mm，口部外径49mm±0.5mm，内径42mm±0.5mm，总高61mm±2mm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宽18mm±0.5mm，总长32m±1m，整卷直径53mm±2mm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短颈漏斗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硼硅玻璃制，漏斗口径60mm±0.5mm，斗茎长60mm±2mm；总长102mm±2mm，下口磨成45°角，斜口边口倒角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点样毛细管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低硼硅玻璃材质，毛细管尺寸0.3mm×100mm±2mm，1000支/筒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80mL，瓷制，口部直径83mm±0.5mm，平底，底部直径50mm±0.5mm，总高40mm±2mm，内部粗糙便于研磨，外部光滑</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研杵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瓷制，用于物体的研磨，一端球形，直径27mm±0.5mm，柄直径约15mm，总长98mm±2mm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离心管圆底</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材质：环保PP聚丙烯，管身直径28mm±0.5mm×高104mm±2mm，盖直径34mm±0.5mm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Φ6mm，长200mm±2mm，粗细均匀，两端烧结使其光滑</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4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短柄药勺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红、黄、绿三种颜色。三尺寸分别为：123mm±2mm、135mm±2mm、150mm±2mm，材质塑料</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木制，长度≥180mm，宽度28mm±2mm，厚度9.5mm；试管夹闭口缝≤1mm，开口距≥25mm；试管夹弹簧做防锈处理，试管夹持部位圆弧内径≤15mm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尺寸180mm×63mm，采用钢材材质，表面光泽自然，刃口锋利，剪柄外面包有塑料，握拿舒适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陶土网</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陶土Φ100mm±2mm，边长150mm±2mm，金属包边，耐火材料为陶土</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10mL，透明钠钙玻璃制，分度线、数字和标志完整、清晰和耐久，底座直径39mm±0.5mm，筒直径为15.5mm±0.5mm，总高139mm±2mm，壁厚1mm～2mm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50mL，透明钠钙玻璃制，分度线、数字和标志应完整、清晰和耐久，底座直径54.5mm±0.5mm，筒直径为25mm±0.5mm，总高200mm±2mm，壁厚1mm～2mm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Φ15mm±0.5mm×150mm±2mm，壁厚2mm，透明高硼硅玻璃制，口部做卷边处理。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双面刀片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双面刀片，≥43mm×22mm，10片/盒，外形尺寸：≥49mm×27mm×11mm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卫生香</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直径Φ1.8mm×长135mm±2mm，约248支，80g/盒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无色透明，平整，玻片≥18mm×18mm，厚度0.13mm～0.17mm，每盒100片</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小狼毫毛笔</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笔杆材质：木质，笔头材质：兼毫，笔杆长200mm±2mm，出锋30mm±2mm，直径7mm±0.2mm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测量仪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玻璃制，长290±2mm，直径5.5mm，量程-30℃～100℃，分度值1℃，示值误差〈±1.5℃，顶部有圆形小环，便于悬挂，外有塑料保护套</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PH广泛试纸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80张/本，外形尺寸：≥长66mm×宽45mm×厚5mm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刻度试管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25mL，透明硼硅酸盐玻璃制，刻度线清晰耐久，粗细均匀</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100mL,PP加厚材质，柔韧好，抗压耐摔，持久耐用抗老化，边缘光滑不毛刺，刻度精细，标准容量</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培养皿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无色透明玻璃制，总体尺寸：直径68mm±0.5mm×高18mm±1mm，底外径60mm±0.5mm，高17mm±1mm，盖外径68mm±0.5mm，高17mm±1mm，壁厚1～2mm，薄厚均匀，耐高温高压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1、汞/Hg的检测结果符合《电子电气产品六种限用物质（铅、汞、镉、六价铬、多溴联苯和多溴二苯醚）的测定》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2、耐酸碱的检测数据；</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250mL，透明硼硅酸盐玻璃制，放在平台上直立不摇晃、不转动。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涂布器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高硼硅玻璃，耐热耐高温，三角头设计</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记号笔</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双头双色，笔头材质：纤维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金属丝连接棒：塑料手柄，黄铜镀镍材质，铜棒直径4mm，杆长185mm，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金属丝环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合金金属丝，丝长50mm±2mm，直径1mm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铁铲</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金属材质：防锈精铁，手柄：橡胶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15cm，不锈钢材质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棉签</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双头棉签，150支/盒</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血球计数板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透明玻璃材质，计数板尺寸≥75mm×33mm×5mm，装在≥80mm×40mm×10mm透明盒子里</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不锈钢拾取器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尖头，镊子采用不锈钢材质，长123mm±2mm，硬度HRC45°。在距离镊子尖端1mm长度范围内，镊子上下两块金属片应满足：金属片宽度小于1.6mm；金属片厚度小于0.8mm；金属片之间咬合间隙小于0.1mm；咬合后金属片之间左右及前后偏移小于0.4mm。镊子头部带防护套。</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橡胶材质，锥形，≥26mm（底部直径）×32mm（顶部直径）×30mm（高度），无孔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1mL，长145mm±2mm,LDPE聚乙烯材质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橡胶材质，锥形，≥14mm（底部直径）×20mm（顶部直径）×28.5mm（高度），无孔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Φ30±0.5mm×200±2mm，壁厚2mm，透明高硼硅玻璃制，口部做卷边处理</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∅8mm，一端长度为60mm±2mm，—端长度为190mm±2mm，形状为直角，管口烧结处理，避免划伤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∅8mm，—端长度为55mm±2mm，—端长度为85mm±2mm，形状为直角，管口烧结处理，避免划伤</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橡胶材质，锥形，22mm±0.5mm（底部直径）×30mm±0.5mm（顶部直径）×28.5mm±2mm（高度），单孔，孔径8mm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橡胶材质，锥形，22mm±0.5mm（底部直径）×30mm±0.5mm（顶部直径）×28.5mm±2mm（高度），双孔，孔径8mm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洗耳球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60mL，橡胶材质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透明硼硅酸盐玻璃制，烧杯的满口和标称容量的两液面间距大于10mm，烧杯底部直径为87mm±0.5mm，口部外径93mm±0.5mm，内径83mm±0.5mm，总高122mm±2mm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铁架台</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本产品为多功能方座支架，由矩形底座、立杆、横杆、四爪万用夹、铁圈、双嘴钳等组成，适配理化生实验场景。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1.底座尺寸210mm±2mm×135mm±1mm×25mm±0.5mm，面板采用灰色ABS材质注塑成型，耐酸碱且表面细纹防滑，内部方格板结构增强承重，配重块为铁质环氧树脂防锈涂层，总重约2kg，底部硅胶垫片确保放置平稳无晃动。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2.立杆由两根300mm不锈钢支撑杆（直径Φ10mm，M8螺纹接口）组合而成，表面防锈处理，另配一根同材质横杆用于悬挂测力计或滑轮。立杆与底座通过蝴蝶螺母手拧固定，无需工具即可垂直锁紧。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包含中号铁圈（内径68.7±0.5mm）、小号铁圈（内径49.1±0.5mm，碳钢材质，直径8±0.2mm）、双嘴钳两只、四爪万用夹（锌合金材质，夹持口胶木防护），可稳定夹持试管、烧瓶等实验器具，夹持牢固无滑脱风险。</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长方形，透明塑料材质，外形尺寸≥268mm×195mm×100mm，壁厚≥1mm。底部平整，表面无凹凸不平现象，无擦伤、划痕、裂缝，透明度好，透光率不小于80%，四周加筋，承重加强。</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PC透明塑料制，孔径30mm±0.5mm的6个孔，孔径20mm±0.5mm的16个孔，对应的孔底部有圆形凹槽，7根直径为14mm±0.5mm的立柱，立柱黏结牢固，用于φ15mm、φ20mm、φ30mm试管放置使用，产品尺寸：≥250mm×133mm×70mm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尺寸Φ20±0.5mm×200±2mm，手持部分顶端为环状，顶部有刷丝，铁丝无外露。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试管刷</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尺寸Φ26±0.5mm×240±2mm，手持部分顶端为环状，顶部有刷丝，铁丝无外露。</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毛巾</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材质：纯棉，产品尺寸：≥550mm×250mm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单杠杆等臂式双盘天平，配6级（M2级）砝码：100g、50g、10g、5g各1个，20g2个，不锈钢镊子。</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生物显微镜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光学放大倍数：40×-1000×。2、观察镜筒：双目斜筒，45°倾斜，可360°度旋转便于同步观察。3、目镜：两个广角目镜WF10×，其中一个带示教指针，便于教学。4、物镜：黄铜材料，四个185消色差物镜，4×、10×、40×（S）、100×S。5、转换器：四孔内倾转换器，响声定位。6、载物台：铝合金铸造，双层复合机械平台带移动标尺，尺寸110mm×120mm，移动范围60mm×30mm。7、不同轴调焦机构（带细调焦机构）：粗调和细调不同轴，粗调范围1</w:t>
            </w:r>
            <w:r>
              <w:rPr>
                <w:rFonts w:hint="eastAsia" w:ascii="宋体" w:hAnsi="宋体" w:eastAsia="宋体" w:cs="宋体"/>
                <w:i w:val="0"/>
                <w:iCs w:val="0"/>
                <w:color w:val="auto"/>
                <w:sz w:val="22"/>
                <w:szCs w:val="22"/>
                <w:highlight w:val="none"/>
                <w:u w:val="none"/>
                <w:lang w:val="en-US" w:eastAsia="zh-CN" w:bidi="ar"/>
              </w:rPr>
              <w:t xml:space="preserve">6mm，细调范围1.3mm。8、聚光镜：N.A.高透光学玻璃聚光镜。9、双光源互换装置：电源：LED冷光源照明，1WLED，可充电，光源亮度可调；自然光源：可以配反光镜，一面凹面，一面平面镜（满足教科书考试用，反光镜对光）。10、显微镜带金属便携提手，方便搬运。11、目镜放大率准确度不超过±1.46%；物镜放大准确度不超过±1.89%。12、成像清晰圆直径：4×时成像清晰圆直径≥8.8mm；10×时成像清晰圆直径≥8.5mm，40×时成像清晰圆直径≥7.2mm；100×时成像清晰圆直径≥6.7mm。13、1</w:t>
            </w:r>
            <w:r>
              <w:rPr>
                <w:rFonts w:hint="eastAsia" w:ascii="宋体" w:hAnsi="宋体" w:eastAsia="宋体" w:cs="宋体"/>
                <w:i w:val="0"/>
                <w:iCs w:val="0"/>
                <w:color w:val="auto"/>
                <w:sz w:val="22"/>
                <w:szCs w:val="22"/>
                <w:highlight w:val="none"/>
                <w:u w:val="none"/>
                <w:lang w:val="en-US" w:eastAsia="zh-CN" w:bidi="ar"/>
              </w:rPr>
              <w:t xml:space="preserve">0×物镜景深范围内像面的偏摆≤0.05mm；14、左右两系统放大率差≤0.85%，双目系统左右两像面光谱色一致，明暗差≤12.3%；双目系统左右系统像面方位差≤28、双目系统左右视场中心偏差：上下≤0.1mm、左右内侧≤0.3mm.15、转换器定位稳定性≤0.018mm。微调机构空回≤0.006mm。16、聚光镜上升到最高位置，顶端低于载物台表面的距离在0.03－0.25mm之间。17、用机械使标本在5mm×5mm范围内移动时的离焦量≤0.010mm。18、带有光源的仪器操作部位温度与室温之差不超过10度。</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88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二氧化碳灭火器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1.喷射时间：8.7～8.8S；</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2.使用温度：-10℃～+55℃；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4.产品外形尺寸：≥200mm×115mm×465mm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89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由玻璃纤维材料经过特殊处理编织而成的织物，能起到隔离热源及火焰的作用，具有良好的绝缘、隔热、阻燃等优良特点。产品外形尺寸：1500mm×1500mm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黄沙箱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1、采用静电喷漆，光滑整洁，防潮。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2、底部加固处理，增加强度，与地面有间隙，不易生锈。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3、采用优质加厚钢铁加工，高硬度耐用。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4、优质五金铰，链箱盖，无卡阻现象。</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工作服</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材质：涤棉；性能：宽松舒适，S～XXXL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防护手套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一次性橡胶手套，L号</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防护眼镜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侧面安全遮挡，强化镜片，黑色塑料框架，整体弧形设计，尺寸：≥长150mm×宽50mm×高60mm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酸碱手套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毛重：0.2kg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材质乳胶，350mm±5mm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防护面罩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1套含一个眼镜框，2个面罩</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毛重：0.2kg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材质：PC/APET，产品外形尺寸：≥195mm×250mm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0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防毒面罩</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漏气系数≥5%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油雾透过系数≤5%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防氰化氢≥30min</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防一氧化碳≥30min，产品外形尺寸：≥164mm×137mm×108mm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收纳箱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1、材质：铝合金+ABS；多功能收纳。产品外形尺寸：≥305mm×170mm×190mm，2、内容：棉签、别针、剪刀、酒精片、纱布、创可贴、塑料镊子、止血袋、PBT绷带、无纺布胶带等应急处理工具</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工字型，可拆卸塑料移液器架，可放置5支移液器，组装后产品尺寸：≥285mm×140mm×275mm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99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0.5μL～10μL，容量可调的精密移液器，所有材料使用抗化学腐蚀材料制成，数字显示，读数直观，并使用可拆卸式滴头。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10μL～100μL，容量可调的精密移液器，所有材料使用抗化学腐蚀材料制成，数字显示，读数直观，并使用可拆卸式滴头。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100μL～1000μL，容量可调的精密移液器，所有材料使用抗化学腐蚀材料制成，数字显示，读数直观，并使用可拆卸式滴头。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1000μL～5000μL，容量可调的精密移液器，所有材料使用抗化学腐蚀材料制成，数字显示，读数直观，并使用可拆卸式滴头。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微量移液器吸头</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0.5μL～10μL吸头（口径5mm×长31mm）10支、10μL～100μL吸头（口径6mm×长50mm）10支、100μL～1000μL吸头（口径8.5mm×长70mm）5支、1000μL～5000μL吸头（口径15mm×长146mm）5支，装在尺寸为≥155mm×65mm×30mm的透明塑料盒内</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恒温培养箱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电脑智能控温仪，具有设定，测定温度双数字显示和PID自整定功能，恒温精确，可靠；内外双重门结构，温度波动小。内门采用全钢化玻璃门，打开外门，观察箱内情况时不影响箱内温度；采用镜面不锈钢内胆，四角半圆弧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1.定时范围：99.9小时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2.恒温范围：室温+5～60℃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3.控温精度：±0.5℃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4.温度均匀度：±0.5℃at37℃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5.工作室尺寸：≥400mm×400mm×500mm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6.电源：交流50Hz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7.容积≥80L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6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高压灭菌锅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1.材质：锅体外壳，内腔均采用优质不锈钢SUS304材质制成，耐酸，耐碱，耐腐蚀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2.灭菌容积：50L；超压自泄：0.145～0.165MPa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3、最高工作温度：126℃～129℃</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4、电热管功率：2.5kW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5、计时范围：0～80分钟</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9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超净工作台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1、采用了任意定位移门系统；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2、外壳采用冷轧板喷塑一体成型，工作台面为304拉丝不锈钢，耐腐蚀、易清洗；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3、照明和杀菌系统安全互锁，紫外灯可杀菌定时；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4、数显式控制界面，更具人性化设计；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5、垂直准闭合式台面，操作室下降流气幕的形成，可有效防止外部气体投入和操作区洁净；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6、配置有高效空气过滤器，设有初效过滤器进行初步过滤，可有效延长高效过滤器使用寿命；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7、洁净等级100级；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8、菌落数≤0.5个/皿·时（Φ90mm培养平皿）；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9、平均风速0.25～0.45m/s（三档风速可调）；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10、振动半峰值≤5μM（x、y、z方向）；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11、照度≥300lx；</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12、电源AC单相220V/50Hz；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13.工作区尺寸≥700mm×490mm×510mm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14.外型尺寸≥850mm×550mm×1600mm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15.适用人数单人/单面</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干热灭菌箱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1、用于实验室物品的干燥、烘焙、灭菌用，由箱体、电加热鼓风系统、控温系统三部分组成；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箱体由内腔（工作室）和外箱壳组成，外壳采用优质钢板表面喷塑处理。室内采用不锈钢制成的搁板，高度可调。箱门上有观察窗，可观察到箱内加热干燥物品。工作室与箱门的接合部装有耐热硅橡胶密封圈；</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3、液晶智能化控制面板，外观新颖大方。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4、控温范围（℃）：室温+5～250℃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5、工作室规格：≥550mm×450mm×550mm。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16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rFonts w:hint="eastAsia" w:ascii="宋体" w:hAnsi="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微生物箱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1、本产品是一种带有杀菌灯管、日光灯管的密闭箱式装置，适用于学校、科研单位在无菌环境下的微生物接种，以减少杀菌灯对人体健康的影响。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2、结构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本产品由箱体、杀菌灯管、日光灯管、镇流器、开关等零件组成。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3、主要技术参数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（1）电源～50Hz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（2）杀菌灯管：8W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（3）日光灯管：8W</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35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电冰箱</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1.智能双循环制冷系统，冷藏、冷冻独立温控；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2．可拆换门封条设计，具备优良密封性能，减少能耗，顶灯照明，节省空间；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3．钢化玻璃，安全防溢，透明抽屉，轻松制冰；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4．容积：≥210L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DNA电泳图谱观察仪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1.光源：LED4×11个发光灯管，其发光光谱的波峰为468nm±3nm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2.观察窗：黄色透明玻璃，在波长为542nm±3nm处可滤掉50%光线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3.观察面积：120×120（mm）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4.电源：±10%，50Hz±2%</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5.输出电压：5V2A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6.保险管：5A（Φ5×20）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7.外形尺寸（L×W×H）：≥300×200×120（mm）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8.净重：2.0（kg）</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电泳仪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一、性能特点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1.一次成型机壳，触摸按键，微处理器智能控制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2.可同时显示预设值和实际输出值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3.可存储10个常用电泳方法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4.具有自动记忆、自动关断功能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5.具有标准、定时运行功能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6.具有恒压、恒流、恒功率等智能提示功能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7.具有过载、空载、漏电等多项保护功能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8.选配功能（断电恢复、防扩散电场功能）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二、技术规格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1.输出类型：恒压、恒流、恒功率输出（连续可调）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2.输出范围：3～300V、1～400mA、1～120W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3.分辨率：电压（1V）、电流（1mA）、功率（1W）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4.定时范围：1分钟～99小时59分钟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5.成像：带背光的LCD液晶屏（128×64像素）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6.输出插孔：4（组）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7.外形尺寸（L×W×H）：≥280×237×118（mm）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水平电泳槽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一、技术规格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1.凝胶面积（W×L）：≥48×75（mm）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2.样品通量：（1.0mm厚）3、5、9齿；（1.5mm厚）3、5、9齿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3.缓冲液容积：0～150（mL）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4.外形尺寸（L×W×H）：≥250×95×50（mm）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5.净重：0.4（kg）二、性能特点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1.采用高透明度PC材料，一次注塑成型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2.双色上盖可供选择，开盖时自动切断电泳电场，确保操作安全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3.托盘具有把手设计，保证操作过程的安全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4.安全开盖按钮设计，方便上盖的开启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5.托盘具有加样背景色设计，方便加样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6.配备专用制胶盒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7.可拆卸电极架，使电极的维修及更换更加方便、快捷、安全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光照培养架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1.尺寸：高180cm±2cm，实用四层，每层实用面积≥110cm×40cm，坚固耐用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2.灯管和灯架一体化设计；每层配三组高效三基色自然光灯组，每层灯独立开关（根据客户需求可以定制每组独立开光控制）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3.光源额定电压：50Hz，额定功率16W，可选配白红光双色或白红蓝三色植物专用生长灯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4.电源：50Hz，最大功率360W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5.控时器参数：即时工作指示灯；铜片结构优化设计，寿命更长夏令时/冬令时功能；大屏幕液晶显示设定；最小时间间隔为1分钟，每天最多可设置20组开与关，每周可设置140组</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组织捣碎匀浆机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电动机：立式单相串激电动机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额定功率：120W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工作电压：50Hz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转速：0～12000转/分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定时：0～60分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容量：≥1000mL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果酒果醋发酵装置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1、作为食品级容器材质安全、环保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2、透光率大于90%，雾度小于1%，有水晶般的光泽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3、低压热变形温度（HDT@0.455MPa）根据牌号不同在94℃～109℃之间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4、容积≥1000mL</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5、专用于高中果酒果醋制作实验，可提供有氧发酵和无氧发酵两种方式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6、果酒果醋发酵装置，独有的针孔发酵发泡装置，能够计算不同时间段发酵速度的变化</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1000mL，透明硼硅酸盐玻璃制，刻度线应在瓶颈下部三分之二处，清晰耐久，粗细均匀，平底，配有匹配的玻璃塞</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30mL，透明钠钙玻璃制，瓶口细磨，磨砂面应均匀细腻，滴管应附橡胶帽，吸放弹性好，与滴管口套合牢固稳定</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60mL，透明钠钙玻璃制，瓶口细磨，磨砂面应均匀细腻，滴管应附橡胶帽，吸放弹性好，与滴管口套合牢固稳定</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19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30mL，棕色钠钙玻璃制，瓶口细磨，磨砂面应均匀细腻，滴管应附橡胶帽，吸放弹性好，与滴管口套合牢固稳定</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60mL，棕色钠钙玻璃制，瓶口细磨，磨砂面应均匀细腻，滴管应附橡胶帽，吸放弹性好，与滴管口套合牢固稳定</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笔式，尺寸152mm×30mm×15mm，pH测量范围0～14，分辨力0.1，读数清晰，配校准试剂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三脚架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铁环和3只脚组成。2．铁环内径：72mm±0.5mm，外径：≥80mm±0.5mm，厚度6mm±0.5mm。3．三只脚与铁环焊接紧固，脚距相等，立放台上时圆环应与台面平行，所支撑的容器不得有滑动。脚高≥125mm，直径6mm。4.三脚架须经烤漆防锈处理，漆层均匀、牢固。</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量程0g〜100g，分辨率0.001g，带标准砝码，外形尺寸：≥137mm×91mm×67mm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称量纸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100mm×100mm薄款，500张/袋，整包厚度13±0.5mm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棉绳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纯棉材质，直径2mm长2m，装在透明塑料圆盒内，圆盒尺寸：≥直径38mm×高28mm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50g±2g</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500mL，透明硼硅酸盐玻璃制，放在平台上直立不摇晃、不转动。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锥形瓶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50mL，透明硼硅酸盐玻璃制，放在平台上直立不摇晃、不转动。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29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电磁炉</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功率可调，额定功率≥1600W</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泡菜坛</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玻璃制1250mL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冰盒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干净无毒，可反复使用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井穴板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陶瓷反应板，尺寸：81mm×53mm×13mm，6孔，单孔直径20mm±0.5mm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35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恒温水浴锅</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电热恒温水浴锅一般采用水槽式结构，为方形结构。温控精确，有数字显示，自动温控，操作简便，使用安全。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1.温度范围：室温～100℃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2.功率：600w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3.精度：0.1℃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4.工作盘尺寸：≥300mm×150mm×140mm，一列两孔</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精密PH试纸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PH5.5～9.0，80张/本，外形尺寸：≥长66mm×宽45mm×厚5mm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乳胶气球，10英寸，光面</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彩色玻璃纸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多种颜色，尺寸200mm×320mm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DNA结构模型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产品底座直径200mm±5mm，高度600mm±10mm；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1.双螺旋直径：20Å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2.螺距：34Å，相邻碱基对的间距：3.4Å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3.相邻碱基的方向差：36°</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4.每螺旋内的碱基对数：10对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5.氢键长度：2.5Å～4.0Å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6.沟宽：大沟宽度：20Å，小沟宽度：14Å</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彩色卡纸加厚硬纸板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纸张厚度180g，30张/袋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袋</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39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减数分裂中染色体变化模型组件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带有磁吸装置，竖直摆放演示不掉落</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检查图</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书中设置了几何数字线条和物体图形等用于检测红绿色觉及蓝黄色觉异常可根据受检者年龄智力状况等进行检查</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实验方格纸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产品尺寸为195mm×270mm，方格尺寸为≥170mm×250mm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枝剪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橡胶手柄+钢材，直头长度为190mm±2mm，重约105g</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弯头镊子</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不锈钢制，L=122mm±2mm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G6玻璃砂漏斗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滤膜直径不小于35mm±2mm，微孔直径＜2μm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81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细胞结构模型</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产品外形尺寸为：163mm×123mm×120mm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产品采用PVC材质制成，无味。用于中学讲解动物细胞构造时做直观教具，使学生了解动物细胞的形态、构造及其相互作用。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一次性乳胶手套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产品毛重：0.7kg；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产品材质：乳胶；100支（S～L）</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解剖盘蜡盘</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260mm×190mm×15mm，蜡盘，主要用于固定标本</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解剖针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不锈钢材料，总长≥135mm±2mm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49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比色管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50mL具塞比色管，磨砂瓶口，高透光率，底部平稳外径25.4mm±0.5mm，口径18mm±0.5mm，长度200±2mm，具有匹配的玻璃塞，加塞后总长215mm±2mm。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长颈漏斗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硼硅玻璃，直型，下口径8mm，长245mm±2mm，总长300mm±2mm，上口直径40mm±3mm，玻璃壁厚1mm～2mm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喷水瓶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50mL，PET材质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透析袋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RC膜，宽度34±0.5mm，直径22mm±0.5mm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透析袋夹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 2～12 pH，内部尺寸60mm±2mm，外部尺寸80mm±0.5mm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砧板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透明塑料材质，砧板尺寸≥200mm×150mm×0.5mm，材质柔韧，可以卷曲，表面磨砂设计，防止切菜时打滑</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陶瓷刀</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刀身材质：陶瓷，手柄材质：PP塑料，刀柄长117±2mm，刃长112±2mm。4.5寸水果刀</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尼龙布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尺寸200mm×200mm</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rFonts w:hint="eastAsia" w:ascii="宋体" w:hAnsi="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记号笔</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黑色，双头油性墨水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1091"/>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58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数码液晶显微镜（学生端）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1、光学系统：无限远色差校正光学系统；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2、双目镜筒，三目倾斜30°，视度可调节，双目瞳距：48-75 mm，左右两系统放大率差≤0.10%；可360度旋转观察，0.5X带光学玻璃摄像接筒；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4、广角目镜：WF10X；目镜可锁紧在目镜筒上。</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5、plan消色差平场物镜：4X,10X,40X,100X(S)，所有物镜均保证齐焦；4倍物镜成像清晰圆直径≥14.50mm,10倍物镜成像清晰圆直径≥15.0mm,40倍物镜成像清晰圆直径≥14.8mm，100倍物镜成像清晰圆直径≥14.2mm；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6、物镜转换器：四孔转换器；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7、粗微调：同轴粗微调，粗调范围：25mm，微调每转：0.2 mm，微调最小格值：2um，具有过载保护自动卸力装置；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8、双层机械载物台：平台面积：110×115 mm以上，行程为70mm×50mm，右手控制，游标刻度为0.1mm；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9、阿贝式聚光镜：垂直移动范围10 mm，NA=1.25 带孔径光栏；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10、显微镜底座装有液晶显示屏，可以显示ECO，亮度，底光源，侧光源，电池容量；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11、照明电光源：透射光源，长寿命、高亮度复眼透镜1W LED灯，节能、绿色、环保</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12、显微镜主机及显示屏为一体的电源，电源适配器规格：DC12V 2A；整台数码显微镜用一根电源线提供电源。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13、显示终端：多点触摸屏；LCD尺寸≥10.1英寸；内存容量≥3G；存储容量≥32G；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14、操作系统：Android 10以上操作系统或其他操作系统；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15、一体化数码成像系统： 像素：500万像素以上，支持4K视频录制，录像分辨率1080P/15FPS以上，超高清成像装置，画面无拖尾延迟现象，1080P HDMI高清数字信号输出；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16、数据接口：HDMI高清投屏/Bluetooth蓝牙传输/Wi-Fi无线/RJ45 LAN有线网络。</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109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eastAsia="zh-CN"/>
              </w:rPr>
              <w:suppressLineNumbers w:val="0"/>
            </w:pPr>
            <w:r>
              <w:rPr>
                <w:rFonts w:hint="eastAsia" w:ascii="宋体" w:hAnsi="宋体" w:cs="宋体"/>
                <w:i w:val="0"/>
                <w:iCs w:val="0"/>
                <w:color w:val="auto"/>
                <w:sz w:val="22"/>
                <w:szCs w:val="22"/>
                <w:highlight w:val="none"/>
                <w:u w:val="none"/>
                <w:lang w:val="en-US" w:eastAsia="zh-CN"/>
              </w:rPr>
              <w:t xml:space="preserve">159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数码液晶显微镜（教师端）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1、光学系统：无限远平场色差校正光学系统。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2、目镜：WF10X/22mm可调广角目镜。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3、物镜：无限远平场消色差物镜，4X/0.10，W.D.15.5mm；10X/0.25,W.D.7.0mm； 40X/0.65（弹簧），W.D.0.71mm；100X/1.25（弹簧/油镜），W.D.0.14mm。成像清晰圆直径：4倍物镜成像清晰圆直径≥14.5mm；10倍物镜成像清晰圆直径≥15.0mm，20倍物镜成像清晰圆直径≥15.0mm；40倍物镜成像清晰圆直径≥14.5mm；100倍物镜成像清晰圆直径≥14.5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4、数码镜筒：铰链式三目，30°倾斜，瞳距调节范围55—75mm，1600万像素以上成像芯片。4K高分辨率，可以拍摄3840*2160分辨率的视频及图片；USB3.0输出；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5、转换器：四孔同心球轴转换器，所有物镜均保证齐焦。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6、粗微调：粗微调同轴调焦，有限位打滑装置，并有内置防滑动离合器，可延长因机械损耗的整机使用寿命；调焦范围：粗调范围22mm，微调范围2mm/转。0.002mm/格。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7、LED光源照明：3W LED光源，亮度可调；稳定性10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50%。灯的响应时间为纳秒级，光照明亮，色度均匀，色温接近自然光。亮度连续可调，在任何亮度下无屏闪，可满足不同色温的标本观察需要，带有光源的仪器操作部位温度与室温之差不超过9.5度。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8、独立升降式聚光镜：NA1.25阿贝聚光镜，带可变光栏，带插板式的相衬、暗场附件接口；燕尾导槽燕尾配合间隙不大于0.04mm；齿轮齿条垂直升降。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载物台：钢丝传动、无齿条凸出复合式双层械移动载物台，无凸出的棱角和齿轮，避免意外误触和伤害手指，面积尺寸216mmX150mm，移动范围75x55（mm），最小读数值0.1mm，载物台受5N水平方向作用力最大位移≤0.016mm；不重复性≤0.004mm；用机械使标本在5mm*5mm范围内移动时的离焦量≤0.008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目镜观察细胞组织、病理、寄生虫等切片时，无明显水样波纹；从4X到100X，镜下目标颜色还原正确无明显偏色（消色差能力）；镜下观察时，目标中心区域清晰度与边缘清晰度无明显差别（平场性）；镜下观察时，目标边缘清晰，无模糊感（对比度）； 粗调阻尼与微调阻尼有明显区别，定位精确，轻微晃动机体无明显失焦现象（精密度）。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11、其他：整机防霉，滤色片，护眼罩，防尘罩，香柏油。</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12"/>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auto"/>
                <w:sz w:val="22"/>
                <w:szCs w:val="22"/>
                <w:highlight w:val="none"/>
                <w:u w:val="none"/>
                <w:lang w:val="en-US" w:eastAsia="zh-CN" w:bidi="ar"/>
              </w:rPr>
              <w:t xml:space="preserve">160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显微互动教学平台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为保证产品的全面性，需提供至少七种显示视图，支持监控视图、报告视图、策略视图、文件提交视图、答题卡视图、抢答竞赛视图、共享白板视图等，在对应视图中能直观地操作相关功能；监控视图页面提供客户端画面监控缩略图，能够显示整个班级学生，并支持缩略图多级放大缩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屏幕广播：将教师机屏幕和教师讲话实时广播给单一、部分或全体学生，可选择全屏或窗口方式。窗口模式下或教师机与学生机分辨率不同情况下，学生机可以以“缩放模式”“平移”或者“智能滚动”的窗口方式接收广播，广播窗口所在的屏幕位置有“居中”“偏右”“偏左”三种方式选择，此时学生可跟着教师操作，边看边练，以增加教学的直观性；支持教师根据需要选择屏幕的某个部分广播给学生，给教师留有一定的私人空间；屏幕广播的同时，支持教师指定学生演示教师机屏幕；广播多媒体课件，可使用屏幕笔添加批注，广播同时可进行屏幕录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3、学生演示：教师选定一台学生机作为示范，由此学生代替教师进行示范教学。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5、分组教学：通过分组教学，将学生分成几个组进行合作学习。小组长可使用多种功能来辅导同伴，例如：广播教学、监视、文件分发和网络影院。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6、屏幕监视：教师机可以监视单一、部分、全体学生机的屏幕，教师机每屏可监视多个学生屏幕。可以控制教师机监控的同屏幕各窗口间、屏幕与屏幕间的切换速度。可手动或自动循环监视。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网络白板：教师通过导入图片、文档或截图创建白板，将白板内容共享给学生，学生和教师可以共享在白板上通过绘图工具和文本书写完成学习任务或绘画作品，提高学生团队合作的兴趣。教师也可以允许学生自己独立完成学习任务，教师可以在教师机上监看所有学生的完成情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8、标准化考试：教师将试卷分发给学生即可开始考试，教</w:t>
            </w:r>
            <w:r>
              <w:rPr>
                <w:rFonts w:hint="eastAsia" w:ascii="宋体" w:hAnsi="宋体" w:eastAsia="宋体" w:cs="宋体"/>
                <w:i w:val="0"/>
                <w:iCs w:val="0"/>
                <w:color w:val="auto"/>
                <w:sz w:val="22"/>
                <w:szCs w:val="22"/>
                <w:highlight w:val="none"/>
                <w:u w:val="none"/>
                <w:lang w:val="en-US" w:eastAsia="zh-CN" w:bidi="ar"/>
              </w:rPr>
              <w:t xml:space="preserve">师导入word、ppt、excel、pdf等文档类型的考试内容共享给学生，直接生成答题卡用于学生作答，包含多种不同的题型：多选题，判断题，填空题和论述题等。考试过程中，可以看到学生答题的进度，答题情况。考试过程中可以教师如有问题补充，可暂停考试，在特殊情况下，可以暂挂考试，下次启动系统后可继续考试；考试过程中如有断电、关机等意外情况学生机可断线重连，考试结束后学生可提交或时间到自动提交。自动评分，柱状图分析统计结果，将评分结果发送给学生，考试结果统一导出 为。html/xml 形式，方便数据后期的整合利用。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9、作业下发（彩信短信功能）：可以将图片或office文件下发给学生作为课后作业。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10、语言选择：中英文可选，满足双语教学需求。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生物准备室</w:t>
            </w:r>
            <w:r/>
          </w:p>
        </w:tc>
      </w:tr>
      <w:tr>
        <w:trPr>
          <w:trHeight w:val="2286"/>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规格：3600mm×1200mm×800mm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挡水条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采用12.7mm厚实验室专用理化板。</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实验室专用水槽</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规格：550mm×450mm×300mm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采用PP一体化成型水槽，易清洁，耐腐蚀特点。</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三联高低位龙头</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鹅颈式实验室专用优质化验水嘴：主体采用铜质，表面环氧树脂喷涂。阀芯采用陶瓷阀芯，配置一个高位水龙头，两个低位水龙头，便于多用途使用。</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34"/>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实验室专用试剂架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规格：2800mm×300mm×750mm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1、铝合金结构，表面喷涂高温固化匀乳白环氧树脂喷涂处理，具有较强的耐蚀性能，上下带塑胶模具堵头；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2、试剂架立柱截面尺寸：≥42mm×82mm，型材壁厚≥1.2mm；试剂架立柱双面升降槽，侧面双面镶嵌另色色条；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3、试剂架托架≥1.0mm高强度镀锌钢板，一次性冲压成型；试剂架护栏：护栏壁厚≥1.2mm，单面镶嵌另色色条。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4、立杆牢固固定于C型钢架底端，层板采用≥8mm厚的玻璃，安装后用户可根据试剂大小上下高低无级调节。</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滴水架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1、整体采用PP材质，耐腐蚀性能好，抗紫外线辐射强，不易老化、脆化，韧性强，弹性好，易于安装。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2、滴水架主体与集水盘由模具注塑一体成型（非PP板焊接而成）。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3、滴水棒卡扣与主板卡槽紧密契合，不易松动，极好地保护实验器具。</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实验室专用洗眼器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1.双眼洗眼器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2、洗眼喷头：采用不助燃PC材质模铸一体成形制作，具有防尘功能，上面防尘盖平常可防尘，使用时可随时被水冲开，并降低突然打开时短暂的高水压，避免冲伤眼睛。</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付</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87"/>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270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层板内空净尺寸长宽≥550mm×400mm，双层层板设计，板材厚度≥0.75mm304不锈钢，立柱采用≥Φ28mm圆管，厚度≥1.0mm，二层之间层间距≥440mm，护栏采用≥16mm不锈钢，高≥70mm，每层加强横梁1根，单层载重不小于150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3、配件：优质静音万向轮，360°全方位旋转，其中2只带刹车功能，移动方便，安全更耐用。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4、产品采用焊接连接方式、经打磨抛光处理，无毛刺不刮手。</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54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PP材质，注塑成型，载重36KG</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7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62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干粉灭火器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1、商品剂量：士0.05KG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2、喷射距离：≥3.5CM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3、灭火级别：1A/21B</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5、使用温度：-20°C~+50°C</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6、瓶身材质：钢材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7、干粉保质：5年</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270"/>
        </w:trPr>
        <w:tc>
          <w:tcPr>
            <w:gridSpan w:val="8"/>
            <w:shd w:val="clear" w:color="auto" w:fill="auto"/>
            <w:tcW w:w="949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生物仪器室</w:t>
            </w:r>
            <w:r/>
          </w:p>
        </w:tc>
      </w:tr>
      <w:tr>
        <w:trPr>
          <w:trHeight w:val="780"/>
        </w:trPr>
        <w:tc>
          <w:tcPr>
            <w:gridSpan w:val="2"/>
            <w:shd w:val="clear" w:color="auto" w:fill="auto"/>
            <w:tcW w:w="6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gridSpan w:val="2"/>
            <w:shd w:val="clear" w:color="auto" w:fill="auto"/>
            <w:tcW w:w="11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规格：1000*500*1970mm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1、PP材质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2、柜体：侧板、顶底板采用改性PP材料增加强度，注塑模一次性成型，表面沙面和光面相结合处理，保证柜体之坚固及密封性，耐腐蚀性强，背板采用9mm厚三聚氰胺板。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3、下储物柜门：内框采用改性PP材质注塑模一次成型，外嵌4.6mm厚钢化烤漆玻璃</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4、上柜视窗门：内框采用改性PP材质注塑模一次成型，外嵌4.6mm厚钢化烤漆玻璃，中间烤漆镂空制作。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层板：上部配置两块活动层板，下部配置一块活动层板，层板全部采用改性PP材质注塑模一次成型，表面沙面和光面相结合处理，四周有阻水边，底部镶嵌钢质横梁，承重力强。整体设计为活动式，可随意抽取放在合适的隔层，自由组合各层空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6、门把手：采用经过改性PP材质注塑模一次成型，与柜门平行，开启方便。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7、门铰链：采用经过射出成型的PP材料制成，耐腐蚀性好。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8、螺丝：PP材质，可选不锈钢304材质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9、备注：可以用于各种腐蚀性化学品的储存，如硫酸、盐酸、硝酸、乙酸、硫磺酸等</w:t>
            </w:r>
            <w:r/>
          </w:p>
        </w:tc>
        <w:tc>
          <w:tcPr>
            <w:gridSpan w:val="2"/>
            <w:shd w:val="clear" w:color="auto" w:fill="auto"/>
            <w:tcW w:w="6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480"/>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物理实验室1</w:t>
            </w:r>
            <w:r/>
          </w:p>
        </w:tc>
      </w:tr>
      <w:tr>
        <w:trPr>
          <w:trHeight w:val="941"/>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教师演示讲台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规格：2400mm×700mm×900mm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4、储物柜门和抽面：采用双层结构，组装式设计，保证单层钢板双面都喷涂处理，门板中间填充隔音材料，减少关门时产生的噪声。防撞胶垫：装于抽屉及门板内侧，减缓碰撞，保护柜体。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90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学生实验桌</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规格：1225mm×600mm×780mm/820mm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15mm止滑陶瓷台面。陶瓷台面坯体黑色一体实芯和釉面经高温一体煅烧而成。台面操作边设有≥13mm×1.5mm止滑凹槽，有效防止在实验过程中试管、液体等实验物品滑落造成意外伤害，陶瓷台面表面釉面为实验室专业釉面不会受外界环境影响而脱落脱层，具有耐污染、耐化学腐蚀、无放射性物质、防撞抗冲击、承重力强等功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钢铝结构，外形尺寸≥1225mm×600mm×780mm（台面）/820mm（围边），含功能围栏总高度≥925mm；左右侧围边采用一体化压铸铝工艺，尺寸≥405mm×75mm×17mm，围边长度达到390mm，高出台面≥38mm，防止仪器设备掉落的风险；后挡条为铝合金一体成型工艺，高出台面≥38mm，金属表面经环氧树脂粉末喷涂高温固化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3、后功能栏杆，采用≥20mm×30mm×1.0mm的方管弯管成型工艺，高出台面达到145mm，防止实验器材跌落；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4、下面设计两个书包斗，材质采用ABS一体化成型工艺，镂空设计，不屯垃圾，便于清理，中间设挂凳卡；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桌腿采用两节折叠式设计，上部分尺寸≥120mm×210mm×50mm，一体化压铸工艺；下部分采用≥100mm×40mm×1.8mm钢管制作而成；下脚尺寸≥565mm×60mm×40mm，采用不低于2mm钢板冲压一体化成型，金属表面经环氧树脂粉末喷涂高温固化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55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实验凳</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规格：Φ310mm×450mm～500mm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1、凳脚材质：4个凳脚采用≥15mm×30mm×1.7mm钢管模具弯制一次成型，全圆满焊接完成，结构牢固，经高温粉体烤漆处理，长时间使用也不会产生表面烤漆剥落现象 螺旋升降式，升降距离为50mm，最高离地距离≥500mm。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2、ABS凳面材质：采用ABS注塑。表面细纹咬花，防滑不发光，凳面底部镶嵌4枚螺纹，采用标准螺栓与圆形托盘固定。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3、脚垫材质：采用PP加耐磨纤维增强塑料，实心倒钩式一体射出成型。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4、凳托与凳脚留有一定的空间便于凳子挂在挂凳扣上，方便教室的打扫。</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p>
        </w:tc>
      </w:tr>
      <w:tr>
        <w:trPr>
          <w:trHeight w:val="1004"/>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准备台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规格：6200mm×600mm×800mm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1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钢制线盒，预留标准安装位，可同时安装2个86型五孔插座，主框架采用裸板实际厚度≥1.0mm厚优质钢材产一级高强度镀锌钢板经CNC机压成型、焊接制作，环氧树脂静电粉末涂装处理。可安装2个86款插座。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11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规格：86mm×86mm。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1、数量2个。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2、10A交流输出五孔插座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r>
        <w:trPr>
          <w:trHeight w:val="107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942"/>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加大仪器柜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规格：1350mm×500mm×2000mm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381"/>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控制系统</w:t>
            </w:r>
            <w:r/>
          </w:p>
        </w:tc>
      </w:tr>
      <w:tr>
        <w:trPr>
          <w:trHeight w:val="351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教师终端模块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1、教师演示台配备总漏电保护和分组保护，可分组控制学生的高低压电源，确保学生实验安全方便；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2、教师电源总控采用≥225mm×127mm尺寸的面板，具备智能控制按键，并能显示电源电压；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3、教师交流电源通过智能控制按键直接选取0V～24V电压，最小调节单元可达1V，额定电流3A；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4、教师直流电源也是通过智能控制按键直接选取，调节范围为1.5V～24V，分辨率可达0.1V，额定电流3A；</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5、低压大电流值为10A，自动关断；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教学电源：交流输出为带安全门的插座，带有电源指示，学生低压交流电源可通过智能控制按键直接选取0V～24V电压，最小调节单元为1V，分组输送至学生桌；低压直流电压教师能准确控制，最小调节单元为0.1V。</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731"/>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顶装智能控制平台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集中控制系统。可执行各分项分页控制。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照明控制：控制顶装照明。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电源控制：控制学生AC电源和低压电源。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摇臂控制：控制摇臂升降。</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99"/>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远程控制模块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A、APP登入有网络注册功能，注册后登入系统操作，使用者忘记密码方便找回，同时方便升级系统，带来新的体验。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B、能使用APP能控制总电源关闭；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C、APP能显示当前温度、相对湿度及当前时间；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D、使用APP能控制学生低压电源的交流电压，且电压值为实测值。如APP给学生交流3V，学生电源电压实测电压为3V；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E、使用APP同时控制水电风光源开启与关闭，同时可以扩展功能（监控布防、空调控制等等）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41"/>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温湿度监视模块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内置精密温湿度传感装置，实时监控房间内的温度和湿度，保障室内舒适的环境舒适性，能在智能控制平台中实时显示当前环境的温度和湿度。</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381"/>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智能吊装系统</w:t>
            </w:r>
            <w:r/>
          </w:p>
        </w:tc>
      </w:tr>
      <w:tr>
        <w:trPr>
          <w:trHeight w:val="162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顶部多模块电源供应装置</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规格：DN235mm×110mm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壳采用ABS材质，模具一体成型。防误操作系统，两片多功能金属盖，当工作状态或者接入设备时，金属盖为打开状态，电源无法上升，防止误操作，不会造成拉坏设备及实验桌上的仪器摔坏；当功能金属盖关闭时，电源可以升起收纳。模块内预留高压电源、0～24V低压电源、网络接口安装位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89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模块储藏装置</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规格：DN390mm×140mm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采用ABS材质，模具一体成型。中间部分尺寸≥DN390mm×140mm，材质为塑钢结构。当下部分电源不使用时，可收纳为一体。收纳舱和四周均带有氛围灯。</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04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电源供应模块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有≥1个USB接口电源、≥插座2个、网络接口≥1个。低压1.5V～24V直流电源≥2组输出，输出电流为2.5A。低压0V～24V交流电源，≥2组输出，输出电流为2.5A；≥2组输出口为分开，方便学生操作相互不干扰，其中低压交直流、输出为被教师主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102"/>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学生端调节终端</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带两块≥DN50mm尺寸面板，供学生调节使用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1、数字仪表盘用于展示学生电流控制；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2、采用面板上的数字按键进行电源电压的调节；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3、采用面板上的数字按键微调电源距离，当调整完成后，教师主控能锁定，使学生不能随意调整；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p>
        </w:tc>
      </w:tr>
      <w:tr>
        <w:trPr>
          <w:trHeight w:val="6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伸缩线束</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含高低压供电线缆和网络线缆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111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智能升降模块</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规格：490mm×390mm×150mm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外部舱体为高强度镀锌钢板制作，尺寸≥490mm×390mm×150mm，表面环氧喷涂，喷涂厚度≥75μm，内置24V电机、控制电路、卷线机构。电缆线内设有两路网线及电源线若干，两侧设有高度调节挂件，调节高度≥350mm，适合不同高度房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2、内置控制模块接收主控信号，发送输出信号。</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r>
        <w:trPr>
          <w:trHeight w:val="54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综合布线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≥2.5mm²电线，给学生低压电源供电；≥1mm²屏蔽电源线</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安装支架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环氧树脂喷涂金属吊杆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54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安装辅件</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1、包含整体安装施工、配套专用支吊架制作安装作业；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2、配齐专用安装固定螺杆及全套紧固连接件，规格匹配现场安装工况；</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3、拼接部位统一加装耐温密封垫片，保障接口密封严实、无漏风渗气；</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4、所有安装辅材、固定件、密封配件均随安装工序同步配齐到位，整体完工交付。</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间</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67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实验室顶部造型</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1、轻钢龙骨，石膏板艺术造型，铝方通造型，铝扣板造型。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2、顶面成品处理。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平方米</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高中物理学生实验仪器清单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单刀开关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工作电压36V，额定工作电流6A。开关闸刀、接线柱、垫片均为金属导电材质。闸刀宽度≥46mm，闸刀厚度0.7mm。接线柱直径为4mm，有效行程≥4mm。通额定电流，导电部分允许温升≤35℃，操作手柄允许温升≤25℃。开关的绝缘强度应能承受1200V。在额定直流电流工作条件下，接线两端直流电压降≤100mV，单刀开关底座尺寸：≥75mm×35mm，产品外形尺寸：≥89mm×35mm×33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小灯座</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由底座、接线柱和螺旋式灯座等组成，与E10小电珠配用。底座采用酚醛塑料等硬质绝缘材料制成；灯座采用厚度不小于0.5mm的磷铜片制成，中心触点应采用厚0.3mm～0.4mm 的磷铜材料，具有弹性，连接片为铜片；接线柱直径为4mm，有效行程≥4mm，接线柱螺帽应防止旋出。产品外形尺寸：≥长75mm×宽35mm×高32mm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螺口，2.5V0.3A，灯泡直径11mm±0.5mm，长度23mm±2mm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小灯泡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螺口，3.8V0.3A，灯泡直径11mm±0.5mm，长度23mm±2mm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R20（1#）电池用，有插夹两用接线柱，正负极用弹性磷铜片，有串并联接插口，产品外形尺寸：≥103mm×41mm×53mm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1.5V/节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节</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电压表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3V、15V双量程，2.5级，满度电流：1mA。基本误差、升降变差、平衡误差不超过量程上限的2.5％，产品外形尺寸：≥125mm×80mm×75mm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电流表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0.6A、3A双量程，2.5级，压降：75mV。基本误差、升降变差、平衡误差不超过量程上限的2.5％，产品外形尺寸：≥125mm×80mm×75mm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灵敏电流计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30μA，G0档表头内阻80Ω～125Ω，G1档表头内阻2400Ω～3000Ω，产品外形尺寸：≥125mm×80mm×75mm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蜂巢电路板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塑料封板中间固定4mm内径的铜柱，形状为正六边形，任意的几个之间都可以随意拼接，正六边形尺寸≥边长30mm×高度25mm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长度分别为300mm±2mm；线径3mm，单芯4mm香蕉插头，纯铜导线；蓝色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长度分别为300mm±2mm；线径3mm，单芯4mm香蕉插头，纯铜导线；红色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螺线管（套装）</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线圈：0.56mmQZ型漆包线400匝，线圈架内径11mm±0.5mm，绕线宽度277mm±2mm；副线圈0.25mmQZ型漆包线1600匝，绕线宽度28mm±0.5mm，原副线管框架尺寸：≥45mm×45mm×74mm，框架内方孔，边长21mm±2mm，线芯直径20mm±0.5mm，长72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硅钢片用绝缘环氧树脂胶粘连而成，条形铁芯尺寸：≥20mm×20mm×72mm,U形铁芯尺寸：≥72mm×20mm×77mm，内框尺寸：≥32mm×55mm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滑动变阻器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10Ω，2A，误差〈±10%；滑杆采用正六边形截面；电阻丝采用康铜丝，接线柱有防松动装置；额定电流工作30min温升≤300℃。产品外形尺寸：≥155mm×45mm×65mm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滑动变阻器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20Ω，2A，误差〈±10%；滑杆采用正六边形截面；电阻丝采用康铜丝，接线柱采用插头形式；额定电流工作30min温升≤300℃。产品外形尺寸：≥155mm×45mm×65mm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1000μF25V，电容两脚与M4的香蕉插头焊接在一起，装在不带孔的透明方盒内，方盒尺寸≥35mm×16mm×33mm，脚长18mm±2mm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100μF25V，电容两脚与M4的香蕉插头焊接在一起，装在不带孔的透明方盒内，方盒尺寸≥35mm×16mm×33mm，脚长18mm±2mm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470μF25V，电容两脚与M4的香蕉插头焊接在一起，装在不带孔的透明方盒内，方盒尺寸≥35mm×16mm×33mm，脚长18mm±2mm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电阻定律实验器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该电阻定律实验器由主体框架、金属导线组、铜短接片及调节组件构成，整体外形尺寸为≥350mm×190mm×50mm。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1.主体结构：面板（灰色ABS注塑，表面丝印标注电阻丝材质、线径及规格）与底板（黄色ABS注塑）通过卡扣扣压组装，内部设方格式加强筋提升结构强度；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2.电阻导线配置：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康铜丝：3根，长度分别为600mm（φ0.3mm）、600mm（φ0.5mm）、300mm（φ0.8mm）；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镍铬丝：1根，长度600mm（φ0.3mm）；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铁铬丝：1根，长度300mm（φ0.3mm）；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3.调节组件：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铜短接片：磷铜切割成型，支持同材质同直径电阻丝的串联（延长长度）或并联（改变横截面积）；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接线柱：外径≥10mm，固定螺杆M4，帽行程≥4mm，支持电阻丝快速固定及外接电路扩展（插接两用）；接线柱帽不可旋下，确保连接稳定性。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导线调节螺母：采用琴弦式锁紧装置，通过旋钮调节螺母，精准控制电阻丝的张力，确保实验过程中导线拉紧且无松弛。</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通过组合不同材质、长度、直径的电阻丝及铜短接片，可定量验证电阻率公式（R=ρL/S），直观演示材料、尺寸对电阻的影响，适用于中学及大学物理电学实验教学。</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330Ω的电阻两脚与M4的香蕉插头焊接在一起，装在不带孔的透明方盒内，方盒尺寸≥35mm×16mm×33mm，脚长18mm±2mm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单刀双掷开关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最高工作电压36V，额定工作电流6A。开关闸刀、接线柱、垫片均为金属导电材质。闸刀宽度≥37mm，闸刀厚度≥0.7mm。接线柱直径为4mm，有效行程≥4mm。通额定电流，导电部分允许温升≤35°C，操作手柄允许温升≤25℃。开关的绝缘强度应能承受1200V。在额定直流电流工作条件下，接线两端直流电压降≤100mV，单刀双掷开关底座尺寸：≥75mm×35mm，产品外形尺寸：≥110mm×35mm×33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条形磁铁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铁氧体制作，尺寸：≥71mm×20mm×5mm，学生分组实验用。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游标卡尺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亚光电镀，碳钢整体热处理，量程0mm～150mm，分度值0.02mm；尺框微动装置沿尺身移动平稳、无卡滞和松动现象，用制动螺钉能准确、可靠地固定在尺身上；带深度尺。</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198"/>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螺旋测微器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量程0mm～25mm，分度值0.01mm；螺杆和螺母全量程范围内充分啮合，配合良好，无明显卡滞和轴向窜动，螺杆与轴套配合良好无明显径向摆动，锁紧装置能有效锁紧测微装置。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塑料直尺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量程30cm，PS材质，透明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鳄鱼夹（带防护套）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带有防护套，小号，长度：53mm±2mm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适应范围：尾部可以插4.0mm香蕉插头，开口尺寸：≤8mm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稳压二极管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3V/0.5W，带色环的那边是负极，电阻长度3.9mm，直径1.9mm，丝长27.5mm±2mm，直径0.5mm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普通小电阻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材料：金属膜圆柱形镍铬或类似合金紧密附在瓷棒表面形成皮膜，接头表面涂上环氧树脂密封，引脚镀镍。薄膜式电阻器，抗干扰能力强，圆柱形</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27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多用电表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指针式，不低于2.5级，黑色塑料外壳。</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数字式多用电表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数字式，4½位，电压、电流、电阻、电容、二极管、温度、频率测试</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电池</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1.5V/节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节</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蜂鸣器（电）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蜂鸣器3V，黑色分体≥12mm×6.5mm，两脚与M4的香蕉插头焊接在一起，装在不带孔的透明方盒内，方盒尺寸≥35mm×16mm×33mm，脚长18mm±2mm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阻值为10kΩ（B103）的电位器两脚与M4的香蕉插头焊接在一起，装在带有小孔的透明方盒内，孔上方装有可调节的电位器旋钮开关，方盒尺寸≥35×16×33mm，孔径6mm±0.5mm，脚长18mm±2mm，产品总高度68mm±2mm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阻值为100kΩ（B104）的电位器三只脚与M4的香蕉插头焊接在一起，装在带有小孔的透明三角盒内，孔上方装有可调节的电位器旋钮开关，三角盒尺寸≥边长37×高33mm，孔径6mm±0.5mm，脚长18mm±2mm，产品总高度68mm±2mm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电位器（电）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阻值为1kΩ（B102）的电位器三只脚与M4的香蕉插头焊接在一起，装在带有小孔的透明三角盒内，孔上方装有可调节的电位器旋钮开关，三角盒尺寸≥边长37×高33mm，孔径6mm±0.5mm，脚长18mm±2mm产品总高度68mm±2mm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220Ω的电阻两脚与M4的香蕉插头焊接在一起，装在透明方盒内，方盒尺寸≥35mm×16mm×33mm，脚长18mm±2mm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1KΩ的电阻两脚与M4的香蕉插头焊接在一起，装在透明方盒内，方盒尺寸≥35mm×16mm×33mm，脚长18mm±2mm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10KΩ的电阻两脚与M4的香蕉插头焊接在一起，装在透明方盒内，方盒尺寸≥35mm×16mm×33mm，脚长18mm±2mm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4.7KΩ的电阻两脚与M4的香蕉插头焊接在一起，装在透明方盒内，方盒尺寸≥35mm×16mm×33mm，脚长18mm±2mm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普通电阻（电）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47KΩ的电阻两脚与M4的香蕉插头焊接在一起，装在透明方盒内，方盒尺寸≥35mm×16mm×33mm，脚长18mm±2mm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发光二极管（电）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3mm的红色LED两脚与M4的香蕉插头焊接在一起，装在带孔的透明方盒内，方盒尺寸≥35mm×16mm×33mm，孔径6mm±0.5mm，脚长18mm±2mm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发光二极管（电）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3mm的黄色LED两脚与M4的香蕉插头焊接在一起，装在带孔的透明方盒内，方盒尺寸≥35mm×16mm×33mm，孔径6mm±0.5mm，脚长18mm±2mm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1N4001 1A/50V</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光敏电阻（电）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φ5mm的光敏电阻两脚与M4的香蕉插头焊接在一起，装在带孔的透明方盒内，方盒尺寸≥35mm×16mm×33mm，孔径6mm±0.5mm，脚长18mm±2mm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干簧管（电）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干簧管常开型磁控开关，镀金玻封2x14mm两脚与M4的香蕉插头焊接在一起，装在不带孔的透明方盒内，方盒尺寸≥35mm×16mm×33mm，脚长18mm±2mm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三极管直插NPN三极管，三只脚与M4的香蕉插头焊接在一起，装在无孔的透明三角盒内，三角盒尺寸≥边长37×高33mm，脚长18mm±2mm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三极管直插PNP三极管，三只脚与M4的香蕉插头焊接在一起，装在无孔的透明三角盒内，三角盒尺寸≥边长37×高33mm，脚长18mm±2mm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继电器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1.本产品由底座、背板、继电器、接线柱等组成。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2.底座与背板采用ABS一体成型注塑而成，底座尺寸为100mm×70mm×16mm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强光手电筒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铝合金材质，长93mm±2mm，最大直径25mm±0.5mm，内装一节5号电池</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电阻箱</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仪器采用胶木密封结构，电阻值变换方式为旋钮开关形式，是依靠电刷旋转到不同位置而达到阻值变换的目的。阻值可调范围：0～99999.9Ω，最小步进值1Ω，使用温度0～40℃，相对湿度：25%～80%，参考功率：0.5W；额定功率：1W</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水果电池套件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铜锌两种材质，尺寸≥长50mm×宽20mm×厚0.3mm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学生套尺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学生套尺 黑色 金属材质，黑色包括30°三角尺、180°量角器、45°三角尺、20cm直尺，PP塑料盒子包装。</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大头针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100g/筒</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梯形玻璃砖</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透明光学玻璃，上底边长38mm±2mm，下底边长88mm±2mm，高度35mm±2mm厚度14mm±2mm；一梯形面为粗加工面，其余为精加工面；上下底面平行</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烧杯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透明硼硅酸盐玻璃制，烧杯的满口和标称容量的两液面间距大于10mm，烧杯底部直径70mm±0.5mm，口部外径79mm±0.5mm，内径65mm±0.5mm，总高97mm±2mm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油膜实验器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产品尺寸：直径200mm±2mm×厚37mm±0.5mm，产品包括油酸溶液1瓶，盛水盘1只，痱子粉1瓶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20mL，分度值1mL，刻度清晰。</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容量瓶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100mL，透明硼硅酸盐玻璃制，刻度线应在瓶颈下部三分之二处，清晰耐久，粗细均匀，平底，配有匹配的玻璃塞</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10mL，透明钠钙玻璃制，分度线、数字和标志完整、清晰和耐久，底座直径39mm±0.5mm，筒直径15.5mm±0.5mm，总高139mm±2mm，壁厚1～2mm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微型物理观察仪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产品包含激光发射器、接收屏、4个光学元件（衍射片、光栅），配有电池，光屏尺寸≥120mm×80mm，激光发射器尺寸：≥50mm×90mm×60mm，用于完成各种干涉、衍射实验</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外壳塑料+尺带金属，L=5m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电磁打点计时器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1、工作电源∶交流电6V、50Hz。（实测6～9V）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2、打点周期∶0.02秒。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3、打点周期相对误差≤1%。（电源为50Hz时，调波器测试）。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4、打点接触时间∶≤0.1毫秒。</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5、工作时产生的阻力∶≤3克。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6、打点清晰∶不出现漏点现象。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7、工作位置∶平放。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8、工作条件∶环境温度-10-40℃相对湿度≤85%。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9、纸带∶带宽12mm±1mm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10、重锤∶300g±3g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打点计时器为磁电式结构。仪器主要由线圈、振动片、打点钉、磁钢、极靴、纸带限位框、压纸框、打点垫板、复写纸定位钉、复写纸调节片、接线柱、底座等部件组成。同时仪器还包括配套附件纸带、复写纸、重锤、夹具</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产品尺寸≥143mm×70mm×40mm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电火花打点计时器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多频率：0.01s、0.02s、0.05s，有同步释放功能，尺寸≥150mm×60mm×43mm配有重锤、复写纸、宽12mm±1mm的纸带、固定夹</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钩码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直径22mm±0.5mm，高度42mm±0.5mm的铁质钩码体，上部有一个钩环，下部开一道4mm宽度的槽，并有一个金属棒与槽十字相交，用于挂钩。表面整体镀铬。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钩码每个重50g，质量误差在±0.1g。10个为一套，装在一个≥137mm×70mm×48mm的蓝色钩码盒内。</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剪刀</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尺寸≥180mm×63mm，采用钢材材质，表面光泽自然，刃口锋利，剪柄外面包有塑料，握拿舒适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胡克定律实验器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铝合金材质，器材由主体、既可拉又可以压的弹簧、拉钩、压钩，调零螺母，刻度尺等组成，可以直接探究弹簧弹力与其拉伸量和压缩量都成正比的关系</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钓鱼线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6号，线径0.40mm，总长2000mm±50mm，透明盒装，尺寸≥75mm×70mm×18mm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单摆球组</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外盒：≥59mm×44mm×30mm，大球直径20mm±0.5mm，大孔径3mm，小孔径1.5mm；小球直径13mm±0.5mm，大孔径3mm，小孔径1mm；红球直径15mm±0.5mm，大孔径2.5mm，小孔径1mm；蓝球直径20mm±0.5mm，大孔径3mm，小孔径1.5mm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电子计时器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具有秒表计时、分段计时、二段计时，同时可显示时间、日历等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塑料、铁制成，规格为5N，圆柱筒直径16mm±0.5mm，总长270mm±2mm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铝合金外壳，规格为10N</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50g</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包</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图钉</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金属材质，80只/盒</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长度为1000mm±5mm；线径3mm，单芯4mm香蕉插头，纯铜导线；蓝色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长度为1000mm±5mm；线径3mm，单芯4mm香蕉插头，纯铜导线；红色</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实验方格纸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产品尺寸≥195mm×270mm，方格尺寸≥170mm×250mm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燕尾夹</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黑色#3</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托盘天平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单杠杆等臂式双盘天平，配6级（M2级）砝码：100g、50g、10g、5g各1个，20g2个，不锈钢镊子。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回形针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不锈钢质，200枚/盒，产品外形尺寸：直径61mm±0.5mm×高38mm±2mm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圆规</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金属圆规，pp塑料盒装，盒子尺寸125mm×36mm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铁架台</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本产品为多功能方座支架，由矩形底座、立杆、横杆、四爪万用夹、铁圈、双嘴钳等组成，适配理化生实验场景。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1.底座尺寸210mm±2mm×135mm±1mm×25mm±0.5mm，面板采用灰色ABS材质注塑成型，耐酸碱且表面细纹防滑，内部方格板结构增强承重，配重块为铁质环氧树脂防锈涂层，总重约2kg，底部硅胶垫片确保放置平稳无晃动。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2.立杆由两根300mm不锈钢支撑杆（直径Φ10mm，M8螺纹接口）组合而成，表面防锈处理，另配一根同材质横杆用于悬挂测力计或滑轮。立杆与底座通过蝴蝶螺母手拧固定，无需工具即可垂直锁紧。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包含中号铁圈（内径68.7±0.5mm）、小号铁圈（内径49.1±0.5mm，碳钢材质，直径8±0.2mm）、双嘴钳两只、四爪万用夹（锌合金材质，夹持口胶木防护），可稳定夹持试管、烧瓶等实验器具，夹持牢固无滑脱风险。</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力学轨道小车及配件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产品由轨道、打点计时器托板、弹射开关、缓冲挡板及2辆智能小车组成，适配力学实验与运动轨迹分析。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轨道：铝合金拉伸氧化处理，尺寸≥1000mm×100mm×18mm，平面设双轨道凹槽（间距匹配小车轮距），两侧贴厘米刻度线用于测距，底部中空槽安装轨道调整脚，侧面滑轨式凹槽支持配件扩展；</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打点计时器托板：铝合金氧化材质，固定面贴EVA泡棉，配手拧螺丝固定打点器，内侧设香蕉插口连接弹射开关；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小车弹射开关：黄色ABS注塑，顶部凸起挂钩固定小车，按压释放（需预调轨道倾角），实现可控初速度弹射；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缓冲挡板：灰色ABS注塑，内侧双支脚拦截小车，外侧滑轮可调高度（适配悬挂钩码），支持牛顿第二定律实验；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智能小车：铝合金主体黄色特氟龙涂层，内置弹射装置，尾部纸带卡槽（带系线圆孔挂接钩码），顶部四孔安装传感器支架，兼容力学传感器数据采集，纸带轨迹记录精度达毫米级。产品尺寸：≥160mm×85mm×40mm。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实验功能：通过弹射开关控制小车初速度，结合打点计时器、缓冲挡板及传感器，可完成匀变速运动验证、碰撞动量守恒、加速度测量等高中及大学物理力学实验，模块化设计支持多场景拓展。</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制图板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木质，A3</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7</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气体定律演示器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尺寸总宽170mm±2mm，高330mm±2mm，演示器由气柱玻管、压力表、定容机构、固定架和体积标尺等主要部件组成。气柱玻管又分外管和管塞两部分。管塞摩擦面上有小孔，中间有一细玻璃管穿过两端，其上端与压力表相连、下端与被测气体相通，但与管塞内部不相通，管塞内灌进特种油。油面高出中部小孔5mm左右。管塞在上下滑动时不断有少量油被拖带出来，以保持接触面的润滑，增加气密性，防止被测气体外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rFonts w:hint="eastAsia" w:ascii="宋体" w:hAnsi="宋体" w:cs="宋体"/>
                <w:i w:val="0"/>
                <w:iCs w:val="0"/>
                <w:color w:val="auto"/>
                <w:sz w:val="22"/>
                <w:szCs w:val="22"/>
                <w:highlight w:val="none"/>
                <w:u w:val="none"/>
                <w:lang w:val="en-US" w:eastAsia="zh-CN" w:bidi="ar"/>
              </w:rPr>
              <w:t xml:space="preserve">8</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碰撞实验器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1.产品由铝合金轨道、固定支架、支球架、重锤、两种不同材料的小球，直径16mm，轨道上装有固定小球的释放夹。</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2.此产品用于高中物理教学学生分组实验仪器，该产品可完成验证动量守恒定律实验。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3.产品使用时需与铁架台配合使用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89</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平抛实验器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铝制导轨、钢球、重锤、接球槽和演示板组成。1.底座和面板均采用冷轧板制成，面板烤白漆、底座采用吸塑材质，面板尺寸≥335mm×450mm×1mm，底座尺寸≥375mm×150mm×30mm，并有调平螺丝；2.钢球直径为16mm±0.5mm；3.接球槽可上下移动，能停留在任一位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0</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向心力实验演示器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产品由机座、变</w:t>
            </w:r>
            <w:r>
              <w:rPr>
                <w:rFonts w:hint="eastAsia" w:ascii="宋体" w:hAnsi="宋体" w:eastAsia="宋体" w:cs="宋体"/>
                <w:i w:val="0"/>
                <w:iCs w:val="0"/>
                <w:color w:val="auto"/>
                <w:sz w:val="22"/>
                <w:szCs w:val="22"/>
                <w:highlight w:val="none"/>
                <w:u w:val="none"/>
                <w:lang w:val="en-US" w:eastAsia="zh-CN" w:bidi="ar"/>
              </w:rPr>
              <w:t xml:space="preserve">速盘、大皮带轮、小皮带轮、旋臂、示力标尺、压杆、套筒、弹簧、钢球、铝球、驱动机构等组成。机座采用工程塑料制作，底部安装橡胶垫脚，机座高度约120mm±2mm；两只变速盘均由塑料注塑制作，主动轮最大外径190mm±0.5mm，从动轮外径130mm±0.5mm。变速盘主、从动轮传动比为1:1、1:2及1:3，传动误差不大于0.5%；大、小皮带轮均采用工程塑料制作，大皮带轮尺寸为：Φ70±0.5mm×12mm±0.5mm，小皮带轮尺寸为：Φ40±0.5mm×12mm±0.5mm；悬壁采用厚度为1mm的金属板制作，</w:t>
            </w:r>
            <w:r>
              <w:rPr>
                <w:rFonts w:hint="eastAsia" w:ascii="宋体" w:hAnsi="宋体" w:eastAsia="宋体" w:cs="宋体"/>
                <w:i w:val="0"/>
                <w:iCs w:val="0"/>
                <w:color w:val="auto"/>
                <w:sz w:val="22"/>
                <w:szCs w:val="22"/>
                <w:highlight w:val="none"/>
                <w:u w:val="none"/>
                <w:lang w:val="en-US" w:eastAsia="zh-CN" w:bidi="ar"/>
              </w:rPr>
              <w:t xml:space="preserve">悬壁宽度45mm±2mm。示力标尺总长为50mm±2mm，采用红、白相间的色环标识，每格色环宽5mm；压杆采用厚度1mm的铁板制作，压杆臂长约80mm±2mm；套筒采用内径26mm的塑料筒，长95mm；弹簧为Φ30mm±0.5mm×70mm±2mm的压簧，采用Φ1.2mm的弹簧钢丝绕制，圈数：15；钢球与铝球直径均为28.6mm，钢球质量为95.5g±2g，铝球质量为47.45g±1g。仪器可形象直观地演示和定性验证向心力公式：F=mv2/r或F=mω2r。仪器外形尺寸≥460mm×200mm×330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气垫导轨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导轨、导轨支座、滑行器及有关实验附件组成。导轨采用铝合金型材制作，导轨工作面长度1200mm±5mm，导轨工作面夹角：90°，导轨一侧斜面筋上设有刻度尺，刻度尺全长1200mm±5mm，最小分度值为1mm，每10mm标注刻度数字。导轨脚距：700mm±5mm，导轨进气口外径：Φ30mm±0.5mm，导轨底部设有两个支座、一个支座为单脚支座，高度不可调，另一个为双脚支座，双脚支座上设</w:t>
            </w:r>
            <w:r>
              <w:rPr>
                <w:rFonts w:hint="eastAsia" w:ascii="宋体" w:hAnsi="宋体" w:eastAsia="宋体" w:cs="宋体"/>
                <w:i w:val="0"/>
                <w:iCs w:val="0"/>
                <w:color w:val="auto"/>
                <w:sz w:val="22"/>
                <w:szCs w:val="22"/>
                <w:highlight w:val="none"/>
                <w:u w:val="none"/>
                <w:lang w:val="en-US" w:eastAsia="zh-CN" w:bidi="ar"/>
              </w:rPr>
              <w:t xml:space="preserve">有两只调节螺钉，用来调节导轨的纵向水平及横向水平；滑行器采用铝合金制作，长度120mm±2mm。实验附件包括：挡光片（100mm,50mm,30mm各2片）6片、挡光条（5mm）2个、紧固螺钉（M4×10mm）17只、滑轮2个、滑轮架1个、加重砝码（50g±0.5g，100g±1g各4个）、U形弹射器2个、圆形弹射器2个、挂钩架2个、牵引线3米、座架4个、橡皮泥1块、三定律弹射器1个、砝码桶1个、振子弹簧2个、光电门架2个、起始板1个、钢丝针（Φ0.5mm）2根、固定螺钉（M4×25mm）2个、橡皮筋4根。</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小型气源</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本产品为中学物理演示实验用气垫导轨的配套仪器。气压不小于5kPa，低噪声。供气垫导轨使用。1.工作电压：50Hz;2.波纹管内径为30mm，长度不小于1500mm。3.接口配合紧密。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数字计时器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工作电压：50Hz；2.工作时间：连续；3.数据成像：2位功能提示符，5位数值显示；4.存储深度：最先发生的10次计时；5.读数方法：手动/自动，可切换；6.计数范围：0～99999；7.计时范围：0.0ms～9999.9s；8.速度范围：0～9999.9m/s；9.加速范围：0～9999.9m/s 2；10.周期：0.0ms～9999.9s；10.光电门：1套（2只），电磁铁接线插头1付。11.塑料外壳，尺寸≥200mm×175mm×70mm。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方格纸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产品尺寸≥297mm×420mm，方格尺寸≥250mm×350mm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rFonts w:hint="eastAsia" w:ascii="宋体" w:hAnsi="宋体" w:cs="宋体"/>
                <w:i w:val="0"/>
                <w:iCs w:val="0"/>
                <w:color w:val="auto"/>
                <w:sz w:val="22"/>
                <w:szCs w:val="22"/>
                <w:highlight w:val="none"/>
                <w:u w:val="none"/>
                <w:lang w:val="en-US" w:eastAsia="zh-CN" w:bidi="ar"/>
              </w:rPr>
              <w:t xml:space="preserve">5</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钢直尺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1000mm分度值为1mm；材料为不锈钢材质。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把</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高中物理随堂实验仪器清单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外径Φ6mm±0.5mm，内径Φ0.5mm，长度为150mm±2mm，高透明玻璃材质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外径Φ6mm±0.5mm，内径Φ1mm，长度为150mm±2mm，高透明玻璃材质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毛细玻璃管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外径Φ6mm±0.5mm，内径Φ2mm，长度为150mm±2mm，高透明玻璃材质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肥皂液</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80g/瓶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NTC热敏电阻（电）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NTC热敏电阻两脚与M4的香蕉插头焊接在一起，装在带孔的透明方盒内，方盒尺寸≥35mm×16mm×33mm，孔径6mm±0.5mm，脚长18mm±2mm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PTC热敏电阻（电）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PTC热敏电阻两脚与M4的香蕉插头焊接在一起，装在带孔的透明方盒内，方盒尺寸≥35mm×16mm×33mm，孔径6mm±0.5mm，脚长18mm±2mm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枕形导体</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1.本产品由一对对称的半枕形导体、绝缘支杆和底座等部件构成，专为静电学实验设计。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每个半枕形导体下方配备了一个导电挂钩，用于夹住铝箔纸，以实现电路的连接。这对半枕形导体采用高品质的304不锈钢材料制成，表面镀铜，封闭端呈现为半球面，既保证了良好的导电性能，又展现了精致的外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3.绝缘支杆选用透明亚克力管，其外径为12mm，高度为105mm，起到良好的绝缘性效果。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带绝缘柄的金属小球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手柄长130mm±2mm，塑料制成，金属球直径Φ20mm±0.5mm，钢球表面镀铬。</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球形导体</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1.本实验装置由球形导体、绝缘支杆和底座三个主要部分构成，旨在提供静电学实验的直观展示。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2.球体部分采用精密制造的不锈钢空芯球体，具有Φ89mm的直径，确保了导体的稳定性和耐用性。绝缘支杆则选用透明亚克力管，外径12mm，高度为105mm，起到良好的绝缘性效果。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有机玻璃棒（附丝绸）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有机玻棒（附丝绸），在规定工作条件下，用丝绸裹住玻棒（或有机玻棒），做一次快速拉出，棒上所带的电荷用指针验电器检验张角≥30°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有机橡胶棒（附毛皮）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聚碳酸酯棒（附毛皮），在规定工作条件下，用毛皮裹胶棒（或聚碳酸棒），做一次快速拉出，棒上所带的电荷用指针验电器检验张角≥30°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验电器连接杆</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产品由绝缘手柄、连接杆、紧固螺钉构成。绝缘手柄采用直径Φ12mm±0.5mm的有机玻璃棒制作，长度≥120mm；连接杆采用直径不小于Φ2mm的钢丝制作，长度≥200mm，一端成形为“V”形。</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缝衣针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2号，长39mm±2mm，直径0.9mm。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细棉线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涤纶材质，白线，一卷长度为150m±5m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单层云母片套件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产品尺寸≥50mm×50mm×0.1mm，10片/盒，透明塑胶盒尺寸：≥57mm×61mm×17mm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纯铁，直径Φ0.2mm，总长≥2m，绕在透明塑料线圈上，线圈外径49mm±0.5mm，内径36mm±0.5mm，厚度10mm±0.5mm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卷</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液体表面张力实验器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不锈钢材质，多种形状，通过实验证实液体自由表面的部分有相互吸引的表面张力，使液体收缩到小面积的趋势</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透明玻璃材质，边长≥100mm×100mm，厚度1.5mm～2.0mm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防爆酒精灯 100mL 容量 100mL，304 不锈钢材质；由灯帽、灯芯、灯芯导管、灯瓶、耐高温硅胶内塞组成；双层灯帽结构，具备密封防挥发、快速灭火功能；灯芯导管带火焰调节旋钮；底座直径 Φ73mm±1mm，整机尺寸 Φ80mm±1mm× 高 72mm±1mm，密封性好、防爆防倾倒、耐高温安全耐用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盏</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点火器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智能脉冲点火器，USB充电，电量显示，大容量锂电，续航更持久</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5"/>
            <w:shd w:val="clear" w:color="auto" w:fill="auto"/>
            <w:tcW w:w="795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高中物理演示实验仪器清单</w:t>
            </w:r>
            <w:r/>
          </w:p>
        </w:tc>
        <w:tc>
          <w:tcPr>
            <w:gridSpan w:val="2"/>
            <w:shd w:val="clear" w:color="auto" w:fill="auto"/>
            <w:tcW w:w="671"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W w:w="870" w:type="dxa"/>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Ω、1.0A，阻值误差W±l%；电阻丝应采用锰铜线或康铜线绕制；按额定电流连续工作15min后，电阻圈外壳两侧温升低于60K；按额定电流连续工作2h后外壳不会出现焦灼、熔化变形、冒烟现象；加热后电阻值变化在1%以内，外形尺寸≥长100mm×宽30mm×高41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电解电容（电）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47μF25V电容两脚与M4的香蕉插头焊接在一起，装在不带孔的透明方盒内，方盒尺寸≥35mm×16mm×33mm，脚长18mm±2mm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安培力实验器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外形尺寸：≥150mm×105mm×205mm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产品组成：底座、凸形导轨、U形磁铁、方形线圈、悬挂杆、空心铜管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1.底座：由黄色底板和白色面板组成，均采用防紫外线阻燃ABS材料注塑成型，尺寸≥154mm×105mm×16mm。底板预留卡槽用于固定空心铜管，面板设计两条凸起轨道，确保U形磁铁沿中心线移动，保持磁场对称性。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凸形导轨：由直径Φ4mm铜棒折弯成左右对称结构，安装后距底座面板高度42mm±2mm，使空心铜管精准位于U形磁铁磁场中心。导轨前方间距90mm±1mm、后方间距45mm±1mm，可调节空心铜管运动长度，适配不同实验变量需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3.U形磁铁：南北极面尺寸28mm×18mm，两极间距85mm，高度105mm，采用非强磁设计，磁感线分布均匀，适用于通电导线在磁场的运动和安培力的大小和方向实验。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4.方形线圈：ABS注塑线框尺寸≥70mm×65mm×6mm，内置直径0.55mm漆包线绕制40匝，顶部线卡固定引线，确保线圈悬挂后居中无偏移。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5.悬挂杆：直径Φ4mm铜棒制成，底部铍青铜鼓簧保障导电稳定性，顶部凹槽用于悬挂方形线圈，支持快速拆装。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6.空心铜管：直径Φ4mm，长度106mm±2mm，精准切割确保实验轨迹一致性，用于演示载流导体在磁场中的受力现象。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手摇发电机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产品外形尺寸≥110mm×125mm×100mm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光学干涉衍射片套件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≥50mm×50mm×2mm，中间方孔尺寸≥35mm×23mm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单缝：缝宽有0.05mm、0.1mm、0.2mm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双缝：缝宽0.05mm，间距0.2mm、0.3mm、0.45mm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圆点：直径0.2mm、0.3mm、0.4mm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格子：是一条条90°交叉组成的，100线/mm、300线/mm、600线/mm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综合：单缝、双缝、多缝、圆点、格子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5种衍射片装在一个透明的塑胶盒内，盒子尺寸：≥57mm×61mm×17mm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光偏振演示器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外径60mm±0.5mm，内径50mm±0.5mm，高37mm±2mm，偏振片直径35mm±0.5mm×38mm±2mm，座框外缘带有指示刻度，每小格值45°</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光源发生器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长90mm±2mm，直径14mm±0.5mm，电压3.7V，功率100mW ，带红色光源，射程大于5米。射径内无变形。配一个分光器及三个纽扣电池。</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光学刻度盘</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刻度圆盘直径：205mm±2mm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半圆玻璃砖</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厚度15mm±2mm，直径80mm±0.5mm，一面磨砂，一面光滑的光学玻璃</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光屏</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屏尺寸≥长150mm×宽150mm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插片支架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塑料ABS材质，方形插片槽，外框尺寸≥58mm×58mm，内框尺寸≥52×55mm，一体支架，总长152.5mm±2mm，杆为椭圆形，尺寸≥12mm×10mm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盖玻片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无色透明，平整，玻片≥18mm×18mm，厚度0.13mm～0.17mm，每盒100片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载玻片</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高清透明，≥25mm×75mm，每盒50片</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墨汁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黑色，瓶身为边长54mm±2mm的正三角形，高度193mm±2mm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瓶</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透明橡胶材质，内径7mm±0.5mm，外径10mm±0.5mm ，L=1000mm±5mm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抽气筒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不锈钢材质，活塞胶垫，气嘴外径9mm±0.1mm，长度22mm±2mm，台阶口；抽气压强达到6.7kPa时放置30s，漏气引起的压强变化应≤2.6kPa；充气压强达到290kPa时，放置30s，漏气引起的压强变化应≤9.8kPa，抽气筒身直径25mm±0.5mm，把手尺寸≥直径20mm×长90mm，产品外形尺寸：≥90mm×350mm×29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空气压缩引火仪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气缸、底座、端盖、活塞等部分组成。气缸用透明有机玻璃制作，内径Φ10mm±0.5mm，外径Φ25mm±0.5mm，长130mm±2mm，底座Φ62mm±0.5mm，手柄Φ40mm±0.5mm，活塞杆Φ9mm±0.5mm。组装后产品高度180mm±2mm，活塞体应使用弹性材料制成，活塞与气缸气密性应良好，连续压缩引火100次后密封圈性能不变。应能引燃脱脂棉，不应使用硝化棉</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外径∅8mm±0.5mm，内径∅5mm±0.5mm，壁厚1.5mm，长度约80mm±2mm，管口烧结处理，避免划伤</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100mL，透明钠钙玻璃制，分度线、数字和标志应完整、清晰和耐久，底座直径63mm±0.5mm，筒直径为30mm±0.5mm，总高260mm±2mm，壁厚1—2mm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橡皮塞</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橡胶材质，锥形，≥22mm（底部直径）×30mm（顶部直径）×28.5mm（高度），单孔，孔径8mm±0.5mm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长颈圆底烧瓶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250mL，透明硼硅酸盐玻璃制，底部球直径85mm±0.5mm，口径28mm±0.5mm，长85mm±2mm，总高180mm±2mm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物体重心实验器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由实验板、重垂、支柱（附顶针）、底座组成。实验板有圆形、半圆形、正方形、长方形、三角形、梯形、多边形板七种形状各一块。板的边角上开有小孔，板的重心处装有轴承。透明亚克力盒包装，盒子尺寸：≥123mm×123mm×50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平面镜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≥100mm×100mm×4.6mm镜片，与两个塑料支架组合而成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惯性演示器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1.底座中央设有一根立柱，其顶端巧妙地设计为球形凹窝，以便于稳固托住钢球。立柱旁配备了一片弹性良好的弹片，以及一块薄形钢片和一粒直径为20mm的金属钢球，共同构成了实验的基础结构。</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2.为了确保实验过程中钢珠和钢片不会意外丢失，每个部件都通过细绳巧妙地拴住并固定在底座上，保证了实验的连续性和安全性。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3.底座尺寸为300mm×180mm×40mm，为整个实验装置提供了稳固的基础，保证了实验的稳定性和安全性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带钩双孔木块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两孔带挂钩实木块≥100mm×60mm×30mm，底部贴有橡胶皮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乳胶气球，10英寸，光面</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小铁球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材质：不锈钢440C，直径：15mm±0.5mm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小铁球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材质：不锈钢440C，直径：20mm±0.5mm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静电计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外壳、圆球、法拉第圆筒、导电杆、绝缘子、指针、指针架、接地线柱等构成。外壳应由不能带静电的材料制成，外壳上观察面应采用透明材料（透光率≥90%）；指针用非磁性材料，长度≥100mm±2mm。性能要求：相对湿度≤65%环境，圆球加9kV直流高压，指针张开角度在45°～50°；移去高压后，指针保持30°以上的时间≥20min，外壳尺寸≥直径190*厚73mm，底座为直径为103mm±0.5mm的塑料圆盘，产品总高度为350mm±2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紫外线灯</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外壳为黑色塑料材质，360度杀菌253.7nm波长，5分钟定时，开盖断电，内置电池和USB充电两种方式，一次充电可使用40天之久，高亮度热阴极灯管，产品尺寸：≥124mm×26mm×24mm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砂纸</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规格≥140mm×227mm，碳化硅矿砂+耐水牛皮纸基+耐水树脂合成胶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锌板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100g，产品尺寸：≥145mm×100mm×1mm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外壳、金属球、金属筒、箔片、玻璃、接线柱和底座等组成。外壳应由不能带静电的材料制成，观察面应采用透明材料透光率≥90%；箔片长度≥25mm。性能要求：相对湿度≤65%环境，圆盘上面加8kV直流高压，箔片张开与中位片角度应≥45°；移去高压后，箔片张开角度保持30°以上的时间≥10min，产品尺寸：≥142mm×90mm×200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平行板电容器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两块铝圆板一块塑料圆板，全部装有有机玻璃手柄，圆板直径为150mm±0.5mm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双极电场线演示板套件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配有5块不同的有机玻璃板，有机玻璃盒密封蓖麻油和头发屑做成电力线演示器，可长期保存，反复使用。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光具座</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铝合金材质，总长1000mm±5mm，内有轨道，滑行座内嵌在光具座的滑轨上，滑行轨道两侧丝印有刻度标识，光具座两侧底座下分别有一个小抽屉，收纳光屏、凸透镜、F光源、蜡烛、火柴等小配件，光具座与光具座之间可以叠加，减少存储空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生物显微镜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1、总放大倍数：640倍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2、整机结构件：材料要求：底座、镜臂、齿条、物镜和目镜镜筒均为金属制，整机带金属一体式便携提手，方便仪器搬运。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3、目镜：WF10X广角目镜WF16X广角目镜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4、物镜：4X、10X、40XS，所有物镜均保证齐焦，带有限位装置，可防止物镜压坏切片致使物镜损坏。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5、镜筒：单目斜筒，45°倾斜，可360°度旋转便于同步观察。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6、转换器：转换器三孔同心，定位准确，并带有限位装置。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7、粗微调：镜架上配有分开调焦的可调节松紧的粗微旋钮，调节载物台，并有内置防滑动离合器，可延长因机械损耗的整机使用寿命。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8、聚光镜：NA0.65聚光镜，五孔圆盘光阑。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9、照明：LED冷光源，可充电电池，充电后不接电源可连续使用50小时。灯泡使用寿命在10000小时以上，灯光色泽为无色，且不会产生热度。</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10、平台为铝合金铸造，圆形可旋转式载物台，载物台上安装切片压片。</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11、泡沫纸箱包装。</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安培力演示器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底座≥180mm×130mm×310mm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单个磁铁≥85mm×18mm×14mm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材质：金属支架及底座+磁铁+塑料刻度盘，本仪器由刻度盘、指针、接线柱、通电线框、磁铁、底座等组成，用于演示安培力的方向及大小F与电流I，通电导线的长度L、磁感应强度B之间的关系，即F=IBL</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弹簧振子装置</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气垫式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发波水槽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1.电源输入：50Hz</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2.工作电压：DC12V±1V</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3.lED灯：12V10W</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4.产品外形尺寸≥363×281×695mm。仪器主要由主机箱、电源变压器、屏幕、折射镜、水槽、升降杆、振动源盒、频闪光源盒等组成。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反冲演示器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1.本产品由外水桶、内水桶、轴承支架、弯水管、旋转支架等部件精心构成。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2.通过巧妙的钢球塞设计，能够精确控制进水口的水流。</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3.内、外水桶均采用高透明度的亚克力材料打造，既美观又实用。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4.实验操作中，内水筒旋转后的水流会直接导向外水桶，有效避免了桌面潮湿的问题，保持了实验环境的整洁。</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塑料水槽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长方形，透明塑料材质，外形尺寸≥268mm×195mm×100mm，壁厚≥1mm。底部平整，表面无凹凸不平现象，无擦伤、划痕、裂缝，透明度好，透光率不小于80%，四周加筋，承重加强。</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展示波形器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垂直系统频率响应：直流DC~5</w:t>
            </w:r>
            <w:r>
              <w:rPr>
                <w:rFonts w:hint="eastAsia" w:ascii="宋体" w:hAnsi="宋体" w:eastAsia="宋体" w:cs="宋体"/>
                <w:i w:val="0"/>
                <w:iCs w:val="0"/>
                <w:color w:val="auto"/>
                <w:sz w:val="22"/>
                <w:szCs w:val="22"/>
                <w:highlight w:val="none"/>
                <w:u w:val="none"/>
                <w:lang w:val="en-US" w:eastAsia="zh-CN" w:bidi="ar"/>
              </w:rPr>
              <w:t xml:space="preserve">MHz≤3dB，交流10Hz~5MHz≤3dB；偏转因素：20mVp-p／格，误差±10%；输入电容：1M∥40PF；衰减倍率：1、10、100、1000，误差±10%；输入耐压：400V（DC+AC）；扫描系统扫描频率：10Hz~100kHz，分四档；同步：内正、内负、外同步；水平系统频率响应：10Hz~500kHz≤3dB；偏转因素：100mVp-p／格；输入电容：1M∥60PF；波形：正弦波50Hz；幅度：250mVp-p±10%；余辉：中；工作环境：温度0℃~+40℃；相对湿度：≤90%（40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霍尔元件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产品尺寸：4mm×3mm×2mm，脚长16mm±2mm，大芯片高灵敏度，耐高温，-40℃~125℃都可以正常工作，激光打字44E938工作电压4.5伏～28伏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洛伦兹力演示器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有洛伦兹力演示管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牛顿管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牛顿管是用特殊材料做成的密封透明容器，可以用泵使得内部接近真空，仪器全长1000mm±20mm，外径48mm±0.5mm，一端封闭，另一端带有活塞气嘴的铜玻管组成，管内装有金属片和羽毛。</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指针式测量器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量程1Kg，精度5g，托盘老式指针式台秤</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阴极射线管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直径40mm±0.5mm，长度300mm±2mm，连接高压发生器使用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受迫振动和共振演示器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仪器由支架、5个摆长不等的钢球和策动摆等组成。使用时将支架水平放置在桌面上，使5个摆球处于静止状态，然后改变策动摆的摆长使其长度与其中一个摆长相同，使策动摆与横杆周期性摆动从而其他轻摆通过他们的悬点受周期性变化的策动摆相同的轻摆振幅越来越大，而摆与策动摆不等的其他4个轻摆振幅很小，对比极为明显。调整策动摆的摆长做同样步骤的实验。演示表明，振动系统在固有频率等于策动频率的情况下才发生共振</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共振演示器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底座≥280mm×140mm高430mm，产品由金属底、铝合金支架、皮带传送机构、低噪声电机、偏心轮、10g钩码20g钩码各一个，刻度板为有机板，电动式，接直流电源18V以下</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长玻璃管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透明硼硅酸盐玻璃材质，一端开口，配有一个可以封口的无孔橡皮塞，长度1000mm，直径30mm，玻璃管外侧丝印刻度标识，精度值5cm。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绳波演示器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产品由振荡频率显示器、控制面板、开关、紧绳柱、振荡杆、细线、定滑轮、张力砝码、刻度支架等构成。使用电源：50Hz；2.有效刻度不小于100cm。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多普勒效应演示器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1、产品由主体、伸缩杆、电机、调速器、配重块等组成。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2、旋转杆两边做对称设计，保证重心在中间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3、两侧都安装蜂鸣器，3V电源控制，采用感应式开关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4、正转反转可以控制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5、产品旋转速度可调节，电源连接</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6、旋转用两根杆子不使用时可收纳进主体内，节约收纳空间。单边杆子长度约为300mm，产品两侧杆拉出后整体尺寸为838mm*336mm*113mm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7、主体由底座与盖板组合成，都采用ABS材料制成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曲线运动方向实验器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材质：ABS。由4个带有轨道的1/4圆及一个小球释放装置组合而成，配有一个20mm±2mm的小钢球</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9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纵波演示器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中学物理演示纵波的传播、反射等；仪器采用支架（塑料）悬挂弹簧形式，全长1100mm±5mm、Φ60mm±0.5mm螺旋弹簧自由悬挂在支架上，振源金属可上下调节，整套仪器包括机架1套（螺旋弹簧1套、振源2套）；连接杆10根；反光白布1块。</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光导纤维应用演示器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产品由传光、传像、传声三大部分组成。传光、传像部分由光源、有机玻璃棒、光纤束、传像投影屏筒、字母板组成；传声部分由发射器、接收器及光纤束组成。演示板外形尺寸≥：460mm×320mm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感应起电机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起电盘直径：235mm±0.5mm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环境温度：-10℃～40℃</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放电距离：1.在相对湿度为65%的环境中火花放电距离≥55mm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2.在相对温度小于80%的条件下火花放电距离≥30mm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外形尺寸：≥长300mm×宽180mm×高340mm，重约2.3Kg</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实验用蜂蜡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木器保养蜡，20g黄色，使用后为透明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盒</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u型磁铁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表面磁感应强度≥0.055T</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件</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红蜡块</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蜡烛块，可以切成小块放入10mm±0.5mm直径的玻璃管中</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电子称重器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量程0g〜2kg，分辨力0.1g，外形尺寸：≥105mm×130mm×21mm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金属网罩</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金属网罩和绝缘底盘两部分组成。金属网罩的顶端有一个圆孔，用来插入连接器，连接器是一根金属小杆，上端附有金属球，下端装有金属链条，金属杆可以沿着一个短套管滑动并有顶丝制紧。套管卡在金属网罩顶端圆孔中，金属底盘用绝缘支柱固定在底座上。</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5Ω、1.5A，阻值误差W±1%；电阻丝应采用锰铜线或康铜线绕制；按额定电流连续工作15min后，电阻圈外壳两侧温升低于60K；按额定电流连续工作2h后外壳不会出现焦灼、熔化变形、冒烟现象；加热后电阻值变化在1%以内，外形尺寸：≥长100mm×宽30mm×高41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15Ω、0.6A，阻值误差W±1%；电阻丝应采用锰铜线或康铜线绕制；按额定电流连续工作15min后，电阻圈外壳两侧温升低于45K；按额定电流连续工作2h后外壳不会出现焦灼、熔化变形、冒烟现象；加热后电阻值变化在1%以内，外形尺寸：≥长100mm×宽30mm×高41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定值电阻</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Ω、0.22A，阻值误差W±1%；电阻丝应采用锰铜线或康铜线绕制；按额定电流连续工作15min后，电阻圈外壳两侧温升低于45K；按额定电流连续工作2h后外壳会出现焦灼、熔化变形、冒烟现象；加热后电阻值变化在1%以内，外形尺寸：≥长100mm×宽30mm×高41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力的合成分解演示器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1.本产品由精密的分度座标盘、测力计、测力计固定支杆、两个定滑轮和三个滑块等部件巧妙组合而成。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2.分度座标盘采用高品质抗倍特材料精心雕刻，直径为Φ310*12mm。其表面刻有清晰的角度线和数字，具有5°的分度值，每10°特别标注数字，以便于准确读取。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3.测力计固定支杆由直径Φ10mm的圆钢精制而成，长度为200mm，确保了结构的稳固性和耐用性。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4.滑块由铝合金材料制成，可以轻松固定在圆盘的滑槽内，并且能够任意调节角度，以满足不同实验需求5.本产品设计用于与铁架台配合使用</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小沙袋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方形≥60mm×60mm 50g，内装稻壳，外包帆布材质，带绳</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9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玻璃导管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Φ8mm±0.5mm，—端长度为60mm±2mm，—端长度约190mm±2mm，形状为直角，管口烧结处理，避免划伤</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陶土网</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Φ100±2mm，边长150±2mm，金属包边，耐火材料为陶土</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电磁波的发送和接收演示器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发射器频率225MHz～250MHz，等幅、调幅；接收器有声、光、电显示 。产品由发射机部分、接收机部分、电表演示接收器、放大接收器四大部分构成。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三棱镜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重火石玻璃制≥30mm×100mm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泡沫小球</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聚苯乙烯材质，白色D=10mm±0.5mm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感应圈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电子开关式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电谐振演示器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发送：放电距离0.2mm～2mm可调，莱顿瓶电容≥500pF；接收：莱顿瓶电容≥500pF，可变电容350pF～850pF；接收部分应有一个电谐振指示灯，电感环在有效长度100mm～600mm范围可调节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纵横波演示器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由不锈钢杆、弹性片及支架等组成；演示波传播的过程中质点不随波迁移，一个周期波传播一个波长</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光折射演示器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产品由底座、水槽、刻度盘、激光光源，激光光源可旋转，水槽可加入液体，用于演示光的反射、折射、全反射现象。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楞次定律演示器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1.由铝梁、开口铝环、闭口铝环和带顶针的支柱座组成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2.支座采用ABS材质，顶部装钢针，钢针镀铬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电磁感应演示器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由能提供匀强磁场的磁体和带绝缘手柄的闭合矩形线框组成。性能要求：匀强磁场的磁感应强度应足够大，闭合矩形线框面积应小于匀强磁场区域的面积。部分切割或旋转时能够产生较大电流</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三相电机原理演示器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由蹄形磁铁、磁针、铝框、塑料框、方形线圈、支架、转轴、接线柱等组成。性能要求：包含永磁式旋转磁场演示器和电磁式旋转磁场演示器，用于说明旋转磁场的性质和三相感应电动机的原理</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自感现象演示器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底脚可以调节张开的角度，使产品摆放台面时更加平稳。顶部拉手使用PP塑性材质，采用高级氧化工艺，更耐磨损和耐腐蚀，表面磨砂，防滑拎取。演示板上的电学元件有：电源接线柱、单掷开关2个、可调电位器100欧、规格相同的两个小灯泡、红绿颜色各一个的发光二极管、两个不同匝数的电感线圈。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手摇三相交流发电机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演示三相交流电的产生及三相电路的各种连接方法</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旋片式真空泵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直联式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阴极射线管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示直进管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验电羽</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1.由绝缘支架、金属片、细尼龙绳、螺钉等组成。绝缘支架上装有两片金属片，两金属片间夹有若干长条形细尼龙绳。</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2.尼龙绳颜色为红色，线径约1mm，尼龙绳均匀分布在金属片周边，长度不小于100mm。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3.绝缘支杆选用透明亚克力管，其外径为12mm，高度为200mm，起到良好的绝缘性效果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赫兹实验演示器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带电球、发射天线杆、接收天线杆、接收金属杆、感应圈连接金属杆、固定螺丝、氖泡架、底座等组成。接收端天线与发射端天线平行相距400mm，在环境照度为240lx±50lx的室内接通高压电源，接收端氖灯应能看到发光；接收端天线与发射端天线垂直，距离在200mm以内（不接触），接收端氖灯应不亮</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小磁针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小磁针：磁针尺寸≥28mm×8mm，底座尺寸为≥Φ24mm×28mm。磁针体中间铆接铜轴承套，平均磁感应强度≥5 mT。</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翼型磁针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1.由垂直翼形针体和支座组成。</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2.磁针体表面喷漆，漆层均匀无脱落。指北极（N）为红色，指南极（S）为白色。</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3.支座采用ABS材质，顶部装钢针，钢针镀铬。</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4.底座采用ABS材料外壳内铸铁制成，直径设计为Φ80mm，不仅稳固支撑整个装置，还具备了良好的抗冲击性和耐腐蚀性。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条形磁铁</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表面磁感应强度≥0.07T</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铁粉盒</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透明塑料盒子≥长70mm×宽90mm×厚10mm，内封铁屑</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原副线圈</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演示电磁感应和验证楞次定律。</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电磁阻尼演示器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1.本产品由底座、支撑架、摆架、横梁、强阻尼摆、中阻尼摆、弱阻尼摆、同时释放装置、磁铁固定装置以及磁铁等多个部件精心构成，旨在提供精准的物理实验体验。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2.支撑架采用坚固的铁板材料制作，表面经过烤漆处理，不仅确保了结构的稳定性，还展现了美观的外观。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3.磁铁选用高性能强磁材料，具有50*30*5mm的标准外形尺寸。产品中共包含4块磁铁，每块磁铁根据磁性强度分别安装于磁铁固定装置内，以便于进行精确的磁场控制。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4.摆锺包括强阻尼摆、中阻尼摆和弱阻尼摆，均采用高品质铝材加工而成，表面经过光学抛光处理，不仅提升了外观的精致度，还确保了摆动的顺畅性。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5.产品配备了先进的三种阻尼摆同时释放装置，使得实验结果能够形成鲜明对比，增强了实验的观察性和教学效果。</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6.磁铁固定装置设计为可拆卸式，方便在实验过程中进行有磁场和无磁场的对比实验，增加了实验的灵活性和探究性。</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7.底座尺寸为300mm×180mm×40mm，为整个实验装置提供了稳固的基础，保证了实验的稳定性和安全性。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变压器原理说明器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用于变压器原理、电磁感应和交流电性质等实验</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内聚力演示器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 2 个铅圆柱体、旋转式刮削器、挤压器、2根扳杆及挤压架组成；挤压架采用铁质结构，2个铅圆柱体应能装入挤压器中，通过螺旋实现挤压；刮削器由转柄、刀片和刀轴组成，削平的两个铅圆柱体端面压在一起后，承受轴向拉力应≥60 N</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光谱管组</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管内充有Ne、Hg、H2、He、Ar、O2、Kr、N2等气体</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分光镜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产品是由保护片、单缝、透镜、组合棱镜、保护片组成，产品规格100mm×25mm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电磁振荡演示仪</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由具有铁芯的电感线圈、电容器、集成电路等组成，包括等幅振荡演示电路和减幅振荡演示电路，仪器面板上印有原理图</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库伦扭秤模型</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由悬丝、横杆、两个带电金属小球、一个平衡小球、一个移电小球、旋钮和电磁阻尼部分等组成</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体重秤</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指针式，测量范围0kg〜160kg，分度值0.5kg</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测力计</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5N，条形盒测力计</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范氏起电机</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由大金属壳、绝缘支架、传送带、转轮、尖端导体、接地导体板组成，电压可达数百万伏</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奥斯特演示器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1.本产品由底座、导电支架、导线、接线柱和开关组成。底座面板上画有产品电路的连接方式。主要用于奥斯特实验的演示。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2.本产品的导电支架采用1.5mm厚，15mm的优质铜质材料精心打造，经过精细的电镀工艺处理，不仅保障了支架的坚固稳定性，同时也赋予了其优雅美观的外观。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3.接线柱设计兼顾实用与便捷，提供了插接和夹持两种连接方式，以满足不同使用需求。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4.仪器面板采用丝印技术清晰标注电路图，使得电路连接逻辑清晰直观，便于操作与维护。</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5.底座尺寸为300mm×180mm×40mm，为整个实验装置提供了稳固的基础，保证了实验的稳定性和安全性。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特殊圆锥曲面演示器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本产品是一款专为教育和科研设计的模拟条形磁铁D-CG-LT-180磁感线演示模型，采用高精度光敏树脂材料一体成型技术制作。该模型旨在直观展示磁场强度变化与感应电流产生之间的关联性。将两根条形磁铁嵌入圆柱体部分，确保稳固不晃动；锥体部分则精确模拟磁感线的分布，形象展现磁场特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单摆实验器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该单摆实验装置由单摆球组、调节轮盘及刻度盘构成，通过机械结构与光学辅助实现摆长、摆角精准控制，适配多变量物理实验。实验需搭配铁架台使用。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1.单摆球组：含5个不同材质与直径的摆球（如铁、塑料等），支持摆球质量、体积变量对比实验；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2.调节轮盘：由线盘（绕线轮）、线固定块及镀锌板支架（138mm×46.1mm×41.1mm）组成，线盘可精确收放摆线，线固定块夹紧摆线锁定摆长，确保摆动过程中悬点位置恒定；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3.刻度盘：同规格镀锌板支架（138mm×46.1mm×41.1mm），表面丝印摆角刻度（0°居中），中央嵌平面镜辅助目视校准，使摆线初始位置精准对齐0°；</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电容充放电</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电流计、电压表、定值电阻220欧、电解电容、发光二极管红、绿各一个、双掷开关组成。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伏安特性实验板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单掷开关、电流表、电压表、电源接线柱、用电器接线柱、可调电位器、小灯泡3.8V0.3A、稳压二极管、电阻丝。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电阻率与温度关系演示器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电流表、小灯泡、可调电位器、电阻丝（灯丝裸露在外的小灯泡）。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常用电容器示教板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w:t>
            </w:r>
            <w:r>
              <w:rPr>
                <w:rFonts w:hint="eastAsia" w:ascii="宋体" w:hAnsi="宋体" w:eastAsia="宋体" w:cs="宋体"/>
                <w:i w:val="0"/>
                <w:iCs w:val="0"/>
                <w:color w:val="auto"/>
                <w:sz w:val="22"/>
                <w:szCs w:val="22"/>
                <w:highlight w:val="none"/>
                <w:u w:val="none"/>
                <w:lang w:val="en-US" w:eastAsia="zh-CN" w:bidi="ar"/>
              </w:rPr>
              <w:t xml:space="preserve">平稳。顶部拉手使用PP塑性材质，采用高级氧化工艺，更耐磨损和耐腐蚀，表面磨砂，防滑拎取。电容器的种类包括：云母电容、涤纶电容、瓷片电容、独石电容、双层法拉电容、安规电容、校正电容、薄膜电容、贴片电容、C型法拉电容、电解电容1000μF25v、启动电容、可变电容、微调电容、贴片铝电容。每种电容都装在亚克力盒子内，有效防止外界的污染。每种电容采用插拔的方式固定在展示板上，方便观察者取下近距离观察。每款电容在展示板上都标有常用的使用场景，使学生联想生活，更易记住。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常用电阻器示教板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w:t>
            </w:r>
            <w:r>
              <w:rPr>
                <w:rFonts w:hint="eastAsia" w:ascii="宋体" w:hAnsi="宋体" w:eastAsia="宋体" w:cs="宋体"/>
                <w:i w:val="0"/>
                <w:iCs w:val="0"/>
                <w:color w:val="auto"/>
                <w:sz w:val="22"/>
                <w:szCs w:val="22"/>
                <w:highlight w:val="none"/>
                <w:u w:val="none"/>
                <w:lang w:val="en-US" w:eastAsia="zh-CN" w:bidi="ar"/>
              </w:rPr>
              <w:t xml:space="preserve">顶部拉手使用PP塑性材质，采用高级氧化工艺，更耐磨损和耐腐蚀，表面磨砂，防滑拎取。电阻的种类包括：贴片电阻、水泥电阻、碳膜电阻、普通电阻330Ω、绕线电阻、光敏电阻5506光敏电阻5MM、NTC热敏电阻10kΩ、压敏电阻、拔盘电位器、可调电位器、碳膜电位器、卧式可调电位器、调速电位器每种电容都装在亚克力盒子内，有效防止外界的污染。每种电容采用插拔的方式固定在展示板上，方便观察者取下近距离观察。每款电阻在展示板上都标有常用的使用场景，使学生联想生活，更易记住。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109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霍尔效应示教板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电流表3mA、电流表5mA，霍尔元器件、调频电位器100欧、单刀开关组成。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交流电路特性演示器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w:t>
            </w:r>
            <w:r>
              <w:rPr>
                <w:rFonts w:hint="eastAsia" w:ascii="宋体" w:hAnsi="宋体" w:eastAsia="宋体" w:cs="宋体"/>
                <w:i w:val="0"/>
                <w:iCs w:val="0"/>
                <w:color w:val="auto"/>
                <w:sz w:val="22"/>
                <w:szCs w:val="22"/>
                <w:highlight w:val="none"/>
                <w:u w:val="none"/>
                <w:lang w:val="en-US" w:eastAsia="zh-CN" w:bidi="ar"/>
              </w:rPr>
              <w:t xml:space="preserve">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感1000匝（1.25H）、电感200匝（50mH）、电容1000uf、电容47uf、电阻330欧、灯泡12V3W及灯座等组成，面板有3只单刀双掷开关和3只单刀开关及交、直流电源接线柱组成。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111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门窗防盗报警装置演示器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开关、蜂鸣器、定值电阻330欧、发光二极管、继电器、干簧管、磁铁、单刀开关。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112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光控开关</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继电器、单刀开关、继电器、光敏电阻、小黑盒子、调频电位器、二极管、小灯座，小灯泡3.8V0.3A、三极管等。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光控开关（无继电器）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定值电阻330欧、发光二极管、三极管、光敏电阻、小黑盒、单刀开关、调频电位器1K等。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光电效应演示器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流计、G4灯泡、电压表正负30V、遮光板（红黄蓝绿4种颜色）、微电流放大器、光电管、遮光板、可调电阻×4。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115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三极管的性质实验板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电源接线柱、三极管、单刀开关、调频电位器、电压表、电流计和电流表2个组成。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光敏、热敏电阻应用演示板</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产品组成：面板和背封板使用5.0抗倍特板，上下封板采用铝合型材，左右封板及底脚采用吸塑工艺，脚宽32mm±2mm，脚长182.5mm±2mm，安装后两脚间距326mm±2mm，底脚可以调节张开的角度，使产品摆放台面时更加平稳。顶部拉手使用PP塑性材质，采用高级氧化工艺，更耐磨损和耐腐蚀，表面磨砂，防滑拎取。演示板上的电学元件有：微安表、光敏电阻及黑盒、双掷开关、PTC和NTC两种热敏电阻、导线及强光手电筒。产品外形尺寸≥600mm×400mm×67.3mm</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117 </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温差发电实验器</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该装置由铝板、制冷片、散热组件及控制模块构成，需配合自备烧杯完成温差能量转换实验。</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1.铝板：5.0mm加厚铝板×2片，高热传导性确保温差现象显著，支撑稳定；</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2.制冷片：40mm×40mm×3.4mm半导体模块，碲化铋（BiTe）材料双面陶瓷封装，704硅胶填充绝缘，低温锡铋焊料焊接，支持双向电流切换实现发电/制冷模式；</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3.散热系统：</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小风扇：DC 1.0～5.0V宽压驱动，适配温差发电自供电或外接电源，用于强制散热；</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电机安装板及罩壳：1.0mm镀锌板灰色环氧喷涂，耐高温抗腐蚀；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控制模块：双向开关与接线柱，自由切换电流方向，直观演示温差发电（塞贝克效应）与电制冷（帕尔贴效应）；</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 </w:t>
            </w:r>
            <w:r/>
          </w:p>
        </w:tc>
      </w:tr>
      <w:tr>
        <w:trPr>
          <w:trHeight w:val="480"/>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物理准备室</w:t>
            </w:r>
            <w:r/>
          </w:p>
        </w:tc>
      </w:tr>
      <w:tr>
        <w:trPr>
          <w:trHeight w:val="9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实验台</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规格：3000mm×1200mm×800mm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1、台面：采用≥12.7mm厚实芯理化板制作，切割处正反面去毛刺切口打磨平整。表面有良好的耐腐蚀性及具有良好的承重性能。</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2、柜体：全钢结构，上抽下门设计，采用≥1.0mm高强度镀锌钢板，切割折弯成型焊接打磨平整，表面经环氧树脂喷涂处理。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3、门板及抽面：采用双层结构，组装式设计，保证单层钢板双面都喷涂处理，门板中间填充隔音材料，减少关门时产生的噪声。防撞胶垫：装于抽屉及门板内侧，减缓碰撞，保护柜体。</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4、拉手：采用一字拉手。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5、不锈钢防腐合页：采用优质不锈钢模具一体成型。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6、防腐三节静音导轨：三节滚珠滑轨，承重性强，滑动顺滑。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7、固定桌脚：采用柜体内置可调ABS调整脚，保证调整脚前后都可以调节高低。</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张</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02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岛式插座盒</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钢制线盒，预留标准安装位，可同时安装2个86型五孔插座，主框架采用裸板实际厚度≥1.0mm厚优质钢材产一级高强度镀锌钢板经CNC机压成型、焊接制作，环氧树脂静电粉末涂装处理。可安装2个86款插座。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102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插座</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规格：86mm×86mm。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1、数量2个。</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2、10A交流输出五孔插座</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763"/>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仪器柜</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规格：1000mm×500mm×2000mm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8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储存桶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全新料，防泄漏，密封强，耐腐蚀，耐酸碱桶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托盘</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规格：430mm×530mm×110mm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托盘，PP材质，注塑成型，载重36KG</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88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圆形桶</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采用开口冷轧板，镀锌圆形桶</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144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11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干粉灭火器</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1、商品剂量：士0.05Kg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2、喷射距离：≥3.5CM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3、灭火级别：1A/21B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4、使用温度：-20°C~+50°C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5、瓶身材质：钢材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6、干粉保质：5年</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套</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r>
      <w:tr>
        <w:trPr>
          <w:trHeight w:val="1700"/>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小推车</w:t>
            </w:r>
            <w:r/>
          </w:p>
        </w:tc>
        <w:tc>
          <w:tcPr>
            <w:shd w:val="clear" w:color="auto" w:fill="auto"/>
            <w:tcW w:w="6117"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规格：600mm×450mm×850mm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层板内空净尺寸长宽≥550mm×400mm，双层层板设计，板材厚度≥0.75mm304不锈钢，立柱采用≥Φ28mm圆管，厚度≥1.0mm，二层之间层间距≥440mm，护栏采用≥16mm不锈钢，高≥70mm，每层加强横梁1根，单层载重不小于150KG。</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2、推手通过专用模具成型和立柱为一体式设计，便于推动，握感舒适，整体焊接后打磨抛光处理。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3、配件：优质静音万向轮，360°全方位旋转，其中2只带刹车功能，移动方便，安全更耐用。</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4、产品采用焊接连接方式、经打磨抛光处理，无毛刺不刮手。</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480"/>
        </w:trPr>
        <w:tc>
          <w:tcPr>
            <w:gridSpan w:val="8"/>
            <w:shd w:val="clear" w:color="auto" w:fill="auto"/>
            <w:tcW w:w="949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物理仪器室</w:t>
            </w:r>
            <w:r/>
          </w:p>
        </w:tc>
      </w:tr>
      <w:tr>
        <w:trPr>
          <w:trHeight w:val="1271"/>
        </w:trPr>
        <w:tc>
          <w:tcPr>
            <w:gridSpan w:val="3"/>
            <w:shd w:val="clear" w:color="auto" w:fill="auto"/>
            <w:tcW w:w="67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W w:w="115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加大仪器柜</w:t>
            </w:r>
            <w:r/>
          </w:p>
        </w:tc>
        <w:tc>
          <w:tcPr>
            <w:shd w:val="clear" w:color="auto" w:fill="auto"/>
            <w:tcW w:w="6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规格：1350mm×500mm×2000mm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1、柜体：全钢结构，上下双开门设计，采用≥1.0mm高强度镀锌钢板，切割折弯成型焊接打磨平整，表面经环氧树脂喷涂处理。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2、柜门：上门为钢制整板开孔门框，内嵌玻璃；下门组装式设计，保证单层钢板双面都喷涂处理，门板中间填充隔音材料，减少关门时产生的噪声。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3、拉手：采用不锈钢拉手。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4、隔板：采用≥1.0mm高强度镀锌钢板，成型后≥20mm一体成型，柜体内带调节孔，上下可以调节。</w:t>
            </w:r>
            <w:r/>
          </w:p>
        </w:tc>
        <w:tc>
          <w:tcPr>
            <w:gridSpan w:val="2"/>
            <w:shd w:val="clear" w:color="auto" w:fill="auto"/>
            <w:tcW w:w="67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个</w:t>
            </w:r>
            <w:r/>
          </w:p>
        </w:tc>
        <w:tc>
          <w:tcPr>
            <w:shd w:val="clear" w:color="auto" w:fill="auto"/>
            <w:tcW w:w="8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r>
    </w:tbl>
    <w:p>
      <w:pPr>
        <w:pStyle w:val="813"/>
        <w:ind w:left="0" w:firstLine="0"/>
        <w:rPr>
          <w:rFonts w:hint="eastAsia"/>
          <w:color w:val="auto"/>
          <w:highlight w:val="none"/>
          <w:lang w:val="en-US" w:eastAsia="zh-CN"/>
        </w:rPr>
      </w:pPr>
      <w:r>
        <w:rPr>
          <w:rFonts w:hint="eastAsia"/>
          <w:color w:val="auto"/>
          <w:highlight w:val="none"/>
          <w:lang w:val="en-US" w:eastAsia="zh-CN"/>
        </w:rPr>
      </w:r>
      <w:r/>
    </w:p>
    <w:p>
      <w:pPr>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注：</w:t>
      </w:r>
      <w:r/>
    </w:p>
    <w:p>
      <w:pPr>
        <w:numPr>
          <w:ilvl w:val="0"/>
          <w:numId w:val="0"/>
        </w:numPr>
        <w:ind w:firstLine="480"/>
        <w:jc w:val="left"/>
        <w:spacing w:line="360" w:lineRule="auto"/>
        <w:tabs>
          <w:tab w:val="left" w:pos="525" w:leader="none"/>
          <w:tab w:val="left" w:pos="630" w:leader="none"/>
          <w:tab w:val="left" w:pos="735" w:leader="none"/>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本项目中未详细标明产品长、宽、高的，尺寸顺序均为（长）mm*（宽）mm*（高）mm。</w:t>
      </w:r>
      <w:r/>
    </w:p>
    <w:p>
      <w:pPr>
        <w:ind w:firstLine="480"/>
        <w:jc w:val="left"/>
        <w:spacing w:line="360" w:lineRule="auto"/>
        <w:widowControl/>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依据财政部、发展改革委发布的《节能产品政府采购品目清单》，本项目</w:t>
      </w:r>
      <w:r>
        <w:rPr>
          <w:rFonts w:hint="eastAsia" w:ascii="宋体" w:hAnsi="宋体" w:cs="宋体"/>
          <w:color w:val="auto"/>
          <w:sz w:val="24"/>
          <w:szCs w:val="24"/>
          <w:highlight w:val="none"/>
          <w:lang w:val="en-US" w:eastAsia="zh-CN"/>
        </w:rPr>
        <w:t xml:space="preserve">中涉及</w:t>
      </w:r>
      <w:r>
        <w:rPr>
          <w:rFonts w:hint="eastAsia" w:ascii="宋体" w:hAnsi="宋体" w:eastAsia="宋体" w:cs="宋体"/>
          <w:color w:val="auto"/>
          <w:sz w:val="24"/>
          <w:szCs w:val="24"/>
          <w:highlight w:val="none"/>
        </w:rPr>
        <w:t xml:space="preserve">政府强制采购节能产品，</w:t>
      </w:r>
      <w:r>
        <w:rPr>
          <w:rFonts w:hint="eastAsia" w:ascii="宋体" w:hAnsi="宋体" w:eastAsia="宋体" w:cs="宋体"/>
          <w:b w:val="0"/>
          <w:bCs w:val="0"/>
          <w:color w:val="auto"/>
          <w:sz w:val="24"/>
          <w:szCs w:val="24"/>
          <w:highlight w:val="none"/>
        </w:rPr>
        <w:t xml:space="preserve">所投产品只能选择具有国家确定的认证机构出具的、处于有效期之内的节能产品认证证书的产品进行报价，供应商或所投产品的制造商需提供相关产品的有效节能产品认证证书，认证机构详见市场监管总局发布的《参与实施政府采购节能产品认证机构名录》。本项目中有信息安全产品的，必须选择经国家认证的信息安全产品，并提供由中国信息安全认证中心（中国网络安全审查技术与认证中心）颁发的有效认证证书原件。</w:t>
      </w:r>
      <w:bookmarkStart w:id="4" w:name="OLE_LINK15"/>
      <w:r>
        <w:rPr>
          <w:rFonts w:hint="eastAsia" w:ascii="宋体" w:hAnsi="宋体" w:eastAsia="宋体" w:cs="宋体"/>
          <w:b/>
          <w:bCs/>
          <w:color w:val="auto"/>
          <w:sz w:val="24"/>
          <w:szCs w:val="24"/>
          <w:highlight w:val="none"/>
        </w:rPr>
        <w:t xml:space="preserve">供应商须承诺中标后按要求提供上述要求提供的证明材料，投标时提供承诺书（格式自拟），未提供承诺书的，作为无效投标处理。</w:t>
      </w:r>
      <w:bookmarkEnd w:id="4"/>
      <w:r/>
      <w:r/>
    </w:p>
    <w:p>
      <w:pPr>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bCs w:val="0"/>
          <w:color w:val="auto"/>
          <w:sz w:val="24"/>
          <w:szCs w:val="24"/>
          <w:highlight w:val="none"/>
        </w:rPr>
      </w:pPr>
      <w:r>
        <w:rPr>
          <w:rFonts w:hint="eastAsia" w:ascii="Calibri" w:hAnsi="Calibri" w:eastAsia="宋体" w:cs="Calibri"/>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主要产品</w:t>
      </w:r>
      <w:r>
        <w:rPr>
          <w:rFonts w:hint="eastAsia" w:ascii="宋体" w:hAnsi="宋体" w:eastAsia="宋体" w:cs="宋体"/>
          <w:b/>
          <w:bCs w:val="0"/>
          <w:color w:val="auto"/>
          <w:sz w:val="24"/>
          <w:szCs w:val="24"/>
          <w:highlight w:val="none"/>
          <w:lang w:val="en-US" w:eastAsia="zh-CN"/>
        </w:rPr>
        <w:t xml:space="preserve">及材质</w:t>
      </w:r>
      <w:r>
        <w:rPr>
          <w:rFonts w:hint="eastAsia" w:ascii="宋体" w:hAnsi="宋体" w:eastAsia="宋体" w:cs="宋体"/>
          <w:b/>
          <w:bCs w:val="0"/>
          <w:color w:val="auto"/>
          <w:sz w:val="24"/>
          <w:szCs w:val="24"/>
          <w:highlight w:val="none"/>
        </w:rPr>
        <w:t xml:space="preserve">相关执行标准及技术要求</w:t>
      </w:r>
      <w:r/>
    </w:p>
    <w:tbl>
      <w:tblPr>
        <w:tblStyle w:val="808"/>
        <w:tblW w:w="9037"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328"/>
      </w:tblGrid>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832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内容</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32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教师演示讲台</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24820-2024</w:t>
            </w:r>
            <w:r/>
          </w:p>
        </w:tc>
      </w:tr>
      <w:tr>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1.实验台面净深</w:t>
            </w:r>
            <w:r>
              <w:rPr>
                <w:rFonts w:hint="eastAsia" w:ascii="宋体" w:hAnsi="宋体" w:cs="宋体"/>
                <w:color w:val="auto"/>
                <w:sz w:val="24"/>
                <w:szCs w:val="24"/>
                <w:highlight w:val="none"/>
                <w:lang w:val="en-US" w:eastAsia="zh-CN"/>
              </w:rPr>
              <w:t xml:space="preserve">：600mm~900mm；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2.分缝</w:t>
            </w:r>
            <w:r>
              <w:rPr>
                <w:rFonts w:hint="eastAsia" w:ascii="宋体" w:hAnsi="宋体" w:cs="宋体"/>
                <w:color w:val="auto"/>
                <w:sz w:val="24"/>
                <w:szCs w:val="24"/>
                <w:highlight w:val="none"/>
                <w:lang w:val="en-US" w:eastAsia="zh-CN"/>
              </w:rPr>
              <w:t xml:space="preserve">：</w:t>
            </w:r>
            <w:r>
              <w:rPr>
                <w:rFonts w:hint="eastAsia"/>
                <w:color w:val="auto"/>
                <w:sz w:val="24"/>
                <w:szCs w:val="22"/>
                <w:highlight w:val="none"/>
              </w:rPr>
              <w:t xml:space="preserve">非设计要求≤2.0</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3.抽屉下垂度</w:t>
            </w:r>
            <w:r>
              <w:rPr>
                <w:rFonts w:hint="eastAsia" w:ascii="宋体" w:hAnsi="宋体" w:cs="宋体"/>
                <w:color w:val="auto"/>
                <w:sz w:val="24"/>
                <w:szCs w:val="24"/>
                <w:highlight w:val="none"/>
                <w:lang w:val="en-US" w:eastAsia="zh-CN"/>
              </w:rPr>
              <w:t xml:space="preserve">≤20mm；</w:t>
            </w:r>
            <w:r>
              <w:rPr>
                <w:rFonts w:hint="eastAsia" w:ascii="宋体" w:hAnsi="宋体" w:cs="宋体"/>
                <w:b/>
                <w:bCs/>
                <w:color w:val="auto"/>
                <w:sz w:val="24"/>
                <w:szCs w:val="24"/>
                <w:highlight w:val="none"/>
                <w:lang w:val="en-US" w:eastAsia="zh-CN"/>
              </w:rPr>
              <w:t xml:space="preserve">抽屉摆动度</w:t>
            </w:r>
            <w:r>
              <w:rPr>
                <w:rFonts w:hint="eastAsia" w:ascii="宋体" w:hAnsi="宋体" w:cs="宋体"/>
                <w:color w:val="auto"/>
                <w:sz w:val="24"/>
                <w:szCs w:val="24"/>
                <w:highlight w:val="none"/>
                <w:lang w:val="en-US" w:eastAsia="zh-CN"/>
              </w:rPr>
              <w:t xml:space="preserve">≤15mm；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4.安全性能</w:t>
            </w:r>
            <w:r>
              <w:rPr>
                <w:rFonts w:hint="eastAsia" w:ascii="宋体" w:hAnsi="宋体" w:cs="宋体"/>
                <w:color w:val="auto"/>
                <w:sz w:val="24"/>
                <w:szCs w:val="24"/>
                <w:highlight w:val="none"/>
                <w:lang w:val="en-US" w:eastAsia="zh-CN"/>
              </w:rPr>
              <w:t xml:space="preserve">：实验台面接缝应平整、紧密，不应渗水、开缝。实验台的把手不应有可积聚物质的凹槽。</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5.实验台力学性能-实验台耐久性</w:t>
            </w:r>
            <w:r/>
          </w:p>
          <w:p>
            <w:pPr>
              <w:ind w:left="0" w:right="0"/>
              <w:keepLines w:val="0"/>
              <w:keepNext w:val="0"/>
              <w:spacing w:before="0" w:beforeAutospacing="0" w:after="0" w:afterAutospacing="0" w:line="360" w:lineRule="auto"/>
              <w:rPr>
                <w:rFonts w:hint="eastAsia" w:ascii="宋体" w:hAnsi="宋体" w:cs="宋体"/>
                <w:i w:val="0"/>
                <w:iCs w:val="0"/>
                <w:caps w:val="0"/>
                <w:color w:val="auto"/>
                <w:spacing w:val="0"/>
                <w:sz w:val="24"/>
                <w:szCs w:val="24"/>
                <w:highlight w:val="none"/>
                <w:shd w:val="clear" w:color="auto" w:fill="ffffff"/>
                <w:lang w:eastAsia="zh-CN"/>
              </w:rPr>
              <w:suppressLineNumbers w:val="0"/>
            </w:pPr>
            <w:r>
              <w:rPr>
                <w:rFonts w:hint="eastAsia" w:ascii="宋体" w:hAnsi="宋体" w:cs="宋体"/>
                <w:color w:val="auto"/>
                <w:sz w:val="24"/>
                <w:szCs w:val="24"/>
                <w:highlight w:val="none"/>
                <w:lang w:val="en-US" w:eastAsia="zh-CN"/>
              </w:rPr>
              <w:t xml:space="preserve">（1）水平耐久性试验：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2</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color w:val="auto"/>
                <w:sz w:val="24"/>
                <w:szCs w:val="24"/>
                <w:highlight w:val="none"/>
                <w:lang w:val="en-US" w:eastAsia="zh-CN"/>
              </w:rPr>
              <w:t xml:space="preserve">垂直耐久性试验：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color w:val="auto"/>
                <w:sz w:val="24"/>
                <w:szCs w:val="24"/>
                <w:highlight w:val="none"/>
                <w:lang w:val="en-US" w:eastAsia="zh-CN"/>
              </w:rPr>
              <w:t xml:space="preserve">。</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6.实验台力学性能-独立式实验台稳定性</w:t>
            </w:r>
            <w:r/>
          </w:p>
          <w:p>
            <w:pPr>
              <w:ind w:left="0" w:right="0"/>
              <w:keepLines w:val="0"/>
              <w:keepNext w:val="0"/>
              <w:spacing w:before="0" w:beforeAutospacing="0" w:after="0" w:afterAutospacing="0" w:line="360" w:lineRule="auto"/>
              <w:rPr>
                <w:rFonts w:hint="eastAsia" w:ascii="宋体" w:hAnsi="宋体" w:cs="宋体"/>
                <w:i w:val="0"/>
                <w:iCs w:val="0"/>
                <w:caps w:val="0"/>
                <w:color w:val="auto"/>
                <w:spacing w:val="0"/>
                <w:sz w:val="24"/>
                <w:szCs w:val="24"/>
                <w:highlight w:val="none"/>
                <w:shd w:val="clear" w:color="auto" w:fill="ffffff"/>
                <w:lang w:eastAsia="zh-CN"/>
              </w:rPr>
              <w:suppressLineNumbers w:val="0"/>
            </w:pPr>
            <w:r>
              <w:rPr>
                <w:rFonts w:hint="eastAsia" w:ascii="宋体" w:hAnsi="宋体" w:cs="宋体"/>
                <w:color w:val="auto"/>
                <w:sz w:val="24"/>
                <w:szCs w:val="24"/>
                <w:highlight w:val="none"/>
                <w:lang w:val="en-US" w:eastAsia="zh-CN"/>
              </w:rPr>
              <w:t xml:space="preserve">（1）水平冲击稳定性试验：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cs="宋体"/>
                <w:i w:val="0"/>
                <w:iCs w:val="0"/>
                <w:caps w:val="0"/>
                <w:color w:val="auto"/>
                <w:spacing w:val="0"/>
                <w:sz w:val="24"/>
                <w:szCs w:val="24"/>
                <w:highlight w:val="none"/>
                <w:shd w:val="clear" w:color="auto" w:fill="ffffff"/>
                <w:lang w:eastAsia="zh-CN"/>
              </w:rPr>
              <w:suppressLineNumbers w:val="0"/>
            </w:pP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2</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color w:val="auto"/>
                <w:sz w:val="24"/>
                <w:szCs w:val="24"/>
                <w:highlight w:val="none"/>
                <w:lang w:val="en-US" w:eastAsia="zh-CN"/>
              </w:rPr>
              <w:t xml:space="preserve">符合垂直加载稳定性试验：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3</w:t>
            </w:r>
            <w:r>
              <w:rPr>
                <w:rFonts w:hint="eastAsia" w:ascii="宋体" w:hAnsi="宋体" w:cs="宋体"/>
                <w:i w:val="0"/>
                <w:iCs w:val="0"/>
                <w:caps w:val="0"/>
                <w:color w:val="auto"/>
                <w:spacing w:val="0"/>
                <w:sz w:val="24"/>
                <w:szCs w:val="24"/>
                <w:highlight w:val="none"/>
                <w:shd w:val="clear" w:color="auto" w:fill="ffffff"/>
                <w:lang w:eastAsia="zh-CN"/>
              </w:rPr>
              <w:t xml:space="preserve">）</w:t>
            </w:r>
            <w:r>
              <w:rPr>
                <w:rFonts w:hint="eastAsia" w:ascii="宋体" w:hAnsi="宋体" w:cs="宋体"/>
                <w:color w:val="auto"/>
                <w:sz w:val="24"/>
                <w:szCs w:val="24"/>
                <w:highlight w:val="none"/>
                <w:lang w:val="en-US" w:eastAsia="zh-CN"/>
              </w:rPr>
              <w:t xml:space="preserve">具有推拉构件的稳定性试验：</w:t>
            </w:r>
            <w:r>
              <w:rPr>
                <w:rFonts w:hint="eastAsia" w:ascii="宋体" w:hAnsi="宋体" w:eastAsia="宋体" w:cs="宋体"/>
                <w:i w:val="0"/>
                <w:iCs w:val="0"/>
                <w:caps w:val="0"/>
                <w:color w:val="auto"/>
                <w:spacing w:val="0"/>
                <w:sz w:val="24"/>
                <w:szCs w:val="24"/>
                <w:highlight w:val="none"/>
                <w:shd w:val="clear" w:color="auto" w:fill="ffffff"/>
              </w:rPr>
              <w:t xml:space="preserve">符合标准要求</w:t>
            </w:r>
            <w:r>
              <w:rPr>
                <w:rFonts w:hint="eastAsia" w:ascii="宋体" w:hAnsi="宋体" w:cs="宋体"/>
                <w:color w:val="auto"/>
                <w:sz w:val="24"/>
                <w:szCs w:val="24"/>
                <w:highlight w:val="none"/>
                <w:lang w:val="en-US"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32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学生实验桌</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24820-2024 、QB/T3826-1999。</w:t>
            </w:r>
            <w:r/>
          </w:p>
        </w:tc>
      </w:tr>
      <w:tr>
        <w:trPr>
          <w:trHeight w:val="228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理化性能—通用要求（电镀层抗盐雾）</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盐雾试验时间≥18h，直径1.5mm以下锈点≤20点/dm²，其中直径≥1.0mm锈点不超过5点（距边缘棱角2mm以内的锈点不计）。</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实验台力学性能—实验台强度</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（2）主台面垂直静载荷试验：符合标准要求；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（3）台面挠度试验：符合标准要求；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（4）跌落试验：符合标准要求。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实验台力学性能—独立式实验台稳定性</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（1）水平冲击稳定性试验：符合标准要求；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（2）垂直加载稳定性试验：符合标准要求。</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铝合金万向罩（抽检）采用的检测标准：GB/T 10125-2021</w:t>
            </w:r>
            <w:r>
              <w:rPr>
                <w:rFonts w:hint="eastAsia" w:ascii="宋体" w:hAnsi="宋体" w:cs="宋体"/>
                <w:color w:val="auto"/>
                <w:sz w:val="24"/>
                <w:szCs w:val="24"/>
                <w:highlight w:val="none"/>
                <w:lang w:eastAsia="zh-CN"/>
              </w:rPr>
              <w:t xml:space="preserve">、GB/T 6461-2002。</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pStyle w:val="828"/>
              <w:ind w:left="0" w:right="0" w:firstLine="0"/>
              <w:keepLines w:val="0"/>
              <w:keepNext w:val="0"/>
              <w:spacing w:before="0" w:beforeAutospacing="0" w:after="0" w:afterAutospacing="0" w:line="360" w:lineRule="auto"/>
              <w:shd w:val="clear" w:color="auto" w:fill="ffffff"/>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pStyle w:val="828"/>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中性盐雾试验</w:t>
            </w:r>
            <w:r>
              <w:rPr>
                <w:rFonts w:hint="eastAsia" w:ascii="宋体" w:hAnsi="宋体" w:eastAsia="宋体" w:cs="宋体"/>
                <w:i w:val="0"/>
                <w:iCs w:val="0"/>
                <w:caps w:val="0"/>
                <w:color w:val="auto"/>
                <w:spacing w:val="0"/>
                <w:sz w:val="24"/>
                <w:szCs w:val="24"/>
                <w:highlight w:val="none"/>
                <w:shd w:val="clear" w:color="auto" w:fill="ffffff"/>
              </w:rPr>
              <w:t xml:space="preserve">：试验时间≥</w:t>
            </w:r>
            <w:r>
              <w:rPr>
                <w:rFonts w:hint="eastAsia" w:cs="宋体"/>
                <w:i w:val="0"/>
                <w:iCs w:val="0"/>
                <w:caps w:val="0"/>
                <w:color w:val="auto"/>
                <w:spacing w:val="0"/>
                <w:sz w:val="24"/>
                <w:szCs w:val="24"/>
                <w:highlight w:val="none"/>
                <w:shd w:val="clear" w:color="auto" w:fill="ffffff"/>
                <w:lang w:val="en-US" w:eastAsia="zh-CN"/>
              </w:rPr>
              <w:t xml:space="preserve">24</w:t>
            </w:r>
            <w:r>
              <w:rPr>
                <w:rFonts w:hint="eastAsia" w:ascii="宋体" w:hAnsi="宋体" w:eastAsia="宋体" w:cs="宋体"/>
                <w:i w:val="0"/>
                <w:iCs w:val="0"/>
                <w:caps w:val="0"/>
                <w:color w:val="auto"/>
                <w:spacing w:val="0"/>
                <w:sz w:val="24"/>
                <w:szCs w:val="24"/>
                <w:highlight w:val="none"/>
                <w:shd w:val="clear" w:color="auto" w:fill="ffffff"/>
              </w:rPr>
              <w:t xml:space="preserve">0 小时</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保护等级≥</w:t>
            </w:r>
            <w:r>
              <w:rPr>
                <w:rFonts w:hint="eastAsia" w:ascii="宋体" w:hAnsi="宋体" w:eastAsia="宋体" w:cs="宋体"/>
                <w:b/>
                <w:bCs/>
                <w:i w:val="0"/>
                <w:iCs w:val="0"/>
                <w:caps w:val="0"/>
                <w:color w:val="auto"/>
                <w:spacing w:val="0"/>
                <w:sz w:val="24"/>
                <w:szCs w:val="24"/>
                <w:highlight w:val="none"/>
                <w:shd w:val="clear" w:color="auto" w:fill="ffffff"/>
              </w:rPr>
              <w:t xml:space="preserve">6级</w:t>
            </w:r>
            <w:r>
              <w:rPr>
                <w:rFonts w:hint="eastAsia" w:ascii="宋体" w:hAnsi="宋体" w:eastAsia="宋体" w:cs="宋体"/>
                <w:i w:val="0"/>
                <w:iCs w:val="0"/>
                <w:caps w:val="0"/>
                <w:color w:val="auto"/>
                <w:spacing w:val="0"/>
                <w:sz w:val="24"/>
                <w:szCs w:val="24"/>
                <w:highlight w:val="none"/>
                <w:shd w:val="clear" w:color="auto" w:fill="ffffff"/>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准备台（抽检）采用的检测标准：GB/T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抽屉下垂度</w:t>
            </w:r>
            <w:r>
              <w:rPr>
                <w:rFonts w:hint="eastAsia" w:ascii="宋体" w:hAnsi="宋体" w:eastAsia="宋体" w:cs="宋体"/>
                <w:color w:val="auto"/>
                <w:sz w:val="24"/>
                <w:szCs w:val="24"/>
                <w:highlight w:val="none"/>
              </w:rPr>
              <w:t xml:space="preserve">≤20mm；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着地平稳性</w:t>
            </w:r>
            <w:r>
              <w:rPr>
                <w:rFonts w:hint="eastAsia" w:ascii="宋体" w:hAnsi="宋体" w:eastAsia="宋体" w:cs="宋体"/>
                <w:color w:val="auto"/>
                <w:sz w:val="24"/>
                <w:szCs w:val="24"/>
                <w:highlight w:val="none"/>
              </w:rPr>
              <w:t xml:space="preserve">≤2.0mm；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表面应无烧焦、起泡、针孔、裂纹、花斑（不包括镀彩锌)和划痕。</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安全性能</w:t>
            </w:r>
            <w:r>
              <w:rPr>
                <w:rFonts w:hint="eastAsia" w:ascii="宋体" w:hAnsi="宋体" w:eastAsia="宋体" w:cs="宋体"/>
                <w:color w:val="auto"/>
                <w:sz w:val="24"/>
                <w:szCs w:val="24"/>
                <w:highlight w:val="none"/>
              </w:rPr>
              <w:t xml:space="preserve">：实验台面接缝应平整、紧密，不应渗水、开缝。</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药品柜（抽检）采用的检测标准：GB/T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着地平稳性</w:t>
            </w:r>
            <w:r>
              <w:rPr>
                <w:rFonts w:hint="eastAsia" w:ascii="宋体" w:hAnsi="宋体" w:eastAsia="宋体" w:cs="宋体"/>
                <w:color w:val="auto"/>
                <w:sz w:val="24"/>
                <w:szCs w:val="24"/>
                <w:highlight w:val="none"/>
              </w:rPr>
              <w:t xml:space="preserve">≤2.0mm；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外观</w:t>
            </w:r>
            <w:r>
              <w:rPr>
                <w:rFonts w:hint="eastAsia" w:ascii="宋体" w:hAnsi="宋体" w:eastAsia="宋体" w:cs="宋体"/>
                <w:color w:val="auto"/>
                <w:sz w:val="24"/>
                <w:szCs w:val="24"/>
                <w:highlight w:val="none"/>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玻璃件外观：外露周边应磨边处理，安装牢固；玻璃应光洁平滑，不应有裂纹、划伤、沙粒、疙瘩和麻点等缺陷；</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冲压件应无脱层、裂缝；涂层应无漏喷、锈蚀和脱色、掉色现象；涂层应光滑均匀，色泽一致，应无流挂、疙瘩、皱皮、飞漆等缺陷；表面应无剥落、返锈、毛刺；表面应无烧焦、起泡、针孔、裂纹、花斑（不包括镀彩锌)和划痕；</w:t>
            </w:r>
            <w:r/>
          </w:p>
          <w:p>
            <w:pPr>
              <w:pStyle w:val="873"/>
              <w:ind w:left="0" w:right="0" w:firstLine="0"/>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安全性能-产品结构安全中通用结构安全：</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基本结构安全：正常使用时，其他部件表面应无锐边、锐角。按产品标准进行稳定性试验时，不应发生倾翻。固定零部件的结合应牢固无松动，应无少件、透钉、漏钉</w:t>
            </w:r>
            <w:r>
              <w:rPr>
                <w:rFonts w:hint="eastAsia" w:ascii="宋体" w:hAnsi="宋体" w:cs="宋体"/>
                <w:color w:val="auto"/>
                <w:sz w:val="24"/>
                <w:szCs w:val="24"/>
                <w:highlight w:val="none"/>
                <w:lang w:eastAsia="zh-CN"/>
              </w:rPr>
              <w:t xml:space="preserve">。</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剪切和挤压点-使用过程中的剪切和挤压：在预定的使用条件下，不应有可触及的剪切和挤压点。正常使用中受力作用下可接触间隙用半球形手指探棒试验，间隙应小于7mm或不小于18mm</w:t>
            </w:r>
            <w:r>
              <w:rPr>
                <w:rFonts w:hint="eastAsia" w:ascii="宋体" w:hAnsi="宋体" w:cs="宋体"/>
                <w:color w:val="auto"/>
                <w:sz w:val="24"/>
                <w:szCs w:val="24"/>
                <w:highlight w:val="none"/>
                <w:lang w:eastAsia="zh-CN"/>
              </w:rPr>
              <w:t xml:space="preserve">。</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基本结构安全：正常使用时，可接触到的边、角都应进行倒圆、倒角、砂光或以其他合适的方式进行保护。倒圆半径应不小于0.5mm。</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通风柜（抽检）采用的检测标准：GB/T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理化性能—通用要求</w:t>
            </w:r>
            <w:r>
              <w:rPr>
                <w:rFonts w:hint="eastAsia" w:ascii="宋体" w:hAnsi="宋体" w:cs="宋体"/>
                <w:b/>
                <w:bCs/>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b/>
                <w:bCs/>
                <w:color w:val="auto"/>
                <w:sz w:val="24"/>
                <w:szCs w:val="24"/>
                <w:highlight w:val="none"/>
              </w:rPr>
              <w:t xml:space="preserve"> 表面金属喷漆（塑）涂层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冲击强度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冲击高度400mm,应无剥落、裂纹、皱纹；</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耐腐蚀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100h内，观察在溶液中样板上划道两侧3mm以外，应无鼓泡产生；100h后，检查划道两侧3mm以外，应无锈迹、剥落、黄起皱、变色和失光等现象</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附着力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应不低于2级。</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储物柜力学性能-稳定性 </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所有开门、推拉构件和翻门关闭，所有储存部件空载-高度为或可调节为&gt;1000mm的试件不应倾翻</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所有开门、推拉构件和翻门开启试验，所有储存部件空载 不应倾翻</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开门、推拉构件和翻门开启并解锁-所有开门、推拉构件和翻门开启空载，所有储存部件空载不应倾翻</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开门、推拉构件和翻门开启并解锁-开门、推拉构件和翻门开启加载，所有储存部件空载不应倾翻</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开门、推拉构件和翻门开启并解锁-开门、推拉构件和翻门开启加载，所有储存部件加载不应倾翻。</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实验台（抽检）采用的检测标准：GB/T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32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容足空间净高</w:t>
            </w:r>
            <w:r>
              <w:rPr>
                <w:rFonts w:hint="eastAsia" w:ascii="宋体" w:hAnsi="宋体" w:eastAsia="宋体" w:cs="宋体"/>
                <w:color w:val="auto"/>
                <w:sz w:val="24"/>
                <w:szCs w:val="24"/>
                <w:highlight w:val="none"/>
              </w:rPr>
              <w:t xml:space="preserve">≥120mm;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容足空间净深</w:t>
            </w:r>
            <w:r>
              <w:rPr>
                <w:rFonts w:hint="eastAsia" w:ascii="宋体" w:hAnsi="宋体" w:eastAsia="宋体" w:cs="宋体"/>
                <w:color w:val="auto"/>
                <w:sz w:val="24"/>
                <w:szCs w:val="24"/>
                <w:highlight w:val="none"/>
              </w:rPr>
              <w:t xml:space="preserve">≥150mm;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抽屉下垂度</w:t>
            </w:r>
            <w:r>
              <w:rPr>
                <w:rFonts w:hint="eastAsia" w:ascii="宋体" w:hAnsi="宋体" w:eastAsia="宋体" w:cs="宋体"/>
                <w:color w:val="auto"/>
                <w:sz w:val="24"/>
                <w:szCs w:val="24"/>
                <w:highlight w:val="none"/>
              </w:rPr>
              <w:t xml:space="preserve">≤20mm；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着地平稳性</w:t>
            </w:r>
            <w:r>
              <w:rPr>
                <w:rFonts w:hint="eastAsia" w:ascii="宋体" w:hAnsi="宋体" w:eastAsia="宋体" w:cs="宋体"/>
                <w:color w:val="auto"/>
                <w:sz w:val="24"/>
                <w:szCs w:val="24"/>
                <w:highlight w:val="none"/>
              </w:rPr>
              <w:t xml:space="preserve">≤2.0mm；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金属件外观：管材应无裂缝、叠缝；外露管口端面应封闭；涂层应无漏喷、锈蚀和脱色、掉色现象；涂层应光滑均匀，色泽一致，应无流挂、疙瘩、皱皮、飞漆等缺陷</w:t>
            </w:r>
            <w:r>
              <w:rPr>
                <w:rFonts w:hint="eastAsia" w:ascii="宋体" w:hAnsi="宋体" w:cs="宋体"/>
                <w:color w:val="auto"/>
                <w:sz w:val="24"/>
                <w:szCs w:val="24"/>
                <w:highlight w:val="none"/>
                <w:lang w:eastAsia="zh-CN"/>
              </w:rPr>
              <w:t xml:space="preserve">。</w:t>
            </w:r>
            <w:r/>
          </w:p>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安全性能</w:t>
            </w:r>
            <w:r>
              <w:rPr>
                <w:rFonts w:hint="eastAsia" w:ascii="宋体" w:hAnsi="宋体" w:eastAsia="宋体" w:cs="宋体"/>
                <w:color w:val="auto"/>
                <w:sz w:val="24"/>
                <w:szCs w:val="24"/>
                <w:highlight w:val="none"/>
              </w:rPr>
              <w:t xml:space="preserve">：实验台面接缝应平整、紧密，不应渗水、开缝。</w:t>
            </w:r>
            <w:r/>
          </w:p>
        </w:tc>
      </w:tr>
    </w:tbl>
    <w:p>
      <w:pPr>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keepLines w:val="0"/>
        <w:keepNext w:val="0"/>
        <w:pageBreakBefore w:val="0"/>
        <w:spacing w:line="360" w:lineRule="auto"/>
        <w:widowControl w:val="off"/>
        <w:tabs>
          <w:tab w:val="left" w:pos="840" w:leader="none"/>
          <w:tab w:val="left" w:pos="1155" w:leader="none"/>
        </w:tabs>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（二）有关说明：</w:t>
      </w:r>
      <w:r>
        <w:rPr>
          <w:rFonts w:hint="eastAsia" w:ascii="宋体" w:hAnsi="宋体" w:eastAsia="宋体" w:cs="宋体"/>
          <w:b w:val="0"/>
          <w:bCs/>
          <w:color w:val="auto"/>
          <w:sz w:val="24"/>
          <w:szCs w:val="24"/>
          <w:highlight w:val="none"/>
        </w:rPr>
        <w:t xml:space="preserve"> </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1.投标总报价包括满足本项目要求的所有产品及其配件、包装、运杂、安装调试及售后服务等从项目中标起到项目正式交付以及质保期内所发生的一切费用。</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.通过中国海关报关验放进入中国境内且产自关境外的产品不在本项目的报价范围。</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.投标人必须在满足招标文件要求的基础上进行报价，如有技术偏离请于投标偏离表中说明。</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4</w:t>
      </w:r>
      <w:r>
        <w:rPr>
          <w:rFonts w:hint="eastAsia" w:ascii="宋体" w:hAnsi="宋体" w:eastAsia="宋体" w:cs="宋体"/>
          <w:b w:val="0"/>
          <w:bCs/>
          <w:color w:val="auto"/>
          <w:sz w:val="24"/>
          <w:highlight w:val="none"/>
        </w:rPr>
        <w:t xml:space="preserve">.项目整体质保期：</w:t>
      </w:r>
      <w:r>
        <w:rPr>
          <w:rFonts w:hint="eastAsia" w:ascii="宋体" w:hAnsi="宋体" w:eastAsia="宋体" w:cs="宋体"/>
          <w:b w:val="0"/>
          <w:bCs/>
          <w:color w:val="auto"/>
          <w:sz w:val="24"/>
          <w:highlight w:val="none"/>
          <w:lang w:eastAsia="zh-CN"/>
        </w:rPr>
        <w:t xml:space="preserve">自验收合格之日起3年</w:t>
      </w:r>
      <w:r>
        <w:rPr>
          <w:rFonts w:hint="eastAsia" w:ascii="宋体" w:hAnsi="宋体" w:eastAsia="宋体" w:cs="宋体"/>
          <w:b w:val="0"/>
          <w:bCs/>
          <w:color w:val="auto"/>
          <w:sz w:val="24"/>
          <w:highlight w:val="none"/>
        </w:rPr>
        <w:t xml:space="preserve">。供应商负责产品在使用期间内，提供</w:t>
      </w:r>
      <w:r>
        <w:rPr>
          <w:rFonts w:hint="eastAsia" w:ascii="宋体" w:hAnsi="宋体" w:eastAsia="宋体" w:cs="宋体"/>
          <w:b w:val="0"/>
          <w:bCs/>
          <w:color w:val="auto"/>
          <w:sz w:val="24"/>
          <w:highlight w:val="none"/>
          <w:lang w:eastAsia="zh-CN"/>
        </w:rPr>
        <w:t xml:space="preserve">三</w:t>
      </w:r>
      <w:r>
        <w:rPr>
          <w:rFonts w:hint="eastAsia" w:ascii="宋体" w:hAnsi="宋体" w:eastAsia="宋体" w:cs="宋体"/>
          <w:b w:val="0"/>
          <w:bCs/>
          <w:color w:val="auto"/>
          <w:sz w:val="24"/>
          <w:highlight w:val="none"/>
        </w:rPr>
        <w:t xml:space="preserve">年免费保修，在产品保修期内，一旦产品发生质量问题，中标人保证在接到通知1小时内响应，1日历天内赶到现场进行修理、更换或退货，费用由中标人负责。如中标人在接到通知后12小时内没有答复，则视为中标人承认质量问题并承担由此发生的一切费用。保修期间产品的一切质量问题，更换部件及产品本身质量原因造成的直接经济损失应全部由中标人负责。</w:t>
      </w:r>
      <w:r/>
    </w:p>
    <w:p>
      <w:pPr>
        <w:pStyle w:val="1107"/>
        <w:ind w:firstLine="482"/>
        <w:spacing w:after="0" w:line="360" w:lineRule="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.本项目合同履行地点：</w:t>
      </w:r>
      <w:r>
        <w:rPr>
          <w:rFonts w:hint="eastAsia" w:ascii="宋体" w:hAnsi="宋体" w:eastAsia="宋体" w:cs="宋体"/>
          <w:b w:val="0"/>
          <w:bCs/>
          <w:color w:val="auto"/>
          <w:sz w:val="24"/>
          <w:highlight w:val="none"/>
          <w:lang w:val="en-US" w:eastAsia="zh-CN"/>
        </w:rPr>
        <w:t xml:space="preserve">江苏省锡东高级中学大成分校</w:t>
      </w:r>
      <w:r>
        <w:rPr>
          <w:rFonts w:hint="eastAsia" w:ascii="宋体" w:hAnsi="宋体" w:eastAsia="宋体" w:cs="宋体"/>
          <w:b w:val="0"/>
          <w:bCs/>
          <w:color w:val="auto"/>
          <w:sz w:val="24"/>
          <w:highlight w:val="none"/>
        </w:rPr>
        <w:t xml:space="preserve">，具体地点以合同书约定为准。中标方必须按采购人要求将本项目中货物送到指定地点</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包括可能的</w:t>
      </w:r>
      <w:r>
        <w:rPr>
          <w:rFonts w:hint="eastAsia" w:ascii="宋体" w:hAnsi="宋体" w:eastAsia="宋体" w:cs="宋体"/>
          <w:b w:val="0"/>
          <w:bCs/>
          <w:color w:val="auto"/>
          <w:sz w:val="24"/>
          <w:highlight w:val="none"/>
          <w:lang w:eastAsia="zh-CN"/>
        </w:rPr>
        <w:t xml:space="preserve">分布范围），并分地实施安装调试。</w:t>
      </w:r>
      <w:r/>
    </w:p>
    <w:p>
      <w:pPr>
        <w:pStyle w:val="1107"/>
        <w:ind w:firstLine="482"/>
        <w:spacing w:after="0"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1382"/>
        <w:ind w:firstLine="480"/>
        <w:jc w:val="left"/>
        <w:spacing w:line="360" w:lineRule="auto"/>
        <w:tabs>
          <w:tab w:val="left" w:pos="1080" w:leader="none"/>
        </w:tabs>
        <w:rPr>
          <w:rFonts w:hint="eastAsia" w:ascii="宋体" w:hAnsi="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中标供应商须按签约合同价的10%提供履约保证金。中标供应商和采购人签订合同时应提交履约保函证明。</w:t>
      </w:r>
      <w:r/>
    </w:p>
    <w:p>
      <w:pPr>
        <w:contextualSpacing/>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、需求中涉及量化指标区间范围的，首个数字为该项最低标准，须完全满足，未满足的视为负偏离。</w:t>
      </w:r>
      <w:r/>
    </w:p>
    <w:p>
      <w:pPr>
        <w:ind w:firstLine="482"/>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eastAsia="宋体" w:cs="宋体"/>
          <w:b/>
          <w:bCs/>
          <w:color w:val="auto"/>
          <w:sz w:val="24"/>
          <w:szCs w:val="24"/>
          <w:highlight w:val="none"/>
          <w:lang w:val="zh-CN" w:eastAsia="zh-CN" w:bidi="ar-SA"/>
        </w:rPr>
      </w:pPr>
      <w:r>
        <w:rPr>
          <w:rFonts w:hint="eastAsia"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left"/>
        <w:spacing w:line="24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附件1：</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lang w:val="zh-CN"/>
        </w:rPr>
        <w:t xml:space="preserve">商品包装政府采购需求标准（ 试行）</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一、适用范围</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本标准规定了商品使用的塑料、纸质、木质等包装材料的环保要求。</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二、商品包装环保要求</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1.商品包装层数不得超过3 层，空隙率不大于 40%；</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2.商品包装尽可能使用单一材质的包装材料，如因功能需求必须使用不同材质，不同材质间应便于分离；</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3.商品包装中铅、汞、镉、六价铬的总含量应不大于100mg/kg；</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4.商品包装印刷使用的油墨中挥发性有机化合物（VOCs）含量应不大于 5g（以重量计）；</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5.塑料材质商品包装上呈现的印刷颜色不得超过 6色；</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6.纸质商品包装应使用 75%以上的可再生纤维原料生产；</w:t>
      </w:r>
      <w:r/>
    </w:p>
    <w:p>
      <w:pPr>
        <w:ind w:firstLine="480"/>
        <w:spacing w:line="360" w:lineRule="auto"/>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7.木质商品包装的原料应来源于可持续性森林。</w:t>
      </w:r>
      <w:r/>
    </w:p>
    <w:p>
      <w:pPr>
        <w:ind w:firstLine="482"/>
        <w:spacing w:line="360" w:lineRule="auto"/>
        <w:rPr>
          <w:rFonts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三、检测方法</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1.商品包装中重金属（铅、汞、铜、六价铬）总量的检测按照 GB/T 10004-2008《包装用塑料复合膜、袋干法复合挤出复合》规定的方法进行。</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2.商品包装印刷使用的油墨中挥发性有机化合物（VOCs）的检测按照GB/T 23986-2009《色漆和清漆挥发性有机化合物（VOC）含量的测定 气相色谱法》规定的方法进行。</w:t>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br w:type="page" w:clear="all"/>
      </w:r>
      <w:r/>
    </w:p>
    <w:p>
      <w:pPr>
        <w:jc w:val="left"/>
        <w:spacing w:line="360" w:lineRule="auto"/>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附件2：</w:t>
      </w:r>
      <w:r/>
    </w:p>
    <w:p>
      <w:pPr>
        <w:jc w:val="center"/>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快递包装政府采购需求标准（试行）</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一、适用范围</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本标准中的快递包装主要指快递封装材料，包括封套、胶带、面单、包装袋/箱、填充物、集装袋、周转箱等。</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二、快递包装环保要求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 （铅、汞、锡、六价铬） 总量应不大于100mg/kg；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2.快递包装印刷使用的油墨中不应添加邻苯二甲酸酐，其挥发性有机化合物（VOCs）含量应不大于5g（以重量计）；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3.快递包装中使用纸基材的包装材料，纸基材中的有机氯的含量应不大于 150 mg/kg；</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6.快递中使用的充气类填充物不得使用聚氯乙烯作为原料，且原料为单一材质制成，生物分解率大于 60%；</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7.快递中使用的集装袋应为单一材质制成，其重复使用次数应不小于80 次；</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8.快递中应使用幅宽不大于45mm 的生物降解胶带；</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9.快递包装中不得使用溶剂型</w:t>
      </w:r>
      <w:r>
        <w:rPr>
          <w:rFonts w:hint="eastAsia" w:ascii="宋体" w:hAnsi="宋体" w:cs="宋体"/>
          <w:color w:val="auto"/>
          <w:sz w:val="24"/>
          <w:szCs w:val="24"/>
          <w:highlight w:val="none"/>
          <w:lang w:val="zh-CN"/>
        </w:rPr>
        <w:t xml:space="preserve">胶黏剂</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10.快递应使用电子面单；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12.快递包装产品质量和封装方式应符合相关国家或行业标准技术指标要求。</w:t>
      </w:r>
      <w:r/>
    </w:p>
    <w:p>
      <w:pPr>
        <w:ind w:firstLine="482"/>
        <w:spacing w:line="360" w:lineRule="auto"/>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三、检测方法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1.快递包装中重金属（铅、汞、镉、六价铬）总量的检测按照 GB/T 10004-2008《包装用塑料复合膜、袋干法复合、挤出复合》规定的方法进行。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2.快递包装印刷使用的油墨中挥发性有机化合物（VOCs）的检测按照 GB/T 23986-2009《色漆和清漆 挥发性有机化合物（VOC）含量的测定 气相色谱法》规定的方法进行。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3.快递包装所使用的塑料包装的生物降解率的检测按照 GB/T 20197-2006《降解塑料的定义、分类、标识和降解性能要求》规定的方法进行。</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4.快递包装使用纸基材的包装材料中有机氯的检测按照 GB/T 22904-2008《纸浆、纸和纸板总氯和有机氯的检定》规定的方法进行。</w:t>
      </w:r>
      <w:r/>
    </w:p>
    <w:p>
      <w:pPr>
        <w:ind w:firstLine="480"/>
        <w:spacing w:line="360" w:lineRule="auto"/>
        <w:rPr>
          <w:rFonts w:ascii="宋体" w:hAnsi="宋体" w:cs="宋体"/>
          <w:color w:val="auto"/>
          <w:sz w:val="32"/>
          <w:szCs w:val="32"/>
          <w:highlight w:val="none"/>
        </w:rPr>
      </w:pPr>
      <w:r>
        <w:rPr>
          <w:rFonts w:hint="eastAsia" w:ascii="宋体" w:hAnsi="宋体" w:eastAsia="宋体" w:cs="宋体"/>
          <w:color w:val="auto"/>
          <w:sz w:val="24"/>
          <w:szCs w:val="24"/>
          <w:highlight w:val="none"/>
          <w:lang w:val="zh-CN"/>
        </w:rPr>
        <w:t xml:space="preserve">5.快递包装中使用的生物降解胶带的生物降解率的检测按照 GB/T19277.1《受控堆肥条件下材料最终需氧生物分解能力的测定采用测定释放的二氧化碳的方法 第1部分：通用方法》规定的方法进行</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ind w:firstLine="3520"/>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lef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附：政府采购政策（包括但不限于下列具体政策要求）</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2.</w:t>
      </w:r>
      <w:r>
        <w:rPr>
          <w:rFonts w:hint="eastAsia" w:ascii="宋体" w:hAnsi="宋体" w:eastAsia="宋体" w:cs="宋体"/>
          <w:b w:val="0"/>
          <w:bCs/>
          <w:color w:val="auto"/>
          <w:sz w:val="24"/>
          <w:szCs w:val="24"/>
          <w:highlight w:val="none"/>
          <w:lang w:val="en-US" w:eastAsia="zh-CN" w:bidi="ar-SA"/>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rPr>
          <w:rFonts w:hint="eastAsia" w:ascii="宋体" w:hAnsi="宋体" w:cs="宋体"/>
          <w:b w:val="0"/>
          <w:bCs/>
          <w:color w:val="auto"/>
          <w:sz w:val="24"/>
          <w:szCs w:val="24"/>
          <w:highlight w:val="none"/>
          <w:lang w:val="en-US" w:eastAsia="zh-CN" w:bidi="ar-SA"/>
        </w:rPr>
        <w:t xml:space="preserve">。</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numPr>
          <w:ilvl w:val="0"/>
          <w:numId w:val="0"/>
        </w:numPr>
        <w:ind w:firstLine="482"/>
        <w:keepLines w:val="0"/>
        <w:keepNext w:val="0"/>
        <w:pageBreakBefore w:val="0"/>
        <w:spacing w:line="336" w:lineRule="auto"/>
        <w:widowControl w:val="off"/>
        <w:tabs>
          <w:tab w:val="left" w:pos="840" w:leader="none"/>
          <w:tab w:val="left" w:pos="1155" w:leader="none"/>
        </w:tabs>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w:t>
      </w:r>
      <w:r/>
    </w:p>
    <w:p>
      <w:pPr>
        <w:ind w:firstLine="482"/>
        <w:keepLines w:val="0"/>
        <w:keepNext w:val="0"/>
        <w:pageBreakBefore w:val="0"/>
        <w:spacing w:line="336" w:lineRule="auto"/>
        <w:widowControl w:val="off"/>
        <w:tabs>
          <w:tab w:val="left" w:pos="945" w:leader="none"/>
          <w:tab w:val="left" w:pos="112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2"/>
        <w:keepLines w:val="0"/>
        <w:keepNext w:val="0"/>
        <w:pageBreakBefore w:val="0"/>
        <w:spacing w:line="336"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bCs/>
          <w:color w:val="auto"/>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.中标、成交供应商可采用合同融资形式，中标人可凭政府采购合同办理融资贷款，详见政府采购网“政采贷”专栏。</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.本项目中如有涉及数据库、操作系</w:t>
      </w:r>
      <w:r>
        <w:rPr>
          <w:rFonts w:hint="eastAsia" w:ascii="宋体" w:hAnsi="宋体" w:eastAsia="宋体" w:cs="宋体"/>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2"/>
        <w:keepLines w:val="0"/>
        <w:keepNext w:val="0"/>
        <w:pageBreakBefore w:val="0"/>
        <w:spacing w:line="336" w:lineRule="auto"/>
        <w:widowControl w:val="off"/>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b/>
          <w:bCs/>
          <w:color w:val="auto"/>
          <w:sz w:val="24"/>
          <w:szCs w:val="24"/>
          <w:highlight w:val="none"/>
          <w:lang w:val="en"/>
        </w:rPr>
      </w:pPr>
      <w:r>
        <w:rPr>
          <w:rFonts w:hint="eastAsia" w:ascii="宋体" w:hAnsi="宋体" w:eastAsia="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lang w:val="en"/>
        </w:rPr>
        <w:t xml:space="preserve">政府采购中实施本国产品标准及相关政策</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本项目对采购本国产品给予政策支持，具体内容见招标文件“二、供应商须知 </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
        </w:rPr>
        <w:t xml:space="preserve">评标方法”。</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color w:val="auto"/>
          <w:sz w:val="24"/>
          <w:szCs w:val="24"/>
          <w:highlight w:val="none"/>
          <w:lang w:val="en"/>
        </w:rPr>
      </w:pP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2"/>
        <w:tabs>
          <w:tab w:val="left" w:pos="525" w:leader="none"/>
          <w:tab w:val="left" w:pos="630" w:leader="none"/>
          <w:tab w:val="left" w:pos="735" w:leader="none"/>
          <w:tab w:val="left" w:pos="945" w:leader="none"/>
        </w:tabs>
        <w:rPr>
          <w:rFonts w:ascii="宋体" w:hAnsi="宋体" w:cs="宋体"/>
          <w:b/>
          <w:color w:val="auto"/>
          <w:sz w:val="24"/>
          <w:szCs w:val="24"/>
          <w:highlight w:val="none"/>
        </w:rPr>
      </w:pPr>
      <w:r>
        <w:rPr>
          <w:rFonts w:ascii="宋体" w:hAnsi="宋体" w:cs="宋体"/>
          <w:b/>
          <w:color w:val="auto"/>
          <w:sz w:val="24"/>
          <w:szCs w:val="24"/>
          <w:highlight w:val="none"/>
        </w:rPr>
      </w:r>
      <w:r/>
    </w:p>
    <w:p>
      <w:pPr>
        <w:ind w:firstLine="480"/>
        <w:jc w:val="left"/>
        <w:rPr>
          <w:rFonts w:ascii="宋体" w:hAnsi="宋体" w:cs="宋体"/>
          <w:bCs/>
          <w:color w:val="auto"/>
          <w:sz w:val="24"/>
          <w:szCs w:val="24"/>
          <w:highlight w:val="none"/>
        </w:rPr>
        <w:sectPr>
          <w:footerReference w:type="default" r:id="rId12"/>
          <w:footnotePr/>
          <w:endnotePr/>
          <w:type w:val="nextPage"/>
          <w:pgSz w:w="11905" w:h="16838" w:orient="portrait"/>
          <w:pgMar w:top="1417" w:right="1134" w:bottom="1134" w:left="1134" w:header="850" w:footer="992" w:gutter="0"/>
          <w:cols w:num="1" w:sep="0" w:space="1701" w:equalWidth="1"/>
          <w:docGrid w:linePitch="360"/>
        </w:sectPr>
      </w:pPr>
      <w:r>
        <w:rPr>
          <w:rFonts w:ascii="宋体" w:hAnsi="宋体" w:cs="宋体"/>
          <w:bCs/>
          <w:color w:val="auto"/>
          <w:sz w:val="24"/>
          <w:szCs w:val="24"/>
          <w:highlight w:val="none"/>
        </w:rPr>
      </w:r>
      <w:r/>
    </w:p>
    <w:p>
      <w:pPr>
        <w:jc w:val="center"/>
        <w:rPr>
          <w:rFonts w:ascii="宋体" w:hAnsi="宋体" w:cs="宋体"/>
          <w:color w:val="auto"/>
          <w:sz w:val="32"/>
          <w:szCs w:val="32"/>
          <w:highlight w:val="none"/>
        </w:rPr>
      </w:pPr>
      <w:r>
        <w:rPr>
          <w:rFonts w:hint="eastAsia" w:ascii="宋体" w:hAnsi="宋体" w:cs="宋体"/>
          <w:b/>
          <w:color w:val="auto"/>
          <w:sz w:val="32"/>
          <w:szCs w:val="32"/>
          <w:highlight w:val="none"/>
        </w:rPr>
        <w:t xml:space="preserve">第四章 合同书（格式）</w:t>
      </w:r>
      <w:r/>
    </w:p>
    <w:p>
      <w:pPr>
        <w:pStyle w:val="812"/>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pStyle w:val="812"/>
        <w:jc w:val="center"/>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ind w:firstLine="0"/>
        <w:jc w:val="center"/>
        <w:spacing w:line="240" w:lineRule="auto"/>
        <w:widowControl w:val="off"/>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firstLine="0"/>
        <w:jc w:val="both"/>
        <w:spacing w:line="240" w:lineRule="auto"/>
        <w:widowControl w:val="off"/>
        <w:rPr>
          <w:rFonts w:ascii="宋体" w:hAnsi="宋体" w:eastAsia="等线" w:cs="宋体"/>
          <w:b/>
          <w:bCs/>
          <w:color w:val="auto"/>
          <w:spacing w:val="-20"/>
          <w:sz w:val="40"/>
          <w:szCs w:val="40"/>
          <w:highlight w:val="none"/>
          <w:lang w:eastAsia="zh-CN"/>
        </w:rPr>
      </w:pPr>
      <w:r>
        <w:rPr>
          <w:rFonts w:ascii="宋体" w:hAnsi="宋体" w:eastAsia="等线" w:cs="宋体"/>
          <w:b/>
          <w:bCs/>
          <w:color w:val="auto"/>
          <w:spacing w:val="-20"/>
          <w:sz w:val="40"/>
          <w:szCs w:val="40"/>
          <w:highlight w:val="none"/>
          <w:lang w:eastAsia="zh-CN"/>
        </w:rPr>
      </w:r>
      <w:r/>
    </w:p>
    <w:p>
      <w:pPr>
        <w:ind w:left="420" w:firstLine="0"/>
        <w:jc w:val="both"/>
        <w:widowControl w:val="off"/>
        <w:rPr>
          <w:rFonts w:ascii="等线" w:hAnsi="等线" w:eastAsia="等线" w:cs="Times New Roman"/>
          <w:color w:val="auto"/>
          <w:sz w:val="32"/>
          <w:szCs w:val="32"/>
          <w:highlight w:val="none"/>
          <w:lang w:eastAsia="zh-CN"/>
        </w:rPr>
      </w:pPr>
      <w:r>
        <w:rPr>
          <w:rFonts w:hint="eastAsia" w:ascii="宋体" w:hAnsi="宋体" w:eastAsia="等线" w:cs="宋体"/>
          <w:color w:val="auto"/>
          <w:sz w:val="32"/>
          <w:szCs w:val="32"/>
          <w:highlight w:val="none"/>
          <w:lang w:eastAsia="zh-CN"/>
        </w:rPr>
        <w:t xml:space="preserve">项目名称：</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合同编号：</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甲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u w:val="single"/>
          <w:lang w:eastAsia="zh-CN"/>
        </w:rPr>
      </w:pPr>
      <w:r>
        <w:rPr>
          <w:rFonts w:hint="eastAsia" w:ascii="等线" w:hAnsi="等线" w:eastAsia="等线" w:cs="Times New Roman"/>
          <w:color w:val="auto"/>
          <w:sz w:val="32"/>
          <w:szCs w:val="32"/>
          <w:highlight w:val="none"/>
          <w:lang w:eastAsia="zh-CN"/>
        </w:rPr>
        <w:t xml:space="preserve">乙    方：</w:t>
      </w:r>
      <w:r>
        <w:rPr>
          <w:rFonts w:hint="eastAsia" w:ascii="等线" w:hAnsi="等线" w:eastAsia="等线" w:cs="Times New Roman"/>
          <w:color w:val="auto"/>
          <w:sz w:val="32"/>
          <w:szCs w:val="32"/>
          <w:highlight w:val="none"/>
          <w:u w:val="single"/>
          <w:lang w:eastAsia="zh-CN"/>
        </w:rPr>
        <w:t xml:space="preserve">                             </w:t>
      </w:r>
      <w:r/>
    </w:p>
    <w:p>
      <w:pPr>
        <w:ind w:left="420" w:firstLine="0"/>
        <w:jc w:val="both"/>
        <w:widowControl w:val="off"/>
        <w:rPr>
          <w:rFonts w:ascii="等线" w:hAnsi="等线" w:eastAsia="等线" w:cs="Times New Roman"/>
          <w:color w:val="auto"/>
          <w:sz w:val="32"/>
          <w:szCs w:val="32"/>
          <w:highlight w:val="none"/>
          <w:lang w:eastAsia="zh-CN"/>
        </w:rPr>
      </w:pPr>
      <w:r>
        <w:rPr>
          <w:rFonts w:hint="eastAsia" w:ascii="等线" w:hAnsi="等线" w:eastAsia="等线" w:cs="Times New Roman"/>
          <w:color w:val="auto"/>
          <w:sz w:val="32"/>
          <w:szCs w:val="32"/>
          <w:highlight w:val="none"/>
          <w:lang w:eastAsia="zh-CN"/>
        </w:rPr>
        <w:t xml:space="preserve">签订时间：</w:t>
      </w:r>
      <w:r>
        <w:rPr>
          <w:rFonts w:hint="eastAsia" w:ascii="等线" w:hAnsi="等线" w:eastAsia="等线" w:cs="Times New Roman"/>
          <w:color w:val="auto"/>
          <w:sz w:val="32"/>
          <w:szCs w:val="32"/>
          <w:highlight w:val="none"/>
          <w:u w:val="single"/>
          <w:lang w:eastAsia="zh-CN"/>
        </w:rPr>
        <w:t xml:space="preserve">      </w:t>
      </w:r>
      <w:r>
        <w:rPr>
          <w:rFonts w:ascii="等线" w:hAnsi="等线" w:eastAsia="等线" w:cs="Times New Roman"/>
          <w:color w:val="auto"/>
          <w:sz w:val="32"/>
          <w:szCs w:val="32"/>
          <w:highlight w:val="none"/>
          <w:u w:val="single"/>
          <w:lang w:eastAsia="zh-CN"/>
        </w:rPr>
        <w:t xml:space="preserve">           </w:t>
      </w:r>
      <w:r>
        <w:rPr>
          <w:rFonts w:hint="eastAsia" w:ascii="等线" w:hAnsi="等线" w:eastAsia="等线" w:cs="Times New Roman"/>
          <w:color w:val="auto"/>
          <w:sz w:val="32"/>
          <w:szCs w:val="32"/>
          <w:highlight w:val="none"/>
          <w:u w:val="single"/>
          <w:lang w:eastAsia="zh-CN"/>
        </w:rPr>
        <w:t xml:space="preserve">            </w:t>
      </w:r>
      <w:r/>
    </w:p>
    <w:p>
      <w:pPr>
        <w:ind w:firstLine="0"/>
        <w:jc w:val="both"/>
        <w:spacing w:line="240" w:lineRule="auto"/>
        <w:widowControl w:val="off"/>
        <w:rPr>
          <w:rFonts w:ascii="等线" w:hAnsi="等线" w:eastAsia="等线" w:cs="Times New Roman"/>
          <w:color w:val="auto"/>
          <w:sz w:val="21"/>
          <w:szCs w:val="22"/>
          <w:highlight w:val="none"/>
          <w:lang w:eastAsia="zh-CN"/>
        </w:rPr>
      </w:pPr>
      <w:r>
        <w:rPr>
          <w:rFonts w:ascii="等线" w:hAnsi="等线" w:eastAsia="等线" w:cs="Times New Roman"/>
          <w:color w:val="auto"/>
          <w:sz w:val="21"/>
          <w:szCs w:val="22"/>
          <w:highlight w:val="none"/>
          <w:lang w:eastAsia="zh-CN"/>
        </w:rPr>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ascii="等线" w:hAnsi="等线" w:eastAsia="黑体" w:cs="Times New Roman"/>
          <w:color w:val="auto"/>
          <w:sz w:val="44"/>
          <w:szCs w:val="44"/>
          <w:highlight w:val="none"/>
          <w:lang w:eastAsia="zh-CN"/>
        </w:rPr>
        <w:br w:type="page" w:clear="all"/>
      </w:r>
      <w:r/>
    </w:p>
    <w:p>
      <w:pPr>
        <w:ind w:firstLine="0"/>
        <w:jc w:val="center"/>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使 用 说 明</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ascii="仿宋_GB2312" w:hAnsi="仿宋_GB2312" w:eastAsia="仿宋_GB2312" w:cs="仿宋_GB2312"/>
          <w:color w:val="auto"/>
          <w:sz w:val="32"/>
          <w:szCs w:val="32"/>
          <w:highlight w:val="none"/>
          <w:lang w:eastAsia="zh-CN"/>
        </w:rPr>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ind w:firstLine="0"/>
        <w:jc w:val="both"/>
        <w:spacing w:line="240" w:lineRule="auto"/>
        <w:widowControl w:val="off"/>
        <w:rPr>
          <w:rFonts w:ascii="等线" w:hAnsi="等线" w:eastAsia="黑体" w:cs="Times New Roman"/>
          <w:color w:val="auto"/>
          <w:sz w:val="44"/>
          <w:szCs w:val="44"/>
          <w:highlight w:val="none"/>
          <w:lang w:eastAsia="zh-CN"/>
        </w:rPr>
      </w:pPr>
      <w:r>
        <w:rPr>
          <w:rFonts w:hint="eastAsia" w:ascii="等线" w:hAnsi="等线" w:eastAsia="黑体" w:cs="Times New Roman"/>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2.本合同标准文本为政府采购货物买卖合同编制提供参考，可以结合采购项目具体情况，对文本做必要的调整修订后使用。</w:t>
      </w:r>
      <w:r/>
    </w:p>
    <w:p>
      <w:pPr>
        <w:ind w:firstLine="640"/>
        <w:jc w:val="both"/>
        <w:spacing w:line="240" w:lineRule="auto"/>
        <w:widowControl w:val="off"/>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r/>
    </w:p>
    <w:p>
      <w:pPr>
        <w:ind w:firstLine="880"/>
        <w:jc w:val="both"/>
        <w:spacing w:line="240" w:lineRule="auto"/>
        <w:widowControl w:val="off"/>
        <w:rPr>
          <w:rFonts w:ascii="等线" w:hAnsi="等线" w:eastAsia="黑体" w:cs="Times New Roman"/>
          <w:color w:val="auto"/>
          <w:sz w:val="44"/>
          <w:szCs w:val="44"/>
          <w:highlight w:val="none"/>
          <w:lang w:eastAsia="zh-CN"/>
        </w:rPr>
        <w:sectPr>
          <w:footnotePr/>
          <w:endnotePr/>
          <w:type w:val="nextPage"/>
          <w:pgSz w:w="11906" w:h="16838" w:orient="portrait"/>
          <w:pgMar w:top="1440" w:right="992" w:bottom="1440" w:left="992" w:header="851" w:footer="992" w:gutter="0"/>
          <w:cols w:num="1" w:sep="0" w:space="425" w:equalWidth="1"/>
          <w:docGrid w:linePitch="360"/>
        </w:sectPr>
      </w:pPr>
      <w:r>
        <w:rPr>
          <w:rFonts w:ascii="等线" w:hAnsi="等线" w:eastAsia="黑体" w:cs="Times New Roman"/>
          <w:color w:val="auto"/>
          <w:sz w:val="44"/>
          <w:szCs w:val="44"/>
          <w:highlight w:val="none"/>
          <w:lang w:eastAsia="zh-CN"/>
        </w:rPr>
      </w:r>
      <w:r/>
    </w:p>
    <w:p>
      <w:pPr>
        <w:ind w:firstLine="0"/>
        <w:jc w:val="center"/>
        <w:keepLines/>
        <w:keepNext/>
        <w:spacing w:before="360" w:after="200" w:line="400" w:lineRule="exact"/>
        <w:widowControl w:val="off"/>
        <w:rPr>
          <w:rFonts w:ascii="黑体" w:hAnsi="华文中宋" w:eastAsia="黑体"/>
          <w:color w:val="auto"/>
          <w:sz w:val="28"/>
          <w:szCs w:val="28"/>
          <w:highlight w:val="none"/>
          <w:lang w:eastAsia="zh-CN"/>
        </w:rPr>
        <w:outlineLvl w:val="1"/>
      </w:pPr>
      <w:r/>
      <w:bookmarkStart w:id="5"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bookmarkEnd w:id="5"/>
      <w:r/>
      <w:r/>
    </w:p>
    <w:p>
      <w:pPr>
        <w:ind w:firstLine="0"/>
        <w:jc w:val="both"/>
        <w:spacing w:line="400" w:lineRule="exact"/>
        <w:widowControl w:val="off"/>
        <w:rPr>
          <w:rFonts w:ascii="宋体" w:hAnsi="宋体" w:eastAsia="等线" w:cs="Times New Roman"/>
          <w:color w:val="auto"/>
          <w:sz w:val="21"/>
          <w:highlight w:val="none"/>
          <w:lang w:eastAsia="zh-CN"/>
        </w:rPr>
      </w:pPr>
      <w:r>
        <w:rPr>
          <w:rFonts w:ascii="宋体" w:hAnsi="宋体" w:eastAsia="等线" w:cs="Times New Roman"/>
          <w:color w:val="auto"/>
          <w:sz w:val="21"/>
          <w:highlight w:val="none"/>
          <w:lang w:eastAsia="zh-CN"/>
        </w:rPr>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甲方（全称）：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采购人、受采购人委托签订合同的单位或采购文件约定的合同甲方）</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乙方1（全称）：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（供应商）</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乙方2（全称）：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等线" w:hAnsi="等线" w:eastAsia="等线" w:cs="Times New Roman"/>
          <w:color w:val="auto"/>
          <w:sz w:val="21"/>
          <w:szCs w:val="22"/>
          <w:highlight w:val="none"/>
          <w:lang w:eastAsia="zh-CN"/>
        </w:rPr>
        <w:t xml:space="preserve">乙方</w:t>
      </w:r>
      <w:r>
        <w:rPr>
          <w:rFonts w:hint="eastAsia" w:ascii="宋体" w:hAnsi="宋体" w:eastAsia="等线" w:cs="Times New Roman"/>
          <w:color w:val="auto"/>
          <w:sz w:val="21"/>
          <w:highlight w:val="none"/>
          <w:lang w:eastAsia="zh-CN"/>
        </w:rPr>
        <w:t xml:space="preserve">3</w:t>
      </w:r>
      <w:r>
        <w:rPr>
          <w:rFonts w:hint="eastAsia" w:ascii="等线" w:hAnsi="等线" w:eastAsia="等线" w:cs="Times New Roman"/>
          <w:color w:val="auto"/>
          <w:sz w:val="21"/>
          <w:szCs w:val="22"/>
          <w:highlight w:val="none"/>
          <w:lang w:eastAsia="zh-CN"/>
        </w:rPr>
        <w:t xml:space="preserve">（全称）</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（联合体成员供应商或其他合同主体）（如有）</w:t>
      </w:r>
      <w:r/>
    </w:p>
    <w:p>
      <w:pPr>
        <w:ind w:firstLine="0"/>
        <w:jc w:val="both"/>
        <w:spacing w:line="400" w:lineRule="exact"/>
        <w:widowControl w:val="off"/>
        <w:rPr>
          <w:rFonts w:ascii="等线" w:hAnsi="等线" w:cs="Times New Roman"/>
          <w:color w:val="auto"/>
          <w:sz w:val="21"/>
          <w:szCs w:val="22"/>
          <w:highlight w:val="none"/>
          <w:lang w:eastAsia="zh-CN"/>
        </w:rPr>
      </w:pPr>
      <w:r>
        <w:rPr>
          <w:rFonts w:ascii="等线" w:hAnsi="等线" w:cs="Times New Roman"/>
          <w:color w:val="auto"/>
          <w:sz w:val="21"/>
          <w:szCs w:val="22"/>
          <w:highlight w:val="none"/>
          <w:lang w:eastAsia="zh-CN"/>
        </w:rPr>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项目信息</w:t>
      </w:r>
      <w:r/>
    </w:p>
    <w:p>
      <w:pPr>
        <w:numPr>
          <w:ilvl w:val="0"/>
          <w:numId w:val="12"/>
        </w:numPr>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采购项目名称：</w:t>
      </w:r>
      <w:r>
        <w:rPr>
          <w:rFonts w:hint="eastAsia" w:ascii="宋体" w:hAnsi="宋体" w:eastAsia="等线" w:cs="Times New Roman"/>
          <w:color w:val="auto"/>
          <w:sz w:val="21"/>
          <w:highlight w:val="none"/>
          <w:u w:val="single"/>
          <w:lang w:eastAsia="zh-CN"/>
        </w:rPr>
        <w:t xml:space="preserve">                                         </w:t>
      </w:r>
      <w:r/>
    </w:p>
    <w:p>
      <w:pPr>
        <w:numPr>
          <w:ilvl w:val="255"/>
          <w:numId w:val="0"/>
        </w:numPr>
        <w:ind w:firstLine="420"/>
        <w:jc w:val="both"/>
        <w:spacing w:line="400" w:lineRule="exact"/>
        <w:widowControl w:val="off"/>
        <w:tabs>
          <w:tab w:val="left" w:pos="999"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采购项目编号：</w:t>
      </w:r>
      <w:r>
        <w:rPr>
          <w:rFonts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（2）采购计划编号：</w:t>
      </w:r>
      <w:r>
        <w:rPr>
          <w:rFonts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u w:val="single"/>
          <w:lang w:eastAsia="zh-CN"/>
        </w:rPr>
        <w:t xml:space="preserve">     </w:t>
      </w:r>
      <w:r>
        <w:rPr>
          <w:rFonts w:ascii="宋体" w:hAnsi="宋体" w:eastAsia="等线" w:cs="Times New Roman"/>
          <w:color w:val="auto"/>
          <w:sz w:val="21"/>
          <w:highlight w:val="none"/>
          <w:lang w:eastAsia="zh-CN"/>
        </w:rPr>
        <w:t xml:space="preserve"> </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（3）项目内容：</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采购标的及数量（台/套</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个</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架</w:t>
      </w:r>
      <w:r>
        <w:rPr>
          <w:rFonts w:ascii="宋体" w:hAnsi="宋体" w:eastAsia="等线" w:cs="Times New Roman"/>
          <w:color w:val="auto"/>
          <w:sz w:val="21"/>
          <w:highlight w:val="none"/>
          <w:lang w:val="en" w:eastAsia="zh-CN"/>
        </w:rPr>
        <w:t xml:space="preserve">/</w:t>
      </w:r>
      <w:r>
        <w:rPr>
          <w:rFonts w:hint="eastAsia" w:ascii="宋体" w:hAnsi="宋体" w:eastAsia="等线" w:cs="Times New Roman"/>
          <w:color w:val="auto"/>
          <w:sz w:val="21"/>
          <w:highlight w:val="none"/>
          <w:lang w:val="en" w:eastAsia="zh-CN"/>
        </w:rPr>
        <w:t xml:space="preserve">组等</w:t>
      </w:r>
      <w:r>
        <w:rPr>
          <w:rFonts w:hint="eastAsia" w:ascii="宋体" w:hAnsi="宋体" w:eastAsia="等线" w:cs="Times New Roman"/>
          <w:color w:val="auto"/>
          <w:sz w:val="21"/>
          <w:highlight w:val="none"/>
          <w:lang w:eastAsia="zh-CN"/>
        </w:rPr>
        <w:t xml:space="preserve">）：</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val="en"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品牌：</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lang w:val="en" w:eastAsia="zh-CN"/>
        </w:rPr>
        <w:t xml:space="preserve">     </w:t>
      </w:r>
      <w:r>
        <w:rPr>
          <w:rFonts w:hint="eastAsia" w:ascii="宋体" w:hAnsi="宋体" w:eastAsia="等线" w:cs="宋体"/>
          <w:color w:val="auto"/>
          <w:sz w:val="21"/>
          <w:highlight w:val="none"/>
          <w:lang w:eastAsia="zh-CN"/>
        </w:rPr>
        <w:t xml:space="preserve">规格型号：</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p>
    <w:p>
      <w:pPr>
        <w:ind w:firstLine="945"/>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采购标的的技术要求、商务要求具体见附件。</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汉仪书宋二S" w:hAnsi="汉仪书宋二S" w:eastAsia="汉仪书宋二S" w:cs="汉仪书宋二S"/>
          <w:color w:val="auto"/>
          <w:sz w:val="21"/>
          <w:highlight w:val="none"/>
          <w:lang w:eastAsia="zh-CN"/>
        </w:rPr>
        <w:t xml:space="preserve">①</w:t>
      </w:r>
      <w:r>
        <w:rPr>
          <w:rFonts w:hint="eastAsia" w:ascii="宋体" w:hAnsi="宋体" w:eastAsia="等线" w:cs="宋体"/>
          <w:color w:val="auto"/>
          <w:sz w:val="21"/>
          <w:highlight w:val="none"/>
          <w:lang w:eastAsia="zh-CN"/>
        </w:rPr>
        <w:t xml:space="preserve">涉及信息类产品，请填写该产品关键部件的品牌、型号：</w:t>
      </w:r>
      <w:r/>
    </w:p>
    <w:p>
      <w:pPr>
        <w:numPr>
          <w:ilvl w:val="255"/>
          <w:numId w:val="0"/>
        </w:num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     标的名称：</w:t>
      </w:r>
      <w:r>
        <w:rPr>
          <w:rFonts w:hint="eastAsia" w:ascii="宋体" w:hAnsi="宋体" w:eastAsia="等线" w:cs="宋体"/>
          <w:color w:val="auto"/>
          <w:sz w:val="21"/>
          <w:highlight w:val="none"/>
          <w:u w:val="single"/>
          <w:lang w:eastAsia="zh-CN"/>
        </w:rPr>
        <w:t xml:space="preserve">      </w:t>
      </w:r>
      <w:r>
        <w:rPr>
          <w:rFonts w:ascii="宋体" w:hAnsi="宋体" w:eastAsia="等线" w:cs="宋体"/>
          <w:color w:val="auto"/>
          <w:sz w:val="21"/>
          <w:highlight w:val="none"/>
          <w:u w:val="single"/>
          <w:lang w:val="en" w:eastAsia="zh-CN"/>
        </w:rPr>
        <w:t xml:space="preserve">               </w:t>
      </w:r>
      <w:r>
        <w:rPr>
          <w:rFonts w:hint="eastAsia" w:ascii="宋体" w:hAnsi="宋体" w:eastAsia="等线"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     关键部件：</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品牌：</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型号：</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关键部件：</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型号：</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hint="eastAsia" w:ascii="汉仪书宋二S" w:hAnsi="汉仪书宋二S" w:eastAsia="汉仪书宋二S" w:cs="汉仪书宋二S"/>
          <w:color w:val="auto"/>
          <w:sz w:val="21"/>
          <w:highlight w:val="none"/>
          <w:lang w:eastAsia="zh-CN"/>
        </w:rPr>
        <w:t xml:space="preserve">②</w:t>
      </w:r>
      <w:r>
        <w:rPr>
          <w:rFonts w:hint="eastAsia" w:ascii="宋体" w:hAnsi="宋体" w:cs="宋体"/>
          <w:color w:val="auto"/>
          <w:sz w:val="21"/>
          <w:highlight w:val="none"/>
          <w:lang w:eastAsia="zh-CN"/>
        </w:rPr>
        <w:t xml:space="preserve">涉及车辆采购，请填写是否属于新能源汽车：</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是，《政府采购品目分类目录》底级品目名称：</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数量：</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金额：</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w:t>
      </w:r>
      <w:r>
        <w:rPr>
          <w:rFonts w:ascii="宋体" w:hAnsi="宋体" w:cs="宋体"/>
          <w:color w:val="auto"/>
          <w:sz w:val="21"/>
          <w:highlight w:val="none"/>
          <w:lang w:val="en" w:eastAsia="zh-CN"/>
        </w:rPr>
        <w:t xml:space="preserve">4</w:t>
      </w:r>
      <w:r>
        <w:rPr>
          <w:rFonts w:hint="eastAsia" w:ascii="宋体" w:hAnsi="宋体" w:cs="宋体"/>
          <w:color w:val="auto"/>
          <w:sz w:val="21"/>
          <w:highlight w:val="none"/>
          <w:lang w:eastAsia="zh-CN"/>
        </w:rPr>
        <w:t xml:space="preserve">）政府采购组织形式：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政府集中采购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部门集中采购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分散采购</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cs="宋体"/>
          <w:color w:val="auto"/>
          <w:sz w:val="21"/>
          <w:highlight w:val="none"/>
          <w:lang w:val="en" w:eastAsia="zh-CN"/>
        </w:rPr>
        <w:t xml:space="preserve">5</w:t>
      </w:r>
      <w:r>
        <w:rPr>
          <w:rFonts w:hint="eastAsia" w:ascii="宋体" w:hAnsi="宋体" w:cs="宋体"/>
          <w:color w:val="auto"/>
          <w:sz w:val="21"/>
          <w:highlight w:val="none"/>
          <w:lang w:eastAsia="zh-CN"/>
        </w:rPr>
        <w:t xml:space="preserve">）政府采购方式：</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公开招标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邀请招标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竞争性谈判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竞争性磋商</w:t>
      </w:r>
      <w:r/>
    </w:p>
    <w:p>
      <w:pPr>
        <w:numPr>
          <w:ilvl w:val="255"/>
          <w:numId w:val="0"/>
        </w:numPr>
        <w:ind w:firstLine="440"/>
        <w:spacing w:line="400" w:lineRule="exact"/>
        <w:rPr>
          <w:rFonts w:ascii="宋体" w:hAnsi="宋体" w:cs="宋体"/>
          <w:color w:val="auto"/>
          <w:sz w:val="21"/>
          <w:highlight w:val="none"/>
          <w:u w:val="single"/>
          <w:lang w:eastAsia="zh-CN"/>
        </w:rPr>
      </w:pPr>
      <w:r>
        <w:rPr>
          <w:rFonts w:hint="eastAsia" w:ascii="宋体" w:hAnsi="宋体" w:eastAsia="华文楷体" w:cs="宋体"/>
          <w:color w:val="auto"/>
          <w:sz w:val="22"/>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询价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单一来源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框架协议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其他：</w:t>
      </w:r>
      <w:r>
        <w:rPr>
          <w:rFonts w:hint="eastAsia" w:ascii="宋体" w:hAnsi="宋体" w:cs="宋体"/>
          <w:color w:val="auto"/>
          <w:sz w:val="21"/>
          <w:highlight w:val="none"/>
          <w:u w:val="single"/>
          <w:lang w:eastAsia="zh-CN"/>
        </w:rPr>
        <w:t xml:space="preserve">          </w:t>
      </w:r>
      <w:r/>
    </w:p>
    <w:p>
      <w:pPr>
        <w:numPr>
          <w:ilvl w:val="255"/>
          <w:numId w:val="0"/>
        </w:numPr>
        <w:ind w:firstLine="42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（注：在框架协议采购的第二阶段，可选择使用该合同文本）</w:t>
      </w:r>
      <w:r/>
    </w:p>
    <w:p>
      <w:pPr>
        <w:numPr>
          <w:ilvl w:val="255"/>
          <w:numId w:val="0"/>
        </w:numPr>
        <w:ind w:firstLine="44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2"/>
          <w:highlight w:val="none"/>
          <w:lang w:eastAsia="zh-CN"/>
        </w:rPr>
        <w:t xml:space="preserve"> （</w:t>
      </w:r>
      <w:r>
        <w:rPr>
          <w:rFonts w:ascii="宋体" w:hAnsi="宋体" w:eastAsia="华文楷体" w:cs="华文楷体"/>
          <w:color w:val="auto"/>
          <w:sz w:val="22"/>
          <w:highlight w:val="none"/>
          <w:lang w:val="en" w:eastAsia="zh-CN"/>
        </w:rPr>
        <w:t xml:space="preserve">6</w:t>
      </w:r>
      <w:r>
        <w:rPr>
          <w:rFonts w:hint="eastAsia" w:ascii="宋体" w:hAnsi="宋体" w:eastAsia="华文楷体" w:cs="华文楷体"/>
          <w:color w:val="auto"/>
          <w:sz w:val="22"/>
          <w:highlight w:val="none"/>
          <w:lang w:eastAsia="zh-CN"/>
        </w:rPr>
        <w:t xml:space="preserve">）</w:t>
      </w:r>
      <w:r>
        <w:rPr>
          <w:rFonts w:hint="eastAsia" w:ascii="宋体" w:hAnsi="宋体" w:cs="Times New Roman"/>
          <w:color w:val="auto"/>
          <w:sz w:val="21"/>
          <w:highlight w:val="none"/>
          <w:lang w:eastAsia="zh-CN"/>
        </w:rPr>
        <w:t xml:space="preserve">中标（成交）采购标的制造商是否为中小企业：</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本合同是否为专门面向中小企业的采购合同（中小企业预留合同）：</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若本项目不专门面向中小企业采购，是否给予小微企业评审优惠：</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eastAsia="等线" w:cs="Times New Roman"/>
          <w:iCs/>
          <w:color w:val="auto"/>
          <w:sz w:val="21"/>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中标（成交）采购标的制造商是否为残疾人福利性单位：</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0"/>
        <w:jc w:val="both"/>
        <w:spacing w:line="400" w:lineRule="exact"/>
        <w:widowControl w:val="off"/>
        <w:rPr>
          <w:rFonts w:ascii="等线" w:hAnsi="等线" w:eastAsia="等线" w:cs="Times New Roman"/>
          <w:color w:val="auto"/>
          <w:sz w:val="21"/>
          <w:szCs w:val="22"/>
          <w:highlight w:val="none"/>
          <w:lang w:eastAsia="zh-CN"/>
        </w:rPr>
      </w:pPr>
      <w:r>
        <w:rPr>
          <w:rFonts w:hint="eastAsia" w:ascii="等线" w:hAnsi="等线" w:eastAsia="等线" w:cs="Times New Roman"/>
          <w:color w:val="auto"/>
          <w:sz w:val="21"/>
          <w:szCs w:val="22"/>
          <w:highlight w:val="none"/>
          <w:lang w:eastAsia="zh-CN"/>
        </w:rPr>
        <w:t xml:space="preserve">         中标（成交）采购标的制造商是否为监狱企业：</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w:t>
      </w:r>
      <w:r>
        <w:rPr>
          <w:rFonts w:ascii="宋体" w:hAnsi="宋体" w:eastAsia="等线" w:cs="Times New Roman"/>
          <w:color w:val="auto"/>
          <w:sz w:val="21"/>
          <w:highlight w:val="none"/>
          <w:lang w:val="en" w:eastAsia="zh-CN"/>
        </w:rPr>
        <w:t xml:space="preserve">7</w:t>
      </w:r>
      <w:r>
        <w:rPr>
          <w:rFonts w:hint="eastAsia" w:ascii="宋体" w:hAnsi="宋体" w:eastAsia="等线" w:cs="Times New Roman"/>
          <w:color w:val="auto"/>
          <w:sz w:val="21"/>
          <w:highlight w:val="none"/>
          <w:lang w:eastAsia="zh-CN"/>
        </w:rPr>
        <w:t xml:space="preserve">）合同是否分包：</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þ</w:t>
      </w:r>
      <w:r>
        <w:rPr>
          <w:rFonts w:hint="eastAsia" w:ascii="宋体" w:hAnsi="宋体" w:eastAsia="等线" w:cs="Times New Roman"/>
          <w:iCs/>
          <w:color w:val="auto"/>
          <w:sz w:val="21"/>
          <w:highlight w:val="none"/>
          <w:lang w:eastAsia="zh-CN"/>
        </w:rPr>
        <w:t xml:space="preserve">否</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分包主要内容：</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分包供应商/制造商名称（如供应商和制造商不同，请分别填写）：</w:t>
      </w:r>
      <w:r/>
    </w:p>
    <w:p>
      <w:pPr>
        <w:ind w:firstLine="84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Times New Roman"/>
          <w:color w:val="auto"/>
          <w:sz w:val="21"/>
          <w:highlight w:val="none"/>
          <w:u w:val="singl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分包供应商/制造商类型（如果供应商和制造商不同，只填写制造商类型）：</w:t>
      </w:r>
      <w:r/>
    </w:p>
    <w:p>
      <w:pPr>
        <w:ind w:firstLine="840"/>
        <w:jc w:val="both"/>
        <w:spacing w:line="400" w:lineRule="exact"/>
        <w:widowControl w:val="off"/>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大型企业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中型企业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小微型企业  </w:t>
      </w:r>
      <w:r/>
    </w:p>
    <w:p>
      <w:pPr>
        <w:ind w:firstLine="840"/>
        <w:jc w:val="both"/>
        <w:spacing w:line="400" w:lineRule="exact"/>
        <w:widowControl w:val="off"/>
        <w:rPr>
          <w:rFonts w:ascii="等线" w:hAnsi="等线" w:eastAsia="华文楷体" w:cs="Times New Roman"/>
          <w:color w:val="auto"/>
          <w:sz w:val="21"/>
          <w:szCs w:val="22"/>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残疾人福利性单位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监狱企业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p>
    <w:p>
      <w:pPr>
        <w:numPr>
          <w:ilvl w:val="255"/>
          <w:numId w:val="0"/>
        </w:numPr>
        <w:ind w:firstLine="420"/>
        <w:jc w:val="both"/>
        <w:spacing w:line="400" w:lineRule="exact"/>
        <w:widowControl w:val="off"/>
        <w:rPr>
          <w:rFonts w:ascii="宋体" w:hAnsi="宋体" w:eastAsia="等线" w:cs="宋体"/>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eastAsia="等线" w:cs="宋体"/>
          <w:color w:val="auto"/>
          <w:sz w:val="21"/>
          <w:highlight w:val="none"/>
          <w:lang w:eastAsia="zh-CN"/>
        </w:rPr>
        <w:t xml:space="preserve">（</w:t>
      </w:r>
      <w:r>
        <w:rPr>
          <w:rFonts w:ascii="宋体" w:hAnsi="宋体" w:eastAsia="等线" w:cs="宋体"/>
          <w:color w:val="auto"/>
          <w:sz w:val="21"/>
          <w:highlight w:val="none"/>
          <w:lang w:val="en" w:eastAsia="zh-CN"/>
        </w:rPr>
        <w:t xml:space="preserve">8</w:t>
      </w:r>
      <w:r>
        <w:rPr>
          <w:rFonts w:hint="eastAsia" w:ascii="宋体" w:hAnsi="宋体" w:eastAsia="等线" w:cs="宋体"/>
          <w:color w:val="auto"/>
          <w:sz w:val="21"/>
          <w:highlight w:val="none"/>
          <w:lang w:eastAsia="zh-CN"/>
        </w:rPr>
        <w:t xml:space="preserve">）中标（成交）供应商是否为外商投资企业：</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是       </w:t>
      </w:r>
      <w:r>
        <w:rPr>
          <w:rFonts w:ascii="Wingdings" w:hAnsi="Wingdings" w:eastAsia="Wingdings" w:cs="Wingdings"/>
          <w:iCs/>
          <w:color w:val="auto"/>
          <w:sz w:val="21"/>
          <w:highlight w:val="none"/>
          <w:lang w:eastAsia="zh-CN"/>
        </w:rPr>
        <w:t xml:space="preserve"></w:t>
      </w:r>
      <w:r>
        <w:rPr>
          <w:rFonts w:hint="eastAsia" w:ascii="宋体" w:hAnsi="宋体" w:eastAsia="等线" w:cs="宋体"/>
          <w:iCs/>
          <w:color w:val="auto"/>
          <w:sz w:val="21"/>
          <w:highlight w:val="none"/>
          <w:lang w:eastAsia="zh-CN"/>
        </w:rPr>
        <w:t xml:space="preserve">否</w:t>
      </w:r>
      <w:r/>
    </w:p>
    <w:p>
      <w:pPr>
        <w:ind w:firstLine="440"/>
        <w:spacing w:line="400" w:lineRule="exact"/>
        <w:tabs>
          <w:tab w:val="left" w:pos="1340" w:leader="none"/>
        </w:tabs>
        <w:rPr>
          <w:rFonts w:ascii="宋体" w:hAnsi="宋体" w:cs="宋体"/>
          <w:color w:val="auto"/>
          <w:sz w:val="21"/>
          <w:highlight w:val="none"/>
          <w:u w:val="single"/>
          <w:lang w:eastAsia="zh-CN"/>
        </w:rPr>
      </w:pPr>
      <w:r>
        <w:rPr>
          <w:rFonts w:hint="eastAsia" w:ascii="宋体" w:hAnsi="宋体" w:cs="宋体"/>
          <w:color w:val="auto"/>
          <w:sz w:val="21"/>
          <w:highlight w:val="none"/>
          <w:lang w:eastAsia="zh-CN"/>
        </w:rPr>
        <w:t xml:space="preserve">     外商投资企业类型：</w:t>
      </w:r>
      <w:r>
        <w:rPr>
          <w:rFonts w:ascii="Wingdings" w:hAnsi="Wingdings" w:eastAsia="Wingdings" w:cs="Wingdings"/>
          <w:iCs/>
          <w:color w:val="auto"/>
          <w:sz w:val="21"/>
          <w:highlight w:val="none"/>
          <w:lang w:eastAsia="zh-CN"/>
        </w:rPr>
        <w:t xml:space="preserve"></w:t>
      </w:r>
      <w:r>
        <w:rPr>
          <w:rFonts w:hint="eastAsia" w:ascii="宋体" w:hAnsi="宋体" w:cs="宋体"/>
          <w:color w:val="auto"/>
          <w:sz w:val="21"/>
          <w:highlight w:val="none"/>
          <w:lang w:eastAsia="zh-CN"/>
        </w:rPr>
        <w:t xml:space="preserve">全部由外国投资者投资  </w:t>
      </w:r>
      <w:r>
        <w:rPr>
          <w:rFonts w:ascii="Wingdings" w:hAnsi="Wingdings" w:eastAsia="Wingdings" w:cs="Wingdings"/>
          <w:iCs/>
          <w:color w:val="auto"/>
          <w:sz w:val="21"/>
          <w:highlight w:val="none"/>
          <w:lang w:eastAsia="zh-CN"/>
        </w:rPr>
        <w:t xml:space="preserve"></w:t>
      </w:r>
      <w:r>
        <w:rPr>
          <w:rFonts w:hint="eastAsia" w:ascii="宋体" w:hAnsi="宋体" w:cs="宋体"/>
          <w:iCs/>
          <w:color w:val="auto"/>
          <w:sz w:val="21"/>
          <w:highlight w:val="none"/>
          <w:lang w:eastAsia="zh-CN"/>
        </w:rPr>
        <w:t xml:space="preserve">部分由外国投资者投资</w:t>
      </w:r>
      <w:r/>
    </w:p>
    <w:p>
      <w:pPr>
        <w:numPr>
          <w:ilvl w:val="255"/>
          <w:numId w:val="0"/>
        </w:numPr>
        <w:ind w:firstLine="420"/>
        <w:jc w:val="both"/>
        <w:spacing w:line="400" w:lineRule="exact"/>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w:t>
      </w:r>
      <w:r>
        <w:rPr>
          <w:rFonts w:ascii="宋体" w:hAnsi="宋体" w:eastAsia="等线" w:cs="宋体"/>
          <w:color w:val="auto"/>
          <w:sz w:val="21"/>
          <w:highlight w:val="none"/>
          <w:lang w:val="en" w:eastAsia="zh-CN"/>
        </w:rPr>
        <w:t xml:space="preserve">9</w:t>
      </w:r>
      <w:r>
        <w:rPr>
          <w:rFonts w:hint="eastAsia" w:ascii="宋体" w:hAnsi="宋体" w:cs="宋体"/>
          <w:color w:val="auto"/>
          <w:sz w:val="21"/>
          <w:highlight w:val="none"/>
          <w:lang w:eastAsia="zh-CN"/>
        </w:rPr>
        <w:t xml:space="preserve">）是否涉及进口产品：</w:t>
      </w:r>
      <w:r/>
    </w:p>
    <w:p>
      <w:pPr>
        <w:numPr>
          <w:ilvl w:val="255"/>
          <w:numId w:val="0"/>
        </w:numPr>
        <w:ind w:firstLine="420"/>
        <w:jc w:val="both"/>
        <w:spacing w:line="400" w:lineRule="exact"/>
        <w:widowControl w:val="off"/>
        <w:rPr>
          <w:rFonts w:ascii="宋体" w:hAnsi="宋体" w:cs="宋体"/>
          <w:color w:val="auto"/>
          <w:sz w:val="21"/>
          <w:highlight w:val="none"/>
          <w:u w:val="single"/>
          <w:lang w:eastAsia="zh-CN"/>
        </w:rPr>
      </w:pPr>
      <w:r>
        <w:rPr>
          <w:rFonts w:hint="eastAsia" w:ascii="宋体" w:hAnsi="宋体" w:eastAsia="等线" w:cs="宋体"/>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w:t>
      </w:r>
      <w:r>
        <w:rPr>
          <w:rFonts w:hint="eastAsia" w:ascii="宋体" w:hAnsi="宋体" w:eastAsia="等线" w:cs="宋体"/>
          <w:color w:val="auto"/>
          <w:sz w:val="21"/>
          <w:highlight w:val="none"/>
          <w:lang w:eastAsia="zh-CN"/>
        </w:rPr>
        <w:t xml:space="preserve">《政府采购品目分类目录》底级品目名称</w:t>
      </w:r>
      <w:r>
        <w:rPr>
          <w:rFonts w:hint="eastAsia" w:ascii="宋体" w:hAnsi="宋体" w:cs="宋体"/>
          <w:color w:val="auto"/>
          <w:sz w:val="21"/>
          <w:highlight w:val="none"/>
          <w:lang w:eastAsia="zh-CN"/>
        </w:rPr>
        <w:t xml:space="preserve">：</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w:t>
      </w:r>
      <w:r>
        <w:rPr>
          <w:rFonts w:hint="eastAsia" w:ascii="宋体" w:hAnsi="宋体" w:eastAsia="等线" w:cs="宋体"/>
          <w:color w:val="auto"/>
          <w:sz w:val="21"/>
          <w:highlight w:val="none"/>
          <w:lang w:eastAsia="zh-CN"/>
        </w:rPr>
        <w:t xml:space="preserve">金额：</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宋体"/>
          <w:color w:val="auto"/>
          <w:sz w:val="21"/>
          <w:highlight w:val="none"/>
          <w:lang w:eastAsia="zh-CN"/>
        </w:rPr>
        <w:t xml:space="preserve">        国别：</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u w:val="single"/>
          <w:lang w:eastAsia="zh-CN"/>
        </w:rPr>
        <w:t xml:space="preserve">     </w:t>
      </w:r>
      <w:r>
        <w:rPr>
          <w:rFonts w:hint="eastAsia" w:ascii="宋体" w:hAnsi="宋体"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 </w:t>
      </w:r>
      <w:r>
        <w:rPr>
          <w:rFonts w:hint="eastAsia" w:ascii="宋体" w:hAnsi="宋体" w:cs="宋体"/>
          <w:color w:val="auto"/>
          <w:sz w:val="21"/>
          <w:highlight w:val="none"/>
          <w:lang w:eastAsia="zh-CN"/>
        </w:rPr>
        <w:t xml:space="preserve">品牌：</w:t>
      </w:r>
      <w:r>
        <w:rPr>
          <w:rFonts w:hint="eastAsia" w:ascii="宋体" w:hAnsi="宋体" w:cs="宋体"/>
          <w:color w:val="auto"/>
          <w:sz w:val="21"/>
          <w:highlight w:val="none"/>
          <w:u w:val="single"/>
          <w:lang w:eastAsia="zh-CN"/>
        </w:rPr>
        <w:t xml:space="preserve">        </w:t>
      </w:r>
      <w:r>
        <w:rPr>
          <w:rFonts w:hint="eastAsia" w:ascii="宋体" w:hAnsi="宋体" w:cs="宋体"/>
          <w:color w:val="auto"/>
          <w:sz w:val="21"/>
          <w:highlight w:val="none"/>
          <w:lang w:eastAsia="zh-CN"/>
        </w:rPr>
        <w:t xml:space="preserve"> 规格型号：</w:t>
      </w:r>
      <w:r>
        <w:rPr>
          <w:rFonts w:hint="eastAsia" w:ascii="宋体" w:hAnsi="宋体" w:cs="宋体"/>
          <w:color w:val="auto"/>
          <w:sz w:val="21"/>
          <w:highlight w:val="none"/>
          <w:u w:val="single"/>
          <w:lang w:eastAsia="zh-CN"/>
        </w:rPr>
        <w:t xml:space="preserve">        </w:t>
      </w:r>
      <w:r>
        <w:rPr>
          <w:rFonts w:hint="eastAsia" w:ascii="宋体" w:hAnsi="宋体" w:cs="Times New Roman"/>
          <w:color w:val="auto"/>
          <w:sz w:val="21"/>
          <w:highlight w:val="none"/>
          <w:lang w:eastAsia="zh-CN"/>
        </w:rPr>
        <w:t xml:space="preserve">      </w:t>
      </w:r>
      <w:r/>
    </w:p>
    <w:p>
      <w:pPr>
        <w:ind w:firstLine="84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0</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是否涉及节能产品：</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《节能产品政府采购品目清单》的底级品目名称：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tabs>
          <w:tab w:val="left" w:pos="740" w:leader="none"/>
        </w:tabs>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hint="eastAsia" w:ascii="宋体" w:hAnsi="宋体" w:cs="Times New Roman"/>
          <w:color w:val="auto"/>
          <w:sz w:val="21"/>
          <w:highlight w:val="none"/>
          <w:lang w:eastAsia="zh-CN"/>
        </w:rPr>
        <w:t xml:space="preserve">是否涉及</w:t>
      </w:r>
      <w:r>
        <w:rPr>
          <w:rFonts w:hint="eastAsia" w:ascii="宋体" w:hAnsi="宋体" w:eastAsia="等线" w:cs="Times New Roman"/>
          <w:color w:val="auto"/>
          <w:sz w:val="21"/>
          <w:highlight w:val="none"/>
          <w:lang w:eastAsia="zh-CN"/>
        </w:rPr>
        <w:t xml:space="preserve">环境标志</w:t>
      </w:r>
      <w:r>
        <w:rPr>
          <w:rFonts w:hint="eastAsia" w:ascii="宋体" w:hAnsi="宋体" w:cs="Times New Roman"/>
          <w:color w:val="auto"/>
          <w:sz w:val="21"/>
          <w:highlight w:val="none"/>
          <w:lang w:eastAsia="zh-CN"/>
        </w:rPr>
        <w:t xml:space="preserve">产品：</w:t>
      </w:r>
      <w:r/>
    </w:p>
    <w:p>
      <w:pPr>
        <w:numPr>
          <w:ilvl w:val="255"/>
          <w:numId w:val="0"/>
        </w:numPr>
        <w:ind w:firstLine="420"/>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w:t>
      </w:r>
      <w:r>
        <w:rPr>
          <w:rFonts w:hint="eastAsia" w:ascii="宋体" w:hAnsi="宋体" w:eastAsia="等线" w:cs="Times New Roman"/>
          <w:color w:val="auto"/>
          <w:sz w:val="21"/>
          <w:highlight w:val="none"/>
          <w:lang w:eastAsia="zh-CN"/>
        </w:rPr>
        <w:t xml:space="preserve">《环境标志产品政府采购品目清单》的底级品目名称：</w:t>
      </w:r>
      <w:r>
        <w:rPr>
          <w:rFonts w:hint="eastAsia" w:ascii="宋体" w:hAnsi="宋体" w:cs="Times New Roman"/>
          <w:color w:val="auto"/>
          <w:sz w:val="21"/>
          <w:highlight w:val="none"/>
          <w:u w:val="single"/>
          <w:lang w:eastAsia="zh-CN"/>
        </w:rPr>
        <w:t xml:space="preserve">      </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iCs/>
          <w:color w:val="auto"/>
          <w:sz w:val="21"/>
          <w:highlight w:val="non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numPr>
          <w:ilvl w:val="255"/>
          <w:numId w:val="0"/>
        </w:numPr>
        <w:ind w:firstLine="420"/>
        <w:jc w:val="both"/>
        <w:spacing w:line="400" w:lineRule="exact"/>
        <w:widowControl w:val="off"/>
        <w:tabs>
          <w:tab w:val="left" w:pos="740" w:leader="none"/>
        </w:tabs>
        <w:rPr>
          <w:rFonts w:ascii="宋体" w:hAnsi="宋体" w:eastAsia="等线"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spacing w:line="400" w:lineRule="exact"/>
        <w:rPr>
          <w:rFonts w:ascii="宋体" w:hAnsi="宋体" w:cs="Times New Roman"/>
          <w:color w:val="auto"/>
          <w:sz w:val="21"/>
          <w:highlight w:val="none"/>
          <w:lang w:eastAsia="zh-CN"/>
        </w:rPr>
      </w:pPr>
      <w:r>
        <w:rPr>
          <w:rFonts w:hint="eastAsia" w:ascii="宋体" w:hAnsi="宋体" w:eastAsia="华文楷体" w:cs="华文楷体"/>
          <w:color w:val="auto"/>
          <w:sz w:val="21"/>
          <w:highlight w:val="none"/>
          <w:lang w:eastAsia="zh-CN"/>
        </w:rPr>
        <w:t xml:space="preserve">          </w:t>
      </w:r>
      <w:r>
        <w:rPr>
          <w:rFonts w:hint="eastAsia" w:ascii="宋体" w:hAnsi="宋体" w:cs="Times New Roman"/>
          <w:color w:val="auto"/>
          <w:sz w:val="21"/>
          <w:highlight w:val="none"/>
          <w:lang w:eastAsia="zh-CN"/>
        </w:rPr>
        <w:t xml:space="preserve">是否涉及绿色产品： </w:t>
      </w:r>
      <w:r/>
    </w:p>
    <w:p>
      <w:pPr>
        <w:ind w:firstLine="420"/>
        <w:spacing w:line="400" w:lineRule="exact"/>
        <w:rPr>
          <w:rFonts w:ascii="宋体" w:hAnsi="宋体" w:cs="华文楷体"/>
          <w:color w:val="auto"/>
          <w:sz w:val="22"/>
          <w:highlight w:val="none"/>
          <w:u w:val="singl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是，绿色产品政府采购相关政策确定的底级品目名称：</w:t>
      </w:r>
      <w:r>
        <w:rPr>
          <w:rFonts w:hint="eastAsia" w:ascii="宋体" w:hAnsi="宋体" w:cs="华文楷体"/>
          <w:color w:val="auto"/>
          <w:sz w:val="22"/>
          <w:highlight w:val="none"/>
          <w:u w:val="single"/>
          <w:lang w:eastAsia="zh-CN"/>
        </w:rPr>
        <w:t xml:space="preserve">         </w:t>
      </w:r>
      <w:r/>
    </w:p>
    <w:p>
      <w:pPr>
        <w:numPr>
          <w:ilvl w:val="255"/>
          <w:numId w:val="0"/>
        </w:numPr>
        <w:ind w:firstLine="420"/>
        <w:jc w:val="both"/>
        <w:spacing w:line="400" w:lineRule="exact"/>
        <w:widowControl w:val="off"/>
        <w:tabs>
          <w:tab w:val="left" w:pos="740" w:leader="none"/>
        </w:tabs>
        <w:rPr>
          <w:rFonts w:ascii="宋体" w:hAnsi="宋体" w:eastAsia="等线" w:cs="Times New Roman"/>
          <w:iCs/>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强制采购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优先采购    </w:t>
      </w:r>
      <w:r/>
    </w:p>
    <w:p>
      <w:pPr>
        <w:ind w:firstLine="420"/>
        <w:spacing w:line="400" w:lineRule="exact"/>
        <w:rPr>
          <w:rFonts w:ascii="宋体" w:hAnsi="宋体" w:eastAsia="华文楷体" w:cs="华文楷体"/>
          <w:color w:val="auto"/>
          <w:sz w:val="21"/>
          <w:highlight w:val="none"/>
          <w:lang w:eastAsia="zh-CN"/>
        </w:rPr>
      </w:pPr>
      <w:r>
        <w:rPr>
          <w:rFonts w:hint="eastAsia" w:ascii="宋体" w:hAnsi="宋体" w:cs="Times New Roman"/>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（1</w:t>
      </w:r>
      <w:r>
        <w:rPr>
          <w:rFonts w:ascii="宋体" w:hAnsi="宋体" w:eastAsia="等线" w:cs="Times New Roman"/>
          <w:color w:val="auto"/>
          <w:sz w:val="21"/>
          <w:highlight w:val="none"/>
          <w:lang w:val="en" w:eastAsia="zh-CN"/>
        </w:rPr>
        <w:t xml:space="preserve">1</w:t>
      </w:r>
      <w:r>
        <w:rPr>
          <w:rFonts w:hint="eastAsia" w:ascii="宋体" w:hAnsi="宋体" w:eastAsia="等线" w:cs="Times New Roman"/>
          <w:color w:val="auto"/>
          <w:sz w:val="21"/>
          <w:highlight w:val="none"/>
          <w:lang w:eastAsia="zh-CN"/>
        </w:rPr>
        <w:t xml:space="preserve">）</w:t>
      </w:r>
      <w:r>
        <w:rPr>
          <w:rFonts w:hint="eastAsia" w:ascii="宋体" w:hAnsi="宋体" w:cs="Times New Roman"/>
          <w:color w:val="auto"/>
          <w:sz w:val="21"/>
          <w:highlight w:val="none"/>
          <w:lang w:eastAsia="zh-CN"/>
        </w:rPr>
        <w:t xml:space="preserve">涉及商品包装和快递包装的，是否参考</w:t>
      </w:r>
      <w:r>
        <w:rPr>
          <w:rFonts w:hint="eastAsia" w:ascii="宋体" w:hAnsi="宋体" w:eastAsia="等线" w:cs="Times New Roman"/>
          <w:color w:val="auto"/>
          <w:sz w:val="21"/>
          <w:highlight w:val="none"/>
          <w:lang w:eastAsia="zh-CN"/>
        </w:rPr>
        <w:t xml:space="preserve">《商品包装政府采购需求标准（试行）》《快递包装政府采购需求标准（试行）》</w:t>
      </w:r>
      <w:r>
        <w:rPr>
          <w:rFonts w:hint="eastAsia" w:ascii="宋体" w:hAnsi="宋体" w:cs="Times New Roman"/>
          <w:color w:val="auto"/>
          <w:sz w:val="21"/>
          <w:highlight w:val="none"/>
          <w:lang w:eastAsia="zh-CN"/>
        </w:rPr>
        <w:t xml:space="preserve">明确产品及相关快递服务的具体包装要求：</w:t>
      </w:r>
      <w:r/>
    </w:p>
    <w:p>
      <w:pPr>
        <w:numPr>
          <w:ilvl w:val="255"/>
          <w:numId w:val="0"/>
        </w:numPr>
        <w:ind w:firstLine="420"/>
        <w:jc w:val="both"/>
        <w:spacing w:line="400" w:lineRule="exact"/>
        <w:widowControl w:val="off"/>
        <w:rPr>
          <w:rFonts w:ascii="宋体" w:hAnsi="宋体"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否      </w:t>
      </w:r>
      <w:r>
        <w:rPr>
          <w:rFonts w:ascii="Wingdings" w:hAnsi="Wingdings" w:eastAsia="Wingdings" w:cs="Wingdings"/>
          <w:color w:val="auto"/>
          <w:sz w:val="21"/>
          <w:highlight w:val="none"/>
          <w:lang w:eastAsia="zh-CN"/>
        </w:rPr>
        <w:t xml:space="preserve"></w:t>
      </w:r>
      <w:r>
        <w:rPr>
          <w:rFonts w:hint="eastAsia" w:ascii="宋体" w:hAnsi="宋体" w:cs="Times New Roman"/>
          <w:color w:val="auto"/>
          <w:sz w:val="21"/>
          <w:highlight w:val="none"/>
          <w:lang w:eastAsia="zh-CN"/>
        </w:rPr>
        <w:t xml:space="preserve">不涉及</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合同金额</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（1）合同金额小写：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分包金额（如有）小写：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u w:val="single"/>
          <w:lang w:eastAsia="zh-CN"/>
        </w:rPr>
      </w:pPr>
      <w:r>
        <w:rPr>
          <w:rFonts w:hint="eastAsia" w:ascii="宋体" w:hAnsi="宋体" w:eastAsia="等线" w:cs="Times New Roman"/>
          <w:color w:val="auto"/>
          <w:sz w:val="21"/>
          <w:highlight w:val="none"/>
          <w:lang w:eastAsia="zh-CN"/>
        </w:rPr>
        <w:t xml:space="preserve">                     大写：</w:t>
      </w:r>
      <w:r>
        <w:rPr>
          <w:rFonts w:hint="eastAsia" w:ascii="宋体" w:hAnsi="宋体" w:eastAsia="等线" w:cs="Times New Roman"/>
          <w:color w:val="auto"/>
          <w:sz w:val="21"/>
          <w:highlight w:val="none"/>
          <w:u w:val="single"/>
          <w:lang w:eastAsia="zh-CN"/>
        </w:rPr>
        <w:t xml:space="preserve">          /             </w:t>
      </w:r>
      <w:r/>
    </w:p>
    <w:p>
      <w:pPr>
        <w:ind w:firstLine="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（注：固定单价合同应填写单价和最高限价）</w:t>
      </w:r>
      <w:r/>
    </w:p>
    <w:p>
      <w:pPr>
        <w:numPr>
          <w:ilvl w:val="255"/>
          <w:numId w:val="0"/>
        </w:num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    （2）合同定价方式（采用组合定价方式的，可以勾选多项）：</w:t>
      </w:r>
      <w:r/>
    </w:p>
    <w:p>
      <w:pPr>
        <w:ind w:firstLine="420"/>
        <w:jc w:val="both"/>
        <w:spacing w:line="400" w:lineRule="exact"/>
        <w:widowControl w:val="off"/>
        <w:rPr>
          <w:rFonts w:ascii="宋体" w:hAnsi="宋体" w:cs="Times New Roman"/>
          <w:color w:val="auto"/>
          <w:sz w:val="21"/>
          <w:highlight w:val="none"/>
          <w:lang w:eastAsia="zh-CN"/>
        </w:rPr>
      </w:pPr>
      <w:r>
        <w:rPr>
          <w:rFonts w:hint="eastAsia" w:ascii="宋体" w:hAnsi="宋体" w:eastAsia="等线" w:cs="Times New Roman"/>
          <w:iCs/>
          <w:color w:val="auto"/>
          <w:sz w:val="21"/>
          <w:highlight w:val="none"/>
          <w:lang w:eastAsia="zh-CN"/>
        </w:rPr>
        <w:t xml:space="preserve">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固定总价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固定单价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固定费率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成本补偿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绩效激励 </w:t>
      </w:r>
      <w:r>
        <w:rPr>
          <w:rFonts w:ascii="Wingdings" w:hAnsi="Wingdings" w:eastAsia="Wingdings" w:cs="Wingdings"/>
          <w:iCs/>
          <w:color w:val="auto"/>
          <w:sz w:val="21"/>
          <w:highlight w:val="none"/>
          <w:lang w:eastAsia="zh-CN"/>
        </w:rPr>
        <w:t xml:space="preserve"></w:t>
      </w:r>
      <w:r>
        <w:rPr>
          <w:rFonts w:hint="eastAsia" w:ascii="宋体" w:hAnsi="宋体" w:eastAsia="等线" w:cs="Times New Roman"/>
          <w:iCs/>
          <w:color w:val="auto"/>
          <w:sz w:val="21"/>
          <w:highlight w:val="none"/>
          <w:lang w:eastAsia="zh-CN"/>
        </w:rPr>
        <w:t xml:space="preserve">其他</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Calibri" w:hAnsi="Calibri" w:cs="Times New Roman"/>
          <w:color w:val="auto"/>
          <w:sz w:val="21"/>
          <w:szCs w:val="22"/>
          <w:highlight w:val="none"/>
          <w:lang w:eastAsia="zh-CN"/>
        </w:rPr>
      </w:pPr>
      <w:r>
        <w:rPr>
          <w:rFonts w:hint="eastAsia" w:ascii="宋体" w:hAnsi="宋体" w:cs="Times New Roman"/>
          <w:color w:val="auto"/>
          <w:sz w:val="21"/>
          <w:szCs w:val="22"/>
          <w:highlight w:val="none"/>
          <w:lang w:eastAsia="zh-CN"/>
        </w:rPr>
        <w:t xml:space="preserve">（3）付款方式（按项目实际勾选填写）：</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全额付款：</w:t>
      </w:r>
      <w:r>
        <w:rPr>
          <w:rFonts w:hint="eastAsia" w:ascii="宋体" w:hAnsi="宋体" w:eastAsia="等线" w:cs="Times New Roman"/>
          <w:color w:val="auto"/>
          <w:sz w:val="21"/>
          <w:highlight w:val="none"/>
          <w:u w:val="single"/>
          <w:lang w:eastAsia="zh-CN"/>
        </w:rPr>
        <w:t xml:space="preserve">     （应明确一次性支付合同款项的条件）                    </w:t>
      </w:r>
      <w:r/>
    </w:p>
    <w:p>
      <w:pPr>
        <w:ind w:firstLine="630"/>
        <w:jc w:val="both"/>
        <w:spacing w:line="400" w:lineRule="exact"/>
        <w:widowControl w:val="off"/>
        <w:rPr>
          <w:rFonts w:ascii="等线" w:hAnsi="等线" w:eastAsia="等线" w:cs="Times New Roman"/>
          <w:color w:val="auto"/>
          <w:sz w:val="21"/>
          <w:szCs w:val="22"/>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分期付款：</w:t>
      </w:r>
      <w:r>
        <w:rPr>
          <w:rFonts w:hint="eastAsia" w:ascii="宋体" w:hAnsi="宋体" w:eastAsia="等线" w:cs="Times New Roman"/>
          <w:color w:val="auto"/>
          <w:sz w:val="21"/>
          <w:highlight w:val="none"/>
          <w:u w:val="single"/>
          <w:lang w:eastAsia="zh-CN"/>
        </w:rPr>
        <w:t xml:space="preserve">  （应明确分期支付合同款项的各期比例和支付条件，各期支付条件应与分期履约验收情况挂钩） </w:t>
      </w:r>
      <w:r>
        <w:rPr>
          <w:rFonts w:hint="eastAsia" w:ascii="宋体" w:hAnsi="宋体" w:eastAsia="等线" w:cs="Times New Roman"/>
          <w:color w:val="auto"/>
          <w:sz w:val="21"/>
          <w:highlight w:val="none"/>
          <w:lang w:eastAsia="zh-CN"/>
        </w:rPr>
        <w:t xml:space="preserve">，其中涉及预付款的：</w:t>
      </w:r>
      <w:r>
        <w:rPr>
          <w:rFonts w:hint="eastAsia" w:ascii="宋体" w:hAnsi="宋体" w:eastAsia="等线" w:cs="Times New Roman"/>
          <w:color w:val="auto"/>
          <w:sz w:val="21"/>
          <w:highlight w:val="none"/>
          <w:u w:val="single"/>
          <w:lang w:eastAsia="zh-CN"/>
        </w:rPr>
        <w:t xml:space="preserve"> （应明确预付款的支付比例和支付条件） </w:t>
      </w:r>
      <w:r/>
    </w:p>
    <w:p>
      <w:pPr>
        <w:ind w:firstLine="630"/>
        <w:jc w:val="both"/>
        <w:spacing w:line="400" w:lineRule="exact"/>
        <w:widowControl w:val="off"/>
        <w:rPr>
          <w:rFonts w:ascii="宋体" w:hAnsi="宋体" w:eastAsia="等线" w:cs="Times New Roman"/>
          <w:color w:val="auto"/>
          <w:sz w:val="21"/>
          <w:highlight w:val="none"/>
          <w:u w:val="singl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成本补偿：</w:t>
      </w:r>
      <w:r>
        <w:rPr>
          <w:rFonts w:hint="eastAsia" w:ascii="宋体" w:hAnsi="宋体" w:eastAsia="等线" w:cs="Times New Roman"/>
          <w:color w:val="auto"/>
          <w:sz w:val="21"/>
          <w:highlight w:val="none"/>
          <w:u w:val="single"/>
          <w:lang w:eastAsia="zh-CN"/>
        </w:rPr>
        <w:t xml:space="preserve">      （应明确按照成本补偿方式的支付方式和支付条件）   </w:t>
      </w:r>
      <w:r/>
    </w:p>
    <w:p>
      <w:pPr>
        <w:ind w:firstLine="630"/>
        <w:jc w:val="both"/>
        <w:spacing w:line="400" w:lineRule="exact"/>
        <w:widowControl w:val="off"/>
        <w:rPr>
          <w:rFonts w:ascii="宋体" w:hAnsi="宋体" w:eastAsia="等线" w:cs="Times New Roman"/>
          <w:color w:val="auto"/>
          <w:sz w:val="21"/>
          <w:highlight w:val="none"/>
          <w:lang w:eastAsia="zh-CN"/>
        </w:rPr>
      </w:pPr>
      <w:r>
        <w:rPr>
          <w:rFonts w:ascii="Wingdings" w:hAnsi="Wingdings" w:eastAsia="Wingdings" w:cs="Wingdings"/>
          <w:color w:val="auto"/>
          <w:sz w:val="21"/>
          <w:highlight w:val="none"/>
          <w:lang w:eastAsia="zh-CN"/>
        </w:rPr>
        <w:t xml:space="preserve"></w:t>
      </w:r>
      <w:r>
        <w:rPr>
          <w:rFonts w:hint="eastAsia" w:ascii="宋体" w:hAnsi="宋体" w:eastAsia="等线" w:cs="Times New Roman"/>
          <w:color w:val="auto"/>
          <w:sz w:val="21"/>
          <w:highlight w:val="none"/>
          <w:lang w:eastAsia="zh-CN"/>
        </w:rPr>
        <w:t xml:space="preserve">绩效激励：</w:t>
      </w:r>
      <w:r>
        <w:rPr>
          <w:rFonts w:hint="eastAsia" w:ascii="宋体" w:hAnsi="宋体" w:eastAsia="等线" w:cs="Times New Roman"/>
          <w:color w:val="auto"/>
          <w:sz w:val="21"/>
          <w:highlight w:val="none"/>
          <w:u w:val="single"/>
          <w:lang w:eastAsia="zh-CN"/>
        </w:rPr>
        <w:t xml:space="preserve">      （应明确按照绩效激励方式的支付方式和支付条件）   </w:t>
      </w:r>
      <w:r/>
    </w:p>
    <w:p>
      <w:pPr>
        <w:numPr>
          <w:ilvl w:val="0"/>
          <w:numId w:val="11"/>
        </w:numPr>
        <w:jc w:val="both"/>
        <w:spacing w:line="400" w:lineRule="exact"/>
        <w:widowControl w:val="off"/>
        <w:rPr>
          <w:rFonts w:ascii="宋体" w:hAnsi="宋体" w:eastAsia="等线" w:cs="Times New Roman"/>
          <w:b/>
          <w:color w:val="auto"/>
          <w:sz w:val="21"/>
          <w:highlight w:val="none"/>
          <w:u w:val="single"/>
          <w:lang w:eastAsia="zh-CN"/>
        </w:rPr>
      </w:pPr>
      <w:r>
        <w:rPr>
          <w:rFonts w:hint="eastAsia" w:ascii="宋体" w:hAnsi="宋体" w:eastAsia="等线" w:cs="Times New Roman"/>
          <w:b/>
          <w:color w:val="auto"/>
          <w:sz w:val="21"/>
          <w:highlight w:val="none"/>
          <w:lang w:eastAsia="zh-CN"/>
        </w:rPr>
        <w:t xml:space="preserve">合同履行</w:t>
      </w:r>
      <w:r/>
    </w:p>
    <w:p>
      <w:pPr>
        <w:ind w:firstLine="420"/>
        <w:jc w:val="both"/>
        <w:spacing w:line="400" w:lineRule="exact"/>
        <w:widowControl w:val="off"/>
        <w:rPr>
          <w:rFonts w:ascii="宋体" w:hAnsi="宋体" w:eastAsia="等线" w:cs="宋体"/>
          <w:color w:val="auto"/>
          <w:sz w:val="21"/>
          <w:highlight w:val="none"/>
          <w:lang w:eastAsia="zh-CN"/>
        </w:rPr>
      </w:pPr>
      <w:r>
        <w:rPr>
          <w:rFonts w:hint="eastAsia" w:ascii="宋体" w:hAnsi="宋体" w:eastAsia="等线" w:cs="宋体"/>
          <w:color w:val="auto"/>
          <w:sz w:val="21"/>
          <w:highlight w:val="none"/>
          <w:lang w:eastAsia="zh-CN"/>
        </w:rPr>
        <w:t xml:space="preserve">（1）起始日期：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日，完成日期：</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年</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月</w:t>
      </w:r>
      <w:r>
        <w:rPr>
          <w:rFonts w:hint="eastAsia" w:ascii="宋体" w:hAnsi="宋体" w:eastAsia="等线" w:cs="宋体"/>
          <w:color w:val="auto"/>
          <w:sz w:val="21"/>
          <w:highlight w:val="none"/>
          <w:u w:val="single"/>
          <w:lang w:eastAsia="zh-CN"/>
        </w:rPr>
        <w:t xml:space="preserve">   </w:t>
      </w:r>
      <w:r>
        <w:rPr>
          <w:rFonts w:hint="eastAsia" w:ascii="宋体" w:hAnsi="宋体" w:eastAsia="等线" w:cs="宋体"/>
          <w:color w:val="auto"/>
          <w:sz w:val="21"/>
          <w:highlight w:val="none"/>
          <w:lang w:eastAsia="zh-CN"/>
        </w:rPr>
        <w:t xml:space="preserve">日。</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color w:val="auto"/>
          <w:sz w:val="21"/>
          <w:highlight w:val="none"/>
          <w:lang w:eastAsia="zh-CN"/>
        </w:rPr>
        <w:t xml:space="preserve">（2）履约地点</w:t>
      </w:r>
      <w:r>
        <w:rPr>
          <w:rFonts w:hint="eastAsia" w:ascii="宋体" w:hAnsi="宋体" w:eastAsia="等线" w:cs="宋体"/>
          <w:bCs/>
          <w:color w:val="auto"/>
          <w:sz w:val="21"/>
          <w:highlight w:val="none"/>
          <w:lang w:eastAsia="zh-CN"/>
        </w:rPr>
        <w:t xml:space="preserve">：</w:t>
      </w:r>
      <w:r>
        <w:rPr>
          <w:rFonts w:hint="eastAsia" w:ascii="宋体" w:hAnsi="宋体" w:eastAsia="等线" w:cs="宋体"/>
          <w:color w:val="auto"/>
          <w:sz w:val="21"/>
          <w:highlight w:val="none"/>
          <w:u w:val="single"/>
          <w:lang w:eastAsia="zh-CN"/>
        </w:rPr>
        <w:t xml:space="preserve">                             </w:t>
      </w:r>
      <w:r/>
    </w:p>
    <w:p>
      <w:pPr>
        <w:ind w:firstLine="420"/>
        <w:jc w:val="both"/>
        <w:spacing w:line="400" w:lineRule="exact"/>
        <w:widowControl w:val="off"/>
        <w:rPr>
          <w:rFonts w:ascii="宋体" w:hAnsi="宋体" w:cs="宋体"/>
          <w:color w:val="auto"/>
          <w:sz w:val="21"/>
          <w:highlight w:val="none"/>
          <w:lang w:eastAsia="zh-CN"/>
        </w:rPr>
      </w:pPr>
      <w:r>
        <w:rPr>
          <w:rFonts w:hint="eastAsia" w:ascii="宋体" w:hAnsi="宋体" w:eastAsia="等线" w:cs="宋体"/>
          <w:bCs/>
          <w:color w:val="auto"/>
          <w:sz w:val="21"/>
          <w:highlight w:val="none"/>
          <w:lang w:eastAsia="zh-CN"/>
        </w:rPr>
        <w:t xml:space="preserve">（3）履约担保：</w:t>
      </w:r>
      <w:r>
        <w:rPr>
          <w:rFonts w:hint="eastAsia" w:ascii="宋体" w:hAnsi="宋体" w:cs="宋体"/>
          <w:color w:val="auto"/>
          <w:sz w:val="21"/>
          <w:szCs w:val="22"/>
          <w:highlight w:val="none"/>
          <w:lang w:eastAsia="zh-CN"/>
        </w:rPr>
        <w:t xml:space="preserve">是否收取履约保证金：</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color w:val="auto"/>
          <w:sz w:val="21"/>
          <w:highlight w:val="none"/>
          <w:lang w:eastAsia="zh-CN"/>
        </w:rPr>
        <w:t xml:space="preserve">否</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华文楷体" w:cs="宋体"/>
          <w:bCs/>
          <w:color w:val="auto"/>
          <w:sz w:val="22"/>
          <w:highlight w:val="none"/>
          <w:lang w:eastAsia="zh-CN"/>
        </w:rPr>
        <w:t xml:space="preserve">  </w:t>
      </w:r>
      <w:r>
        <w:rPr>
          <w:rFonts w:hint="eastAsia" w:ascii="宋体" w:hAnsi="宋体" w:eastAsia="等线" w:cs="宋体"/>
          <w:bCs/>
          <w:color w:val="auto"/>
          <w:sz w:val="21"/>
          <w:highlight w:val="none"/>
          <w:lang w:eastAsia="zh-CN"/>
        </w:rPr>
        <w:t xml:space="preserve">收取履约保证金形式：</w:t>
      </w:r>
      <w:r>
        <w:rPr>
          <w:rFonts w:hint="eastAsia" w:ascii="宋体" w:hAnsi="宋体" w:eastAsia="等线" w:cs="宋体"/>
          <w:bCs/>
          <w:color w:val="auto"/>
          <w:sz w:val="21"/>
          <w:highlight w:val="none"/>
          <w:u w:val="single"/>
          <w:lang w:eastAsia="zh-CN"/>
        </w:rPr>
        <w:t xml:space="preserve">以履约保函形式缴纳或提交。</w:t>
      </w:r>
      <w:r>
        <w:rPr>
          <w:rFonts w:hint="eastAsia" w:ascii="宋体" w:hAnsi="宋体" w:eastAsia="等线" w:cs="宋体"/>
          <w:bCs/>
          <w:color w:val="auto"/>
          <w:sz w:val="21"/>
          <w:highlight w:val="none"/>
          <w:lang w:eastAsia="zh-CN"/>
        </w:rPr>
        <w:t xml:space="preserve">                            </w:t>
      </w:r>
      <w:r/>
    </w:p>
    <w:p>
      <w:pPr>
        <w:ind w:firstLine="44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收取履约保证金金额：</w:t>
      </w:r>
      <w:r>
        <w:rPr>
          <w:rFonts w:hint="eastAsia" w:ascii="宋体" w:hAnsi="宋体" w:eastAsia="等线" w:cs="宋体"/>
          <w:bCs/>
          <w:color w:val="auto"/>
          <w:sz w:val="21"/>
          <w:highlight w:val="none"/>
          <w:u w:val="single"/>
          <w:lang w:eastAsia="zh-CN"/>
        </w:rPr>
        <w:t xml:space="preserve">合同价款的10%  </w:t>
      </w:r>
      <w:r>
        <w:rPr>
          <w:rFonts w:hint="eastAsia" w:ascii="宋体" w:hAnsi="宋体" w:eastAsia="等线" w:cs="宋体"/>
          <w:bCs/>
          <w:color w:val="auto"/>
          <w:sz w:val="21"/>
          <w:highlight w:val="none"/>
          <w:lang w:eastAsia="zh-CN"/>
        </w:rPr>
        <w:t xml:space="preserve">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  履约担保期限：</w:t>
      </w:r>
      <w:r>
        <w:rPr>
          <w:rFonts w:hint="eastAsia" w:ascii="宋体" w:hAnsi="宋体" w:eastAsia="等线" w:cs="宋体"/>
          <w:bCs/>
          <w:color w:val="auto"/>
          <w:sz w:val="21"/>
          <w:highlight w:val="none"/>
          <w:u w:val="single"/>
          <w:lang w:eastAsia="zh-CN"/>
        </w:rPr>
        <w:t xml:space="preserve">货物安装、调试、验收合格后10个工作日内退还。</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履约保证金的缴纳时间：</w:t>
      </w:r>
      <w:r>
        <w:rPr>
          <w:rFonts w:hint="eastAsia" w:ascii="宋体" w:hAnsi="宋体" w:eastAsia="等线" w:cs="宋体"/>
          <w:bCs/>
          <w:color w:val="auto"/>
          <w:sz w:val="21"/>
          <w:highlight w:val="none"/>
          <w:u w:val="single"/>
          <w:lang w:eastAsia="zh-CN"/>
        </w:rPr>
        <w:t xml:space="preserve"> 乙方在签订合同后5个工作日内，向甲方提交履约保证金。</w:t>
      </w:r>
      <w:r>
        <w:rPr>
          <w:rFonts w:hint="eastAsia" w:ascii="宋体" w:hAnsi="宋体" w:eastAsia="等线" w:cs="宋体"/>
          <w:bCs/>
          <w:color w:val="auto"/>
          <w:sz w:val="21"/>
          <w:highlight w:val="none"/>
          <w:lang w:eastAsia="zh-CN"/>
        </w:rPr>
        <w:t xml:space="preserve">                           </w:t>
      </w:r>
      <w:r/>
    </w:p>
    <w:p>
      <w:pPr>
        <w:ind w:firstLine="630"/>
        <w:spacing w:line="400" w:lineRule="exact"/>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退付办法：</w:t>
      </w:r>
      <w:r>
        <w:rPr>
          <w:rFonts w:hint="eastAsia" w:ascii="宋体" w:hAnsi="宋体" w:eastAsia="等线" w:cs="宋体"/>
          <w:bCs/>
          <w:color w:val="auto"/>
          <w:sz w:val="21"/>
          <w:highlight w:val="none"/>
          <w:u w:val="single"/>
          <w:lang w:eastAsia="zh-CN"/>
        </w:rPr>
        <w:t xml:space="preserve">与乙方提交履约保证金的方式相同。</w:t>
      </w:r>
      <w:r>
        <w:rPr>
          <w:rFonts w:hint="eastAsia" w:ascii="宋体" w:hAnsi="宋体" w:eastAsia="等线" w:cs="宋体"/>
          <w:bCs/>
          <w:color w:val="auto"/>
          <w:sz w:val="21"/>
          <w:highlight w:val="none"/>
          <w:lang w:eastAsia="zh-CN"/>
        </w:rPr>
        <w:t xml:space="preserve">                                      </w:t>
      </w:r>
      <w:r/>
    </w:p>
    <w:p>
      <w:pPr>
        <w:ind w:left="3360" w:hanging="2730"/>
        <w:spacing w:line="400" w:lineRule="exact"/>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履约保证金不予退还的情形：</w:t>
      </w:r>
      <w:r>
        <w:rPr>
          <w:rFonts w:hint="eastAsia" w:ascii="宋体" w:hAnsi="宋体" w:eastAsia="等线" w:cs="宋体"/>
          <w:bCs/>
          <w:color w:val="auto"/>
          <w:sz w:val="21"/>
          <w:highlight w:val="none"/>
          <w:u w:val="single"/>
          <w:lang w:eastAsia="zh-CN"/>
        </w:rPr>
        <w:t xml:space="preserve">①由于乙方的原因不能履约的，②在履行合同期间发生重大安全事故，给甲方造成不良影响和严重经济损失的。</w:t>
      </w:r>
      <w:r/>
    </w:p>
    <w:p>
      <w:pPr>
        <w:ind w:firstLine="63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逾期退还履约保证金的违约责任：</w:t>
      </w:r>
      <w:r>
        <w:rPr>
          <w:rFonts w:hint="eastAsia" w:ascii="宋体" w:hAnsi="宋体" w:eastAsia="等线" w:cs="宋体"/>
          <w:bCs/>
          <w:color w:val="auto"/>
          <w:sz w:val="21"/>
          <w:highlight w:val="none"/>
          <w:u w:val="single"/>
          <w:lang w:eastAsia="zh-CN"/>
        </w:rPr>
        <w:t xml:space="preserve">承担履约保证金金额千分之二/天的违约金。 </w:t>
      </w:r>
      <w:r/>
    </w:p>
    <w:p>
      <w:pPr>
        <w:ind w:firstLine="420"/>
        <w:jc w:val="both"/>
        <w:spacing w:line="400" w:lineRule="exact"/>
        <w:widowControl w:val="off"/>
        <w:rPr>
          <w:rFonts w:ascii="宋体" w:hAnsi="宋体" w:eastAsia="等线" w:cs="宋体"/>
          <w:bCs/>
          <w:color w:val="auto"/>
          <w:sz w:val="21"/>
          <w:highlight w:val="none"/>
          <w:lang w:eastAsia="zh-CN"/>
        </w:rPr>
      </w:pPr>
      <w:r>
        <w:rPr>
          <w:rFonts w:hint="eastAsia" w:ascii="宋体" w:hAnsi="宋体" w:eastAsia="等线" w:cs="宋体"/>
          <w:bCs/>
          <w:color w:val="auto"/>
          <w:sz w:val="21"/>
          <w:highlight w:val="none"/>
          <w:lang w:eastAsia="zh-CN"/>
        </w:rPr>
        <w:t xml:space="preserve">（4）分期履行要求：</w:t>
      </w:r>
      <w:r>
        <w:rPr>
          <w:rFonts w:hint="eastAsia" w:ascii="宋体" w:hAnsi="宋体" w:eastAsia="等线" w:cs="宋体"/>
          <w:bCs/>
          <w:color w:val="auto"/>
          <w:sz w:val="21"/>
          <w:highlight w:val="none"/>
          <w:u w:val="single"/>
          <w:lang w:eastAsia="zh-CN"/>
        </w:rPr>
        <w:t xml:space="preserve">                                                        </w:t>
      </w:r>
      <w:r/>
    </w:p>
    <w:p>
      <w:pPr>
        <w:ind w:firstLine="420"/>
        <w:jc w:val="both"/>
        <w:spacing w:line="400" w:lineRule="exact"/>
        <w:widowControl w:val="off"/>
        <w:rPr>
          <w:rFonts w:ascii="宋体" w:hAnsi="宋体" w:eastAsia="等线" w:cs="宋体"/>
          <w:color w:val="auto"/>
          <w:sz w:val="21"/>
          <w:highlight w:val="none"/>
          <w:u w:val="single"/>
          <w:lang w:eastAsia="zh-CN"/>
        </w:rPr>
      </w:pPr>
      <w:r>
        <w:rPr>
          <w:rFonts w:hint="eastAsia" w:ascii="宋体" w:hAnsi="宋体" w:eastAsia="等线" w:cs="宋体"/>
          <w:bCs/>
          <w:color w:val="auto"/>
          <w:sz w:val="21"/>
          <w:highlight w:val="none"/>
          <w:lang w:eastAsia="zh-CN"/>
        </w:rPr>
        <w:t xml:space="preserve">（5）风险处置措施和替代方案：</w:t>
      </w:r>
      <w:r>
        <w:rPr>
          <w:rFonts w:hint="eastAsia" w:ascii="宋体" w:hAnsi="宋体" w:eastAsia="等线" w:cs="宋体"/>
          <w:color w:val="auto"/>
          <w:sz w:val="21"/>
          <w:highlight w:val="none"/>
          <w:u w:val="single"/>
          <w:lang w:eastAsia="zh-CN"/>
        </w:rPr>
        <w:t xml:space="preserve">                                                               </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合同验收</w:t>
      </w:r>
      <w:r/>
    </w:p>
    <w:p>
      <w:pPr>
        <w:numPr>
          <w:ilvl w:val="0"/>
          <w:numId w:val="13"/>
        </w:numPr>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验收组织方式：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自行组织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委托第三方组织</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验收主体：</w:t>
      </w:r>
      <w:r>
        <w:rPr>
          <w:rFonts w:hint="eastAsia" w:ascii="宋体" w:hAnsi="宋体" w:eastAsia="等线" w:cs="Times New Roman"/>
          <w:bCs/>
          <w:color w:val="auto"/>
          <w:sz w:val="21"/>
          <w:highlight w:val="none"/>
          <w:u w:val="single"/>
          <w:lang w:eastAsia="zh-CN"/>
        </w:rPr>
        <w:t xml:space="preserve">                  </w:t>
      </w:r>
      <w:r/>
    </w:p>
    <w:p>
      <w:pPr>
        <w:ind w:firstLine="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是否邀请本项目的其他供应商参加验收：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是否邀请专家参加验收：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是否邀请服务对象参加验收：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是否邀请第三方检测机构参加验收：</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是否进行抽查检测：</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是，抽查比例：</w:t>
      </w:r>
      <w:r>
        <w:rPr>
          <w:rFonts w:hint="eastAsia" w:ascii="宋体" w:hAnsi="宋体" w:eastAsia="等线" w:cs="Times New Roman"/>
          <w:bCs/>
          <w:color w:val="auto"/>
          <w:sz w:val="21"/>
          <w:highlight w:val="none"/>
          <w:u w:val="single"/>
          <w:lang w:eastAsia="zh-CN"/>
        </w:rPr>
        <w:t xml:space="preserve">        </w:t>
      </w: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否</w:t>
      </w:r>
      <w:r/>
    </w:p>
    <w:p>
      <w:pPr>
        <w:ind w:firstLine="840"/>
        <w:jc w:val="both"/>
        <w:spacing w:line="400" w:lineRule="exact"/>
        <w:widowControl w:val="off"/>
        <w:rPr>
          <w:rFonts w:ascii="宋体" w:hAnsi="宋体" w:cs="Times New Roman"/>
          <w:bCs/>
          <w:color w:val="auto"/>
          <w:sz w:val="21"/>
          <w:highlight w:val="none"/>
          <w:u w:val="single"/>
          <w:lang w:eastAsia="zh-CN"/>
        </w:rPr>
      </w:pPr>
      <w:r>
        <w:rPr>
          <w:rFonts w:hint="eastAsia" w:ascii="宋体" w:hAnsi="宋体" w:cs="Times New Roman"/>
          <w:bCs/>
          <w:color w:val="auto"/>
          <w:sz w:val="21"/>
          <w:highlight w:val="none"/>
          <w:lang w:eastAsia="zh-CN"/>
        </w:rPr>
        <w:t xml:space="preserve">是否存在破坏性检测：</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是，</w:t>
      </w:r>
      <w:r>
        <w:rPr>
          <w:rFonts w:hint="eastAsia" w:ascii="宋体" w:hAnsi="宋体" w:cs="Times New Roman"/>
          <w:bCs/>
          <w:color w:val="auto"/>
          <w:sz w:val="21"/>
          <w:highlight w:val="none"/>
          <w:u w:val="single"/>
          <w:lang w:eastAsia="zh-CN"/>
        </w:rPr>
        <w:t xml:space="preserve">（应明确对被破坏的检测产品的处理方式）</w:t>
      </w:r>
      <w:r/>
    </w:p>
    <w:p>
      <w:pPr>
        <w:ind w:firstLine="840"/>
        <w:jc w:val="both"/>
        <w:spacing w:line="400" w:lineRule="exact"/>
        <w:widowControl w:val="off"/>
        <w:rPr>
          <w:rFonts w:ascii="宋体" w:hAnsi="宋体" w:cs="Times New Roman"/>
          <w:bCs/>
          <w:color w:val="auto"/>
          <w:sz w:val="21"/>
          <w:highlight w:val="none"/>
          <w:lang w:eastAsia="zh-CN"/>
        </w:rPr>
      </w:pPr>
      <w:r>
        <w:rPr>
          <w:rFonts w:hint="eastAsia" w:ascii="宋体" w:hAnsi="宋体"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cs="Times New Roman"/>
          <w:bCs/>
          <w:color w:val="auto"/>
          <w:sz w:val="21"/>
          <w:highlight w:val="none"/>
          <w:lang w:eastAsia="zh-CN"/>
        </w:rPr>
        <w:t xml:space="preserve">否</w:t>
      </w:r>
      <w:r/>
    </w:p>
    <w:p>
      <w:pPr>
        <w:ind w:firstLine="84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验收组织的其他事项：</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（2）履约验收时间：</w:t>
      </w:r>
      <w:r>
        <w:rPr>
          <w:rFonts w:hint="eastAsia" w:ascii="宋体" w:hAnsi="宋体" w:eastAsia="等线" w:cs="Times New Roman"/>
          <w:bCs/>
          <w:color w:val="auto"/>
          <w:sz w:val="21"/>
          <w:highlight w:val="none"/>
          <w:u w:val="single"/>
          <w:lang w:eastAsia="zh-CN"/>
        </w:rPr>
        <w:t xml:space="preserve">（计划于何时验收/供应商提出验收申请之日起   日内组织验收）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（3）履约验收方式：</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一次性验收         </w:t>
      </w:r>
      <w:r/>
    </w:p>
    <w:p>
      <w:pPr>
        <w:ind w:firstLine="0"/>
        <w:jc w:val="both"/>
        <w:spacing w:line="400" w:lineRule="exact"/>
        <w:widowControl w:val="off"/>
        <w:rPr>
          <w:rFonts w:ascii="宋体" w:hAnsi="宋体"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                       </w:t>
      </w:r>
      <w:r>
        <w:rPr>
          <w:rFonts w:ascii="Wingdings" w:hAnsi="Wingdings" w:eastAsia="Wingdings" w:cs="Wingdings"/>
          <w:color w:val="auto"/>
          <w:sz w:val="21"/>
          <w:highlight w:val="none"/>
          <w:lang w:eastAsia="zh-CN"/>
        </w:rPr>
        <w:t xml:space="preserve"></w:t>
      </w:r>
      <w:r>
        <w:rPr>
          <w:rFonts w:hint="eastAsia" w:ascii="宋体" w:hAnsi="宋体" w:eastAsia="等线" w:cs="Times New Roman"/>
          <w:bCs/>
          <w:color w:val="auto"/>
          <w:sz w:val="21"/>
          <w:highlight w:val="none"/>
          <w:lang w:eastAsia="zh-CN"/>
        </w:rPr>
        <w:t xml:space="preserve">分期/分项验收：</w:t>
      </w:r>
      <w:r>
        <w:rPr>
          <w:rFonts w:hint="eastAsia" w:ascii="宋体" w:hAnsi="宋体" w:eastAsia="等线" w:cs="Times New Roman"/>
          <w:bCs/>
          <w:color w:val="auto"/>
          <w:sz w:val="21"/>
          <w:highlight w:val="none"/>
          <w:u w:val="single"/>
          <w:lang w:eastAsia="zh-CN"/>
        </w:rPr>
        <w:t xml:space="preserve"> （应明确分期</w:t>
      </w:r>
      <w:r>
        <w:rPr>
          <w:rFonts w:ascii="宋体" w:hAnsi="宋体" w:eastAsia="等线" w:cs="Times New Roman"/>
          <w:bCs/>
          <w:color w:val="auto"/>
          <w:sz w:val="21"/>
          <w:highlight w:val="none"/>
          <w:u w:val="single"/>
          <w:lang w:val="en" w:eastAsia="zh-CN"/>
        </w:rPr>
        <w:t xml:space="preserve">/</w:t>
      </w:r>
      <w:r>
        <w:rPr>
          <w:rFonts w:hint="eastAsia" w:ascii="宋体" w:hAnsi="宋体" w:eastAsia="等线" w:cs="Times New Roman"/>
          <w:bCs/>
          <w:color w:val="auto"/>
          <w:sz w:val="21"/>
          <w:highlight w:val="none"/>
          <w:u w:val="single"/>
          <w:lang w:val="en" w:eastAsia="zh-CN"/>
        </w:rPr>
        <w:t xml:space="preserve">分项验收的工作安排</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lang w:eastAsia="zh-CN"/>
        </w:rPr>
      </w:pPr>
      <w:r>
        <w:rPr>
          <w:rFonts w:hint="eastAsia" w:ascii="宋体" w:hAnsi="宋体" w:eastAsia="等线" w:cs="Times New Roman"/>
          <w:bCs/>
          <w:color w:val="auto"/>
          <w:sz w:val="21"/>
          <w:highlight w:val="none"/>
          <w:lang w:eastAsia="zh-CN"/>
        </w:rPr>
        <w:t xml:space="preserve">（4）履约验收程序：</w:t>
      </w:r>
      <w:r>
        <w:rPr>
          <w:rFonts w:hint="eastAsia" w:ascii="宋体" w:hAnsi="宋体" w:eastAsia="等线" w:cs="Times New Roman"/>
          <w:bCs/>
          <w:color w:val="auto"/>
          <w:sz w:val="21"/>
          <w:highlight w:val="none"/>
          <w:u w:val="single"/>
          <w:lang w:eastAsia="zh-CN"/>
        </w:rPr>
        <w:t xml:space="preserve">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（5）履约验收的内容：</w:t>
      </w:r>
      <w:r>
        <w:rPr>
          <w:rFonts w:hint="eastAsia" w:ascii="宋体" w:hAnsi="宋体" w:eastAsia="等线" w:cs="Times New Roman"/>
          <w:bCs/>
          <w:color w:val="auto"/>
          <w:sz w:val="21"/>
          <w:highlight w:val="none"/>
          <w:u w:val="single"/>
          <w:lang w:eastAsia="zh-CN"/>
        </w:rPr>
        <w:t xml:space="preserve"> （应当包括每一项技术和商务要求的履约情况，特别是落实政府采购扶持中小企业，支持绿色发展和乡村振兴等政策情况）                                      </w:t>
      </w:r>
      <w:r/>
    </w:p>
    <w:p>
      <w:pPr>
        <w:ind w:firstLine="420"/>
        <w:jc w:val="both"/>
        <w:spacing w:line="400" w:lineRule="exact"/>
        <w:widowControl w:val="off"/>
        <w:rPr>
          <w:rFonts w:ascii="宋体" w:hAnsi="宋体" w:eastAsia="等线" w:cs="Times New Roman"/>
          <w:bCs/>
          <w:color w:val="auto"/>
          <w:sz w:val="21"/>
          <w:highlight w:val="none"/>
          <w:u w:val="single"/>
          <w:lang w:eastAsia="zh-CN"/>
        </w:rPr>
      </w:pPr>
      <w:r>
        <w:rPr>
          <w:rFonts w:hint="eastAsia" w:ascii="宋体" w:hAnsi="宋体" w:eastAsia="等线" w:cs="Times New Roman"/>
          <w:bCs/>
          <w:color w:val="auto"/>
          <w:sz w:val="21"/>
          <w:highlight w:val="none"/>
          <w:lang w:eastAsia="zh-CN"/>
        </w:rPr>
        <w:t xml:space="preserve">（6）履约验收标准：</w:t>
      </w:r>
      <w:r>
        <w:rPr>
          <w:rFonts w:hint="eastAsia" w:ascii="宋体" w:hAnsi="宋体" w:eastAsia="等线" w:cs="Times New Roman"/>
          <w:bCs/>
          <w:color w:val="auto"/>
          <w:sz w:val="21"/>
          <w:highlight w:val="none"/>
          <w:u w:val="single"/>
          <w:lang w:eastAsia="zh-CN"/>
        </w:rPr>
        <w:t xml:space="preserve">                                         </w:t>
      </w:r>
      <w:r/>
    </w:p>
    <w:p>
      <w:pPr>
        <w:ind w:firstLine="440"/>
        <w:spacing w:line="400" w:lineRule="exact"/>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（7）是否以采购活动中供应商提供的样品作为参考：</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是  </w:t>
      </w:r>
      <w:r>
        <w:rPr>
          <w:rFonts w:ascii="Wingdings" w:hAnsi="Wingdings" w:eastAsia="Wingdings" w:cs="Wingdings"/>
          <w:color w:val="auto"/>
          <w:sz w:val="21"/>
          <w:highlight w:val="none"/>
          <w:lang w:eastAsia="zh-CN"/>
        </w:rPr>
        <w:t xml:space="preserve"></w:t>
      </w:r>
      <w:r>
        <w:rPr>
          <w:rFonts w:hint="eastAsia" w:ascii="宋体" w:hAnsi="宋体" w:cs="宋体"/>
          <w:bCs/>
          <w:color w:val="auto"/>
          <w:sz w:val="21"/>
          <w:highlight w:val="none"/>
          <w:lang w:eastAsia="zh-CN"/>
        </w:rPr>
        <w:t xml:space="preserve">否</w:t>
      </w:r>
      <w:r/>
    </w:p>
    <w:p>
      <w:pPr>
        <w:ind w:firstLine="420"/>
        <w:jc w:val="both"/>
        <w:spacing w:line="400" w:lineRule="exact"/>
        <w:widowControl w:val="off"/>
        <w:rPr>
          <w:rFonts w:ascii="宋体" w:hAnsi="宋体" w:eastAsia="等线" w:cs="宋体"/>
          <w:bCs/>
          <w:color w:val="auto"/>
          <w:sz w:val="21"/>
          <w:highlight w:val="none"/>
          <w:u w:val="single"/>
          <w:lang w:eastAsia="zh-CN"/>
        </w:rPr>
      </w:pPr>
      <w:r>
        <w:rPr>
          <w:rFonts w:hint="eastAsia" w:ascii="宋体" w:hAnsi="宋体" w:eastAsia="等线" w:cs="宋体"/>
          <w:bCs/>
          <w:color w:val="auto"/>
          <w:sz w:val="21"/>
          <w:highlight w:val="none"/>
          <w:lang w:eastAsia="zh-CN"/>
        </w:rPr>
        <w:t xml:space="preserve">（8）履约验收其他事项：</w:t>
      </w:r>
      <w:r>
        <w:rPr>
          <w:rFonts w:hint="eastAsia" w:ascii="宋体" w:hAnsi="宋体" w:eastAsia="等线" w:cs="宋体"/>
          <w:bCs/>
          <w:color w:val="auto"/>
          <w:sz w:val="21"/>
          <w:highlight w:val="none"/>
          <w:u w:val="single"/>
          <w:lang w:eastAsia="zh-CN"/>
        </w:rPr>
        <w:t xml:space="preserve">      （产权过户登记等）          </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组成合同的文件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本协议书与下列文件一起构成合同文件，如下述文件之间有任何抵触、矛盾或歧义，应按以下顺序解释：</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（1）政府采购合同协议书及其变更、补充协议</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（2）政府采购合同专用条款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（3）政府采购合同通用条款</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（4）中标（成交）通知书</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（5）投标（响应）文件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（6）采购文件</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（7）有关技术文件，图纸</w:t>
      </w:r>
      <w:r/>
    </w:p>
    <w:p>
      <w:pPr>
        <w:ind w:firstLine="440"/>
        <w:spacing w:line="400" w:lineRule="exact"/>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（8）国家法律、行政法规和规章制度规定或合同约定的作为合同组成部分的其他文件</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合同生效</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本合同自</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生效。</w:t>
      </w:r>
      <w:r/>
    </w:p>
    <w:p>
      <w:pPr>
        <w:numPr>
          <w:ilvl w:val="0"/>
          <w:numId w:val="11"/>
        </w:numPr>
        <w:jc w:val="both"/>
        <w:spacing w:line="400" w:lineRule="exact"/>
        <w:widowControl w:val="off"/>
        <w:rPr>
          <w:rFonts w:ascii="宋体" w:hAnsi="宋体" w:eastAsia="等线" w:cs="Times New Roman"/>
          <w:b/>
          <w:color w:val="auto"/>
          <w:sz w:val="21"/>
          <w:highlight w:val="none"/>
          <w:lang w:eastAsia="zh-CN"/>
        </w:rPr>
      </w:pPr>
      <w:r>
        <w:rPr>
          <w:rFonts w:hint="eastAsia" w:ascii="宋体" w:hAnsi="宋体" w:eastAsia="等线" w:cs="Times New Roman"/>
          <w:b/>
          <w:color w:val="auto"/>
          <w:sz w:val="21"/>
          <w:highlight w:val="none"/>
          <w:lang w:eastAsia="zh-CN"/>
        </w:rPr>
        <w:t xml:space="preserve">合同份数</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本合同一式</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份，甲方执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份，乙方执</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份，均具有同等法律效力。</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合同订立时间：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年</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月</w:t>
      </w:r>
      <w:r>
        <w:rPr>
          <w:rFonts w:hint="eastAsia" w:ascii="宋体" w:hAnsi="宋体" w:eastAsia="等线" w:cs="Times New Roman"/>
          <w:color w:val="auto"/>
          <w:sz w:val="21"/>
          <w:highlight w:val="none"/>
          <w:u w:val="single"/>
          <w:lang w:eastAsia="zh-CN"/>
        </w:rPr>
        <w:t xml:space="preserve">      </w:t>
      </w:r>
      <w:r>
        <w:rPr>
          <w:rFonts w:hint="eastAsia" w:ascii="宋体" w:hAnsi="宋体" w:eastAsia="等线" w:cs="Times New Roman"/>
          <w:color w:val="auto"/>
          <w:sz w:val="21"/>
          <w:highlight w:val="none"/>
          <w:lang w:eastAsia="zh-CN"/>
        </w:rPr>
        <w:t xml:space="preserve">日</w:t>
      </w:r>
      <w:r/>
    </w:p>
    <w:p>
      <w:pPr>
        <w:ind w:firstLine="420"/>
        <w:jc w:val="both"/>
        <w:spacing w:line="400" w:lineRule="exact"/>
        <w:widowControl w:val="off"/>
        <w:rPr>
          <w:rFonts w:ascii="宋体" w:hAnsi="宋体" w:eastAsia="等线" w:cs="Times New Roman"/>
          <w:color w:val="auto"/>
          <w:sz w:val="21"/>
          <w:highlight w:val="none"/>
          <w:lang w:eastAsia="zh-CN"/>
        </w:rPr>
      </w:pPr>
      <w:r>
        <w:rPr>
          <w:rFonts w:hint="eastAsia" w:ascii="宋体" w:hAnsi="宋体" w:eastAsia="等线" w:cs="Times New Roman"/>
          <w:color w:val="auto"/>
          <w:sz w:val="21"/>
          <w:highlight w:val="none"/>
          <w:lang w:eastAsia="zh-CN"/>
        </w:rPr>
        <w:t xml:space="preserve">合同订立地点：</w:t>
      </w:r>
      <w:r>
        <w:rPr>
          <w:rFonts w:hint="eastAsia" w:ascii="宋体" w:hAnsi="宋体" w:eastAsia="等线" w:cs="Times New Roman"/>
          <w:color w:val="auto"/>
          <w:sz w:val="21"/>
          <w:highlight w:val="none"/>
          <w:u w:val="single"/>
          <w:lang w:eastAsia="zh-CN"/>
        </w:rPr>
        <w:t xml:space="preserve">                           </w:t>
      </w:r>
      <w:r/>
    </w:p>
    <w:p>
      <w:pPr>
        <w:ind w:firstLine="420"/>
        <w:jc w:val="both"/>
        <w:spacing w:line="400" w:lineRule="exact"/>
        <w:widowControl w:val="off"/>
        <w:rPr>
          <w:rFonts w:ascii="等线" w:hAnsi="等线" w:eastAsia="等线" w:cs="Times New Roman"/>
          <w:color w:val="auto"/>
          <w:sz w:val="21"/>
          <w:szCs w:val="22"/>
          <w:highlight w:val="none"/>
          <w:lang w:eastAsia="zh-CN"/>
        </w:rPr>
      </w:pPr>
      <w:r>
        <w:rPr>
          <w:rFonts w:hint="eastAsia" w:ascii="宋体" w:hAnsi="宋体" w:eastAsia="等线" w:cs="Times New Roman"/>
          <w:color w:val="auto"/>
          <w:sz w:val="21"/>
          <w:highlight w:val="none"/>
          <w:lang w:eastAsia="zh-CN"/>
        </w:rPr>
        <w:t xml:space="preserve">附件：具体标的及其技术要求和商务要求、联合协议、分包意向协议等。</w:t>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等线" w:hAnsi="等线" w:cs="Times New Roman" w:eastAsiaTheme="minorEastAsia"/>
          <w:color w:val="auto"/>
          <w:sz w:val="21"/>
          <w:szCs w:val="22"/>
          <w:highlight w:val="none"/>
          <w:lang w:eastAsia="zh-CN"/>
        </w:rPr>
      </w:pPr>
      <w:r>
        <w:rPr>
          <w:rFonts w:ascii="等线" w:hAnsi="等线" w:cs="Times New Roman" w:eastAsiaTheme="minorEastAsia"/>
          <w:color w:val="auto"/>
          <w:sz w:val="21"/>
          <w:szCs w:val="22"/>
          <w:highlight w:val="none"/>
          <w:lang w:eastAsia="zh-CN"/>
        </w:rPr>
      </w:r>
      <w:r/>
    </w:p>
    <w:p>
      <w:pPr>
        <w:ind w:firstLine="420"/>
        <w:jc w:val="both"/>
        <w:spacing w:line="240" w:lineRule="auto"/>
        <w:widowControl w:val="off"/>
        <w:rPr>
          <w:rFonts w:ascii="Calibri" w:hAnsi="Calibri" w:cs="Times New Roman"/>
          <w:color w:val="auto"/>
          <w:sz w:val="21"/>
          <w:szCs w:val="22"/>
          <w:highlight w:val="none"/>
          <w:lang w:eastAsia="zh-CN"/>
        </w:rPr>
      </w:pPr>
      <w:r>
        <w:rPr>
          <w:rFonts w:ascii="Calibri" w:hAnsi="Calibri" w:cs="Times New Roman"/>
          <w:color w:val="auto"/>
          <w:sz w:val="21"/>
          <w:szCs w:val="22"/>
          <w:highlight w:val="none"/>
          <w:lang w:eastAsia="zh-CN"/>
        </w:rPr>
      </w:r>
      <w:r/>
    </w:p>
    <w:tbl>
      <w:tblPr>
        <w:tblStyle w:val="80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2869"/>
        <w:gridCol w:w="2353"/>
        <w:gridCol w:w="2517"/>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0"/>
                <w:highlight w:val="none"/>
                <w:lang w:eastAsia="zh-CN"/>
              </w:rPr>
              <w:t xml:space="preserve">甲方</w:t>
            </w:r>
            <w:r>
              <w:rPr>
                <w:rFonts w:hint="eastAsia" w:ascii="等线" w:hAnsi="等线" w:eastAsia="等线" w:cs="Times New Roman"/>
                <w:color w:val="auto"/>
                <w:sz w:val="21"/>
                <w:szCs w:val="20"/>
                <w:highlight w:val="none"/>
                <w:lang w:eastAsia="zh-CN"/>
              </w:rPr>
              <w:t xml:space="preserve">（采购人</w:t>
            </w:r>
            <w:r>
              <w:rPr>
                <w:rFonts w:hint="eastAsia" w:ascii="宋体" w:hAnsi="宋体" w:eastAsia="等线" w:cs="Times New Roman"/>
                <w:color w:val="auto"/>
                <w:sz w:val="21"/>
                <w:szCs w:val="20"/>
                <w:highlight w:val="none"/>
                <w:lang w:eastAsia="zh-CN"/>
              </w:rPr>
              <w:t xml:space="preserve">、受采购人委托签订合同的单位或</w:t>
            </w:r>
            <w:r>
              <w:rPr>
                <w:rFonts w:hint="eastAsia" w:ascii="等线" w:hAnsi="等线" w:eastAsia="等线" w:cs="Times New Roman"/>
                <w:color w:val="auto"/>
                <w:sz w:val="21"/>
                <w:szCs w:val="20"/>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0"/>
                <w:highlight w:val="none"/>
                <w:lang w:eastAsia="zh-CN"/>
              </w:rPr>
              <w:t xml:space="preserve">乙方</w:t>
            </w:r>
            <w:r>
              <w:rPr>
                <w:rFonts w:hint="eastAsia" w:ascii="等线" w:hAnsi="等线" w:eastAsia="等线" w:cs="Times New Roman"/>
                <w:color w:val="auto"/>
                <w:sz w:val="21"/>
                <w:szCs w:val="20"/>
                <w:highlight w:val="none"/>
                <w:lang w:eastAsia="zh-CN"/>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单位名称</w:t>
            </w:r>
            <w:r>
              <w:rPr>
                <w:rFonts w:hint="eastAsia" w:ascii="等线" w:hAnsi="等线" w:eastAsia="等线" w:cs="Times New Roman"/>
                <w:color w:val="auto"/>
                <w:sz w:val="21"/>
                <w:szCs w:val="20"/>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单位名称</w:t>
            </w:r>
            <w:r>
              <w:rPr>
                <w:rFonts w:hint="eastAsia" w:ascii="等线" w:hAnsi="等线" w:eastAsia="等线" w:cs="Times New Roman"/>
                <w:color w:val="auto"/>
                <w:sz w:val="21"/>
                <w:szCs w:val="20"/>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法定代表人</w:t>
            </w:r>
            <w:r/>
          </w:p>
          <w:p>
            <w:pPr>
              <w:ind w:left="0" w:right="0" w:firstLine="10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或其</w:t>
            </w:r>
            <w:r>
              <w:rPr>
                <w:rFonts w:ascii="等线" w:hAnsi="等线" w:eastAsia="等线" w:cs="Times New Roman"/>
                <w:color w:val="auto"/>
                <w:sz w:val="21"/>
                <w:szCs w:val="20"/>
                <w:highlight w:val="none"/>
                <w:lang w:eastAsia="zh-CN"/>
              </w:rPr>
              <w:t xml:space="preserve">委托代理人</w:t>
            </w:r>
            <w:r>
              <w:rPr>
                <w:rFonts w:hint="eastAsia" w:ascii="等线" w:hAnsi="等线" w:eastAsia="等线" w:cs="Times New Roman"/>
                <w:color w:val="auto"/>
                <w:sz w:val="21"/>
                <w:szCs w:val="20"/>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法定代表人</w:t>
            </w:r>
            <w:r/>
          </w:p>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或其</w:t>
            </w:r>
            <w:r>
              <w:rPr>
                <w:rFonts w:ascii="等线" w:hAnsi="等线" w:eastAsia="等线" w:cs="Times New Roman"/>
                <w:color w:val="auto"/>
                <w:sz w:val="21"/>
                <w:szCs w:val="20"/>
                <w:highlight w:val="none"/>
                <w:lang w:eastAsia="zh-CN"/>
              </w:rPr>
              <w:t xml:space="preserve">委托代理人</w:t>
            </w:r>
            <w:r>
              <w:rPr>
                <w:rFonts w:hint="eastAsia" w:ascii="等线" w:hAnsi="等线" w:eastAsia="等线" w:cs="Times New Roman"/>
                <w:color w:val="auto"/>
                <w:sz w:val="21"/>
                <w:szCs w:val="20"/>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hint="eastAsia" w:ascii="等线" w:hAnsi="等线" w:eastAsia="等线" w:cs="Times New Roman"/>
                <w:color w:val="auto"/>
                <w:sz w:val="21"/>
                <w:szCs w:val="20"/>
                <w:highlight w:val="none"/>
                <w:lang w:eastAsia="zh-CN"/>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z w:val="21"/>
                <w:szCs w:val="20"/>
                <w:highlight w:val="none"/>
                <w:lang w:eastAsia="zh-CN"/>
              </w:rPr>
              <w:suppressLineNumbers w:val="0"/>
            </w:pPr>
            <w:r>
              <w:rPr>
                <w:rFonts w:ascii="等线" w:hAnsi="等线" w:eastAsia="等线" w:cs="Times New Roman"/>
                <w:color w:val="auto"/>
                <w:sz w:val="21"/>
                <w:szCs w:val="20"/>
                <w:highlight w:val="none"/>
                <w:lang w:eastAsia="zh-CN"/>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firstLine="0"/>
              <w:jc w:val="center"/>
              <w:keepLines w:val="0"/>
              <w:keepNext w:val="0"/>
              <w:spacing w:before="0" w:beforeAutospacing="0" w:after="0" w:afterAutospacing="0" w:line="300" w:lineRule="exact"/>
              <w:widowControl w:val="off"/>
              <w:rPr>
                <w:rFonts w:ascii="等线" w:hAnsi="等线" w:eastAsia="等线" w:cs="Times New Roman"/>
                <w:color w:val="auto"/>
                <w:spacing w:val="20"/>
                <w:sz w:val="21"/>
                <w:szCs w:val="20"/>
                <w:highlight w:val="none"/>
                <w:lang w:eastAsia="zh-CN"/>
              </w:rPr>
              <w:suppressLineNumbers w:val="0"/>
            </w:pPr>
            <w:r>
              <w:rPr>
                <w:rFonts w:ascii="等线" w:hAnsi="等线" w:eastAsia="等线" w:cs="Times New Roman"/>
                <w:color w:val="auto"/>
                <w:spacing w:val="20"/>
                <w:sz w:val="21"/>
                <w:szCs w:val="20"/>
                <w:highlight w:val="none"/>
                <w:lang w:eastAsia="zh-CN"/>
              </w:rPr>
            </w:r>
            <w:r/>
          </w:p>
        </w:tc>
      </w:tr>
      <w:tr>
        <w:trPr>
          <w:trHeight w:val="586"/>
        </w:trPr>
        <w:tc>
          <w:tcPr>
            <w:gridSpan w:val="4"/>
            <w:tcBorders>
              <w:top w:val="single" w:color="auto" w:sz="2" w:space="0"/>
            </w:tcBorders>
            <w:tcW w:w="5000" w:type="pct"/>
            <w:vAlign w:val="center"/>
            <w:textDirection w:val="lrTb"/>
            <w:noWrap w:val="false"/>
          </w:tcPr>
          <w:p>
            <w:pPr>
              <w:ind w:left="0" w:right="0" w:firstLine="0"/>
              <w:keepLines w:val="0"/>
              <w:keepNext w:val="0"/>
              <w:spacing w:before="156" w:beforeAutospacing="0" w:after="0" w:afterAutospacing="0"/>
              <w:widowControl w:val="off"/>
              <w:rPr>
                <w:rFonts w:ascii="等线" w:hAnsi="等线" w:eastAsia="等线" w:cs="Times New Roman"/>
                <w:color w:val="auto"/>
                <w:spacing w:val="20"/>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注：涉及联合体或其他合同主体的信息应按上表格式加列。</w:t>
            </w:r>
            <w:r/>
          </w:p>
        </w:tc>
      </w:tr>
    </w:tbl>
    <w:p>
      <w:pPr>
        <w:ind w:firstLine="0"/>
        <w:jc w:val="center"/>
        <w:keepLines/>
        <w:keepNext/>
        <w:spacing w:before="156" w:after="200" w:line="240" w:lineRule="auto"/>
        <w:widowControl w:val="off"/>
        <w:rPr>
          <w:rFonts w:ascii="黑体" w:hAnsi="黑体" w:eastAsia="黑体"/>
          <w:color w:val="auto"/>
          <w:sz w:val="28"/>
          <w:szCs w:val="28"/>
          <w:highlight w:val="none"/>
          <w:lang w:eastAsia="zh-CN"/>
        </w:rPr>
        <w:outlineLvl w:val="1"/>
      </w:pPr>
      <w:r>
        <w:rPr>
          <w:rFonts w:ascii="宋体" w:hAnsi="宋体" w:eastAsia="Arial"/>
          <w:color w:val="auto"/>
          <w:sz w:val="21"/>
          <w:highlight w:val="none"/>
          <w:u w:val="single"/>
          <w:lang w:eastAsia="zh-CN"/>
        </w:rPr>
        <w:br w:type="page" w:clear="all"/>
      </w:r>
      <w:bookmarkStart w:id="6" w:name="_Toc27624"/>
      <w:r>
        <w:rPr>
          <w:rFonts w:hint="eastAsia" w:ascii="黑体" w:hAnsi="黑体" w:eastAsia="黑体"/>
          <w:color w:val="auto"/>
          <w:sz w:val="28"/>
          <w:szCs w:val="28"/>
          <w:highlight w:val="none"/>
          <w:lang w:eastAsia="zh-CN"/>
        </w:rPr>
        <w:t xml:space="preserve">第二节 政府采购合同通用条款</w:t>
      </w:r>
      <w:bookmarkEnd w:id="6"/>
      <w:r/>
      <w:r/>
    </w:p>
    <w:p>
      <w:pPr>
        <w:ind w:firstLine="0"/>
        <w:keepLines w:val="0"/>
        <w:keepNext w:val="0"/>
        <w:pageBreakBefore w:val="0"/>
        <w:spacing w:line="360" w:lineRule="auto"/>
        <w:widowControl w:val="off"/>
        <w:tabs>
          <w:tab w:val="left" w:pos="8820" w:leader="none"/>
          <w:tab w:val="left" w:pos="9345" w:leader="none"/>
          <w:tab w:val="left" w:pos="9765" w:leader="none"/>
        </w:tabs>
        <w:rPr>
          <w:rFonts w:ascii="宋体" w:hAnsi="宋体" w:cs="宋体"/>
          <w:b/>
          <w:bCs/>
          <w:color w:val="auto"/>
          <w:szCs w:val="22"/>
          <w:highlight w:val="none"/>
          <w:lang w:eastAsia="zh-CN"/>
        </w:rPr>
      </w:pPr>
      <w:r>
        <w:rPr>
          <w:rFonts w:hint="eastAsia" w:ascii="宋体" w:hAnsi="宋体" w:cs="宋体"/>
          <w:b/>
          <w:color w:val="auto"/>
          <w:szCs w:val="22"/>
          <w:highlight w:val="none"/>
          <w:lang w:eastAsia="zh-CN"/>
        </w:rPr>
        <w:t xml:space="preserve">1. </w:t>
      </w:r>
      <w:r>
        <w:rPr>
          <w:rFonts w:hint="eastAsia" w:ascii="宋体" w:hAnsi="宋体" w:cs="宋体"/>
          <w:b/>
          <w:bCs/>
          <w:color w:val="auto"/>
          <w:szCs w:val="22"/>
          <w:highlight w:val="none"/>
          <w:lang w:eastAsia="zh-CN"/>
        </w:rPr>
        <w:t xml:space="preserve">定义</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1.1合同当事人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（3）其他合同主体是指除采购人和供应商以外，</w:t>
      </w:r>
      <w:r>
        <w:rPr>
          <w:rFonts w:hint="eastAsia" w:ascii="宋体" w:hAnsi="宋体" w:cs="宋体"/>
          <w:bCs/>
          <w:color w:val="auto"/>
          <w:sz w:val="21"/>
          <w:highlight w:val="none"/>
          <w:lang w:eastAsia="zh-CN"/>
        </w:rPr>
        <w:t xml:space="preserve">依法参与合同缔结或履行，享有权利、承担义务的合同当事人</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1.2本合同下列术语应解释为：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（1）“合同”系指</w:t>
      </w:r>
      <w:r>
        <w:rPr>
          <w:rFonts w:hint="eastAsia" w:ascii="宋体" w:hAnsi="宋体" w:cs="宋体"/>
          <w:bCs/>
          <w:color w:val="auto"/>
          <w:sz w:val="21"/>
          <w:highlight w:val="none"/>
          <w:lang w:eastAsia="zh-CN"/>
        </w:rPr>
        <w:t xml:space="preserve">合同当事人意思表示达成一致的任何协议，包括签署的</w:t>
      </w:r>
      <w:r>
        <w:rPr>
          <w:rFonts w:hint="eastAsia" w:ascii="宋体" w:hAnsi="宋体" w:cs="宋体"/>
          <w:color w:val="auto"/>
          <w:sz w:val="21"/>
          <w:highlight w:val="none"/>
          <w:lang w:eastAsia="zh-CN"/>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（2）“合同价款”系指根据本合同规定乙方在全面履行合同义务后甲方应支付给乙方的价款。</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（3）“货物”系指乙方根据本合同规定须向甲方提供的各种形态和种类的物品，包括原材料、设备、产品（包括软件）及相关的备品备件、工具、手册及</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技术资料和材料等。</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（4）“相关服务”系指根据合同规定，乙方应提供的与货物有关的技术、管理和</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服务，包括但不限于：管理和质量保证、运输、保险、检验、现场准备、安装、集成、调试、培训、维修、废弃处置、技术支持等以及合同中规定乙方应承担的</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tabs>
          <w:tab w:val="left" w:pos="570" w:leader="none"/>
          <w:tab w:val="left" w:pos="9240" w:leader="none"/>
          <w:tab w:val="left" w:pos="9555" w:leader="none"/>
        </w:tabs>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（7）其他术语解释，见【</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eastAsia="zh-CN"/>
        </w:rPr>
      </w:pPr>
      <w:r>
        <w:rPr>
          <w:rFonts w:hint="eastAsia" w:ascii="宋体" w:hAnsi="宋体" w:cs="宋体"/>
          <w:b/>
          <w:color w:val="auto"/>
          <w:szCs w:val="22"/>
          <w:highlight w:val="none"/>
          <w:lang w:val="en-US" w:eastAsia="zh-CN"/>
        </w:rPr>
        <w:t xml:space="preserve">2.</w:t>
      </w:r>
      <w:r>
        <w:rPr>
          <w:rFonts w:hint="eastAsia" w:ascii="宋体" w:hAnsi="宋体" w:cs="宋体"/>
          <w:b/>
          <w:color w:val="auto"/>
          <w:szCs w:val="22"/>
          <w:highlight w:val="none"/>
          <w:lang w:eastAsia="zh-CN"/>
        </w:rPr>
        <w:t xml:space="preserve"> 合同标的及金额</w:t>
      </w:r>
      <w:r/>
    </w:p>
    <w:p>
      <w:pPr>
        <w:ind w:firstLine="420"/>
        <w:keepLines w:val="0"/>
        <w:keepNext w:val="0"/>
        <w:pageBreakBefore w:val="0"/>
        <w:spacing w:line="360" w:lineRule="auto"/>
        <w:widowControl w:val="off"/>
        <w:rPr>
          <w:rFonts w:ascii="宋体" w:hAnsi="宋体" w:cs="宋体"/>
          <w:b/>
          <w:bCs/>
          <w:i/>
          <w:iCs/>
          <w:color w:val="auto"/>
          <w:sz w:val="21"/>
          <w:highlight w:val="none"/>
          <w:lang w:eastAsia="zh-CN"/>
        </w:rPr>
      </w:pPr>
      <w:r>
        <w:rPr>
          <w:rFonts w:hint="eastAsia" w:ascii="宋体" w:hAnsi="宋体" w:cs="宋体"/>
          <w:color w:val="auto"/>
          <w:sz w:val="21"/>
          <w:highlight w:val="none"/>
          <w:lang w:eastAsia="zh-CN"/>
        </w:rPr>
        <w:t xml:space="preserve">2.1 合同标的及金额应与中标（成交）结果一致。乙方为履行本合同而发生的所有费用均应包含在合同价款中，甲方不再另行支付</w:t>
      </w:r>
      <w:r>
        <w:rPr>
          <w:rFonts w:hint="eastAsia" w:ascii="宋体" w:hAnsi="宋体" w:cs="宋体"/>
          <w:color w:val="auto"/>
          <w:sz w:val="21"/>
          <w:highlight w:val="none"/>
          <w:lang w:val="en" w:eastAsia="zh-CN"/>
        </w:rPr>
        <w:t xml:space="preserve">其他</w:t>
      </w:r>
      <w:r>
        <w:rPr>
          <w:rFonts w:hint="eastAsia" w:ascii="宋体" w:hAnsi="宋体" w:cs="宋体"/>
          <w:color w:val="auto"/>
          <w:sz w:val="21"/>
          <w:highlight w:val="none"/>
          <w:lang w:eastAsia="zh-CN"/>
        </w:rPr>
        <w:t xml:space="preserve">任何费用。</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val="en-US" w:eastAsia="zh-CN"/>
        </w:rPr>
      </w:pPr>
      <w:r>
        <w:rPr>
          <w:rFonts w:hint="eastAsia" w:ascii="宋体" w:hAnsi="宋体" w:cs="宋体"/>
          <w:b/>
          <w:color w:val="auto"/>
          <w:szCs w:val="22"/>
          <w:highlight w:val="none"/>
          <w:lang w:val="en-US" w:eastAsia="zh-CN"/>
        </w:rPr>
        <w:t xml:space="preserve">3. 履行合同的时间、地点和方式</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3.1 乙方应当在约定的时间、地点，按照约定方式履行合同。</w:t>
      </w:r>
      <w:r/>
    </w:p>
    <w:p>
      <w:pPr>
        <w:ind w:firstLine="0"/>
        <w:keepLines w:val="0"/>
        <w:keepNext w:val="0"/>
        <w:pageBreakBefore w:val="0"/>
        <w:spacing w:line="360" w:lineRule="auto"/>
        <w:widowControl w:val="off"/>
        <w:tabs>
          <w:tab w:val="left" w:pos="8820" w:leader="none"/>
          <w:tab w:val="left" w:pos="9345" w:leader="none"/>
          <w:tab w:val="left" w:pos="9765" w:leader="none"/>
        </w:tabs>
        <w:rPr>
          <w:rFonts w:hint="eastAsia" w:ascii="宋体" w:hAnsi="宋体" w:cs="宋体"/>
          <w:b/>
          <w:color w:val="auto"/>
          <w:szCs w:val="22"/>
          <w:highlight w:val="none"/>
          <w:lang w:val="en-US" w:eastAsia="zh-CN"/>
        </w:rPr>
      </w:pPr>
      <w:r>
        <w:rPr>
          <w:rFonts w:hint="eastAsia" w:ascii="宋体" w:hAnsi="宋体" w:cs="宋体"/>
          <w:b/>
          <w:color w:val="auto"/>
          <w:szCs w:val="22"/>
          <w:highlight w:val="none"/>
          <w:lang w:val="en-US" w:eastAsia="zh-CN"/>
        </w:rPr>
        <w:t xml:space="preserve">4. 甲方的权利和义务</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4.3 甲方有权要求乙方对缺陷部分予以修复，并按合同约定享有货物保修及其他合同约定的权利。</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4.4 甲方应当按照合同约定及时对交付的货物进行验收，未在【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】约定的期限内对乙方履约提出任何异议或者向乙方作出任何说明的，视为验收通过。</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4.5 甲方应当根据合同约定及时向乙方支付合同价款，不得以内部人员变更、履行内部付款流程等为由，拒绝或迟延支付。</w:t>
      </w:r>
      <w:r/>
    </w:p>
    <w:p>
      <w:pPr>
        <w:ind w:firstLine="420"/>
        <w:keepLines w:val="0"/>
        <w:keepNext w:val="0"/>
        <w:pageBreakBefore w:val="0"/>
        <w:spacing w:line="360" w:lineRule="auto"/>
        <w:widowControl w:val="off"/>
        <w:rPr>
          <w:rFonts w:hint="eastAsia" w:ascii="宋体" w:hAnsi="宋体" w:cs="宋体"/>
          <w:color w:val="auto"/>
          <w:sz w:val="21"/>
          <w:highlight w:val="none"/>
          <w:lang w:eastAsia="zh-CN"/>
        </w:rPr>
      </w:pPr>
      <w:r>
        <w:rPr>
          <w:rFonts w:hint="eastAsia" w:ascii="宋体" w:hAnsi="宋体" w:cs="宋体"/>
          <w:color w:val="auto"/>
          <w:sz w:val="21"/>
          <w:highlight w:val="none"/>
          <w:lang w:eastAsia="zh-CN"/>
        </w:rPr>
        <w:t xml:space="preserve">4.6 国家法律法规规定及【</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】约定应由甲方承担的其他义务和责任。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5. 乙方的权利和义务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5.1 签署合同后，乙方应确定项目负责人（或项目联系人），负责与本合同有关的事务。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jc w:val="both"/>
        <w:keepLines w:val="0"/>
        <w:keepNext w:val="0"/>
        <w:pageBreakBefore w:val="0"/>
        <w:spacing w:line="360" w:lineRule="auto"/>
        <w:widowControl w:val="off"/>
        <w:rPr>
          <w:rFonts w:ascii="宋体" w:hAnsi="宋体" w:cs="宋体"/>
          <w:color w:val="auto"/>
          <w:highlight w:val="none"/>
          <w:lang w:eastAsia="zh-CN"/>
        </w:rPr>
      </w:pPr>
      <w:r>
        <w:rPr>
          <w:rFonts w:hint="eastAsia" w:ascii="宋体" w:hAnsi="宋体" w:cs="宋体"/>
          <w:color w:val="auto"/>
          <w:highlight w:val="none"/>
          <w:lang w:eastAsia="zh-CN"/>
        </w:rPr>
        <w:t xml:space="preserve">5.3乙方有权根据合同约定向甲方收取合同价款。</w:t>
      </w:r>
      <w:r/>
    </w:p>
    <w:p>
      <w:pPr>
        <w:ind w:firstLine="422"/>
        <w:jc w:val="both"/>
        <w:keepLines w:val="0"/>
        <w:keepNext w:val="0"/>
        <w:pageBreakBefore w:val="0"/>
        <w:spacing w:line="360" w:lineRule="auto"/>
        <w:widowControl w:val="off"/>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5.4国家法律法规规定及</w:t>
      </w:r>
      <w:r>
        <w:rPr>
          <w:rFonts w:hint="eastAsia" w:ascii="宋体" w:hAnsi="宋体" w:cs="宋体"/>
          <w:b/>
          <w:bCs/>
          <w:color w:val="auto"/>
          <w:sz w:val="22"/>
          <w:szCs w:val="20"/>
          <w:highlight w:val="none"/>
          <w:lang w:eastAsia="zh-CN"/>
        </w:rPr>
        <w:t xml:space="preserve">【政府采购合同专用条款】</w:t>
      </w:r>
      <w:r>
        <w:rPr>
          <w:rFonts w:hint="eastAsia" w:ascii="宋体" w:hAnsi="宋体" w:cs="宋体"/>
          <w:color w:val="auto"/>
          <w:sz w:val="22"/>
          <w:szCs w:val="20"/>
          <w:highlight w:val="none"/>
          <w:lang w:eastAsia="zh-CN"/>
        </w:rPr>
        <w:t xml:space="preserve">约定应由乙方承担的其他义务和责任。</w:t>
      </w:r>
      <w:r/>
    </w:p>
    <w:p>
      <w:pPr>
        <w:numPr>
          <w:ilvl w:val="0"/>
          <w:numId w:val="14"/>
        </w:numPr>
        <w:jc w:val="both"/>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6.1 甲乙双方应当按照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约定顺序履行合同义务；如果没有先后顺序的，应当同时履行。</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7. 货物包装、运输、保险和交付要求</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7.1 本合同</w:t>
      </w:r>
      <w:r>
        <w:rPr>
          <w:rFonts w:hint="eastAsia" w:ascii="宋体" w:hAnsi="宋体" w:cs="宋体"/>
          <w:bCs/>
          <w:color w:val="auto"/>
          <w:sz w:val="21"/>
          <w:highlight w:val="none"/>
          <w:lang w:eastAsia="zh-CN"/>
        </w:rPr>
        <w:t xml:space="preserve">涉及商品包装、快递包装的，</w:t>
      </w:r>
      <w:r>
        <w:rPr>
          <w:rFonts w:hint="eastAsia" w:ascii="宋体" w:hAnsi="宋体" w:cs="宋体"/>
          <w:color w:val="auto"/>
          <w:sz w:val="21"/>
          <w:highlight w:val="none"/>
          <w:lang w:eastAsia="zh-CN"/>
        </w:rPr>
        <w:t xml:space="preserve">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包装应适应远距离运输、防潮、防震、防锈和防野蛮装卸等要求，确保货物安全无损地运抵</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约定的</w:t>
      </w:r>
      <w:r>
        <w:rPr>
          <w:rFonts w:hint="eastAsia" w:ascii="宋体" w:hAnsi="宋体" w:cs="宋体"/>
          <w:color w:val="auto"/>
          <w:sz w:val="21"/>
          <w:highlight w:val="none"/>
          <w:lang w:eastAsia="zh-CN"/>
        </w:rPr>
        <w:t xml:space="preserve">指定现场。</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7.2 除</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另有约定外，</w:t>
      </w:r>
      <w:r>
        <w:rPr>
          <w:rFonts w:hint="eastAsia" w:ascii="宋体" w:hAnsi="宋体" w:cs="宋体"/>
          <w:color w:val="auto"/>
          <w:sz w:val="21"/>
          <w:highlight w:val="none"/>
          <w:lang w:eastAsia="zh-CN"/>
        </w:rPr>
        <w:t xml:space="preserve">乙方负责办理将货物运抵本合同规定的交货地点，并装卸、交付至甲方的一切运输事项，相关费用应包含在合同价款中。</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7.3 货物保险要求按</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规定执行</w:t>
      </w:r>
      <w:r>
        <w:rPr>
          <w:rFonts w:hint="eastAsia" w:ascii="宋体" w:hAnsi="宋体" w:cs="宋体"/>
          <w:color w:val="auto"/>
          <w:sz w:val="21"/>
          <w:highlight w:val="none"/>
          <w:lang w:eastAsia="zh-CN"/>
        </w:rPr>
        <w:t xml:space="preserve">。</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7.5 乙方在运输到达之前应提前通知甲方，并提示货物运输装卸的注意事项，甲方配合乙方做好货物的接收工作。</w:t>
      </w:r>
      <w:r/>
    </w:p>
    <w:p>
      <w:pPr>
        <w:ind w:firstLine="44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7.6 如因包装、运输问题导致货物损毁、丢失或者品质下降，甲方有权要求降价、换货、拒收部分或整批货物，由此产生的费用和损失，均由乙方承担。</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8. 质量标准和保证</w:t>
      </w:r>
      <w:r/>
    </w:p>
    <w:p>
      <w:pPr>
        <w:ind w:firstLine="420"/>
        <w:keepLines w:val="0"/>
        <w:keepNext w:val="0"/>
        <w:pageBreakBefore w:val="0"/>
        <w:spacing w:line="360" w:lineRule="auto"/>
        <w:widowControl w:val="off"/>
        <w:rPr>
          <w:rFonts w:ascii="宋体" w:hAnsi="宋体" w:cs="宋体"/>
          <w:b/>
          <w:color w:val="auto"/>
          <w:sz w:val="21"/>
          <w:highlight w:val="none"/>
          <w:lang w:eastAsia="zh-CN"/>
        </w:rPr>
      </w:pPr>
      <w:r>
        <w:rPr>
          <w:rFonts w:hint="eastAsia" w:ascii="宋体" w:hAnsi="宋体" w:cs="宋体"/>
          <w:color w:val="auto"/>
          <w:sz w:val="21"/>
          <w:highlight w:val="none"/>
          <w:lang w:eastAsia="zh-CN"/>
        </w:rPr>
        <w:t xml:space="preserve">8.1 质量标准</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（2）采用中华人民共和国法定计量单位。</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（3）乙方所提供的货物应符合国家有关安全、环保、卫生的规定。</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8.2 保证</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规定或乙方书面承诺（两者以较长的为准）的质量保证期内，本保证保持有效。</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（2）在质量保证期内所发现的缺陷，甲方应尽快以书面形式通知乙方。</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（3）乙方收到通知后，应在</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规定的响应时间内以合理的速度免费维修或更换有缺陷的货物或部件。</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9. 权利瑕疵担保</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9.1 乙方保证对其出售的货物享有合法的权利。</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9.2 </w:t>
      </w:r>
      <w:r>
        <w:rPr>
          <w:rFonts w:hint="eastAsia" w:ascii="宋体" w:hAnsi="宋体" w:cs="宋体"/>
          <w:color w:val="auto"/>
          <w:sz w:val="21"/>
          <w:szCs w:val="15"/>
          <w:highlight w:val="none"/>
          <w:lang w:eastAsia="zh-CN"/>
        </w:rPr>
        <w:t xml:space="preserve">乙方保证在交付的货物上不存在抵押权等担保物权。</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9.3 如甲方使用上述货物构成对第三人侵权的，则由乙方承担全部责任。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10. 知识产权保护</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10.1 乙方对其所销售的货物应当享有知识产权或经权利人合法授权，保证没有侵犯任何第三人的知识产权等权利。</w:t>
      </w:r>
      <w:bookmarkStart w:id="7" w:name="_Hlk163047038"/>
      <w:r>
        <w:rPr>
          <w:rFonts w:hint="eastAsia" w:ascii="宋体" w:hAnsi="宋体" w:cs="宋体"/>
          <w:color w:val="auto"/>
          <w:sz w:val="21"/>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7"/>
      <w:r>
        <w:rPr>
          <w:rFonts w:hint="eastAsia" w:ascii="宋体" w:hAnsi="宋体" w:cs="宋体"/>
          <w:color w:val="auto"/>
          <w:sz w:val="21"/>
          <w:highlight w:val="none"/>
          <w:lang w:eastAsia="zh-CN"/>
        </w:rPr>
        <w:t xml:space="preserve">。</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11. 保密义务</w:t>
      </w:r>
      <w:r/>
    </w:p>
    <w:p>
      <w:pPr>
        <w:ind w:firstLine="420"/>
        <w:keepLines w:val="0"/>
        <w:keepNext w:val="0"/>
        <w:pageBreakBefore w:val="0"/>
        <w:spacing w:line="360" w:lineRule="auto"/>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中约定。</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12. 合同价款支付</w:t>
      </w:r>
      <w:r/>
    </w:p>
    <w:p>
      <w:pPr>
        <w:ind w:firstLine="420"/>
        <w:keepLines w:val="0"/>
        <w:keepNext w:val="0"/>
        <w:pageBreakBefore w:val="0"/>
        <w:spacing w:line="360" w:lineRule="auto"/>
        <w:widowControl w:val="off"/>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12.1 合同价款支付按照国库集中支付制度及财政管理相关规定执行。</w:t>
      </w:r>
      <w:r/>
    </w:p>
    <w:p>
      <w:pPr>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auto"/>
          <w:sz w:val="21"/>
          <w:szCs w:val="15"/>
          <w:highlight w:val="none"/>
          <w:lang w:eastAsia="zh-CN"/>
        </w:rPr>
      </w:pPr>
      <w:r>
        <w:rPr>
          <w:rFonts w:hint="eastAsia" w:ascii="宋体" w:hAnsi="宋体" w:cs="宋体"/>
          <w:color w:val="auto"/>
          <w:sz w:val="21"/>
          <w:szCs w:val="15"/>
          <w:highlight w:val="none"/>
          <w:lang w:eastAsia="zh-CN"/>
        </w:rPr>
        <w:t xml:space="preserve">12.2 付款方式：</w:t>
      </w:r>
      <w:r/>
    </w:p>
    <w:p>
      <w:pPr>
        <w:ind w:firstLine="420"/>
        <w:jc w:val="both"/>
        <w:keepLines w:val="0"/>
        <w:keepNext w:val="0"/>
        <w:pageBreakBefore w:val="0"/>
        <w:spacing w:line="360" w:lineRule="auto"/>
        <w:widowControl w:val="off"/>
        <w:tabs>
          <w:tab w:val="left" w:pos="-200" w:leader="none"/>
          <w:tab w:val="left" w:pos="525" w:leader="none"/>
          <w:tab w:val="left" w:pos="630" w:leader="none"/>
          <w:tab w:val="left" w:pos="735" w:leader="none"/>
          <w:tab w:val="left" w:pos="945" w:leader="none"/>
        </w:tabs>
        <w:rPr>
          <w:rFonts w:ascii="宋体" w:hAnsi="宋体" w:cs="宋体"/>
          <w:color w:val="auto"/>
          <w:sz w:val="21"/>
          <w:szCs w:val="15"/>
          <w:highlight w:val="none"/>
          <w:lang w:eastAsia="zh-CN"/>
        </w:rPr>
      </w:pPr>
      <w:r>
        <w:rPr>
          <w:rFonts w:hint="eastAsia" w:ascii="宋体" w:hAnsi="宋体" w:cs="宋体"/>
          <w:color w:val="auto"/>
          <w:sz w:val="21"/>
          <w:szCs w:val="15"/>
          <w:highlight w:val="none"/>
          <w:u w:val="single"/>
          <w:lang w:eastAsia="zh-CN"/>
        </w:rPr>
        <w:t xml:space="preserve">供货完成，安装调试完成验收合格后，支付合同价的90%，验收合格满一年后付清余款（不计息）。</w:t>
      </w:r>
      <w:r>
        <w:rPr>
          <w:rFonts w:hint="eastAsia" w:ascii="宋体" w:hAnsi="宋体" w:cs="宋体"/>
          <w:color w:val="auto"/>
          <w:sz w:val="21"/>
          <w:szCs w:val="15"/>
          <w:highlight w:val="none"/>
          <w:u w:val="single"/>
          <w:lang w:val="en-US" w:eastAsia="zh-CN"/>
        </w:rPr>
        <w:t xml:space="preserve">甲方</w:t>
      </w:r>
      <w:r>
        <w:rPr>
          <w:rFonts w:hint="eastAsia" w:ascii="宋体" w:hAnsi="宋体" w:cs="宋体"/>
          <w:color w:val="auto"/>
          <w:sz w:val="21"/>
          <w:szCs w:val="15"/>
          <w:highlight w:val="none"/>
          <w:u w:val="single"/>
          <w:lang w:eastAsia="zh-CN"/>
        </w:rPr>
        <w:t xml:space="preserve">原则上应当自收到发票后10个工作日内将资金支付到合同约定的</w:t>
      </w:r>
      <w:r>
        <w:rPr>
          <w:rFonts w:hint="eastAsia" w:ascii="宋体" w:hAnsi="宋体" w:cs="宋体"/>
          <w:color w:val="auto"/>
          <w:sz w:val="21"/>
          <w:szCs w:val="15"/>
          <w:highlight w:val="none"/>
          <w:u w:val="single"/>
          <w:lang w:val="en-US" w:eastAsia="zh-CN"/>
        </w:rPr>
        <w:t xml:space="preserve">乙方</w:t>
      </w:r>
      <w:r>
        <w:rPr>
          <w:rFonts w:hint="eastAsia" w:ascii="宋体" w:hAnsi="宋体" w:cs="宋体"/>
          <w:color w:val="auto"/>
          <w:sz w:val="21"/>
          <w:szCs w:val="15"/>
          <w:highlight w:val="none"/>
          <w:u w:val="single"/>
          <w:lang w:eastAsia="zh-CN"/>
        </w:rPr>
        <w:t xml:space="preserve">账户。若</w:t>
      </w:r>
      <w:r>
        <w:rPr>
          <w:rFonts w:hint="eastAsia" w:ascii="宋体" w:hAnsi="宋体" w:cs="宋体"/>
          <w:color w:val="auto"/>
          <w:sz w:val="21"/>
          <w:szCs w:val="15"/>
          <w:highlight w:val="none"/>
          <w:u w:val="single"/>
          <w:lang w:val="en-US" w:eastAsia="zh-CN"/>
        </w:rPr>
        <w:t xml:space="preserve">乙方</w:t>
      </w:r>
      <w:r>
        <w:rPr>
          <w:rFonts w:hint="eastAsia" w:ascii="宋体" w:hAnsi="宋体" w:cs="宋体"/>
          <w:color w:val="auto"/>
          <w:sz w:val="21"/>
          <w:szCs w:val="15"/>
          <w:highlight w:val="none"/>
          <w:u w:val="single"/>
          <w:lang w:eastAsia="zh-CN"/>
        </w:rPr>
        <w:t xml:space="preserve">未能按期开具发票，</w:t>
      </w:r>
      <w:r>
        <w:rPr>
          <w:rFonts w:hint="eastAsia" w:ascii="宋体" w:hAnsi="宋体" w:cs="宋体"/>
          <w:color w:val="auto"/>
          <w:sz w:val="21"/>
          <w:szCs w:val="15"/>
          <w:highlight w:val="none"/>
          <w:u w:val="single"/>
          <w:lang w:val="en-US" w:eastAsia="zh-CN"/>
        </w:rPr>
        <w:t xml:space="preserve">甲方</w:t>
      </w:r>
      <w:r>
        <w:rPr>
          <w:rFonts w:hint="eastAsia" w:ascii="宋体" w:hAnsi="宋体" w:cs="宋体"/>
          <w:color w:val="auto"/>
          <w:sz w:val="21"/>
          <w:szCs w:val="15"/>
          <w:highlight w:val="none"/>
          <w:u w:val="single"/>
          <w:lang w:eastAsia="zh-CN"/>
        </w:rPr>
        <w:t xml:space="preserve">可顺延付款。</w:t>
      </w:r>
      <w:r/>
    </w:p>
    <w:p>
      <w:pPr>
        <w:ind w:firstLine="0"/>
        <w:jc w:val="both"/>
        <w:keepLines w:val="0"/>
        <w:keepNext w:val="0"/>
        <w:pageBreakBefore w:val="0"/>
        <w:spacing w:line="36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13. 履约保证金</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13.1 </w:t>
      </w:r>
      <w:r>
        <w:rPr>
          <w:rFonts w:hint="eastAsia" w:ascii="宋体" w:hAnsi="宋体" w:cs="宋体"/>
          <w:color w:val="auto"/>
          <w:sz w:val="21"/>
          <w:szCs w:val="15"/>
          <w:highlight w:val="none"/>
          <w:lang w:eastAsia="zh-CN"/>
        </w:rPr>
        <w:t xml:space="preserve">乙方应当以支票、汇票、本票或者金融机构、担保机构出具的保函等非现金形式提交。</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13.2 如果乙方出现</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szCs w:val="15"/>
          <w:highlight w:val="none"/>
          <w:lang w:eastAsia="zh-CN"/>
        </w:rPr>
        <w:t xml:space="preserve">约定情形的</w:t>
      </w:r>
      <w:r>
        <w:rPr>
          <w:rFonts w:hint="eastAsia" w:ascii="宋体" w:hAnsi="宋体" w:cs="宋体"/>
          <w:color w:val="auto"/>
          <w:sz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13.3 甲方在项目通过验收后按照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规定的时间内将履约保证金退还乙方；逾期退还的，乙方可要求甲方支付违约金，违约金按照</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规定支付。</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bCs/>
          <w:color w:val="auto"/>
          <w:szCs w:val="22"/>
          <w:highlight w:val="none"/>
          <w:lang w:eastAsia="zh-CN"/>
        </w:rPr>
        <w:t xml:space="preserve">14. </w:t>
      </w:r>
      <w:r>
        <w:rPr>
          <w:rFonts w:hint="eastAsia" w:ascii="宋体" w:hAnsi="宋体" w:cs="宋体"/>
          <w:b/>
          <w:color w:val="auto"/>
          <w:szCs w:val="22"/>
          <w:highlight w:val="none"/>
          <w:lang w:eastAsia="zh-CN"/>
        </w:rPr>
        <w:t xml:space="preserve">售后服务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14.1 除项目不涉及或采购活动中明确约定无须承担外，乙方还应提供下列服务：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（1）货物的现场移动、安装、调试、启动监督及技术支持；</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（2）提供货物组装和维修所需的专用工具和辅助材料；</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（3）在</w:t>
      </w:r>
      <w:r>
        <w:rPr>
          <w:rFonts w:hint="eastAsia" w:ascii="宋体" w:hAnsi="宋体" w:cs="宋体"/>
          <w:b/>
          <w:bCs/>
          <w:color w:val="auto"/>
          <w:sz w:val="21"/>
          <w:szCs w:val="15"/>
          <w:highlight w:val="none"/>
          <w:lang w:eastAsia="zh-CN"/>
        </w:rPr>
        <w:t xml:space="preserve">【政府采购合同专用条款】</w:t>
      </w:r>
      <w:r>
        <w:rPr>
          <w:rFonts w:hint="eastAsia" w:ascii="宋体" w:hAnsi="宋体" w:cs="宋体"/>
          <w:color w:val="auto"/>
          <w:sz w:val="21"/>
          <w:highlight w:val="none"/>
          <w:lang w:eastAsia="zh-CN"/>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 w:val="21"/>
          <w:szCs w:val="15"/>
          <w:highlight w:val="none"/>
          <w:lang w:eastAsia="zh-CN"/>
        </w:rPr>
        <w:t xml:space="preserve">；</w:t>
      </w:r>
      <w:r/>
    </w:p>
    <w:p>
      <w:pPr>
        <w:ind w:firstLine="44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（5）依照法律、行政法规的规定或者按照</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约定，货物在有效使用年限届满后应予回收的，乙方负有自行或者委托第三人对货物予以回收的义务；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（6）</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规定由乙方提供的其他服务。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14.2 乙方提供的售后服务的费用已包含在合同价款中，甲方不再另行支付。</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15. 违约责任</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15.1质量瑕疵的违约责任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乙方提供的产品不符合合同约定的质量标准或存在产品质量缺陷，甲方有权要求乙方根据</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要求</w:t>
      </w:r>
      <w:r>
        <w:rPr>
          <w:rFonts w:hint="eastAsia" w:ascii="宋体" w:hAnsi="宋体" w:cs="宋体"/>
          <w:color w:val="auto"/>
          <w:sz w:val="21"/>
          <w:highlight w:val="none"/>
          <w:lang w:eastAsia="zh-CN"/>
        </w:rPr>
        <w:t xml:space="preserve">及时修理、重作、更换，并承担由此给甲方造成的损失。</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15.2 迟延交货的违约责任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规定执行。如果涉及公共利益，且赔偿金额无法弥补公共利益损失，甲方可要求继续履行或者采取其他补救措施。</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15.3 迟延支付的违约责任</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甲方存在迟延支付乙方合同款项的，应当承担</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规定的逾期付款利息。</w:t>
      </w:r>
      <w:r/>
    </w:p>
    <w:p>
      <w:pPr>
        <w:ind w:left="0"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bCs/>
          <w:color w:val="auto"/>
          <w:sz w:val="21"/>
          <w:highlight w:val="none"/>
          <w:lang w:eastAsia="zh-CN"/>
        </w:rPr>
        <w:t xml:space="preserve">15.4其他违约责任根据项目实际需要按</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规定执行。</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（1）需方内部工作安排、计划调整等自身原因；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（2）中央、省、市、区级政策变动，以及规划、计划调整等外部原因；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（3）其他需方原因。</w:t>
      </w:r>
      <w:r/>
    </w:p>
    <w:p>
      <w:pPr>
        <w:ind w:left="0" w:firstLine="420"/>
        <w:jc w:val="both"/>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本合同对合同变更、中止或终止合同有其他特殊约定的，按该特殊约定执行。</w:t>
      </w:r>
      <w:r/>
    </w:p>
    <w:p>
      <w:pPr>
        <w:numPr>
          <w:ilvl w:val="0"/>
          <w:numId w:val="15"/>
        </w:numPr>
        <w:jc w:val="both"/>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合同变更、中止与终止</w:t>
      </w:r>
      <w:r/>
    </w:p>
    <w:p>
      <w:pPr>
        <w:ind w:firstLine="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16.1合同的变更</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16.2合同的终止</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（1）合同履行过程中因乙方就采购文件、采购过程或结果提起投诉的，甲方认为有必要的，可以中止合同的履行。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360" w:lineRule="auto"/>
        <w:widowControl w:val="off"/>
        <w:rPr>
          <w:rFonts w:ascii="宋体" w:hAnsi="宋体" w:cs="宋体"/>
          <w:color w:val="auto"/>
          <w:sz w:val="21"/>
          <w:szCs w:val="22"/>
          <w:highlight w:val="none"/>
          <w:lang w:eastAsia="zh-CN"/>
        </w:rPr>
      </w:pPr>
      <w:r>
        <w:rPr>
          <w:rFonts w:hint="eastAsia" w:ascii="宋体" w:hAnsi="宋体" w:cs="宋体"/>
          <w:color w:val="auto"/>
          <w:sz w:val="21"/>
          <w:highlight w:val="none"/>
          <w:lang w:eastAsia="zh-CN"/>
        </w:rPr>
        <w:t xml:space="preserve">（4）甲方不得以行政区划调整、政府换届、机构或者职能调整以及相关责任人更替为由终止合同。</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16.3合同的终止</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（1）合同因有效期限届满而终止；</w:t>
      </w:r>
      <w:r/>
    </w:p>
    <w:p>
      <w:pPr>
        <w:ind w:firstLine="42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（2）乙方未按合同约定履行，构成根本性违约的，甲方有权终止合同，并追究乙方的违约责任。</w:t>
      </w:r>
      <w:r/>
    </w:p>
    <w:p>
      <w:pPr>
        <w:ind w:firstLine="440"/>
        <w:keepLines w:val="0"/>
        <w:keepNext w:val="0"/>
        <w:pageBreakBefore w:val="0"/>
        <w:spacing w:line="360" w:lineRule="auto"/>
        <w:widowControl w:val="off"/>
        <w:rPr>
          <w:rFonts w:ascii="宋体" w:hAnsi="宋体" w:cs="宋体"/>
          <w:color w:val="auto"/>
          <w:sz w:val="22"/>
          <w:highlight w:val="none"/>
          <w:lang w:eastAsia="zh-CN"/>
        </w:rPr>
      </w:pPr>
      <w:r>
        <w:rPr>
          <w:rFonts w:hint="eastAsia" w:ascii="宋体" w:hAnsi="宋体" w:cs="宋体"/>
          <w:color w:val="auto"/>
          <w:sz w:val="22"/>
          <w:highlight w:val="none"/>
          <w:lang w:eastAsia="zh-CN"/>
        </w:rPr>
        <w:t xml:space="preserve">16.4 </w:t>
      </w:r>
      <w:r>
        <w:rPr>
          <w:rFonts w:hint="eastAsia" w:ascii="宋体" w:hAnsi="宋体" w:cs="宋体"/>
          <w:color w:val="auto"/>
          <w:sz w:val="21"/>
          <w:highlight w:val="none"/>
          <w:lang w:eastAsia="zh-CN"/>
        </w:rPr>
        <w:t xml:space="preserve">涉及国家利益、社会公共利益的情形</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17. 合同分包</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17.1 乙方不得将合同转包给其他供应商。涉及合同分包的，乙方应根据采购文件和投标（响应）文件规定进行合同分包。</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17.2 乙方执行政府采购政策向中小企业依法分包的，乙方应当按采购文件和投标（响应）文件签订分包意向协议，分包意向协议属于本合同组成部分。</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18. 不可抗力</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18.1 不可抗力是指合同双方不能预见、不能避免且不能克服的客观情况。</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19. 解决争议的方法</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19.2 选择仲裁的，应在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中明确仲裁机构及仲裁地；通过诉讼方式解决的，可以在</w:t>
      </w:r>
      <w:r>
        <w:rPr>
          <w:rFonts w:hint="eastAsia" w:ascii="宋体" w:hAnsi="宋体" w:cs="宋体"/>
          <w:b/>
          <w:bCs/>
          <w:color w:val="auto"/>
          <w:sz w:val="21"/>
          <w:highlight w:val="none"/>
          <w:lang w:eastAsia="zh-CN"/>
        </w:rPr>
        <w:t xml:space="preserve">【政府采购合同专用条款】</w:t>
      </w:r>
      <w:r>
        <w:rPr>
          <w:rFonts w:hint="eastAsia" w:ascii="宋体" w:hAnsi="宋体" w:cs="宋体"/>
          <w:color w:val="auto"/>
          <w:sz w:val="21"/>
          <w:highlight w:val="none"/>
          <w:lang w:eastAsia="zh-CN"/>
        </w:rPr>
        <w:t xml:space="preserve">中进一步约定选择与争议有实际联系的地点的人民法院管辖，但管辖法院的约定不得违反级别管辖和专属管辖的规定。</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19.3 如甲乙双方有争议的事项不影响合同其他部分的履行，在争议解决期间，合同其他部分应当继续履行。</w:t>
      </w:r>
      <w:r/>
    </w:p>
    <w:p>
      <w:pPr>
        <w:ind w:firstLine="0"/>
        <w:keepLines w:val="0"/>
        <w:keepNext w:val="0"/>
        <w:pageBreakBefore w:val="0"/>
        <w:spacing w:line="360" w:lineRule="auto"/>
        <w:widowControl w:val="off"/>
        <w:rPr>
          <w:rFonts w:ascii="宋体" w:hAnsi="宋体" w:cs="宋体"/>
          <w:color w:val="auto"/>
          <w:szCs w:val="22"/>
          <w:highlight w:val="none"/>
          <w:lang w:eastAsia="zh-CN"/>
        </w:rPr>
      </w:pPr>
      <w:r>
        <w:rPr>
          <w:rFonts w:hint="eastAsia" w:ascii="宋体" w:hAnsi="宋体" w:cs="宋体"/>
          <w:b/>
          <w:color w:val="auto"/>
          <w:szCs w:val="22"/>
          <w:highlight w:val="none"/>
          <w:lang w:eastAsia="zh-CN"/>
        </w:rPr>
        <w:t xml:space="preserve">20. 政府采购政策</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20.1 </w:t>
      </w:r>
      <w:r>
        <w:rPr>
          <w:rFonts w:hint="eastAsia" w:ascii="宋体" w:hAnsi="宋体" w:cs="宋体"/>
          <w:color w:val="auto"/>
          <w:sz w:val="21"/>
          <w:szCs w:val="22"/>
          <w:highlight w:val="none"/>
          <w:lang w:val="en-GB" w:eastAsia="zh-CN"/>
        </w:rPr>
        <w:t xml:space="preserve">本合同应当按照规定执行政府采购政策。</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20.2 本合同依法执行政府采购政策的方式和内容，属于合同履约验收的范围。</w:t>
      </w:r>
      <w:r>
        <w:rPr>
          <w:rFonts w:hint="eastAsia" w:ascii="宋体" w:hAnsi="宋体" w:cs="宋体"/>
          <w:color w:val="auto"/>
          <w:sz w:val="21"/>
          <w:szCs w:val="22"/>
          <w:highlight w:val="none"/>
          <w:lang w:eastAsia="zh-CN"/>
        </w:rPr>
        <w:t xml:space="preserve">甲乙双方</w:t>
      </w:r>
      <w:r>
        <w:rPr>
          <w:rFonts w:hint="eastAsia" w:ascii="宋体" w:hAnsi="宋体" w:cs="宋体"/>
          <w:color w:val="auto"/>
          <w:sz w:val="21"/>
          <w:szCs w:val="22"/>
          <w:highlight w:val="none"/>
          <w:lang w:val="en-GB" w:eastAsia="zh-CN"/>
        </w:rPr>
        <w:t xml:space="preserve">未按规定要求执行政府采购政策造成损失的</w:t>
      </w:r>
      <w:r>
        <w:rPr>
          <w:rFonts w:hint="eastAsia" w:ascii="宋体" w:hAnsi="宋体" w:cs="宋体"/>
          <w:color w:val="auto"/>
          <w:sz w:val="21"/>
          <w:highlight w:val="none"/>
          <w:lang w:eastAsia="zh-CN"/>
        </w:rPr>
        <w:t xml:space="preserve">，有过错的一方应当承担赔偿责任，双方都有过错的，各自承担相应的责任。</w:t>
      </w:r>
      <w:r/>
    </w:p>
    <w:p>
      <w:pPr>
        <w:ind w:firstLine="42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21. 法律适用</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21.1 本合同的订立、生效、解释、履行及与本合同有关的争议解决，均适用法律、行政法规。</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21.2 本合同条款与法律、行政法规的强制性规定不一致的，双方当事人应当按照法律、行政法规的强制性规定修改本合同的相关条款。</w:t>
      </w:r>
      <w:r/>
    </w:p>
    <w:p>
      <w:pPr>
        <w:numPr>
          <w:ilvl w:val="255"/>
          <w:numId w:val="0"/>
        </w:numPr>
        <w:ind w:firstLine="482"/>
        <w:keepLines w:val="0"/>
        <w:keepNext w:val="0"/>
        <w:pageBreakBefore w:val="0"/>
        <w:spacing w:line="360" w:lineRule="auto"/>
        <w:widowControl w:val="off"/>
        <w:rPr>
          <w:rFonts w:ascii="宋体" w:hAnsi="宋体" w:cs="宋体"/>
          <w:b/>
          <w:color w:val="auto"/>
          <w:szCs w:val="22"/>
          <w:highlight w:val="none"/>
          <w:lang w:eastAsia="zh-CN"/>
        </w:rPr>
      </w:pPr>
      <w:r>
        <w:rPr>
          <w:rFonts w:hint="eastAsia" w:ascii="宋体" w:hAnsi="宋体" w:cs="宋体"/>
          <w:b/>
          <w:color w:val="auto"/>
          <w:szCs w:val="22"/>
          <w:highlight w:val="none"/>
          <w:lang w:eastAsia="zh-CN"/>
        </w:rPr>
        <w:t xml:space="preserve">22. 通知</w:t>
      </w:r>
      <w:r/>
    </w:p>
    <w:p>
      <w:pPr>
        <w:ind w:firstLine="44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22.1 本合同任何一方向对方发出的通知、信件、数据电文等，应当发送至本合同第一部分《政府采购合同协议书》所约定的通讯地址、联系人、联系电话或电子邮箱。</w:t>
      </w:r>
      <w:r/>
    </w:p>
    <w:p>
      <w:pPr>
        <w:ind w:firstLine="0"/>
        <w:jc w:val="both"/>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22.3本合同一方给另一方的通知均应采用书面形式，传真或快递送到本合同中规定的对方的地址和办理签收手续。</w:t>
      </w:r>
      <w:r/>
    </w:p>
    <w:p>
      <w:pPr>
        <w:ind w:firstLine="420"/>
        <w:keepLines w:val="0"/>
        <w:keepNext w:val="0"/>
        <w:pageBreakBefore w:val="0"/>
        <w:spacing w:line="360" w:lineRule="auto"/>
        <w:widowControl w:val="off"/>
        <w:rPr>
          <w:rFonts w:ascii="宋体" w:hAnsi="宋体" w:cs="宋体"/>
          <w:color w:val="auto"/>
          <w:sz w:val="21"/>
          <w:highlight w:val="none"/>
          <w:lang w:eastAsia="zh-CN"/>
        </w:rPr>
      </w:pPr>
      <w:r>
        <w:rPr>
          <w:rFonts w:hint="eastAsia" w:ascii="宋体" w:hAnsi="宋体" w:cs="宋体"/>
          <w:color w:val="auto"/>
          <w:sz w:val="21"/>
          <w:highlight w:val="none"/>
          <w:lang w:eastAsia="zh-CN"/>
        </w:rPr>
        <w:t xml:space="preserve">22.4通知以送达之日或通知书中规定的生效之日起生效，两者中以较迟之日为准。</w:t>
      </w:r>
      <w:r/>
    </w:p>
    <w:p>
      <w:pPr>
        <w:numPr>
          <w:ilvl w:val="0"/>
          <w:numId w:val="16"/>
        </w:numPr>
        <w:jc w:val="both"/>
        <w:keepLines w:val="0"/>
        <w:keepNext w:val="0"/>
        <w:pageBreakBefore w:val="0"/>
        <w:spacing w:line="360" w:lineRule="auto"/>
        <w:widowControl w:val="off"/>
        <w:rPr>
          <w:rFonts w:ascii="宋体" w:hAnsi="宋体" w:cs="宋体"/>
          <w:b/>
          <w:bCs/>
          <w:color w:val="auto"/>
          <w:szCs w:val="22"/>
          <w:highlight w:val="none"/>
          <w:lang w:eastAsia="zh-CN"/>
        </w:rPr>
      </w:pPr>
      <w:r>
        <w:rPr>
          <w:rFonts w:hint="eastAsia" w:ascii="宋体" w:hAnsi="宋体" w:cs="宋体"/>
          <w:b/>
          <w:bCs/>
          <w:color w:val="auto"/>
          <w:szCs w:val="22"/>
          <w:highlight w:val="none"/>
          <w:lang w:eastAsia="zh-CN"/>
        </w:rPr>
        <w:t xml:space="preserve">合同未尽事项</w:t>
      </w:r>
      <w:r/>
    </w:p>
    <w:p>
      <w:pPr>
        <w:ind w:firstLine="420"/>
        <w:keepLines w:val="0"/>
        <w:keepNext w:val="0"/>
        <w:pageBreakBefore w:val="0"/>
        <w:spacing w:line="360" w:lineRule="auto"/>
        <w:widowControl w:val="off"/>
        <w:rPr>
          <w:rFonts w:ascii="宋体" w:hAnsi="宋体" w:cs="宋体"/>
          <w:bCs/>
          <w:color w:val="auto"/>
          <w:sz w:val="21"/>
          <w:highlight w:val="none"/>
          <w:lang w:eastAsia="zh-CN"/>
        </w:rPr>
      </w:pPr>
      <w:r>
        <w:rPr>
          <w:rFonts w:hint="eastAsia" w:ascii="宋体" w:hAnsi="宋体" w:cs="宋体"/>
          <w:bCs/>
          <w:color w:val="auto"/>
          <w:sz w:val="21"/>
          <w:highlight w:val="none"/>
          <w:lang w:eastAsia="zh-CN"/>
        </w:rPr>
        <w:t xml:space="preserve">23.1合同未尽事项见</w:t>
      </w:r>
      <w:r>
        <w:rPr>
          <w:rFonts w:hint="eastAsia" w:ascii="宋体" w:hAnsi="宋体" w:cs="宋体"/>
          <w:b/>
          <w:color w:val="auto"/>
          <w:sz w:val="21"/>
          <w:highlight w:val="none"/>
          <w:lang w:eastAsia="zh-CN"/>
        </w:rPr>
        <w:t xml:space="preserve">【政府采购合同专用条款】</w:t>
      </w:r>
      <w:r>
        <w:rPr>
          <w:rFonts w:hint="eastAsia" w:ascii="宋体" w:hAnsi="宋体" w:cs="宋体"/>
          <w:bCs/>
          <w:color w:val="auto"/>
          <w:sz w:val="21"/>
          <w:highlight w:val="none"/>
          <w:lang w:eastAsia="zh-CN"/>
        </w:rPr>
        <w:t xml:space="preserve">。</w:t>
      </w:r>
      <w:r/>
    </w:p>
    <w:p>
      <w:pPr>
        <w:ind w:firstLine="0"/>
        <w:keepLines w:val="0"/>
        <w:keepNext w:val="0"/>
        <w:pageBreakBefore w:val="0"/>
        <w:spacing w:line="360" w:lineRule="auto"/>
        <w:widowControl w:val="off"/>
        <w:rPr>
          <w:rFonts w:ascii="宋体" w:hAnsi="宋体" w:cs="宋体"/>
          <w:color w:val="auto"/>
          <w:sz w:val="28"/>
          <w:szCs w:val="28"/>
          <w:highlight w:val="none"/>
          <w:lang w:eastAsia="zh-CN"/>
        </w:rPr>
      </w:pPr>
      <w:r>
        <w:rPr>
          <w:rFonts w:hint="eastAsia" w:ascii="宋体" w:hAnsi="宋体" w:cs="宋体"/>
          <w:bCs/>
          <w:color w:val="auto"/>
          <w:sz w:val="21"/>
          <w:highlight w:val="none"/>
          <w:lang w:eastAsia="zh-CN"/>
        </w:rPr>
        <w:t xml:space="preserve">    23.2 合同附件与合同正文具有同等的法律效力。</w:t>
      </w:r>
      <w:bookmarkStart w:id="8" w:name="_Toc20313"/>
      <w:r/>
      <w:r/>
    </w:p>
    <w:p>
      <w:pPr>
        <w:ind w:firstLine="0"/>
        <w:jc w:val="center"/>
        <w:spacing w:line="240" w:lineRule="auto"/>
        <w:widowControl w:val="off"/>
        <w:rPr>
          <w:rFonts w:ascii="黑体" w:hAnsi="华文中宋" w:eastAsia="黑体" w:cs="Times New Roman"/>
          <w:color w:val="auto"/>
          <w:sz w:val="28"/>
          <w:szCs w:val="28"/>
          <w:highlight w:val="none"/>
          <w:lang w:eastAsia="zh-CN"/>
        </w:rPr>
      </w:pPr>
      <w:r>
        <w:rPr>
          <w:rFonts w:hint="eastAsia" w:ascii="黑体" w:hAnsi="华文中宋" w:eastAsia="黑体" w:cs="Times New Roman"/>
          <w:color w:val="auto"/>
          <w:sz w:val="28"/>
          <w:szCs w:val="28"/>
          <w:highlight w:val="none"/>
          <w:lang w:eastAsia="zh-CN"/>
        </w:rPr>
        <w:br w:type="page" w:clear="all"/>
      </w:r>
      <w:r/>
    </w:p>
    <w:p>
      <w:pPr>
        <w:ind w:firstLine="0"/>
        <w:jc w:val="center"/>
        <w:keepLines/>
        <w:keepNext/>
        <w:spacing w:before="360" w:after="200" w:line="240" w:lineRule="auto"/>
        <w:widowControl w:val="off"/>
        <w:rPr>
          <w:rFonts w:ascii="黑体" w:hAnsi="华文中宋" w:eastAsia="黑体"/>
          <w:color w:val="auto"/>
          <w:sz w:val="28"/>
          <w:szCs w:val="28"/>
          <w:highlight w:val="none"/>
          <w:lang w:eastAsia="zh-CN"/>
        </w:rPr>
        <w:outlineLvl w:val="1"/>
      </w:pPr>
      <w:r>
        <w:rPr>
          <w:rFonts w:hint="eastAsia" w:ascii="黑体" w:hAnsi="华文中宋" w:eastAsia="黑体"/>
          <w:color w:val="auto"/>
          <w:sz w:val="28"/>
          <w:szCs w:val="28"/>
          <w:highlight w:val="none"/>
          <w:lang w:eastAsia="zh-CN"/>
        </w:rPr>
        <w:t xml:space="preserve">第三节 政府采购合同专用条款</w:t>
      </w:r>
      <w:bookmarkEnd w:id="8"/>
      <w:r/>
      <w:r/>
    </w:p>
    <w:tbl>
      <w:tblPr>
        <w:tblStyle w:val="808"/>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99"/>
        <w:gridCol w:w="1950"/>
        <w:gridCol w:w="5788"/>
      </w:tblGrid>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第1.2（6）项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联合体具体要求</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607"/>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第1.2（7）项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其他术语解释</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第4.4款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履约验收中甲方提出异议或作出说明的期限</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第4.6款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约定甲方承担的其他义务和责任</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hint="eastAsia" w:ascii="宋体" w:hAnsi="宋体" w:eastAsia="等线" w:cs="Times New Roman"/>
                <w:color w:val="auto"/>
                <w:sz w:val="21"/>
                <w:szCs w:val="20"/>
                <w:highlight w:val="none"/>
                <w:lang w:eastAsia="zh-CN"/>
              </w:rPr>
              <w:t xml:space="preserve">第5.4款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约定乙方承担的其他义务和责任</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第6.1款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履行合同义务的顺序</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r>
        <w:trPr>
          <w:trHeight w:val="670"/>
        </w:trPr>
        <w:tc>
          <w:tcPr>
            <w:tcW w:w="1799"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第7.1款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包装特殊要求</w:t>
            </w:r>
            <w:r/>
          </w:p>
        </w:tc>
        <w:tc>
          <w:tcPr>
            <w:tcW w:w="5788"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2"/>
                <w:highlight w:val="none"/>
                <w:lang w:eastAsia="zh-CN"/>
              </w:rPr>
            </w:r>
            <w:r/>
          </w:p>
        </w:tc>
      </w:tr>
      <w:tr>
        <w:trPr>
          <w:trHeight w:val="670"/>
        </w:trPr>
        <w:tc>
          <w:tcPr>
            <w:tcW w:w="1799"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指定现场</w:t>
            </w:r>
            <w:r/>
          </w:p>
        </w:tc>
        <w:tc>
          <w:tcPr>
            <w:tcW w:w="5788"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2"/>
                <w:highlight w:val="none"/>
                <w:lang w:eastAsia="zh-CN"/>
              </w:rPr>
            </w:r>
            <w:r/>
          </w:p>
        </w:tc>
      </w:tr>
      <w:tr>
        <w:trPr>
          <w:trHeight w:val="775"/>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第7.2款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运输特殊要求</w:t>
            </w:r>
            <w:r/>
          </w:p>
        </w:tc>
        <w:tc>
          <w:tcPr>
            <w:tcW w:w="5788"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2"/>
                <w:highlight w:val="none"/>
                <w:lang w:eastAsia="zh-CN"/>
              </w:rPr>
            </w:r>
            <w:r/>
          </w:p>
        </w:tc>
      </w:tr>
      <w:tr>
        <w:trPr>
          <w:trHeight w:val="670"/>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第7.3款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保险要求</w:t>
            </w:r>
            <w:r/>
          </w:p>
        </w:tc>
        <w:tc>
          <w:tcPr>
            <w:tcW w:w="5788"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等线" w:hAnsi="等线" w:eastAsia="等线" w:cs="Times New Roman"/>
                <w:color w:val="auto"/>
                <w:sz w:val="21"/>
                <w:szCs w:val="22"/>
                <w:highlight w:val="none"/>
                <w:lang w:eastAsia="zh-CN"/>
              </w:rPr>
              <w:suppressLineNumbers w:val="0"/>
            </w:pPr>
            <w:r>
              <w:rPr>
                <w:rFonts w:ascii="等线" w:hAnsi="等线" w:eastAsia="等线" w:cs="Times New Roman"/>
                <w:color w:val="auto"/>
                <w:sz w:val="21"/>
                <w:szCs w:val="22"/>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第8.2（1）项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质量保证期</w:t>
            </w:r>
            <w:r/>
          </w:p>
        </w:tc>
        <w:tc>
          <w:tcPr>
            <w:tcW w:w="5788" w:type="dxa"/>
            <w:vAlign w:val="center"/>
            <w:textDirection w:val="lrTb"/>
            <w:noWrap w:val="false"/>
          </w:tcPr>
          <w:p>
            <w:pPr>
              <w:ind w:left="0" w:right="0" w:firstLine="42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第8.2（3）项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货物质量缺陷</w:t>
            </w:r>
            <w:r/>
          </w:p>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响应时间</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宋体"/>
                <w:color w:val="auto"/>
                <w:sz w:val="21"/>
                <w:szCs w:val="20"/>
                <w:highlight w:val="none"/>
                <w:lang w:eastAsia="zh-CN"/>
              </w:rPr>
              <w:suppressLineNumbers w:val="0"/>
            </w:pPr>
            <w:r>
              <w:rPr>
                <w:rFonts w:hint="eastAsia" w:ascii="宋体" w:hAnsi="宋体" w:eastAsia="等线" w:cs="宋体"/>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400" w:lineRule="exact"/>
              <w:rPr>
                <w:rFonts w:ascii="华文楷体" w:hAnsi="华文楷体" w:eastAsia="华文楷体" w:cs="华文楷体"/>
                <w:color w:val="auto"/>
                <w:sz w:val="22"/>
                <w:szCs w:val="20"/>
                <w:highlight w:val="none"/>
                <w:lang w:eastAsia="zh-CN"/>
              </w:rPr>
              <w:suppressLineNumbers w:val="0"/>
            </w:pPr>
            <w:r>
              <w:rPr>
                <w:rFonts w:hint="eastAsia" w:ascii="宋体" w:hAnsi="宋体" w:cs="宋体"/>
                <w:color w:val="auto"/>
                <w:sz w:val="22"/>
                <w:szCs w:val="20"/>
                <w:highlight w:val="none"/>
                <w:lang w:eastAsia="zh-CN"/>
              </w:rPr>
              <w:t xml:space="preserve">第11.1款</w:t>
            </w:r>
            <w:r/>
          </w:p>
        </w:tc>
        <w:tc>
          <w:tcPr>
            <w:tcW w:w="1950"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其他应当保密的信息</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00"/>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第12.2款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合同价款支付时间</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00"/>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第13.2款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履约保证金不予退还的情形</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第13.3款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履约保证金退还时间及逾期退还的违约金</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88"/>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第14.1（3）项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运行监督、维修期限</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88"/>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第14.1（5）项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货物回收的约定</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第14.1（6）项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乙方提供的其他服务</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第15.1款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修理、重做、更换相关具体规定</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ascii="宋体" w:hAnsi="宋体" w:eastAsia="等线" w:cs="Times New Roman"/>
                <w:color w:val="auto"/>
                <w:sz w:val="21"/>
                <w:szCs w:val="20"/>
                <w:highlight w:val="non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第15.2（2）项</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迟延交货赔偿费</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u w:val="single"/>
                <w:lang w:eastAsia="zh-CN"/>
              </w:rPr>
              <w:suppressLineNumbers w:val="0"/>
            </w:pPr>
            <w:r>
              <w:rPr>
                <w:rFonts w:ascii="宋体" w:hAnsi="宋体" w:eastAsia="等线" w:cs="Times New Roman"/>
                <w:color w:val="auto"/>
                <w:sz w:val="21"/>
                <w:szCs w:val="20"/>
                <w:highlight w:val="none"/>
                <w:u w:val="single"/>
                <w:lang w:eastAsia="zh-CN"/>
              </w:rPr>
            </w:r>
            <w:r/>
          </w:p>
        </w:tc>
      </w:tr>
      <w:tr>
        <w:trPr>
          <w:trHeight w:val="739"/>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第15.3款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逾期付款利息</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u w:val="single"/>
                <w:lang w:eastAsia="zh-CN"/>
              </w:rPr>
              <w:suppressLineNumbers w:val="0"/>
            </w:pPr>
            <w:r>
              <w:rPr>
                <w:rFonts w:ascii="宋体" w:hAnsi="宋体" w:eastAsia="等线" w:cs="Times New Roman"/>
                <w:color w:val="auto"/>
                <w:sz w:val="21"/>
                <w:szCs w:val="20"/>
                <w:highlight w:val="none"/>
                <w:u w:val="single"/>
                <w:lang w:eastAsia="zh-CN"/>
              </w:rPr>
            </w:r>
            <w:r/>
          </w:p>
        </w:tc>
      </w:tr>
      <w:tr>
        <w:trPr>
          <w:trHeight w:val="880"/>
        </w:trPr>
        <w:tc>
          <w:tcPr>
            <w:tcBorders>
              <w:bottom w:val="single" w:color="auto" w:sz="2" w:space="0"/>
              <w:right w:val="single" w:color="auto" w:sz="2" w:space="0"/>
            </w:tcBorders>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第15.4款</w:t>
            </w:r>
            <w:r/>
          </w:p>
        </w:tc>
        <w:tc>
          <w:tcPr>
            <w:tcBorders>
              <w:left w:val="single" w:color="auto" w:sz="2" w:space="0"/>
              <w:bottom w:val="single" w:color="auto" w:sz="2" w:space="0"/>
              <w:right w:val="single" w:color="auto" w:sz="2" w:space="0"/>
            </w:tcBorders>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其他违约责任</w:t>
            </w:r>
            <w:r/>
          </w:p>
        </w:tc>
        <w:tc>
          <w:tcPr>
            <w:tcBorders>
              <w:left w:val="single" w:color="auto" w:sz="2" w:space="0"/>
              <w:bottom w:val="single" w:color="auto" w:sz="2" w:space="0"/>
            </w:tcBorders>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u w:val="single"/>
                <w:lang w:eastAsia="zh-CN"/>
              </w:rPr>
              <w:suppressLineNumbers w:val="0"/>
            </w:pPr>
            <w:r>
              <w:rPr>
                <w:rFonts w:ascii="宋体" w:hAnsi="宋体" w:eastAsia="等线" w:cs="Times New Roman"/>
                <w:color w:val="auto"/>
                <w:sz w:val="21"/>
                <w:szCs w:val="20"/>
                <w:highlight w:val="none"/>
                <w:u w:val="single"/>
                <w:lang w:eastAsia="zh-CN"/>
              </w:rPr>
            </w:r>
            <w:r/>
          </w:p>
        </w:tc>
      </w:tr>
      <w:tr>
        <w:trPr>
          <w:trHeight w:val="90"/>
        </w:trPr>
        <w:tc>
          <w:tcPr>
            <w:tcBorders>
              <w:top w:val="single" w:color="auto" w:sz="2" w:space="0"/>
              <w:right w:val="single" w:color="auto" w:sz="2" w:space="0"/>
            </w:tcBorders>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第19.2款</w:t>
            </w:r>
            <w:r/>
          </w:p>
        </w:tc>
        <w:tc>
          <w:tcPr>
            <w:tcBorders>
              <w:top w:val="single" w:color="auto" w:sz="2" w:space="0"/>
              <w:left w:val="single" w:color="auto" w:sz="2" w:space="0"/>
              <w:right w:val="single" w:color="auto" w:sz="2" w:space="0"/>
            </w:tcBorders>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解决争议的方法</w:t>
            </w:r>
            <w:r/>
          </w:p>
        </w:tc>
        <w:tc>
          <w:tcPr>
            <w:tcBorders>
              <w:top w:val="single" w:color="auto" w:sz="2" w:space="0"/>
              <w:left w:val="single" w:color="auto" w:sz="2" w:space="0"/>
            </w:tcBorders>
            <w:tcW w:w="5788" w:type="dxa"/>
            <w:vAlign w:val="center"/>
            <w:textDirection w:val="lrTb"/>
            <w:noWrap w:val="false"/>
          </w:tcPr>
          <w:p>
            <w:pPr>
              <w:ind w:left="0" w:right="0" w:firstLine="0"/>
              <w:keepLines w:val="0"/>
              <w:keepNext w:val="0"/>
              <w:spacing w:before="0" w:beforeAutospacing="0" w:after="0" w:afterAutospacing="0" w:line="400" w:lineRule="exact"/>
              <w:widowControl w:val="off"/>
              <w:rPr>
                <w:rFonts w:ascii="宋体" w:hAnsi="宋体" w:cs="宋体"/>
                <w:iCs/>
                <w:color w:val="auto"/>
                <w:sz w:val="21"/>
                <w:szCs w:val="20"/>
                <w:highlight w:val="none"/>
                <w:lang w:eastAsia="zh-CN"/>
              </w:rPr>
              <w:suppressLineNumbers w:val="0"/>
            </w:pPr>
            <w:r>
              <w:rPr>
                <w:rFonts w:hint="eastAsia" w:ascii="宋体" w:hAnsi="宋体" w:cs="宋体"/>
                <w:iCs/>
                <w:color w:val="auto"/>
                <w:sz w:val="21"/>
                <w:szCs w:val="20"/>
                <w:highlight w:val="none"/>
                <w:lang w:eastAsia="zh-CN"/>
              </w:rPr>
              <w:t xml:space="preserve">因本合同及合同有关事项发生的争议，按下列第</w:t>
            </w:r>
            <w:r>
              <w:rPr>
                <w:rFonts w:hint="eastAsia" w:ascii="宋体" w:hAnsi="宋体" w:cs="宋体"/>
                <w:iCs/>
                <w:color w:val="auto"/>
                <w:sz w:val="21"/>
                <w:szCs w:val="20"/>
                <w:highlight w:val="none"/>
                <w:u w:val="single"/>
                <w:lang w:eastAsia="zh-CN"/>
              </w:rPr>
              <w:t xml:space="preserve">  </w:t>
            </w:r>
            <w:r>
              <w:rPr>
                <w:rFonts w:hint="eastAsia" w:ascii="宋体" w:hAnsi="宋体" w:cs="宋体"/>
                <w:iCs/>
                <w:color w:val="auto"/>
                <w:sz w:val="21"/>
                <w:szCs w:val="20"/>
                <w:highlight w:val="none"/>
                <w:lang w:eastAsia="zh-CN"/>
              </w:rPr>
              <w:t xml:space="preserve">种方式解决：</w:t>
            </w:r>
            <w:r/>
          </w:p>
          <w:p>
            <w:pPr>
              <w:ind w:left="0" w:right="0" w:firstLine="0"/>
              <w:keepLines w:val="0"/>
              <w:keepNext w:val="0"/>
              <w:spacing w:before="0" w:beforeAutospacing="0" w:after="0" w:afterAutospacing="0" w:line="400" w:lineRule="exact"/>
              <w:widowControl w:val="off"/>
              <w:rPr>
                <w:rFonts w:ascii="宋体" w:hAnsi="宋体" w:cs="宋体"/>
                <w:iCs/>
                <w:color w:val="auto"/>
                <w:sz w:val="21"/>
                <w:szCs w:val="20"/>
                <w:highlight w:val="none"/>
                <w:lang w:eastAsia="zh-CN"/>
              </w:rPr>
              <w:suppressLineNumbers w:val="0"/>
            </w:pPr>
            <w:r>
              <w:rPr>
                <w:rFonts w:hint="eastAsia" w:ascii="宋体" w:hAnsi="宋体" w:cs="宋体"/>
                <w:iCs/>
                <w:color w:val="auto"/>
                <w:sz w:val="21"/>
                <w:szCs w:val="20"/>
                <w:highlight w:val="none"/>
                <w:lang w:eastAsia="zh-CN"/>
              </w:rPr>
              <w:t xml:space="preserve">（1）向</w:t>
            </w:r>
            <w:r>
              <w:rPr>
                <w:rFonts w:hint="eastAsia" w:ascii="宋体" w:hAnsi="宋体" w:cs="宋体"/>
                <w:iCs/>
                <w:color w:val="auto"/>
                <w:sz w:val="21"/>
                <w:szCs w:val="20"/>
                <w:highlight w:val="none"/>
                <w:u w:val="single"/>
                <w:lang w:eastAsia="zh-CN"/>
              </w:rPr>
              <w:t xml:space="preserve">                    </w:t>
            </w:r>
            <w:r>
              <w:rPr>
                <w:rFonts w:hint="eastAsia" w:ascii="宋体" w:hAnsi="宋体" w:cs="宋体"/>
                <w:iCs/>
                <w:color w:val="auto"/>
                <w:sz w:val="21"/>
                <w:szCs w:val="20"/>
                <w:highlight w:val="none"/>
                <w:lang w:eastAsia="zh-CN"/>
              </w:rPr>
              <w:t xml:space="preserve">仲裁委员会申请仲裁，仲裁地点为</w:t>
            </w:r>
            <w:r>
              <w:rPr>
                <w:rFonts w:hint="eastAsia" w:ascii="宋体" w:hAnsi="宋体" w:cs="宋体"/>
                <w:iCs/>
                <w:color w:val="auto"/>
                <w:sz w:val="21"/>
                <w:szCs w:val="20"/>
                <w:highlight w:val="none"/>
                <w:u w:val="single"/>
                <w:lang w:eastAsia="zh-CN"/>
              </w:rPr>
              <w:t xml:space="preserve">          </w:t>
            </w:r>
            <w:r>
              <w:rPr>
                <w:rFonts w:hint="eastAsia" w:ascii="宋体" w:hAnsi="宋体" w:cs="宋体"/>
                <w:iCs/>
                <w:color w:val="auto"/>
                <w:sz w:val="21"/>
                <w:szCs w:val="20"/>
                <w:highlight w:val="none"/>
                <w:lang w:eastAsia="zh-CN"/>
              </w:rPr>
              <w:t xml:space="preserve">；</w:t>
            </w:r>
            <w:r/>
          </w:p>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u w:val="single"/>
                <w:lang w:eastAsia="zh-CN"/>
              </w:rPr>
              <w:suppressLineNumbers w:val="0"/>
            </w:pPr>
            <w:r>
              <w:rPr>
                <w:rFonts w:hint="eastAsia" w:ascii="宋体" w:hAnsi="宋体" w:cs="宋体"/>
                <w:iCs/>
                <w:color w:val="auto"/>
                <w:sz w:val="21"/>
                <w:szCs w:val="20"/>
                <w:highlight w:val="none"/>
                <w:lang w:eastAsia="zh-CN"/>
              </w:rPr>
              <w:t xml:space="preserve">（2）向</w:t>
            </w:r>
            <w:r>
              <w:rPr>
                <w:rFonts w:hint="eastAsia" w:ascii="宋体" w:hAnsi="宋体" w:cs="宋体"/>
                <w:iCs/>
                <w:color w:val="auto"/>
                <w:sz w:val="21"/>
                <w:szCs w:val="20"/>
                <w:highlight w:val="none"/>
                <w:u w:val="single"/>
                <w:lang w:eastAsia="zh-CN"/>
              </w:rPr>
              <w:t xml:space="preserve">                    </w:t>
            </w:r>
            <w:r>
              <w:rPr>
                <w:rFonts w:hint="eastAsia" w:ascii="宋体" w:hAnsi="宋体" w:cs="宋体"/>
                <w:iCs/>
                <w:color w:val="auto"/>
                <w:sz w:val="21"/>
                <w:szCs w:val="20"/>
                <w:highlight w:val="none"/>
                <w:lang w:eastAsia="zh-CN"/>
              </w:rPr>
              <w:t xml:space="preserve">人民法院起诉。</w:t>
            </w:r>
            <w:r/>
          </w:p>
        </w:tc>
      </w:tr>
      <w:tr>
        <w:trPr>
          <w:trHeight w:val="773"/>
        </w:trPr>
        <w:tc>
          <w:tcPr>
            <w:tcW w:w="1799"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第二节</w:t>
            </w:r>
            <w:r/>
          </w:p>
          <w:p>
            <w:pPr>
              <w:ind w:left="0" w:right="0" w:firstLine="0"/>
              <w:jc w:val="center"/>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color w:val="auto"/>
                <w:sz w:val="21"/>
                <w:szCs w:val="20"/>
                <w:highlight w:val="none"/>
                <w:lang w:eastAsia="zh-CN"/>
              </w:rPr>
              <w:t xml:space="preserve">第23.1款</w:t>
            </w:r>
            <w:r/>
          </w:p>
        </w:tc>
        <w:tc>
          <w:tcPr>
            <w:tcW w:w="1950"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eastAsia="等线" w:cs="Times New Roman"/>
                <w:color w:val="auto"/>
                <w:sz w:val="21"/>
                <w:szCs w:val="20"/>
                <w:highlight w:val="none"/>
                <w:lang w:eastAsia="zh-CN"/>
              </w:rPr>
              <w:suppressLineNumbers w:val="0"/>
            </w:pPr>
            <w:r>
              <w:rPr>
                <w:rFonts w:hint="eastAsia" w:ascii="宋体" w:hAnsi="宋体" w:eastAsia="等线" w:cs="Times New Roman"/>
                <w:bCs/>
                <w:color w:val="auto"/>
                <w:sz w:val="21"/>
                <w:szCs w:val="20"/>
                <w:highlight w:val="none"/>
                <w:lang w:eastAsia="zh-CN"/>
              </w:rPr>
              <w:t xml:space="preserve">其他专用条款</w:t>
            </w:r>
            <w:r/>
          </w:p>
        </w:tc>
        <w:tc>
          <w:tcPr>
            <w:tcW w:w="5788" w:type="dxa"/>
            <w:vAlign w:val="center"/>
            <w:textDirection w:val="lrTb"/>
            <w:noWrap w:val="false"/>
          </w:tcPr>
          <w:p>
            <w:pPr>
              <w:ind w:left="0" w:right="0" w:firstLine="0"/>
              <w:keepLines w:val="0"/>
              <w:keepNext w:val="0"/>
              <w:spacing w:before="0" w:beforeAutospacing="0" w:after="0" w:afterAutospacing="0" w:line="240" w:lineRule="auto"/>
              <w:widowControl w:val="off"/>
              <w:rPr>
                <w:rFonts w:ascii="宋体" w:hAnsi="宋体" w:cs="Times New Roman"/>
                <w:color w:val="auto"/>
                <w:sz w:val="21"/>
                <w:szCs w:val="20"/>
                <w:highlight w:val="none"/>
                <w:lang w:eastAsia="zh-CN"/>
              </w:rPr>
              <w:suppressLineNumbers w:val="0"/>
            </w:pPr>
            <w:r>
              <w:rPr>
                <w:rFonts w:ascii="宋体" w:hAnsi="宋体" w:cs="Times New Roman"/>
                <w:color w:val="auto"/>
                <w:sz w:val="21"/>
                <w:szCs w:val="20"/>
                <w:highlight w:val="none"/>
                <w:lang w:eastAsia="zh-CN"/>
              </w:rPr>
            </w:r>
            <w:r/>
          </w:p>
        </w:tc>
      </w:tr>
    </w:tbl>
    <w:p>
      <w:pPr>
        <w:ind w:firstLine="0"/>
        <w:widowControl w:val="off"/>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rPr>
          <w:color w:val="auto"/>
          <w:highlight w:val="none"/>
        </w:rPr>
      </w:pPr>
      <w:r>
        <w:rPr>
          <w:color w:val="auto"/>
          <w:highlight w:val="none"/>
        </w:rPr>
      </w:r>
      <w:r/>
    </w:p>
    <w:p>
      <w:pPr>
        <w:ind w:firstLine="480"/>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br w:type="page" w:clear="all"/>
      </w:r>
      <w:r/>
    </w:p>
    <w:p>
      <w:pPr>
        <w:jc w:val="center"/>
        <w:tabs>
          <w:tab w:val="left" w:pos="525" w:leader="none"/>
          <w:tab w:val="left" w:pos="1050" w:leader="none"/>
        </w:tabs>
        <w:rPr>
          <w:rFonts w:ascii="宋体" w:hAnsi="Courier New"/>
          <w:b/>
          <w:bCs/>
          <w:color w:val="auto"/>
          <w:sz w:val="36"/>
          <w:szCs w:val="36"/>
          <w:highlight w:val="none"/>
        </w:rPr>
      </w:pPr>
      <w:r>
        <w:rPr>
          <w:rFonts w:hint="eastAsia" w:ascii="宋体" w:hAnsi="Courier New"/>
          <w:b/>
          <w:bCs/>
          <w:color w:val="auto"/>
          <w:sz w:val="36"/>
          <w:szCs w:val="36"/>
          <w:highlight w:val="none"/>
        </w:rPr>
        <w:t xml:space="preserve">第五章 附件</w:t>
      </w:r>
      <w:r/>
    </w:p>
    <w:p>
      <w:pPr>
        <w:jc w:val="left"/>
        <w:keepLines w:val="0"/>
        <w:keepNext w:val="0"/>
        <w:pageBreakBefore w:val="0"/>
        <w:spacing w:line="336" w:lineRule="auto"/>
        <w:widowControl w:val="off"/>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附件一：评分标准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cs="宋体"/>
          <w:bCs/>
          <w:color w:val="auto"/>
          <w:sz w:val="24"/>
          <w:szCs w:val="24"/>
          <w:highlight w:val="none"/>
          <w:lang w:eastAsia="zh-CN"/>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w:t>
      </w:r>
      <w:r>
        <w:rPr>
          <w:rFonts w:hint="eastAsia" w:ascii="宋体" w:hAnsi="宋体" w:cs="宋体"/>
          <w:bCs/>
          <w:color w:val="auto"/>
          <w:sz w:val="24"/>
          <w:szCs w:val="24"/>
          <w:highlight w:val="none"/>
          <w:lang w:eastAsia="zh-CN"/>
        </w:rPr>
        <w:t xml:space="preserve">分且投标报价相同的并列。投标文件满足招标文件全部实质性要求，且按照评审因素的量化指标评审得分最高的供应商为排名第一的中标候选人。提供相同品牌产品且通过资格审查、符合性审查的不同供应商参加同一合同项下投标的，按一家投标人计算，评审后得分最高的同品牌投标人获得中标人推荐资格；评审得分相同的，由采购人或者采购人委托评标委员会按照随机抽取方式确定一个供应商获得中标人推荐资格，其他同品牌供应商不作为中标候选人。非单一产品采购项目，多家投标人提供的核心产品品牌相同的，同上处理。未列入本评分标准的其他条件不作为评分内容。</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（一</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评分项目及分值（总分100分）</w:t>
      </w:r>
      <w:r/>
    </w:p>
    <w:p>
      <w:pPr>
        <w:ind w:right="0" w:firstLine="482"/>
        <w:jc w:val="left"/>
        <w:keepLines w:val="0"/>
        <w:keepNext w:val="0"/>
        <w:pageBreakBefore w:val="0"/>
        <w:spacing w:line="336" w:lineRule="auto"/>
        <w:widowControl w:val="off"/>
        <w:rPr>
          <w:rFonts w:hint="default" w:ascii="宋体" w:hAnsi="宋体" w:eastAsia="宋体" w:cs="宋体"/>
          <w:b/>
          <w:color w:val="auto"/>
          <w:sz w:val="24"/>
          <w:szCs w:val="24"/>
          <w:highlight w:val="none"/>
          <w:lang w:val="en-US" w:eastAsia="zh-CN"/>
        </w:rPr>
        <w:outlineLvl w:val="9"/>
      </w:pPr>
      <w:r>
        <w:rPr>
          <w:rFonts w:hint="eastAsia" w:ascii="宋体" w:hAnsi="宋体" w:cs="宋体"/>
          <w:b/>
          <w:color w:val="auto"/>
          <w:sz w:val="24"/>
          <w:szCs w:val="24"/>
          <w:highlight w:val="none"/>
          <w:lang w:val="en-US" w:eastAsia="zh-CN"/>
        </w:rPr>
        <w:t xml:space="preserve">明标部分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）价格分               </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0分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）商务资信分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16.5</w:t>
      </w:r>
      <w:r>
        <w:rPr>
          <w:rFonts w:hint="eastAsia" w:ascii="宋体" w:hAnsi="宋体" w:eastAsia="宋体" w:cs="宋体"/>
          <w:b/>
          <w:color w:val="auto"/>
          <w:sz w:val="24"/>
          <w:szCs w:val="24"/>
          <w:highlight w:val="none"/>
        </w:rPr>
        <w:t xml:space="preserve">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）政策加分              2分</w:t>
      </w:r>
      <w:r/>
    </w:p>
    <w:p>
      <w:pPr>
        <w:ind w:right="0" w:firstLine="482"/>
        <w:jc w:val="left"/>
        <w:keepLines w:val="0"/>
        <w:keepNext w:val="0"/>
        <w:pageBreakBefore w:val="0"/>
        <w:spacing w:line="336" w:lineRule="auto"/>
        <w:widowControl w:val="off"/>
        <w:rPr>
          <w:rFonts w:hint="default" w:ascii="宋体" w:hAnsi="宋体" w:eastAsia="宋体" w:cs="宋体"/>
          <w:b/>
          <w:color w:val="auto"/>
          <w:sz w:val="24"/>
          <w:szCs w:val="24"/>
          <w:highlight w:val="none"/>
          <w:lang w:val="en-US" w:eastAsia="zh-CN"/>
        </w:rPr>
        <w:outlineLvl w:val="9"/>
      </w:pPr>
      <w:r>
        <w:rPr>
          <w:rFonts w:hint="eastAsia" w:ascii="宋体" w:hAnsi="宋体" w:cs="宋体"/>
          <w:b/>
          <w:color w:val="auto"/>
          <w:sz w:val="24"/>
          <w:szCs w:val="24"/>
          <w:highlight w:val="none"/>
          <w:lang w:val="en-US" w:eastAsia="zh-CN"/>
        </w:rPr>
        <w:t xml:space="preserve">暗标部分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）技术分               </w:t>
      </w:r>
      <w:r>
        <w:rPr>
          <w:rFonts w:hint="eastAsia" w:ascii="宋体" w:hAnsi="宋体" w:cs="宋体"/>
          <w:b/>
          <w:color w:val="auto"/>
          <w:sz w:val="24"/>
          <w:szCs w:val="24"/>
          <w:highlight w:val="none"/>
          <w:lang w:val="en-US" w:eastAsia="zh-CN"/>
        </w:rPr>
        <w:t xml:space="preserve">41.5</w:t>
      </w:r>
      <w:r>
        <w:rPr>
          <w:rFonts w:hint="eastAsia" w:ascii="宋体" w:hAnsi="宋体" w:eastAsia="宋体" w:cs="宋体"/>
          <w:b/>
          <w:color w:val="auto"/>
          <w:sz w:val="24"/>
          <w:szCs w:val="24"/>
          <w:highlight w:val="none"/>
        </w:rPr>
        <w:t xml:space="preserve">分</w:t>
      </w:r>
      <w:r/>
    </w:p>
    <w:p>
      <w:pPr>
        <w:ind w:right="0" w:firstLine="482"/>
        <w:jc w:val="left"/>
        <w:keepLines w:val="0"/>
        <w:keepNext w:val="0"/>
        <w:pageBreakBefore w:val="0"/>
        <w:spacing w:line="336" w:lineRule="auto"/>
        <w:widowControl w:val="off"/>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各项目评分标准</w:t>
      </w:r>
      <w:r/>
    </w:p>
    <w:p>
      <w:pPr>
        <w:ind w:right="0" w:firstLine="482"/>
        <w:jc w:val="left"/>
        <w:keepLines w:val="0"/>
        <w:keepNext w:val="0"/>
        <w:pageBreakBefore w:val="0"/>
        <w:spacing w:line="336" w:lineRule="auto"/>
        <w:widowControl w:val="off"/>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40</w:t>
      </w:r>
      <w:r>
        <w:rPr>
          <w:rFonts w:hint="eastAsia" w:ascii="宋体" w:hAnsi="宋体" w:eastAsia="宋体" w:cs="宋体"/>
          <w:b/>
          <w:bCs/>
          <w:color w:val="auto"/>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bookmarkStart w:id="9" w:name="OLE_LINK42"/>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bookmarkEnd w:id="9"/>
      <w:r/>
      <w:r/>
    </w:p>
    <w:p>
      <w:pPr>
        <w:ind w:firstLine="480"/>
        <w:spacing w:line="360" w:lineRule="auto"/>
        <w:tabs>
          <w:tab w:val="left" w:pos="525" w:leader="none"/>
          <w:tab w:val="left" w:pos="105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投标报价得分=(评标基准价／投标报价)×价格权值×100</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价格扣除：</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促进本国产品优惠政策：依法对本国产品给予价格评审优惠，对本国产品的报价给予20%的价格扣除，用扣除后的价格参与评审。</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firstLine="482"/>
        <w:jc w:val="both"/>
        <w:keepLines w:val="0"/>
        <w:keepNext w:val="0"/>
        <w:pageBreakBefore w:val="0"/>
        <w:spacing w:line="336" w:lineRule="auto"/>
        <w:widowControl w:val="off"/>
        <w:tabs>
          <w:tab w:val="left" w:pos="840" w:leader="none"/>
          <w:tab w:val="left" w:pos="1050" w:leader="none"/>
        </w:tabs>
        <w:rPr>
          <w:rFonts w:hint="eastAsia" w:ascii="宋体" w:hAnsi="宋体" w:eastAsia="宋体" w:cs="宋体"/>
          <w:color w:val="auto"/>
          <w:sz w:val="24"/>
          <w:szCs w:val="24"/>
          <w:highlight w:val="none"/>
        </w:rPr>
        <w:outlineLvl w:val="9"/>
      </w:pPr>
      <w:r>
        <w:rPr>
          <w:rFonts w:hint="eastAsia" w:ascii="宋体" w:hAnsi="宋体" w:eastAsia="宋体" w:cs="宋体"/>
          <w:b/>
          <w:bCs w:val="0"/>
          <w:color w:val="auto"/>
          <w:sz w:val="24"/>
          <w:szCs w:val="24"/>
          <w:highlight w:val="none"/>
        </w:rPr>
        <w:t xml:space="preserve">异常低价投标（响应）审查：</w:t>
      </w:r>
      <w:r>
        <w:rPr>
          <w:rFonts w:hint="eastAsia" w:ascii="宋体" w:hAnsi="宋体" w:eastAsia="宋体" w:cs="宋体"/>
          <w:b w:val="0"/>
          <w:bCs/>
          <w:color w:val="auto"/>
          <w:sz w:val="24"/>
          <w:szCs w:val="24"/>
          <w:highlight w:val="none"/>
        </w:rPr>
        <w:t xml:space="preserve">评标委员会认定投标人的报价明显过低，有可能影响产品质量或者不能诚信履约的，应当按照《关于推动解决政府采购异常低价问题的通知》（财库〔2026〕2号）要求，启动异常低价投标（响应）审查程序。（具体详见采购文件“二、投标供应商须知”）。</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（二）商务资信分（</w:t>
      </w:r>
      <w:r>
        <w:rPr>
          <w:rFonts w:hint="eastAsia" w:ascii="宋体" w:hAnsi="宋体" w:cs="宋体"/>
          <w:b/>
          <w:bCs/>
          <w:color w:val="auto"/>
          <w:sz w:val="24"/>
          <w:highlight w:val="none"/>
          <w:lang w:val="en-US" w:eastAsia="zh-CN"/>
        </w:rPr>
        <w:t xml:space="preserve">16.5</w:t>
      </w:r>
      <w:r>
        <w:rPr>
          <w:rFonts w:hint="eastAsia" w:ascii="宋体" w:hAnsi="宋体" w:cs="宋体"/>
          <w:b/>
          <w:bCs/>
          <w:color w:val="auto"/>
          <w:sz w:val="24"/>
          <w:highlight w:val="none"/>
        </w:rPr>
        <w:t xml:space="preserve">分）</w:t>
      </w:r>
      <w:r/>
    </w:p>
    <w:p>
      <w:pPr>
        <w:ind w:firstLine="480"/>
        <w:jc w:val="left"/>
        <w:spacing w:line="360" w:lineRule="auto"/>
        <w:rPr>
          <w:rFonts w:hint="eastAsia"/>
          <w:color w:val="auto"/>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软件著作证书（</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w:t>
      </w:r>
      <w:r>
        <w:rPr>
          <w:rFonts w:hint="eastAsia" w:ascii="宋体" w:hAnsi="宋体" w:cs="宋体"/>
          <w:bCs/>
          <w:color w:val="auto"/>
          <w:sz w:val="24"/>
          <w:szCs w:val="24"/>
          <w:highlight w:val="none"/>
          <w:lang w:val="en-US" w:eastAsia="zh-CN"/>
        </w:rPr>
        <w:t xml:space="preserve">提供所投产品顶装智能控制平台或远程控制模块的软件著作权登记证书的，得1.5分。</w:t>
      </w:r>
      <w:bookmarkStart w:id="11" w:name="_GoBack"/>
      <w:r/>
      <w:bookmarkEnd w:id="11"/>
      <w:r>
        <w:rPr>
          <w:rFonts w:hint="eastAsia" w:ascii="宋体" w:hAnsi="宋体" w:eastAsia="宋体" w:cs="宋体"/>
          <w:bCs/>
          <w:color w:val="auto"/>
          <w:sz w:val="24"/>
          <w:szCs w:val="24"/>
          <w:highlight w:val="none"/>
        </w:rPr>
        <w:t xml:space="preserve">【软件著作证书扫描件上传至系统中并加盖公章，不提供或提供不全不得分。</w:t>
      </w:r>
      <w:r>
        <w:rPr>
          <w:rFonts w:hint="eastAsia" w:ascii="宋体" w:hAnsi="宋体" w:eastAsia="宋体"/>
          <w:bCs/>
          <w:color w:val="auto"/>
          <w:sz w:val="24"/>
          <w:szCs w:val="24"/>
          <w:highlight w:val="none"/>
        </w:rPr>
        <w:t xml:space="preserve">名称与上述名称不同，但内容实际相同的视作等同</w:t>
      </w:r>
      <w:r>
        <w:rPr>
          <w:rFonts w:hint="eastAsia" w:ascii="宋体" w:hAnsi="宋体"/>
          <w:bCs/>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2、检测报告（7分）：</w:t>
      </w:r>
      <w:r/>
    </w:p>
    <w:p>
      <w:pPr>
        <w:ind w:firstLine="480"/>
        <w:spacing w:line="44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投标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en-US" w:eastAsia="zh-CN"/>
        </w:rPr>
        <w:t xml:space="preserve">需出具包含下列材料及检测项的权威检测报告原件扫描件上传至</w:t>
      </w:r>
      <w:r>
        <w:rPr>
          <w:rFonts w:hint="eastAsia" w:ascii="宋体" w:hAnsi="宋体" w:cs="宋体"/>
          <w:bCs/>
          <w:color w:val="auto"/>
          <w:sz w:val="24"/>
          <w:highlight w:val="none"/>
          <w:lang w:val="en-US" w:eastAsia="zh-CN"/>
        </w:rPr>
        <w:t xml:space="preserve">投标文件</w:t>
      </w:r>
      <w:r>
        <w:rPr>
          <w:rFonts w:hint="eastAsia" w:ascii="宋体" w:hAnsi="宋体" w:eastAsia="宋体" w:cs="宋体"/>
          <w:bCs/>
          <w:color w:val="auto"/>
          <w:sz w:val="24"/>
          <w:highlight w:val="none"/>
          <w:lang w:val="en-US" w:eastAsia="zh-CN"/>
        </w:rPr>
        <w:t xml:space="preserve">中并加盖电子公章，检测报告由CMA</w:t>
      </w:r>
      <w:r>
        <w:rPr>
          <w:rFonts w:hint="eastAsia" w:ascii="宋体" w:hAnsi="宋体" w:cs="宋体"/>
          <w:bCs/>
          <w:color w:val="auto"/>
          <w:sz w:val="24"/>
          <w:highlight w:val="none"/>
          <w:lang w:val="en-US" w:eastAsia="zh-CN"/>
        </w:rPr>
        <w:t xml:space="preserve">或CNAS</w:t>
      </w:r>
      <w:r>
        <w:rPr>
          <w:rFonts w:hint="eastAsia" w:ascii="宋体" w:hAnsi="宋体" w:eastAsia="宋体" w:cs="宋体"/>
          <w:bCs/>
          <w:color w:val="auto"/>
          <w:sz w:val="24"/>
          <w:highlight w:val="none"/>
          <w:lang w:val="en-US" w:eastAsia="zh-CN"/>
        </w:rPr>
        <w:t xml:space="preserve">认证的检验中心出具且必须清晰、完整（含封底和封面），检测报告不完整的视为无效，受检单位须为投标</w:t>
      </w:r>
      <w:r>
        <w:rPr>
          <w:rFonts w:hint="eastAsia" w:ascii="宋体" w:hAnsi="宋体" w:cs="宋体"/>
          <w:bCs/>
          <w:color w:val="auto"/>
          <w:sz w:val="24"/>
          <w:highlight w:val="none"/>
          <w:lang w:val="en-US" w:eastAsia="zh-CN"/>
        </w:rPr>
        <w:t xml:space="preserve">供应商或其生产厂家（制造商）</w:t>
      </w:r>
      <w:r>
        <w:rPr>
          <w:rFonts w:hint="eastAsia" w:ascii="宋体" w:hAnsi="宋体" w:eastAsia="宋体" w:cs="宋体"/>
          <w:bCs/>
          <w:color w:val="auto"/>
          <w:sz w:val="24"/>
          <w:highlight w:val="none"/>
          <w:lang w:val="en-US" w:eastAsia="zh-CN"/>
        </w:rPr>
        <w:t xml:space="preserve">，每份检测报告满足该项要求的，得分项目参数必须在《投标偏离表》</w:t>
      </w:r>
      <w:r>
        <w:rPr>
          <w:rFonts w:hint="eastAsia" w:ascii="宋体" w:hAnsi="宋体" w:cs="宋体"/>
          <w:bCs/>
          <w:color w:val="auto"/>
          <w:sz w:val="24"/>
          <w:highlight w:val="none"/>
          <w:lang w:val="en-US" w:eastAsia="zh-CN"/>
        </w:rPr>
        <w:t xml:space="preserve">填报</w:t>
      </w:r>
      <w:r>
        <w:rPr>
          <w:rFonts w:hint="eastAsia" w:ascii="宋体" w:hAnsi="宋体" w:eastAsia="宋体" w:cs="宋体"/>
          <w:bCs/>
          <w:color w:val="auto"/>
          <w:sz w:val="24"/>
          <w:highlight w:val="none"/>
          <w:lang w:val="en-US" w:eastAsia="zh-CN"/>
        </w:rPr>
        <w:t xml:space="preserve">内容中填写并注明为正偏离，未按要求提供证明材料和不按要求填写的，不得分，</w:t>
      </w:r>
      <w:r>
        <w:rPr>
          <w:rFonts w:hint="eastAsia" w:ascii="宋体" w:hAnsi="宋体" w:cs="宋体"/>
          <w:bCs/>
          <w:color w:val="auto"/>
          <w:sz w:val="24"/>
          <w:highlight w:val="none"/>
          <w:lang w:val="en-US" w:eastAsia="zh-CN"/>
        </w:rPr>
        <w:t xml:space="preserve">本项</w:t>
      </w:r>
      <w:r>
        <w:rPr>
          <w:rFonts w:hint="eastAsia" w:ascii="宋体" w:hAnsi="宋体" w:eastAsia="宋体" w:cs="宋体"/>
          <w:bCs/>
          <w:color w:val="auto"/>
          <w:sz w:val="24"/>
          <w:highlight w:val="none"/>
          <w:lang w:val="en-US" w:eastAsia="zh-CN"/>
        </w:rPr>
        <w:t xml:space="preserve">满分</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lang w:val="en-US" w:eastAsia="zh-CN"/>
        </w:rPr>
        <w:t xml:space="preserve">分。</w:t>
      </w:r>
      <w:r/>
    </w:p>
    <w:tbl>
      <w:tblPr>
        <w:tblStyle w:val="808"/>
        <w:tblW w:w="9267"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746"/>
        <w:gridCol w:w="2878"/>
        <w:gridCol w:w="2934"/>
      </w:tblGrid>
      <w:tr>
        <w:trPr>
          <w:trHeight w:val="99"/>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采购需求的参数要求</w:t>
            </w:r>
            <w:r/>
          </w:p>
        </w:tc>
        <w:tc>
          <w:tcPr>
            <w:gridSpan w:val="2"/>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评审内容</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教师演示讲台</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GB/T 24820-2024</w:t>
            </w:r>
            <w:r/>
          </w:p>
        </w:tc>
      </w:tr>
      <w:tr>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检测项目及要求：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1.实验台面净深：</w:t>
            </w:r>
            <w:r>
              <w:rPr>
                <w:rFonts w:hint="eastAsia" w:ascii="宋体" w:hAnsi="宋体" w:cs="宋体"/>
                <w:color w:val="auto"/>
                <w:sz w:val="24"/>
                <w:szCs w:val="24"/>
                <w:highlight w:val="none"/>
                <w:lang w:val="en-US" w:eastAsia="zh-CN"/>
              </w:rPr>
              <w:t xml:space="preserve">600mm~900mm；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2.分缝：</w:t>
            </w:r>
            <w:r>
              <w:rPr>
                <w:rFonts w:hint="eastAsia" w:ascii="宋体" w:hAnsi="宋体" w:cs="宋体"/>
                <w:color w:val="auto"/>
                <w:sz w:val="24"/>
                <w:szCs w:val="24"/>
                <w:highlight w:val="none"/>
                <w:lang w:val="en-US" w:eastAsia="zh-CN"/>
              </w:rPr>
              <w:t xml:space="preserve">非设计要求≤2.0；</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3.抽屉下垂度</w:t>
            </w:r>
            <w:r>
              <w:rPr>
                <w:rFonts w:hint="eastAsia" w:ascii="宋体" w:hAnsi="宋体" w:cs="宋体"/>
                <w:color w:val="auto"/>
                <w:sz w:val="24"/>
                <w:szCs w:val="24"/>
                <w:highlight w:val="none"/>
                <w:lang w:val="en-US" w:eastAsia="zh-CN"/>
              </w:rPr>
              <w:t xml:space="preserve">≤20mm；</w:t>
            </w:r>
            <w:r>
              <w:rPr>
                <w:rFonts w:hint="eastAsia" w:ascii="宋体" w:hAnsi="宋体" w:cs="宋体"/>
                <w:b/>
                <w:bCs/>
                <w:color w:val="auto"/>
                <w:sz w:val="24"/>
                <w:szCs w:val="24"/>
                <w:highlight w:val="none"/>
                <w:lang w:val="en-US" w:eastAsia="zh-CN"/>
              </w:rPr>
              <w:t xml:space="preserve">抽屉摆动度</w:t>
            </w:r>
            <w:r>
              <w:rPr>
                <w:rFonts w:hint="eastAsia" w:ascii="宋体" w:hAnsi="宋体" w:cs="宋体"/>
                <w:color w:val="auto"/>
                <w:sz w:val="24"/>
                <w:szCs w:val="24"/>
                <w:highlight w:val="none"/>
                <w:lang w:val="en-US" w:eastAsia="zh-CN"/>
              </w:rPr>
              <w:t xml:space="preserve">≤15mm；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4.安全性能</w:t>
            </w:r>
            <w:r>
              <w:rPr>
                <w:rFonts w:hint="eastAsia" w:ascii="宋体" w:hAnsi="宋体" w:cs="宋体"/>
                <w:color w:val="auto"/>
                <w:sz w:val="24"/>
                <w:szCs w:val="24"/>
                <w:highlight w:val="none"/>
                <w:lang w:val="en-US" w:eastAsia="zh-CN"/>
              </w:rPr>
              <w:t xml:space="preserve">：实验台面接缝应平整、紧密，不应渗水、开缝。实验台的把手不应有可积聚物质的凹槽。</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5.实验台力学性能-实验台耐久性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（1）水平耐久性试验：符合标准要求；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（2）垂直耐久性试验：符合标准要求。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6.实验台力学性能-独立式实验台稳定性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（1）水平冲击稳定性试验：符合标准要求；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（2）符合垂直加载稳定性试验：符合标准要求；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（3）具有推拉构件的稳定性试验：符合标准要求。</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检测项目及要求：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1.实验台面净深：</w:t>
            </w:r>
            <w:r>
              <w:rPr>
                <w:rFonts w:hint="eastAsia" w:ascii="宋体" w:hAnsi="宋体" w:cs="宋体"/>
                <w:color w:val="auto"/>
                <w:sz w:val="24"/>
                <w:szCs w:val="24"/>
                <w:highlight w:val="none"/>
                <w:lang w:val="en-US" w:eastAsia="zh-CN"/>
              </w:rPr>
              <w:t xml:space="preserve">600mm~900mm；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2.分缝：</w:t>
            </w:r>
            <w:r>
              <w:rPr>
                <w:rFonts w:hint="eastAsia" w:ascii="宋体" w:hAnsi="宋体" w:cs="宋体"/>
                <w:color w:val="auto"/>
                <w:sz w:val="24"/>
                <w:szCs w:val="24"/>
                <w:highlight w:val="none"/>
                <w:lang w:val="en-US" w:eastAsia="zh-CN"/>
              </w:rPr>
              <w:t xml:space="preserve">非设计要求≤2.0；</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3.抽屉下垂度</w:t>
            </w:r>
            <w:r>
              <w:rPr>
                <w:rFonts w:hint="eastAsia" w:ascii="宋体" w:hAnsi="宋体" w:cs="宋体"/>
                <w:color w:val="auto"/>
                <w:sz w:val="24"/>
                <w:szCs w:val="24"/>
                <w:highlight w:val="none"/>
                <w:lang w:val="en-US" w:eastAsia="zh-CN"/>
              </w:rPr>
              <w:t xml:space="preserve">≤15mm；</w:t>
            </w:r>
            <w:r>
              <w:rPr>
                <w:rFonts w:hint="eastAsia" w:ascii="宋体" w:hAnsi="宋体" w:cs="宋体"/>
                <w:b/>
                <w:bCs/>
                <w:color w:val="auto"/>
                <w:sz w:val="24"/>
                <w:szCs w:val="24"/>
                <w:highlight w:val="none"/>
                <w:lang w:val="en-US" w:eastAsia="zh-CN"/>
              </w:rPr>
              <w:t xml:space="preserve">抽屉摆动度</w:t>
            </w:r>
            <w:r>
              <w:rPr>
                <w:rFonts w:hint="eastAsia" w:ascii="宋体" w:hAnsi="宋体" w:cs="宋体"/>
                <w:color w:val="auto"/>
                <w:sz w:val="24"/>
                <w:szCs w:val="24"/>
                <w:highlight w:val="none"/>
                <w:lang w:val="en-US" w:eastAsia="zh-CN"/>
              </w:rPr>
              <w:t xml:space="preserve">≤10mm；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4.安全性能</w:t>
            </w:r>
            <w:r>
              <w:rPr>
                <w:rFonts w:hint="eastAsia" w:ascii="宋体" w:hAnsi="宋体" w:cs="宋体"/>
                <w:color w:val="auto"/>
                <w:sz w:val="24"/>
                <w:szCs w:val="24"/>
                <w:highlight w:val="none"/>
                <w:lang w:val="en-US" w:eastAsia="zh-CN"/>
              </w:rPr>
              <w:t xml:space="preserve">：实验台面接缝应平整、紧密，不应渗水、开缝。实验台的把手不应有可积聚物质的凹槽。</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5.实验台力学性能-实验台耐久性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（1）水平耐久性试验：符合标准要求；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（2）垂直耐久性试验：符合标准要求。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6.实验台力学性能-独立式实验台稳定性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（1）水平冲击稳定性试验：符合标准要求；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（2）符合垂直加载稳定性试验：符合标准要求；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（3）具有推拉构件的稳定性试验：符合标准要求。</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检测项目及要求：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1.实验台面净深</w:t>
            </w:r>
            <w:r>
              <w:rPr>
                <w:rFonts w:hint="eastAsia" w:ascii="宋体" w:hAnsi="宋体" w:cs="宋体"/>
                <w:color w:val="auto"/>
                <w:sz w:val="24"/>
                <w:szCs w:val="24"/>
                <w:highlight w:val="none"/>
                <w:lang w:val="en-US" w:eastAsia="zh-CN"/>
              </w:rPr>
              <w:t xml:space="preserve">：600mm~900mm；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2.分缝：</w:t>
            </w:r>
            <w:r>
              <w:rPr>
                <w:rFonts w:hint="eastAsia" w:ascii="宋体" w:hAnsi="宋体" w:cs="宋体"/>
                <w:color w:val="auto"/>
                <w:sz w:val="24"/>
                <w:szCs w:val="24"/>
                <w:highlight w:val="none"/>
                <w:lang w:val="en-US" w:eastAsia="zh-CN"/>
              </w:rPr>
              <w:t xml:space="preserve">非设计要求≤2.0；</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3.抽屉下垂度</w:t>
            </w:r>
            <w:r>
              <w:rPr>
                <w:rFonts w:hint="eastAsia" w:ascii="宋体" w:hAnsi="宋体" w:cs="宋体"/>
                <w:color w:val="auto"/>
                <w:sz w:val="24"/>
                <w:szCs w:val="24"/>
                <w:highlight w:val="none"/>
                <w:lang w:val="en-US" w:eastAsia="zh-CN"/>
              </w:rPr>
              <w:t xml:space="preserve">≤10mm；</w:t>
            </w:r>
            <w:r>
              <w:rPr>
                <w:rFonts w:hint="eastAsia" w:ascii="宋体" w:hAnsi="宋体" w:cs="宋体"/>
                <w:b/>
                <w:bCs/>
                <w:color w:val="auto"/>
                <w:sz w:val="24"/>
                <w:szCs w:val="24"/>
                <w:highlight w:val="none"/>
                <w:lang w:val="en-US" w:eastAsia="zh-CN"/>
              </w:rPr>
              <w:t xml:space="preserve">抽屉摆动度</w:t>
            </w:r>
            <w:r>
              <w:rPr>
                <w:rFonts w:hint="eastAsia" w:ascii="宋体" w:hAnsi="宋体" w:cs="宋体"/>
                <w:color w:val="auto"/>
                <w:sz w:val="24"/>
                <w:szCs w:val="24"/>
                <w:highlight w:val="none"/>
                <w:lang w:val="en-US" w:eastAsia="zh-CN"/>
              </w:rPr>
              <w:t xml:space="preserve">≤5mm；</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4.安全性能</w:t>
            </w:r>
            <w:r>
              <w:rPr>
                <w:rFonts w:hint="eastAsia" w:ascii="宋体" w:hAnsi="宋体" w:cs="宋体"/>
                <w:color w:val="auto"/>
                <w:sz w:val="24"/>
                <w:szCs w:val="24"/>
                <w:highlight w:val="none"/>
                <w:lang w:val="en-US" w:eastAsia="zh-CN"/>
              </w:rPr>
              <w:t xml:space="preserve">：实验台面接缝应平整、紧密，不应渗水、开缝。实验台的把手不应有可积聚物质的凹槽。</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5.实验台力学性能-实验台耐久性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（1）水平耐久性试验：符合标准要求；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（2）垂直耐久性试验：符合标准要求。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6.实验台力学性能-独立式实验台稳定性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（1）水平冲击稳定性试验：符合标准要求；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（2）符合垂直加载稳定性试验：符合标准要求；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（3）具有推拉构件的稳定性试验：符合标准要求。</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8558"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rPr>
              <w:suppressLineNumbers w:val="0"/>
            </w:pPr>
            <w:r>
              <w:rPr>
                <w:rFonts w:hint="eastAsia" w:ascii="宋体" w:hAnsi="宋体" w:cs="宋体"/>
                <w:color w:val="auto"/>
                <w:sz w:val="24"/>
                <w:szCs w:val="24"/>
                <w:highlight w:val="none"/>
                <w:lang w:val="en-US" w:eastAsia="zh-CN"/>
              </w:rPr>
              <w:t xml:space="preserve">学生实验桌</w:t>
            </w:r>
            <w:r>
              <w:rPr>
                <w:rFonts w:hint="eastAsia" w:ascii="宋体" w:hAnsi="宋体" w:eastAsia="宋体" w:cs="宋体"/>
                <w:color w:val="auto"/>
                <w:sz w:val="24"/>
                <w:szCs w:val="24"/>
                <w:highlight w:val="none"/>
              </w:rPr>
              <w:t xml:space="preserve">（抽检）采用的检测标准：</w:t>
            </w:r>
            <w:r>
              <w:rPr>
                <w:rFonts w:hint="eastAsia" w:ascii="宋体" w:hAnsi="宋体" w:cs="宋体"/>
                <w:color w:val="auto"/>
                <w:sz w:val="24"/>
                <w:szCs w:val="24"/>
                <w:highlight w:val="none"/>
                <w:lang w:val="en-US" w:eastAsia="zh-CN"/>
              </w:rPr>
              <w:t xml:space="preserve"> GB/T 24820-2024 、QB/T3826-1999。</w:t>
            </w:r>
            <w:r/>
          </w:p>
        </w:tc>
      </w:tr>
      <w:tr>
        <w:trPr>
          <w:trHeight w:val="1729"/>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检测项目及要求：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1.理化性能—通用要求（电镀层抗盐雾）</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盐雾试验时间≥18h，直径1.5mm以下锈点≤20点/dm²，其中直径≥1.0mm锈点不超过5点（距边缘棱角2mm以内的锈点不计）。</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2.实验台力学性能—实验台强度</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（1）水平静载荷试验：符合标准要求；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（2）主台面垂直静载荷试验：符合标准要求；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（3）台面挠度试验：符合标准要求；</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（4）跌落试验：符合标准要求。</w:t>
            </w:r>
            <w:r/>
          </w:p>
          <w:p>
            <w:pPr>
              <w:ind w:left="0" w:right="0"/>
              <w:keepLines w:val="0"/>
              <w:keepNext w:val="0"/>
              <w:spacing w:before="0" w:beforeAutospacing="0" w:after="0" w:afterAutospacing="0" w:line="360" w:lineRule="auto"/>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3.实验台力学性能—独立式实验台稳定性</w:t>
            </w:r>
            <w:r/>
          </w:p>
          <w:p>
            <w:pPr>
              <w:ind w:left="0" w:right="0"/>
              <w:keepLines w:val="0"/>
              <w:keepNext w:val="0"/>
              <w:spacing w:before="0" w:beforeAutospacing="0" w:after="0" w:afterAutospacing="0" w:line="360" w:lineRule="auto"/>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（1）水平冲击稳定性试验：符合标准要求；</w:t>
            </w:r>
            <w:r/>
          </w:p>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（2）垂直加载稳定性试验：符合标准要求。</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numPr>
                <w:ilvl w:val="-1"/>
                <w:numId w:val="0"/>
              </w:numPr>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理化性能—通用要求（电镀层抗盐雾）</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盐雾试验时间≥</w:t>
            </w:r>
            <w:r>
              <w:rPr>
                <w:rFonts w:hint="eastAsia" w:ascii="宋体" w:hAnsi="宋体" w:cs="宋体"/>
                <w:i w:val="0"/>
                <w:iCs w:val="0"/>
                <w:caps w:val="0"/>
                <w:color w:val="auto"/>
                <w:spacing w:val="0"/>
                <w:sz w:val="24"/>
                <w:szCs w:val="24"/>
                <w:highlight w:val="none"/>
                <w:shd w:val="clear" w:color="auto" w:fill="ffffff"/>
                <w:lang w:val="en-US" w:eastAsia="zh-CN"/>
              </w:rPr>
              <w:t xml:space="preserve">36</w:t>
            </w:r>
            <w:r>
              <w:rPr>
                <w:rFonts w:hint="eastAsia" w:ascii="宋体" w:hAnsi="宋体" w:eastAsia="宋体" w:cs="宋体"/>
                <w:i w:val="0"/>
                <w:iCs w:val="0"/>
                <w:caps w:val="0"/>
                <w:color w:val="auto"/>
                <w:spacing w:val="0"/>
                <w:sz w:val="24"/>
                <w:szCs w:val="24"/>
                <w:highlight w:val="none"/>
                <w:shd w:val="clear" w:color="auto" w:fill="ffffff"/>
              </w:rPr>
              <w:t xml:space="preserve">h，直径1.5mm以下锈点≤20点/dm²，其中直径≥1.0mm锈点不超过</w:t>
            </w:r>
            <w:r>
              <w:rPr>
                <w:rFonts w:hint="eastAsia" w:ascii="宋体" w:hAnsi="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点（距边缘棱角2mm以内的锈点不计）。</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实验台力学性能—实验台强度</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（2）主台面垂直静载荷试验：符合标准要求；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（3）台面挠度试验：符合标准要求；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（4）跌落试验：符合标准要求。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实验台力学性能—独立式实验台稳定性</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（1）水平冲击稳定性试验：符合标准要求；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（2）垂直加载稳定性试验：符合标准要求。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numPr>
                <w:ilvl w:val="-1"/>
                <w:numId w:val="0"/>
              </w:numPr>
              <w:ind w:left="0" w:right="0" w:firstLine="0"/>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b/>
                <w:bCs/>
                <w:i w:val="0"/>
                <w:iCs w:val="0"/>
                <w:caps w:val="0"/>
                <w:color w:val="auto"/>
                <w:spacing w:val="0"/>
                <w:sz w:val="24"/>
                <w:szCs w:val="24"/>
                <w:highlight w:val="none"/>
                <w:shd w:val="clear" w:color="auto" w:fill="ffffff"/>
              </w:rPr>
              <w:t xml:space="preserve">理化性能—通用要求（电镀层抗盐雾）</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盐雾试验时间≥</w:t>
            </w:r>
            <w:r>
              <w:rPr>
                <w:rFonts w:hint="eastAsia" w:ascii="宋体" w:hAnsi="宋体" w:cs="宋体"/>
                <w:i w:val="0"/>
                <w:iCs w:val="0"/>
                <w:caps w:val="0"/>
                <w:color w:val="auto"/>
                <w:spacing w:val="0"/>
                <w:sz w:val="24"/>
                <w:szCs w:val="24"/>
                <w:highlight w:val="none"/>
                <w:shd w:val="clear" w:color="auto" w:fill="ffffff"/>
                <w:lang w:val="en-US" w:eastAsia="zh-CN"/>
              </w:rPr>
              <w:t xml:space="preserve">54</w:t>
            </w:r>
            <w:r>
              <w:rPr>
                <w:rFonts w:hint="eastAsia" w:ascii="宋体" w:hAnsi="宋体" w:eastAsia="宋体" w:cs="宋体"/>
                <w:i w:val="0"/>
                <w:iCs w:val="0"/>
                <w:caps w:val="0"/>
                <w:color w:val="auto"/>
                <w:spacing w:val="0"/>
                <w:sz w:val="24"/>
                <w:szCs w:val="24"/>
                <w:highlight w:val="none"/>
                <w:shd w:val="clear" w:color="auto" w:fill="ffffff"/>
              </w:rPr>
              <w:t xml:space="preserve">h，直径1.5mm以下锈点≤20点/dm²，其中直径≥1.0mm锈点不超过</w:t>
            </w:r>
            <w:r>
              <w:rPr>
                <w:rFonts w:hint="eastAsia" w:ascii="宋体" w:hAnsi="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点（距边缘棱角2mm以内的锈点不计）。</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实验台力学性能—实验台强度</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（2）主台面垂直静载荷试验：符合标准要求；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（3）台面挠度试验：符合标准要求；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（4）跌落试验：符合标准要求。</w:t>
            </w:r>
            <w:r/>
          </w:p>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rPr>
              <w:t xml:space="preserve">实验台力学性能—独立式实验台稳定性</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（1）水平冲击稳定性试验：符合标准要求；</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（2）垂直加载稳定性试验：符合标准要求。</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铝合金万向罩（抽检）采用的检测标准：GB/T 10125-2021</w:t>
            </w:r>
            <w:r>
              <w:rPr>
                <w:rFonts w:hint="eastAsia" w:ascii="宋体" w:hAnsi="宋体" w:cs="宋体"/>
                <w:color w:val="auto"/>
                <w:sz w:val="24"/>
                <w:szCs w:val="24"/>
                <w:highlight w:val="none"/>
                <w:lang w:eastAsia="zh-CN"/>
              </w:rPr>
              <w:t xml:space="preserve">、GB/T 6461-2002。</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检测项目及要求：</w:t>
            </w:r>
            <w:r/>
          </w:p>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中性盐雾试验</w:t>
            </w:r>
            <w:r>
              <w:rPr>
                <w:rFonts w:hint="eastAsia" w:ascii="宋体" w:hAnsi="宋体" w:eastAsia="宋体" w:cs="宋体"/>
                <w:bCs/>
                <w:color w:val="auto"/>
                <w:sz w:val="24"/>
                <w:szCs w:val="24"/>
                <w:highlight w:val="none"/>
              </w:rPr>
              <w:t xml:space="preserve">：试验时间≥</w:t>
            </w:r>
            <w:r>
              <w:rPr>
                <w:rFonts w:hint="eastAsia" w:ascii="宋体" w:hAnsi="宋体" w:cs="宋体"/>
                <w:bCs/>
                <w:color w:val="auto"/>
                <w:sz w:val="24"/>
                <w:szCs w:val="24"/>
                <w:highlight w:val="none"/>
                <w:lang w:val="en-US" w:eastAsia="zh-CN"/>
              </w:rPr>
              <w:t xml:space="preserve">240</w:t>
            </w:r>
            <w:r>
              <w:rPr>
                <w:rFonts w:hint="eastAsia" w:ascii="宋体" w:hAnsi="宋体" w:eastAsia="宋体" w:cs="宋体"/>
                <w:bCs/>
                <w:color w:val="auto"/>
                <w:sz w:val="24"/>
                <w:szCs w:val="24"/>
                <w:highlight w:val="none"/>
              </w:rPr>
              <w:t xml:space="preserve">小时，保护等级≥6级。</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pStyle w:val="873"/>
              <w:ind w:left="0" w:right="0" w:firstLine="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检测项目及要求：</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中性盐雾试验</w:t>
            </w:r>
            <w:r>
              <w:rPr>
                <w:rFonts w:hint="eastAsia" w:ascii="宋体" w:hAnsi="宋体" w:eastAsia="宋体" w:cs="宋体"/>
                <w:bCs/>
                <w:color w:val="auto"/>
                <w:sz w:val="24"/>
                <w:szCs w:val="24"/>
                <w:highlight w:val="none"/>
              </w:rPr>
              <w:t xml:space="preserve">：试验时间≥</w:t>
            </w:r>
            <w:r>
              <w:rPr>
                <w:rFonts w:hint="eastAsia" w:ascii="宋体" w:hAnsi="宋体" w:cs="宋体"/>
                <w:bCs/>
                <w:color w:val="auto"/>
                <w:sz w:val="24"/>
                <w:szCs w:val="24"/>
                <w:highlight w:val="none"/>
                <w:lang w:val="en-US" w:eastAsia="zh-CN"/>
              </w:rPr>
              <w:t xml:space="preserve">240</w:t>
            </w:r>
            <w:r>
              <w:rPr>
                <w:rFonts w:hint="eastAsia" w:ascii="宋体" w:hAnsi="宋体" w:eastAsia="宋体" w:cs="宋体"/>
                <w:bCs/>
                <w:color w:val="auto"/>
                <w:sz w:val="24"/>
                <w:szCs w:val="24"/>
                <w:highlight w:val="none"/>
              </w:rPr>
              <w:t xml:space="preserve">小时，保护等级≥</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级。</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中性盐雾试验</w:t>
            </w:r>
            <w:r>
              <w:rPr>
                <w:rFonts w:hint="eastAsia" w:ascii="宋体" w:hAnsi="宋体" w:eastAsia="宋体" w:cs="宋体"/>
                <w:color w:val="auto"/>
                <w:sz w:val="24"/>
                <w:szCs w:val="24"/>
                <w:highlight w:val="none"/>
              </w:rPr>
              <w:t xml:space="preserve">：试验时间≥</w:t>
            </w:r>
            <w:r>
              <w:rPr>
                <w:rFonts w:hint="eastAsia" w:ascii="宋体" w:hAnsi="宋体" w:cs="宋体"/>
                <w:color w:val="auto"/>
                <w:sz w:val="24"/>
                <w:szCs w:val="24"/>
                <w:highlight w:val="none"/>
                <w:lang w:val="en-US" w:eastAsia="zh-CN"/>
              </w:rPr>
              <w:t xml:space="preserve">240</w:t>
            </w:r>
            <w:r>
              <w:rPr>
                <w:rFonts w:hint="eastAsia" w:ascii="宋体" w:hAnsi="宋体" w:eastAsia="宋体" w:cs="宋体"/>
                <w:color w:val="auto"/>
                <w:sz w:val="24"/>
                <w:szCs w:val="24"/>
                <w:highlight w:val="none"/>
              </w:rPr>
              <w:t xml:space="preserve">小时，保护等级</w:t>
            </w:r>
            <w:r>
              <w:rPr>
                <w:rFonts w:hint="eastAsia" w:ascii="宋体" w:hAnsi="宋体" w:cs="宋体"/>
                <w:color w:val="auto"/>
                <w:sz w:val="24"/>
                <w:szCs w:val="24"/>
                <w:highlight w:val="none"/>
                <w:lang w:val="en-US" w:eastAsia="zh-CN"/>
              </w:rPr>
              <w:t xml:space="preserve">为10</w:t>
            </w:r>
            <w:r>
              <w:rPr>
                <w:rFonts w:hint="eastAsia" w:ascii="宋体" w:hAnsi="宋体" w:eastAsia="宋体" w:cs="宋体"/>
                <w:color w:val="auto"/>
                <w:sz w:val="24"/>
                <w:szCs w:val="24"/>
                <w:highlight w:val="none"/>
              </w:rPr>
              <w:t xml:space="preserve">级。</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准备台（抽检）采用的检测标准：GB/T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1.抽屉下垂度</w:t>
            </w:r>
            <w:r>
              <w:rPr>
                <w:rFonts w:hint="eastAsia" w:ascii="宋体" w:hAnsi="宋体" w:eastAsia="宋体" w:cs="宋体"/>
                <w:color w:val="auto"/>
                <w:sz w:val="24"/>
                <w:szCs w:val="24"/>
                <w:highlight w:val="none"/>
              </w:rPr>
              <w:t xml:space="preserve">≤20mm；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2.着地平稳性</w:t>
            </w:r>
            <w:r>
              <w:rPr>
                <w:rFonts w:hint="eastAsia" w:ascii="宋体" w:hAnsi="宋体" w:eastAsia="宋体" w:cs="宋体"/>
                <w:color w:val="auto"/>
                <w:sz w:val="24"/>
                <w:szCs w:val="24"/>
                <w:highlight w:val="none"/>
              </w:rPr>
              <w:t xml:space="preserve">≤2.0mm；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表面应无烧焦、起泡、针孔、裂纹、花斑（不包括镀彩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和划痕。</w:t>
            </w:r>
            <w:r/>
          </w:p>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4.安全性能</w:t>
            </w:r>
            <w:r>
              <w:rPr>
                <w:rFonts w:hint="eastAsia" w:ascii="宋体" w:hAnsi="宋体" w:eastAsia="宋体" w:cs="宋体"/>
                <w:color w:val="auto"/>
                <w:sz w:val="24"/>
                <w:szCs w:val="24"/>
                <w:highlight w:val="none"/>
              </w:rPr>
              <w:t xml:space="preserve">：实验台面接缝应平整、紧密，不应渗水、开缝。</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1.抽屉下垂度</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2.着地平稳性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表面应无烧焦、起泡、针孔、裂纹、花斑（不包括镀彩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和划痕。</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4.安全性能</w:t>
            </w:r>
            <w:r>
              <w:rPr>
                <w:rFonts w:hint="eastAsia" w:ascii="宋体" w:hAnsi="宋体" w:eastAsia="宋体" w:cs="宋体"/>
                <w:color w:val="auto"/>
                <w:sz w:val="24"/>
                <w:szCs w:val="24"/>
                <w:highlight w:val="none"/>
              </w:rPr>
              <w:t xml:space="preserve">：实验台面接缝应平整、紧密，不应渗水、开缝。</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eastAsia="宋体" w:cs="宋体"/>
                <w:b/>
                <w:bCs/>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1.抽屉下垂度</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2.着地平稳性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焊接处应无脱焊、虚焊、焊穿、错位；焊接处应无夹渣、气孔、焊瘤、焊丝头、咬边、飞溅；焊接处表面波纹应均匀；冲压件应无脱层、裂缝；涂层应无漏喷、锈蚀和脱色、掉色现象；涂层应光滑均匀，色泽一致，应无流挂、疙瘩、皱皮、飞漆等缺陷；表面应无剥落、返锈、毛刺；表面应无烧焦、起泡、针孔、裂纹、花斑（不包括镀彩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和划痕。</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4.安全性能</w:t>
            </w:r>
            <w:r>
              <w:rPr>
                <w:rFonts w:hint="eastAsia" w:ascii="宋体" w:hAnsi="宋体" w:eastAsia="宋体" w:cs="宋体"/>
                <w:color w:val="auto"/>
                <w:sz w:val="24"/>
                <w:szCs w:val="24"/>
                <w:highlight w:val="none"/>
              </w:rPr>
              <w:t xml:space="preserve">：实验台面接缝应平整、紧密，不应渗水、开缝。</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药品柜（抽检）采用的检测标准：GB/T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1.着地平稳性</w:t>
            </w:r>
            <w:r>
              <w:rPr>
                <w:rFonts w:hint="eastAsia" w:ascii="宋体" w:hAnsi="宋体" w:eastAsia="宋体" w:cs="宋体"/>
                <w:bCs/>
                <w:color w:val="auto"/>
                <w:sz w:val="24"/>
                <w:szCs w:val="24"/>
                <w:highlight w:val="none"/>
              </w:rPr>
              <w:t xml:space="preserve">≤2.0mm；</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2.外观：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玻璃件外观：外露周边应磨边处理，安装牢固；玻璃应光洁平滑，不应有裂纹、划伤、沙粒、疙瘩和麻点等缺陷；</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金属件外观：冲压件应无脱层、裂缝；涂层应无漏喷、锈蚀和脱色、掉色现象；涂层应光滑均匀，色泽一致，应无流挂、疙瘩、皱皮、飞漆等缺陷；表面应无剥落、返锈、毛刺；表面应无烧焦、起泡、针孔、裂纹、花斑（不包括镀彩锌)和划痕；</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3.安全性能-产品结构安全中通用结构安全：</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基本结构安全：正常使用时，其他部件表面应无锐边、锐角。按产品标准进行稳定性试验时，不应发生倾翻。固定零部件的结合应牢固无松动，应无少件、透钉、漏钉。</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剪切和挤压点-使用过程中的剪切和挤压：在预定的使用条件下，不应有可触及的剪切和挤压点。正常使用中受力作用下可接触间隙用半球形手指探棒试验，间隙应小于7mm或不小于18mm。</w:t>
            </w:r>
            <w:r/>
          </w:p>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基本结构安全：正常使用时，可接触到的边、角都应进行倒圆、倒角、砂光或以其他合适的方式进行保护。倒圆半径应不小于0.5mm。</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1.着地平稳性</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mm；</w:t>
            </w:r>
            <w:r/>
          </w:p>
          <w:p>
            <w:pPr>
              <w:pStyle w:val="873"/>
              <w:ind w:left="0" w:right="0" w:firstLine="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2.外观：</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玻璃件外观：外露周边应磨边处理，安装牢固；玻璃应光洁平滑，不应有裂纹、划伤、沙粒、疙瘩和麻点等缺陷；</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金属件外观：冲压件应无脱层、裂缝；涂层应无漏喷、锈蚀和脱色、掉色现象；涂层应光滑均匀，色泽一致，应无流挂、疙瘩、皱皮、飞漆等缺陷；表面应无剥落、返锈、毛刺；表面应无烧焦、起泡、针孔、裂纹、花斑（不包括镀彩锌)和划痕；</w:t>
            </w:r>
            <w:r/>
          </w:p>
          <w:p>
            <w:pPr>
              <w:pStyle w:val="873"/>
              <w:ind w:left="0" w:right="0" w:firstLine="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3.安全性能-产品结构安全中通用结构安全：</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基本结构安全：正常使用时，其他部件表面应无锐边、锐角。按产品标准进行稳定性试验时，不应发生倾翻。固定零部件的结合应牢固无松动，应无少件、透钉、漏钉。</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剪切和挤压点-使用过程中的剪切和挤压：在预定的使用条件下，不应有可触及的剪切和挤压点。正常使用中受力作用下可接触间隙用半球形手指探棒试验，间隙应小于7mm或不小于18mm。</w:t>
            </w:r>
            <w:r/>
          </w:p>
          <w:p>
            <w:pPr>
              <w:pStyle w:val="873"/>
              <w:ind w:left="0" w:right="0" w:firstLine="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基本结构安全：正常使用时，可接触到的边、角都应进行倒圆、倒角、砂光或以其他合适的方式进行保护。倒圆半径应不小于0.5mm。</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1.着地平稳性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2.外观：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玻璃件外观：外露周边应磨边处理，安装牢固；玻璃应光洁平滑，不应有裂纹、划伤、沙粒、疙瘩和麻点等缺陷；</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冲压件应无脱层、裂缝；涂层应无漏喷、锈蚀和脱色、掉色现象；涂层应光滑均匀，色泽一致，应无流挂、疙瘩、皱皮、飞漆等缺陷；表面应无剥落、返锈、毛刺；表面应无烧焦、起泡、针孔、裂纹、花斑（不包括镀彩锌)和划痕；</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3.安全性能-产品结构安全中通用结构安全：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基本结构安全：正常使用时，其他部件表面应无锐边、锐角。按产品标准进行稳定性试验时，不应发生倾翻。固定零部件的结合应牢固无松动，应无少件、透钉、漏钉。</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剪切和挤压点-使用过程中的剪切和挤压：在预定的使用条件下，不应有可触及的剪切和挤压点。正常使用中受力作用下可接触间隙用半球形手指探棒试验，间隙应小于7mm或不小于18mm。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基本结构安全：正常使用时，可接触到的边、角都应进行倒圆、倒角、砂光或以其他合适的方式进行保护。倒圆半径应不小于0.5mm。</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通风柜（抽检）采用的检测标准：GB/T 24820-2024</w:t>
            </w:r>
            <w:r/>
          </w:p>
        </w:tc>
      </w:tr>
      <w:tr>
        <w:trPr>
          <w:trHeight w:val="896"/>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1.理化性能—通用要求  表面金属喷漆（塑）涂层</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冲击强度：冲击高度400mm,应无剥落、裂纹、皱纹；</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耐腐蚀：100h内，观察在溶液中样板上划道两侧3mm以外，应无鼓泡产生；100h后，检查划道两侧3mm以外，应无锈迹、剥落、黄起皱、变色和失光等现象；</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附着力：应不低于2级。</w:t>
            </w:r>
            <w:r/>
          </w:p>
          <w:p>
            <w:pPr>
              <w:ind w:left="0" w:right="0"/>
              <w:jc w:val="left"/>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2.储物柜力学性能-稳定性 </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所有开门、推拉构件和翻门关闭，所有储存部件空载-高度为或可调节为&gt;1000mm的试件不应倾翻；</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所有开门、推拉构件和翻门开启试验，所有储存部件空载 不应倾翻；</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开门、推拉构件和翻门开启并解锁-所有开门、推拉构件和翻门开启空载，所有储存部件空载 不应倾翻；</w:t>
            </w:r>
            <w:r/>
          </w:p>
          <w:p>
            <w:pPr>
              <w:ind w:left="0" w:right="0"/>
              <w:jc w:val="left"/>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开门、推拉构件和翻门开启并解锁-开门、推拉构件和翻门开启加载，所有储存部件空载 不应倾翻；</w:t>
            </w:r>
            <w:r/>
          </w:p>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开门、推拉构件和翻门开启并解锁-开门、推拉构件和翻门开启加载，所有储存部件加载不应倾翻。</w:t>
            </w:r>
            <w:r/>
          </w:p>
        </w:tc>
        <w:tc>
          <w:tcPr>
            <w:gridSpan w:val="2"/>
            <w:tcBorders>
              <w:top w:val="single" w:color="000000" w:sz="4" w:space="0"/>
              <w:left w:val="single" w:color="000000" w:sz="4" w:space="0"/>
              <w:bottom w:val="single" w:color="000000" w:sz="4" w:space="0"/>
              <w:right w:val="single" w:color="000000" w:sz="4" w:space="0"/>
            </w:tcBorders>
            <w:tcW w:w="5812" w:type="dxa"/>
            <w:vAlign w:val="top"/>
            <w:textDirection w:val="lrTb"/>
            <w:noWrap w:val="false"/>
          </w:tcPr>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检测项目及要求：</w:t>
            </w:r>
            <w:r/>
          </w:p>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1.理化性能—通用要求  表面金属喷漆（塑）涂层</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冲击强度：冲击高度400mm,应无剥落、裂纹、皱纹；</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耐腐蚀：100h内，观察在溶液中样板上划道两侧3mm以外，应无鼓泡产生；100h后，检查划道两侧3mm以外，应无锈迹、剥落、黄起皱、变色和失光等现象；</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附着力：应不低于</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级。</w:t>
            </w:r>
            <w:r/>
          </w:p>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2.储物柜力学性能-稳定性 </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所有开门、推拉构件和翻门关闭，所有储存部件空载-高度为或可调节为&gt;1000mm的试件不应倾翻；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所有开门、推拉构件和翻门开启试验，所有储存部件空载 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开门、推拉构件和翻门开启并解锁-所有开门、推拉构件和翻门开启空载，所有储存部件空载 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开门、推拉构件和翻门开启并解锁-开门、推拉构件和翻门开启加载，所有储存部件空载 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开门、推拉构件和翻门开启并解锁-开门、推拉构件和翻门开启加载，所有储存部件加载 不应倾翻。</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w:t>
            </w:r>
            <w:r/>
          </w:p>
        </w:tc>
        <w:tc>
          <w:tcPr>
            <w:gridSpan w:val="3"/>
            <w:tcBorders>
              <w:top w:val="single" w:color="000000" w:sz="4" w:space="0"/>
              <w:left w:val="single" w:color="000000" w:sz="4" w:space="0"/>
              <w:bottom w:val="single" w:color="000000" w:sz="4" w:space="0"/>
              <w:right w:val="single" w:color="000000" w:sz="4" w:space="0"/>
            </w:tcBorders>
            <w:tcW w:w="8558" w:type="dxa"/>
            <w:vAlign w:val="top"/>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实验台（抽检）采用的检测标准：GB/T 24820-2024</w:t>
            </w:r>
            <w:r/>
          </w:p>
        </w:tc>
      </w:tr>
      <w:tr>
        <w:trPr>
          <w:trHeight w:val="90"/>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74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检测项目及要求：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1.容足空间净高</w:t>
            </w:r>
            <w:r>
              <w:rPr>
                <w:rFonts w:hint="eastAsia" w:ascii="宋体" w:hAnsi="宋体" w:eastAsia="宋体" w:cs="宋体"/>
                <w:bCs/>
                <w:color w:val="auto"/>
                <w:sz w:val="24"/>
                <w:szCs w:val="24"/>
                <w:highlight w:val="none"/>
              </w:rPr>
              <w:t xml:space="preserve">≥120mm;</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2.容足空间净深</w:t>
            </w:r>
            <w:r>
              <w:rPr>
                <w:rFonts w:hint="eastAsia" w:ascii="宋体" w:hAnsi="宋体" w:eastAsia="宋体" w:cs="宋体"/>
                <w:bCs/>
                <w:color w:val="auto"/>
                <w:sz w:val="24"/>
                <w:szCs w:val="24"/>
                <w:highlight w:val="none"/>
              </w:rPr>
              <w:t xml:space="preserve">≥150mm;</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3.抽屉下垂度</w:t>
            </w:r>
            <w:r>
              <w:rPr>
                <w:rFonts w:hint="eastAsia" w:ascii="宋体" w:hAnsi="宋体" w:eastAsia="宋体" w:cs="宋体"/>
                <w:bCs/>
                <w:color w:val="auto"/>
                <w:sz w:val="24"/>
                <w:szCs w:val="24"/>
                <w:highlight w:val="none"/>
              </w:rPr>
              <w:t xml:space="preserve">≤20mm；</w:t>
            </w:r>
            <w:r>
              <w:rPr>
                <w:rFonts w:hint="eastAsia" w:ascii="宋体" w:hAnsi="宋体" w:eastAsia="宋体" w:cs="宋体"/>
                <w:b/>
                <w:bCs w:val="0"/>
                <w:color w:val="auto"/>
                <w:sz w:val="24"/>
                <w:szCs w:val="24"/>
                <w:highlight w:val="none"/>
              </w:rPr>
              <w:t xml:space="preserve">抽屉摆动度</w:t>
            </w:r>
            <w:r>
              <w:rPr>
                <w:rFonts w:hint="eastAsia" w:ascii="宋体" w:hAnsi="宋体" w:eastAsia="宋体" w:cs="宋体"/>
                <w:bCs/>
                <w:color w:val="auto"/>
                <w:sz w:val="24"/>
                <w:szCs w:val="24"/>
                <w:highlight w:val="none"/>
              </w:rPr>
              <w:t xml:space="preserve">≤15mm；</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rPr>
              <w:t xml:space="preserve">4.着地平稳性</w:t>
            </w:r>
            <w:r>
              <w:rPr>
                <w:rFonts w:hint="eastAsia" w:ascii="宋体" w:hAnsi="宋体" w:eastAsia="宋体" w:cs="宋体"/>
                <w:bCs/>
                <w:color w:val="auto"/>
                <w:sz w:val="24"/>
                <w:szCs w:val="24"/>
                <w:highlight w:val="none"/>
              </w:rPr>
              <w:t xml:space="preserve">≤2.0mm；</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5.外观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台面不应有裂缝、渗透现象；台面不应有污物、杂质；</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金属件外观：管材应无裂缝、叠缝；外露管口端面应封闭；涂层应无漏喷、锈蚀和脱色、掉色现象；涂层应光滑均匀，色泽一致，应无流挂、疙瘩、皱皮、飞漆等缺陷。</w:t>
            </w:r>
            <w:r/>
          </w:p>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6.安全性能</w:t>
            </w:r>
            <w:r>
              <w:rPr>
                <w:rFonts w:hint="eastAsia" w:ascii="宋体" w:hAnsi="宋体" w:eastAsia="宋体" w:cs="宋体"/>
                <w:bCs/>
                <w:color w:val="auto"/>
                <w:sz w:val="24"/>
                <w:szCs w:val="24"/>
                <w:highlight w:val="none"/>
              </w:rPr>
              <w:t xml:space="preserve">：实验台面接缝应平整、紧密，不应渗水、开缝。</w:t>
            </w:r>
            <w:r/>
          </w:p>
        </w:tc>
        <w:tc>
          <w:tcPr>
            <w:tcBorders>
              <w:top w:val="single" w:color="000000" w:sz="4" w:space="0"/>
              <w:left w:val="single" w:color="000000" w:sz="4" w:space="0"/>
              <w:bottom w:val="single" w:color="000000" w:sz="4" w:space="0"/>
              <w:right w:val="single" w:color="000000" w:sz="4" w:space="0"/>
            </w:tcBorders>
            <w:tcW w:w="2878"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容足空间净高</w:t>
            </w:r>
            <w:r>
              <w:rPr>
                <w:rFonts w:hint="eastAsia" w:ascii="宋体" w:hAnsi="宋体" w:eastAsia="宋体" w:cs="宋体"/>
                <w:color w:val="auto"/>
                <w:sz w:val="24"/>
                <w:szCs w:val="24"/>
                <w:highlight w:val="none"/>
              </w:rPr>
              <w:t xml:space="preserve">≥120mm;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容足空间净深</w:t>
            </w:r>
            <w:r>
              <w:rPr>
                <w:rFonts w:hint="eastAsia" w:ascii="宋体" w:hAnsi="宋体" w:eastAsia="宋体" w:cs="宋体"/>
                <w:color w:val="auto"/>
                <w:sz w:val="24"/>
                <w:szCs w:val="24"/>
                <w:highlight w:val="none"/>
              </w:rPr>
              <w:t xml:space="preserve">≥150mm;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抽屉下垂度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金属件外观：管材应无裂缝、叠缝；外露管口端面应封闭；涂层应无漏喷、锈蚀和脱色、掉色现象；涂层应光滑均匀，色泽一致，应无流挂、疙瘩、皱皮、飞漆等缺陷</w:t>
            </w:r>
            <w:r>
              <w:rPr>
                <w:rFonts w:hint="eastAsia" w:ascii="宋体" w:hAnsi="宋体" w:cs="宋体"/>
                <w:color w:val="auto"/>
                <w:sz w:val="24"/>
                <w:szCs w:val="24"/>
                <w:highlight w:val="none"/>
                <w:lang w:eastAsia="zh-CN"/>
              </w:rPr>
              <w:t xml:space="preserve">。</w:t>
            </w:r>
            <w:r/>
          </w:p>
          <w:p>
            <w:pPr>
              <w:pStyle w:val="873"/>
              <w:ind w:left="0" w:right="0" w:firstLine="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安全性能</w:t>
            </w:r>
            <w:r>
              <w:rPr>
                <w:rFonts w:hint="eastAsia" w:ascii="宋体" w:hAnsi="宋体" w:eastAsia="宋体" w:cs="宋体"/>
                <w:color w:val="auto"/>
                <w:sz w:val="24"/>
                <w:szCs w:val="24"/>
                <w:highlight w:val="none"/>
              </w:rPr>
              <w:t xml:space="preserve">：实验台面接缝应平整、紧密，不应渗水、开缝。</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color w:val="auto"/>
                <w:sz w:val="24"/>
                <w:szCs w:val="24"/>
                <w:highlight w:val="none"/>
                <w:lang w:val="en-US" w:eastAsia="zh-CN"/>
              </w:rPr>
              <w:t xml:space="preserve">0.5</w:t>
            </w:r>
            <w:r>
              <w:rPr>
                <w:rFonts w:hint="eastAsia" w:ascii="宋体" w:hAnsi="宋体" w:eastAsia="宋体" w:cs="宋体"/>
                <w:b/>
                <w:bCs/>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34" w:type="dxa"/>
            <w:vAlign w:val="top"/>
            <w:textDirection w:val="lrTb"/>
            <w:noWrap w:val="false"/>
          </w:tcPr>
          <w:p>
            <w:pPr>
              <w:numPr>
                <w:ilvl w:val="-1"/>
                <w:numId w:val="0"/>
              </w:numPr>
              <w:ind w:left="0" w:right="0" w:firstLine="0"/>
              <w:jc w:val="left"/>
              <w:keepLines w:val="0"/>
              <w:keepNext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i w:val="0"/>
                <w:iCs w:val="0"/>
                <w:caps w:val="0"/>
                <w:color w:val="auto"/>
                <w:spacing w:val="0"/>
                <w:sz w:val="24"/>
                <w:szCs w:val="24"/>
                <w:highlight w:val="none"/>
                <w:shd w:val="clear" w:color="auto" w:fill="ffffff"/>
              </w:rPr>
              <w:t xml:space="preserve">检测项目及要求：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容足空间净高</w:t>
            </w:r>
            <w:r>
              <w:rPr>
                <w:rFonts w:hint="eastAsia" w:ascii="宋体" w:hAnsi="宋体" w:eastAsia="宋体" w:cs="宋体"/>
                <w:color w:val="auto"/>
                <w:sz w:val="24"/>
                <w:szCs w:val="24"/>
                <w:highlight w:val="none"/>
              </w:rPr>
              <w:t xml:space="preserve">≥120mm;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容足空间净深</w:t>
            </w:r>
            <w:r>
              <w:rPr>
                <w:rFonts w:hint="eastAsia" w:ascii="宋体" w:hAnsi="宋体" w:eastAsia="宋体" w:cs="宋体"/>
                <w:color w:val="auto"/>
                <w:sz w:val="24"/>
                <w:szCs w:val="24"/>
                <w:highlight w:val="none"/>
              </w:rPr>
              <w:t xml:space="preserve">≥150mm;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抽屉下垂度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0mm；</w:t>
            </w:r>
            <w:r>
              <w:rPr>
                <w:rFonts w:hint="eastAsia" w:ascii="宋体" w:hAnsi="宋体" w:eastAsia="宋体" w:cs="宋体"/>
                <w:b/>
                <w:bCs/>
                <w:color w:val="auto"/>
                <w:sz w:val="24"/>
                <w:szCs w:val="24"/>
                <w:highlight w:val="none"/>
              </w:rPr>
              <w:t xml:space="preserve">抽屉摆动度</w:t>
            </w:r>
            <w:r>
              <w:rPr>
                <w:rFonts w:hint="eastAsia" w:ascii="宋体" w:hAnsi="宋体" w:eastAsia="宋体" w:cs="宋体"/>
                <w:color w:val="auto"/>
                <w:sz w:val="24"/>
                <w:szCs w:val="24"/>
                <w:highlight w:val="none"/>
              </w:rPr>
              <w:t xml:space="preserve">≤5mm；</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着地平稳性</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.0mm；</w:t>
            </w:r>
            <w:r/>
          </w:p>
          <w:p>
            <w:pPr>
              <w:ind w:left="0" w:right="0"/>
              <w:jc w:val="left"/>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外观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台面不应有裂缝、渗透现象；台面不应有污物、杂质；</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人造板件外观：外表应无干花、湿花；同一板面外表，允许1处，面积在3mm²~30mm²内；外表应无明显划痕；外表应无明显压痕；外表应无明显色差；外表应无鼓泡、龟裂、分层；</w:t>
            </w:r>
            <w:r/>
          </w:p>
          <w:p>
            <w:pPr>
              <w:ind w:left="0" w:right="0"/>
              <w:jc w:val="left"/>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金属件外观：管材应无裂缝、叠缝；外露管口端面应封闭；涂层应无漏喷、锈蚀和脱色、掉色现象；涂层应光滑均匀，色泽一致，应无流挂、疙瘩、皱皮、飞漆等缺陷</w:t>
            </w:r>
            <w:r>
              <w:rPr>
                <w:rFonts w:hint="eastAsia" w:ascii="宋体" w:hAnsi="宋体" w:cs="宋体"/>
                <w:color w:val="auto"/>
                <w:sz w:val="24"/>
                <w:szCs w:val="24"/>
                <w:highlight w:val="none"/>
                <w:lang w:eastAsia="zh-CN"/>
              </w:rPr>
              <w:t xml:space="preserve">。</w:t>
            </w:r>
            <w:r/>
          </w:p>
          <w:p>
            <w:pPr>
              <w:pStyle w:val="873"/>
              <w:ind w:left="0" w:right="0" w:firstLine="0"/>
              <w:keepLines w:val="0"/>
              <w:keepNext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安全性能</w:t>
            </w:r>
            <w:r>
              <w:rPr>
                <w:rFonts w:hint="eastAsia" w:ascii="宋体" w:hAnsi="宋体" w:eastAsia="宋体" w:cs="宋体"/>
                <w:color w:val="auto"/>
                <w:sz w:val="24"/>
                <w:szCs w:val="24"/>
                <w:highlight w:val="none"/>
              </w:rPr>
              <w:t xml:space="preserve">：实验台面接缝应平整、紧密，不应渗水、开缝。</w:t>
            </w:r>
            <w:r/>
          </w:p>
          <w:p>
            <w:pPr>
              <w:pStyle w:val="873"/>
              <w:ind w:left="0" w:right="0" w:firstLine="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满足以上要求的得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p>
        </w:tc>
      </w:tr>
    </w:tbl>
    <w:p>
      <w:pPr>
        <w:spacing w:line="440" w:lineRule="exact"/>
        <w:rPr>
          <w:rFonts w:hint="eastAsia" w:ascii="宋体" w:hAnsi="宋体" w:cs="宋体"/>
          <w:b/>
          <w:bCs/>
          <w:color w:val="auto"/>
          <w:sz w:val="20"/>
          <w:szCs w:val="20"/>
          <w:highlight w:val="none"/>
        </w:rPr>
      </w:pPr>
      <w:r>
        <w:rPr>
          <w:rFonts w:hint="eastAsia" w:ascii="宋体" w:hAnsi="宋体" w:cs="宋体"/>
          <w:b/>
          <w:bCs/>
          <w:color w:val="auto"/>
          <w:sz w:val="20"/>
          <w:szCs w:val="20"/>
          <w:highlight w:val="none"/>
        </w:rPr>
        <w:t xml:space="preserve">注：1</w:t>
      </w:r>
      <w:r>
        <w:rPr>
          <w:rFonts w:hint="eastAsia" w:ascii="宋体" w:hAnsi="宋体" w:cs="宋体"/>
          <w:b/>
          <w:bCs/>
          <w:color w:val="auto"/>
          <w:sz w:val="20"/>
          <w:szCs w:val="20"/>
          <w:highlight w:val="none"/>
          <w:lang w:val="en-US" w:eastAsia="zh-CN"/>
        </w:rPr>
        <w:t xml:space="preserve">.</w:t>
      </w:r>
      <w:r>
        <w:rPr>
          <w:rFonts w:hint="eastAsia" w:ascii="宋体" w:hAnsi="宋体" w:cs="宋体"/>
          <w:b/>
          <w:bCs/>
          <w:color w:val="auto"/>
          <w:sz w:val="20"/>
          <w:szCs w:val="20"/>
          <w:highlight w:val="none"/>
        </w:rPr>
        <w:t xml:space="preserve">投标文件中的检测报告材料必须清晰且完整含封底及封面，仅提供局部内容的检测报告视为无效，提供的检测报告上的检测项目名称与上述名称不同，但内容实际相同的视作等同。</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3、视频演示（8分）</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投标人根据以下要求通过录制视频方式进行展示演示，评审专家根据演示效果和功能点进行打分，本项最高得8分，演示视频时长总计不超过15分钟。（将视频文件压缩为zip文件上传，单个文件不得大于100M，总文件大小不得大于300M）。</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1、录制的视频采用MP4格式（若视频为其他格式导致评审中不能正常播放的，责任自负）。未提供演示或使用其他方式（如软件Demo、PPT 演示、图片原型或方案等）演示，此项不得分。</w:t>
      </w:r>
      <w:r/>
    </w:p>
    <w:p>
      <w:pPr>
        <w:ind w:firstLine="480"/>
        <w:spacing w:line="44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2、投标人每组视频录制时必须采用一镜到底的方式，不允许剪辑，否则不得分。</w:t>
      </w:r>
      <w:r/>
    </w:p>
    <w:p>
      <w:pPr>
        <w:ind w:firstLine="480"/>
        <w:spacing w:line="440" w:lineRule="exact"/>
        <w:rPr>
          <w:rFonts w:hint="default"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演示一：多功能伸缩摇臂（5分）</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1、配合教师电源，成功演示摇臂自动折叠，且功能模块可电动垂直升降不少于150MM。</w:t>
      </w:r>
      <w:r>
        <w:rPr>
          <w:rFonts w:hint="eastAsia" w:ascii="宋体" w:hAnsi="宋体" w:cs="Times New Roman"/>
          <w:color w:val="auto"/>
          <w:sz w:val="24"/>
          <w:highlight w:val="none"/>
        </w:rPr>
        <w:t xml:space="preserve">视频演示实验结果满足以上要求得</w:t>
      </w:r>
      <w:r>
        <w:rPr>
          <w:rFonts w:hint="eastAsia" w:ascii="宋体" w:hAnsi="宋体" w:cs="Times New Roman"/>
          <w:color w:val="auto"/>
          <w:sz w:val="24"/>
          <w:highlight w:val="none"/>
          <w:lang w:val="en-US" w:eastAsia="zh-CN"/>
        </w:rPr>
        <w:t xml:space="preserve">1.5</w:t>
      </w:r>
      <w:r>
        <w:rPr>
          <w:rFonts w:hint="eastAsia" w:ascii="宋体" w:hAnsi="宋体" w:cs="Times New Roman"/>
          <w:color w:val="auto"/>
          <w:sz w:val="24"/>
          <w:highlight w:val="none"/>
        </w:rPr>
        <w:t xml:space="preserve">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2、通风管束有专用接头能与学生桌活动式学生端抽风装置连接，可来回移动，满足桌面不同位置排风需求。</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3、风管束带有隐藏功能，不使用时能把风管隐藏到摇臂内。使用时拉出于活动式学生端抽风装置连接。</w:t>
      </w:r>
      <w:r>
        <w:rPr>
          <w:rFonts w:hint="eastAsia" w:ascii="宋体" w:hAnsi="宋体" w:cs="Times New Roman"/>
          <w:color w:val="auto"/>
          <w:sz w:val="24"/>
          <w:highlight w:val="none"/>
        </w:rPr>
        <w:t xml:space="preserve">视频演示实验结果满足以上要求得</w:t>
      </w:r>
      <w:r>
        <w:rPr>
          <w:rFonts w:hint="eastAsia" w:ascii="宋体" w:hAnsi="宋体" w:cs="Times New Roman"/>
          <w:color w:val="auto"/>
          <w:sz w:val="24"/>
          <w:highlight w:val="none"/>
          <w:lang w:val="en-US" w:eastAsia="zh-CN"/>
        </w:rPr>
        <w:t xml:space="preserve">1.5</w:t>
      </w:r>
      <w:r>
        <w:rPr>
          <w:rFonts w:hint="eastAsia" w:ascii="宋体" w:hAnsi="宋体" w:cs="Times New Roman"/>
          <w:color w:val="auto"/>
          <w:sz w:val="24"/>
          <w:highlight w:val="none"/>
        </w:rPr>
        <w:t xml:space="preserve">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配合教师电源和APP，成功演示摇臂自动折叠。（可单个或分组进行控制，有全选及反选功能）要求：通过教室电源控制摇臂升降到停任意位置；当给排水管连接在摇臂上，摇臂不能升降,防止误操作，起保护作用。</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演示二：数码液晶显微镜（学生端）（3分）</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1、学生端数码显微镜带USB拔插式LED上光源，可以观察岩石、钱币等实体标本并具有辅助照明功能，可以作为体视显微镜使用。</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2、学生端数码显微镜主机上带液晶显示窗，可显示色温值，电池容量、侧光源、透射光源亮度等信息。</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3、学生端数码显微镜带触摸操作屏，可以拍照500万像素以上的图片并通过蓝牙传输到手机等终端显示。</w:t>
      </w:r>
      <w:r>
        <w:rPr>
          <w:rFonts w:hint="eastAsia" w:ascii="宋体" w:hAnsi="宋体" w:cs="Times New Roman"/>
          <w:color w:val="auto"/>
          <w:sz w:val="24"/>
          <w:highlight w:val="none"/>
        </w:rPr>
        <w:t xml:space="preserve">视频演示实验结果满足以上要求得1分，演示实验结果不满足以上要求或不提供视频演示不得分</w:t>
      </w:r>
      <w:r>
        <w:rPr>
          <w:rFonts w:hint="eastAsia" w:ascii="宋体" w:hAnsi="宋体" w:cs="Times New Roman"/>
          <w:color w:val="auto"/>
          <w:sz w:val="24"/>
          <w:highlight w:val="none"/>
          <w:lang w:eastAsia="zh-CN"/>
        </w:rPr>
        <w:t xml:space="preserve">。</w:t>
      </w:r>
      <w:r/>
    </w:p>
    <w:p>
      <w:pPr>
        <w:ind w:firstLine="482"/>
        <w:spacing w:line="44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）政策加分（</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投标供应商所投产品属于节能产品政府采购品目清单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出具的、处于有效期之内的节能产品认证证书、环境标志产品认证证书。有1项得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注：同一产品同时具备节能产品认证证书、环境标志产品认证证书的，不重复计分。投标时提供认证证书扫描件。</w:t>
      </w:r>
      <w:r/>
    </w:p>
    <w:p>
      <w:pPr>
        <w:contextualSpacing/>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rPr>
          <w:rFonts w:hint="eastAsia" w:ascii="宋体" w:hAnsi="宋体" w:eastAsia="宋体" w:cs="Times New Roman"/>
          <w:bCs/>
          <w:color w:val="auto"/>
          <w:sz w:val="24"/>
          <w:szCs w:val="24"/>
          <w:highlight w:val="none"/>
          <w:lang w:val="en-US" w:eastAsia="zh-CN"/>
        </w:rPr>
        <w:t xml:space="preserve">。</w:t>
      </w:r>
      <w:r/>
    </w:p>
    <w:p>
      <w:pPr>
        <w:ind w:firstLine="482"/>
        <w:spacing w:line="44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暗标部分：</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）技术方案（</w:t>
      </w:r>
      <w:r>
        <w:rPr>
          <w:rFonts w:hint="eastAsia" w:ascii="宋体" w:hAnsi="宋体" w:cs="宋体"/>
          <w:b/>
          <w:bCs/>
          <w:color w:val="auto"/>
          <w:sz w:val="24"/>
          <w:highlight w:val="none"/>
          <w:lang w:val="en-US" w:eastAsia="zh-CN"/>
        </w:rPr>
        <w:t xml:space="preserve">41.5</w:t>
      </w:r>
      <w:r>
        <w:rPr>
          <w:rFonts w:hint="eastAsia" w:ascii="宋体" w:hAnsi="宋体" w:cs="宋体"/>
          <w:b/>
          <w:bCs/>
          <w:color w:val="auto"/>
          <w:sz w:val="24"/>
          <w:highlight w:val="none"/>
        </w:rPr>
        <w:t xml:space="preserve">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项目实施</w:t>
      </w:r>
      <w:r>
        <w:rPr>
          <w:rFonts w:hint="eastAsia" w:ascii="宋体" w:hAnsi="宋体" w:cs="宋体"/>
          <w:color w:val="auto"/>
          <w:sz w:val="24"/>
          <w:highlight w:val="none"/>
          <w:lang w:val="en-US" w:eastAsia="zh-CN"/>
        </w:rPr>
        <w:t xml:space="preserve">方案</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分）：①前期对接、交货方案：至少包括前期样品确认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项目实施</w:t>
      </w:r>
      <w:r>
        <w:rPr>
          <w:rFonts w:hint="eastAsia" w:ascii="宋体" w:hAnsi="宋体" w:cs="宋体"/>
          <w:color w:val="auto"/>
          <w:sz w:val="24"/>
          <w:highlight w:val="none"/>
        </w:rPr>
        <w:t xml:space="preserve">进度方案；②产品生产质量控制措施；③生产工艺及质量标准；④供货组织及运输安排；⑤应急方案。</w:t>
      </w:r>
      <w:r/>
    </w:p>
    <w:p>
      <w:pPr>
        <w:ind w:firstLine="480"/>
        <w:spacing w:line="44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投标供应商须针对上述①、②、③、④、⑤条评分内容分别进行阐述，阐述内容须满足采购需求。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本项满分10分。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安装、调试（</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①进场</w:t>
      </w:r>
      <w:r>
        <w:rPr>
          <w:rFonts w:hint="eastAsia" w:ascii="宋体" w:hAnsi="宋体" w:eastAsia="宋体" w:cs="宋体"/>
          <w:color w:val="auto"/>
          <w:sz w:val="24"/>
          <w:szCs w:val="24"/>
          <w:highlight w:val="none"/>
        </w:rPr>
        <w:t xml:space="preserve">准备</w:t>
      </w:r>
      <w:r>
        <w:rPr>
          <w:rFonts w:hint="eastAsia" w:ascii="宋体" w:hAnsi="宋体" w:eastAsia="宋体" w:cs="宋体"/>
          <w:color w:val="auto"/>
          <w:sz w:val="24"/>
          <w:szCs w:val="24"/>
          <w:highlight w:val="none"/>
          <w:lang w:val="en-US" w:eastAsia="zh-CN"/>
        </w:rPr>
        <w:t xml:space="preserve">及进度</w:t>
      </w:r>
      <w:r>
        <w:rPr>
          <w:rFonts w:hint="eastAsia" w:ascii="宋体" w:hAnsi="宋体" w:eastAsia="宋体" w:cs="宋体"/>
          <w:color w:val="auto"/>
          <w:sz w:val="24"/>
          <w:szCs w:val="24"/>
          <w:highlight w:val="none"/>
        </w:rPr>
        <w:t xml:space="preserve">控制措施</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②</w:t>
      </w:r>
      <w:r>
        <w:rPr>
          <w:rFonts w:hint="eastAsia" w:ascii="宋体" w:hAnsi="宋体" w:eastAsia="宋体" w:cs="宋体"/>
          <w:color w:val="auto"/>
          <w:sz w:val="24"/>
          <w:szCs w:val="24"/>
          <w:highlight w:val="none"/>
        </w:rPr>
        <w:t xml:space="preserve">机械设备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材料投入计划</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t xml:space="preserve">安装人员组织方案；</w:t>
      </w:r>
      <w:r>
        <w:rPr>
          <w:rFonts w:hint="eastAsia" w:ascii="宋体" w:hAnsi="宋体" w:cs="宋体"/>
          <w:color w:val="auto"/>
          <w:sz w:val="24"/>
          <w:szCs w:val="24"/>
          <w:highlight w:val="none"/>
          <w:lang w:val="en-US" w:eastAsia="zh-CN"/>
        </w:rPr>
        <w:t xml:space="preserve">④</w:t>
      </w:r>
      <w:r>
        <w:rPr>
          <w:rFonts w:hint="eastAsia" w:ascii="宋体" w:hAnsi="宋体" w:cs="宋体"/>
          <w:color w:val="auto"/>
          <w:sz w:val="24"/>
          <w:highlight w:val="none"/>
        </w:rPr>
        <w:t xml:space="preserve">产品安装与调试及技术支撑方案；</w:t>
      </w:r>
      <w:r>
        <w:rPr>
          <w:rFonts w:hint="eastAsia" w:ascii="宋体" w:hAnsi="宋体" w:cs="宋体"/>
          <w:color w:val="auto"/>
          <w:sz w:val="24"/>
          <w:highlight w:val="none"/>
          <w:lang w:val="en-US" w:eastAsia="zh-CN"/>
        </w:rPr>
        <w:t xml:space="preserve">⑤</w:t>
      </w:r>
      <w:r>
        <w:rPr>
          <w:rFonts w:hint="eastAsia" w:ascii="宋体" w:hAnsi="宋体" w:cs="宋体"/>
          <w:color w:val="auto"/>
          <w:sz w:val="24"/>
          <w:highlight w:val="none"/>
        </w:rPr>
        <w:t xml:space="preserve">安全文明安装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⑥</w:t>
      </w:r>
      <w:r>
        <w:rPr>
          <w:rFonts w:hint="eastAsia" w:ascii="宋体" w:hAnsi="宋体" w:cs="宋体"/>
          <w:color w:val="auto"/>
          <w:sz w:val="24"/>
          <w:highlight w:val="none"/>
        </w:rPr>
        <w:t xml:space="preserve">环境保护措施；</w:t>
      </w:r>
      <w:r>
        <w:rPr>
          <w:rFonts w:hint="eastAsia" w:ascii="宋体" w:hAnsi="宋体" w:cs="宋体"/>
          <w:color w:val="auto"/>
          <w:sz w:val="24"/>
          <w:highlight w:val="none"/>
          <w:lang w:val="en-US" w:eastAsia="zh-CN"/>
        </w:rPr>
        <w:t xml:space="preserve">⑦</w:t>
      </w:r>
      <w:r>
        <w:rPr>
          <w:rFonts w:hint="eastAsia" w:ascii="宋体" w:hAnsi="宋体" w:eastAsia="宋体" w:cs="宋体"/>
          <w:color w:val="auto"/>
          <w:sz w:val="24"/>
          <w:szCs w:val="24"/>
          <w:highlight w:val="none"/>
        </w:rPr>
        <w:t xml:space="preserve">质量保证措施跟确保工程质量</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措施</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投标供应商须针对上述①、②、③、④、⑤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⑥、⑦</w:t>
      </w:r>
      <w:r>
        <w:rPr>
          <w:rFonts w:hint="eastAsia" w:ascii="宋体" w:hAnsi="宋体" w:cs="宋体"/>
          <w:color w:val="auto"/>
          <w:sz w:val="24"/>
          <w:highlight w:val="none"/>
        </w:rPr>
        <w:t xml:space="preserve">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本项满分14分。</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质量管理方案及保障措施（</w:t>
      </w: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分）：①产品质量保障方案及措施；②质量控制的方法、工具与重点；③本项目主要技术岗位人员框架与安排；④生产现场管理质量保障措施；⑤原材料采购及保障方案</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投标供应商须针对上述①、②、③、④</w:t>
      </w:r>
      <w:r>
        <w:rPr>
          <w:rFonts w:hint="eastAsia" w:ascii="宋体" w:hAnsi="宋体" w:cs="宋体"/>
          <w:color w:val="auto"/>
          <w:sz w:val="24"/>
          <w:highlight w:val="none"/>
        </w:rPr>
        <w:t xml:space="preserve">、⑤</w:t>
      </w:r>
      <w:r>
        <w:rPr>
          <w:rFonts w:hint="eastAsia" w:ascii="宋体" w:hAnsi="宋体" w:eastAsia="宋体" w:cs="宋体"/>
          <w:color w:val="auto"/>
          <w:sz w:val="24"/>
          <w:highlight w:val="none"/>
        </w:rPr>
        <w:t xml:space="preserve">条评分内容分别进行阐述，阐述内容须满足采购需求。</w:t>
      </w:r>
      <w:r>
        <w:rPr>
          <w:rFonts w:hint="eastAsia" w:ascii="宋体" w:hAnsi="宋体" w:eastAsia="宋体" w:cs="宋体"/>
          <w:color w:val="auto"/>
          <w:sz w:val="24"/>
          <w:highlight w:val="none"/>
          <w:lang w:val="en-US" w:eastAsia="zh-CN"/>
        </w:rPr>
        <w:t xml:space="preserve">内容不存在瑕疵的该条得</w:t>
      </w: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lang w:val="en-US" w:eastAsia="zh-CN"/>
        </w:rPr>
        <w:t xml:space="preserve">分；内容存在1处瑕疵的该条得0.5分；未提供方案或不满足项目需求书要求或内容存在2处及以上瑕疵的该条得0分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本项满分</w:t>
      </w:r>
      <w:r>
        <w:rPr>
          <w:rFonts w:hint="eastAsia" w:ascii="宋体" w:hAnsi="宋体" w:cs="宋体"/>
          <w:color w:val="auto"/>
          <w:sz w:val="24"/>
          <w:highlight w:val="none"/>
          <w:lang w:val="en-US" w:eastAsia="zh-CN"/>
        </w:rPr>
        <w:t xml:space="preserve">7.5</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售后服务管理及措施（</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分）：①售后服务承诺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w:t>
      </w:r>
      <w:r>
        <w:rPr>
          <w:rFonts w:hint="eastAsia" w:ascii="宋体" w:hAnsi="宋体" w:eastAsia="宋体" w:cs="宋体"/>
          <w:color w:val="auto"/>
          <w:sz w:val="24"/>
          <w:szCs w:val="24"/>
          <w:highlight w:val="none"/>
        </w:rPr>
        <w:t xml:space="preserve">产品质量保证承诺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故障解决能力等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；②</w:t>
      </w:r>
      <w:r>
        <w:rPr>
          <w:rFonts w:hint="eastAsia" w:ascii="宋体" w:hAnsi="宋体" w:eastAsia="宋体" w:cs="宋体"/>
          <w:color w:val="auto"/>
          <w:sz w:val="24"/>
          <w:szCs w:val="24"/>
          <w:highlight w:val="none"/>
        </w:rPr>
        <w:t xml:space="preserve">应急服务响应时间</w:t>
      </w:r>
      <w:r>
        <w:rPr>
          <w:rFonts w:hint="eastAsia" w:ascii="宋体" w:hAnsi="宋体" w:cs="宋体"/>
          <w:color w:val="auto"/>
          <w:sz w:val="24"/>
          <w:highlight w:val="none"/>
        </w:rPr>
        <w:t xml:space="preserve">；③</w:t>
      </w:r>
      <w:r>
        <w:rPr>
          <w:rFonts w:hint="eastAsia" w:ascii="宋体" w:hAnsi="宋体" w:cs="宋体"/>
          <w:color w:val="auto"/>
          <w:sz w:val="24"/>
          <w:highlight w:val="none"/>
          <w:lang w:val="en-US" w:eastAsia="zh-CN"/>
        </w:rPr>
        <w:t xml:space="preserve">售后服务人员保障及管理体系；④</w:t>
      </w:r>
      <w:r>
        <w:rPr>
          <w:rFonts w:hint="eastAsia" w:ascii="宋体" w:hAnsi="宋体" w:eastAsia="宋体" w:cs="宋体"/>
          <w:color w:val="auto"/>
          <w:sz w:val="24"/>
          <w:szCs w:val="24"/>
          <w:highlight w:val="none"/>
        </w:rPr>
        <w:t xml:space="preserve">现场服务措施</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⑤</w:t>
      </w:r>
      <w:r>
        <w:rPr>
          <w:rFonts w:hint="eastAsia" w:ascii="宋体" w:hAnsi="宋体" w:eastAsia="宋体" w:cs="宋体"/>
          <w:color w:val="auto"/>
          <w:sz w:val="24"/>
          <w:szCs w:val="24"/>
          <w:highlight w:val="none"/>
        </w:rPr>
        <w:t xml:space="preserve">售后服务流程介绍</w:t>
      </w:r>
      <w:r>
        <w:rPr>
          <w:rFonts w:hint="eastAsia" w:ascii="宋体" w:hAnsi="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投标供应商须针对上述①、②、③、④、⑤条评分内容分别进行阐述，阐述内容须满足采购需求。</w:t>
      </w:r>
      <w:r>
        <w:rPr>
          <w:rFonts w:hint="eastAsia" w:ascii="宋体" w:hAnsi="宋体" w:eastAsia="宋体" w:cs="宋体"/>
          <w:color w:val="auto"/>
          <w:sz w:val="24"/>
          <w:szCs w:val="24"/>
          <w:highlight w:val="none"/>
          <w:lang w:val="en-US" w:eastAsia="zh-CN"/>
        </w:rPr>
        <w:t xml:space="preserve">内容不存在瑕疵的该条得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分；内容存在</w:t>
      </w:r>
      <w:r>
        <w:rPr>
          <w:rFonts w:hint="eastAsia" w:ascii="宋体" w:hAnsi="宋体" w:cs="宋体"/>
          <w:color w:val="auto"/>
          <w:sz w:val="24"/>
          <w:szCs w:val="24"/>
          <w:highlight w:val="none"/>
          <w:lang w:val="en-US" w:eastAsia="zh-CN"/>
        </w:rPr>
        <w:t xml:space="preserve">1处</w:t>
      </w:r>
      <w:r>
        <w:rPr>
          <w:rFonts w:hint="eastAsia" w:ascii="宋体" w:hAnsi="宋体" w:eastAsia="宋体" w:cs="宋体"/>
          <w:color w:val="auto"/>
          <w:sz w:val="24"/>
          <w:szCs w:val="24"/>
          <w:highlight w:val="none"/>
          <w:lang w:val="en-US" w:eastAsia="zh-CN"/>
        </w:rPr>
        <w:t xml:space="preserve">瑕疵的该条得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分；未提供方案或不满足项目需求书要求或内容存在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处及以上瑕疵的该条得0分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本项满分10分</w:t>
      </w:r>
      <w:r>
        <w:rPr>
          <w:rFonts w:hint="eastAsia" w:ascii="宋体" w:hAnsi="宋体" w:eastAsia="宋体" w:cs="宋体"/>
          <w:color w:val="auto"/>
          <w:sz w:val="24"/>
          <w:highlight w:val="none"/>
          <w:lang w:val="en-US" w:eastAsia="zh-CN"/>
        </w:rPr>
        <w:t xml:space="preserve">。</w:t>
      </w:r>
      <w:r/>
    </w:p>
    <w:p>
      <w:pPr>
        <w:ind w:firstLine="482"/>
        <w:spacing w:line="440" w:lineRule="exact"/>
        <w:rPr>
          <w:rFonts w:hint="eastAsia"/>
          <w:color w:val="auto"/>
          <w:highlight w:val="none"/>
        </w:rPr>
      </w:pPr>
      <w:r>
        <w:rPr>
          <w:rFonts w:hint="eastAsia" w:ascii="宋体" w:hAnsi="宋体" w:eastAsia="宋体" w:cs="宋体"/>
          <w:b/>
          <w:bCs/>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060"/>
        <w:ind w:left="0"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未列入本评分细则的其他条件不作为评分内容。</w:t>
      </w:r>
      <w:r/>
    </w:p>
    <w:p>
      <w:pPr>
        <w:ind w:firstLine="480"/>
        <w:rPr>
          <w:rFonts w:ascii="宋体" w:hAnsi="宋体"/>
          <w:b/>
          <w:color w:val="auto"/>
          <w:sz w:val="24"/>
          <w:szCs w:val="24"/>
          <w:highlight w:val="none"/>
        </w:rPr>
      </w:pPr>
      <w:r>
        <w:rPr>
          <w:rFonts w:hint="eastAsia" w:ascii="黑体"/>
          <w:bCs/>
          <w:color w:val="auto"/>
          <w:sz w:val="24"/>
          <w:szCs w:val="24"/>
          <w:highlight w:val="none"/>
        </w:rPr>
        <w:br w:type="page" w:clear="all"/>
      </w:r>
      <w:r>
        <w:rPr>
          <w:rFonts w:hint="eastAsia" w:ascii="黑体"/>
          <w:bCs/>
          <w:color w:val="auto"/>
          <w:sz w:val="24"/>
          <w:szCs w:val="24"/>
          <w:highlight w:val="none"/>
        </w:rPr>
        <w:t xml:space="preserve">附件二：投标文件格式</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ind w:firstLine="840"/>
        <w:rPr>
          <w:rFonts w:eastAsia="黑体"/>
          <w:color w:val="auto"/>
          <w:sz w:val="28"/>
          <w:szCs w:val="28"/>
          <w:highlight w:val="none"/>
        </w:rPr>
      </w:pPr>
      <w:r>
        <w:rPr>
          <w:rFonts w:eastAsia="黑体"/>
          <w:color w:val="auto"/>
          <w:sz w:val="28"/>
          <w:szCs w:val="28"/>
          <w:highlight w:val="none"/>
        </w:rPr>
      </w:r>
      <w:r/>
    </w:p>
    <w:p>
      <w:pPr>
        <w:ind w:firstLine="840"/>
        <w:rPr>
          <w:rFonts w:eastAsia="黑体"/>
          <w:color w:val="auto"/>
          <w:sz w:val="28"/>
          <w:szCs w:val="28"/>
          <w:highlight w:val="none"/>
        </w:rPr>
      </w:pPr>
      <w:r>
        <w:rPr>
          <w:rFonts w:eastAsia="黑体"/>
          <w:color w:val="auto"/>
          <w:sz w:val="28"/>
          <w:szCs w:val="28"/>
          <w:highlight w:val="none"/>
        </w:rPr>
        <w:t xml:space="preserve">政府采购编号：</w:t>
      </w:r>
      <w:r/>
    </w:p>
    <w:p>
      <w:pPr>
        <w:ind w:firstLine="840"/>
        <w:rPr>
          <w:rFonts w:eastAsia="黑体"/>
          <w:color w:val="auto"/>
          <w:sz w:val="28"/>
          <w:szCs w:val="28"/>
          <w:highlight w:val="none"/>
        </w:rPr>
      </w:pPr>
      <w:r>
        <w:rPr>
          <w:rFonts w:eastAsia="黑体"/>
          <w:bCs/>
          <w:color w:val="auto"/>
          <w:sz w:val="28"/>
          <w:szCs w:val="28"/>
          <w:highlight w:val="none"/>
        </w:rPr>
        <w:t xml:space="preserve">采购项目名称：</w:t>
      </w:r>
      <w:r/>
    </w:p>
    <w:p>
      <w:pPr>
        <w:ind w:firstLine="840"/>
        <w:rPr>
          <w:rFonts w:eastAsia="黑体"/>
          <w:bCs/>
          <w:color w:val="auto"/>
          <w:sz w:val="28"/>
          <w:szCs w:val="28"/>
          <w:highlight w:val="none"/>
        </w:rPr>
      </w:pPr>
      <w:r>
        <w:rPr>
          <w:rFonts w:hint="eastAsia" w:eastAsia="黑体"/>
          <w:bCs/>
          <w:color w:val="auto"/>
          <w:sz w:val="28"/>
          <w:szCs w:val="28"/>
          <w:highlight w:val="none"/>
        </w:rPr>
        <w:t xml:space="preserve">投标供应商</w:t>
      </w:r>
      <w:r>
        <w:rPr>
          <w:rFonts w:eastAsia="黑体"/>
          <w:bCs/>
          <w:color w:val="auto"/>
          <w:sz w:val="28"/>
          <w:szCs w:val="28"/>
          <w:highlight w:val="none"/>
        </w:rPr>
        <w:t xml:space="preserve">：</w:t>
      </w:r>
      <w:r/>
    </w:p>
    <w:p>
      <w:pPr>
        <w:jc w:val="center"/>
        <w:rPr>
          <w:rFonts w:eastAsia="黑体"/>
          <w:bCs/>
          <w:color w:val="auto"/>
          <w:sz w:val="24"/>
          <w:szCs w:val="24"/>
          <w:highlight w:val="none"/>
        </w:rPr>
      </w:pPr>
      <w:r>
        <w:rPr>
          <w:rFonts w:hint="eastAsia" w:ascii="黑体" w:hAnsi="黑体" w:eastAsia="黑体" w:cs="黑体"/>
          <w:bCs/>
          <w:color w:val="auto"/>
          <w:sz w:val="36"/>
          <w:szCs w:val="36"/>
          <w:highlight w:val="none"/>
        </w:rPr>
        <w:t xml:space="preserve">二〇二六</w:t>
      </w:r>
      <w:r>
        <w:rPr>
          <w:rFonts w:eastAsia="黑体"/>
          <w:bCs/>
          <w:color w:val="auto"/>
          <w:sz w:val="36"/>
          <w:szCs w:val="36"/>
          <w:highlight w:val="none"/>
        </w:rPr>
        <w:t xml:space="preserve">年</w:t>
      </w:r>
      <w:r>
        <w:rPr>
          <w:rFonts w:hint="eastAsia" w:eastAsia="黑体"/>
          <w:bCs/>
          <w:color w:val="auto"/>
          <w:sz w:val="36"/>
          <w:szCs w:val="36"/>
          <w:highlight w:val="none"/>
        </w:rPr>
        <w:t xml:space="preserve">  </w:t>
      </w:r>
      <w:r>
        <w:rPr>
          <w:rFonts w:eastAsia="黑体"/>
          <w:bCs/>
          <w:color w:val="auto"/>
          <w:sz w:val="36"/>
          <w:szCs w:val="36"/>
          <w:highlight w:val="none"/>
        </w:rPr>
        <w:t xml:space="preserve">月</w:t>
      </w:r>
      <w:r>
        <w:rPr>
          <w:rFonts w:hint="eastAsia" w:eastAsia="黑体"/>
          <w:bCs/>
          <w:color w:val="auto"/>
          <w:sz w:val="36"/>
          <w:szCs w:val="36"/>
          <w:highlight w:val="none"/>
        </w:rPr>
        <w:t xml:space="preserve">  </w:t>
      </w:r>
      <w:r>
        <w:rPr>
          <w:rFonts w:eastAsia="黑体"/>
          <w:bCs/>
          <w:color w:val="auto"/>
          <w:sz w:val="36"/>
          <w:szCs w:val="36"/>
          <w:highlight w:val="none"/>
        </w:rPr>
        <w:t xml:space="preserve">日</w:t>
      </w:r>
      <w:bookmarkStart w:id="10" w:name="一．报价函（格式）"/>
      <w:r/>
      <w:bookmarkEnd w:id="10"/>
      <w:r/>
      <w:r/>
    </w:p>
    <w:p>
      <w:pPr>
        <w:pStyle w:val="1382"/>
        <w:rPr>
          <w:color w:val="auto"/>
          <w:highlight w:val="none"/>
        </w:rPr>
      </w:pPr>
      <w:r>
        <w:rPr>
          <w:color w:val="auto"/>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eastAsia="黑体"/>
          <w:bCs/>
          <w:color w:val="auto"/>
          <w:sz w:val="24"/>
          <w:szCs w:val="24"/>
          <w:highlight w:val="none"/>
        </w:rPr>
        <w:br w:type="page" w:clear="all"/>
      </w:r>
      <w:r>
        <w:rPr>
          <w:rFonts w:eastAsia="黑体"/>
          <w:bCs/>
          <w:color w:val="auto"/>
          <w:sz w:val="28"/>
          <w:szCs w:val="28"/>
          <w:highlight w:val="none"/>
        </w:rPr>
        <w:t xml:space="preserve"> </w:t>
      </w:r>
      <w:r>
        <w:rPr>
          <w:rFonts w:hint="eastAsia" w:ascii="黑体" w:hAnsi="宋体" w:eastAsia="黑体" w:cs="黑体"/>
          <w:bCs/>
          <w:color w:val="auto"/>
          <w:sz w:val="24"/>
          <w:szCs w:val="24"/>
          <w:highlight w:val="none"/>
          <w:lang w:val="en-US" w:eastAsia="zh-CN" w:bidi="ar"/>
        </w:rPr>
        <w:t xml:space="preserve">（一）投标函（格式）：</w:t>
      </w:r>
      <w:r/>
    </w:p>
    <w:p>
      <w:pPr>
        <w:ind w:left="0" w:right="0"/>
        <w:jc w:val="center"/>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黑体" w:hAnsi="宋体" w:eastAsia="黑体" w:cs="黑体"/>
          <w:bCs/>
          <w:color w:val="auto"/>
          <w:sz w:val="28"/>
          <w:szCs w:val="28"/>
          <w:highlight w:val="none"/>
          <w:lang w:val="en-US" w:eastAsia="zh-CN" w:bidi="ar"/>
        </w:rPr>
        <w:t xml:space="preserve">投标函</w:t>
      </w:r>
      <w:r/>
    </w:p>
    <w:p>
      <w:pPr>
        <w:ind w:left="0" w:right="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致江苏新桂工程咨询有限公司：</w:t>
      </w:r>
      <w:r/>
    </w:p>
    <w:p>
      <w:pPr>
        <w:ind w:left="0" w:right="0" w:firstLine="480"/>
        <w:jc w:val="both"/>
        <w:keepLines w:val="0"/>
        <w:keepNext w:val="0"/>
        <w:pageBreakBefore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我方收到贵方编号</w:t>
      </w:r>
      <w:r>
        <w:rPr>
          <w:rFonts w:hint="eastAsia" w:ascii="宋体" w:hAnsi="宋体" w:eastAsia="宋体" w:cs="Times New Roman"/>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招标文件，经仔细阅读和研究，我方决定参加此项目的投标。</w:t>
      </w:r>
      <w:r/>
    </w:p>
    <w:p>
      <w:pPr>
        <w:numPr>
          <w:ilvl w:val="0"/>
          <w:numId w:val="17"/>
        </w:numPr>
        <w:ind w:left="0" w:right="0" w:firstLine="525"/>
        <w:jc w:val="both"/>
        <w:keepLines w:val="0"/>
        <w:keepNext w:val="0"/>
        <w:pageBreakBefore w:val="0"/>
        <w:spacing w:before="0" w:beforeAutospacing="0" w:after="0" w:afterAutospacing="0" w:line="360" w:lineRule="auto"/>
        <w:widowControl w:val="off"/>
        <w:tabs>
          <w:tab w:val="left" w:pos="315" w:leader="none"/>
          <w:tab w:val="left" w:pos="840" w:leader="none"/>
          <w:tab w:val="left" w:pos="945" w:leader="none"/>
          <w:tab w:val="left" w:pos="1050" w:leader="none"/>
          <w:tab w:val="left" w:pos="126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我方愿意按照招标文件的一切要求，提供本项目的投标，投标总价见《开标一览表》。</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我方愿意提供江苏新桂工程咨询有限公司在招标文件中要求的文件、资料。</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我方同意按招标文件中的规定，本投标文件投标的有效期限为开标之日起</w:t>
      </w:r>
      <w:r>
        <w:rPr>
          <w:rFonts w:hint="eastAsia" w:ascii="宋体" w:hAnsi="宋体" w:eastAsia="宋体" w:cs="Times New Roman"/>
          <w:bCs/>
          <w:color w:val="auto"/>
          <w:sz w:val="24"/>
          <w:szCs w:val="24"/>
          <w:highlight w:val="none"/>
          <w:lang w:val="en-US" w:eastAsia="zh-CN" w:bidi="ar"/>
        </w:rPr>
        <w:t xml:space="preserve">90</w:t>
      </w:r>
      <w:r>
        <w:rPr>
          <w:rFonts w:hint="eastAsia" w:ascii="宋体" w:hAnsi="宋体" w:eastAsia="宋体" w:cs="宋体"/>
          <w:bCs/>
          <w:color w:val="auto"/>
          <w:sz w:val="24"/>
          <w:szCs w:val="24"/>
          <w:highlight w:val="none"/>
          <w:lang w:val="en-US" w:eastAsia="zh-CN" w:bidi="ar"/>
        </w:rPr>
        <w:t xml:space="preserve">天。</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如果我方的投标文件被接受，我方将履行招标文件中规定的每一项要求，按期、按质、按量，完成交货任务。</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我方认为贵中心有权决定中标者。</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lang w:val="en-US" w:eastAsia="zh-CN" w:bidi="ar"/>
        </w:rPr>
        <w:t xml:space="preserve">和</w:t>
      </w:r>
      <w:r>
        <w:rPr>
          <w:rFonts w:hint="eastAsia" w:ascii="宋体" w:hAnsi="宋体" w:eastAsia="宋体" w:cs="宋体"/>
          <w:bCs/>
          <w:color w:val="auto"/>
          <w:sz w:val="24"/>
          <w:szCs w:val="24"/>
          <w:highlight w:val="none"/>
          <w:lang w:val="en-US" w:eastAsia="zh-CN" w:bidi="ar"/>
        </w:rPr>
        <w:t xml:space="preserve">合同条款履行自己的全部责任。</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我方认可并遵守招标文件的所有规定，放弃对招标文件提出质疑的权利。</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如果我方被确定为中标供应商，我方愿意</w:t>
      </w:r>
      <w:r>
        <w:rPr>
          <w:rFonts w:hint="eastAsia" w:ascii="宋体" w:hAnsi="宋体" w:eastAsia="宋体" w:cs="宋体"/>
          <w:color w:val="auto"/>
          <w:sz w:val="24"/>
          <w:szCs w:val="24"/>
          <w:highlight w:val="none"/>
          <w:lang w:val="en-US" w:eastAsia="zh-CN" w:bidi="ar"/>
        </w:rPr>
        <w:t xml:space="preserve">向</w:t>
      </w:r>
      <w:r>
        <w:rPr>
          <w:rFonts w:hint="eastAsia" w:ascii="宋体" w:hAnsi="宋体" w:eastAsia="宋体" w:cs="宋体"/>
          <w:bCs/>
          <w:color w:val="auto"/>
          <w:sz w:val="24"/>
          <w:szCs w:val="24"/>
          <w:highlight w:val="none"/>
          <w:lang w:val="en-US" w:eastAsia="zh-CN" w:bidi="ar"/>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right="0" w:firstLine="523"/>
        <w:jc w:val="both"/>
        <w:keepLines w:val="0"/>
        <w:keepNext w:val="0"/>
        <w:pageBreakBefore w:val="0"/>
        <w:spacing w:before="0" w:beforeAutospacing="0" w:after="0" w:afterAutospacing="0" w:line="360" w:lineRule="auto"/>
        <w:widowControl w:val="off"/>
        <w:tabs>
          <w:tab w:val="left" w:pos="0" w:leader="none"/>
          <w:tab w:val="left" w:pos="315" w:leader="none"/>
          <w:tab w:val="left" w:pos="525" w:leader="none"/>
          <w:tab w:val="left" w:pos="945" w:leader="none"/>
          <w:tab w:val="left" w:pos="105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left="0" w:right="0" w:firstLine="720"/>
        <w:jc w:val="both"/>
        <w:keepLines w:val="0"/>
        <w:keepNext w:val="0"/>
        <w:spacing w:before="0" w:beforeAutospacing="0" w:after="0" w:afterAutospacing="0" w:line="36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Times New Roman"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投标供应商（盖章）：</w:t>
      </w:r>
      <w:r>
        <w:rPr>
          <w:rFonts w:hint="eastAsia" w:ascii="宋体" w:hAnsi="宋体"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法定代表人或法定代表人授权代表签字或盖章：</w:t>
      </w:r>
      <w:r/>
    </w:p>
    <w:p>
      <w:pPr>
        <w:ind w:left="0" w:right="0" w:firstLine="480"/>
        <w:jc w:val="both"/>
        <w:keepLines w:val="0"/>
        <w:keepNext w:val="0"/>
        <w:spacing w:before="0" w:beforeAutospacing="0" w:after="0" w:afterAutospacing="0" w:line="400" w:lineRule="exact"/>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电话：</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通讯地址：</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邮编：</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rPr>
          <w:rFonts w:hint="eastAsia" w:ascii="黑体" w:hAnsi="宋体" w:eastAsia="黑体" w:cs="Times New Roman"/>
          <w:bCs/>
          <w:color w:val="auto"/>
          <w:sz w:val="24"/>
          <w:szCs w:val="24"/>
          <w:highlight w:val="none"/>
        </w:rPr>
        <w:sectPr>
          <w:headerReference w:type="default" r:id="rId10"/>
          <w:footerReference w:type="default" r:id="rId13"/>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（二）（投标供应商）关于资格的声明函（格式）：</w:t>
      </w:r>
      <w:r/>
    </w:p>
    <w:p>
      <w:pPr>
        <w:ind w:left="0" w:right="0"/>
        <w:jc w:val="both"/>
        <w:keepLines w:val="0"/>
        <w:keepNext w:val="0"/>
        <w:spacing w:before="0" w:beforeAutospacing="0" w:after="0" w:afterAutospacing="0" w:line="360" w:lineRule="auto"/>
        <w:widowControl w:val="off"/>
        <w:rPr>
          <w:rFonts w:hint="eastAsia" w:ascii="黑体" w:hAnsi="Times New Roman" w:eastAsia="黑体" w:cs="Times New Roman"/>
          <w:bCs/>
          <w:color w:val="auto"/>
          <w:sz w:val="36"/>
          <w:szCs w:val="36"/>
          <w:highlight w:val="none"/>
        </w:rPr>
        <w:suppressLineNumbers w:val="0"/>
      </w:pPr>
      <w:r>
        <w:rPr>
          <w:rFonts w:hint="eastAsia" w:ascii="黑体" w:hAnsi="Times New Roman" w:eastAsia="黑体" w:cs="Times New Roman"/>
          <w:bCs/>
          <w:color w:val="auto"/>
          <w:sz w:val="36"/>
          <w:szCs w:val="36"/>
          <w:highlight w:val="none"/>
          <w:lang w:val="en-US" w:eastAsia="zh-CN" w:bidi="ar"/>
        </w:rPr>
        <w:t xml:space="preserve"> </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关于资格的声明函</w:t>
      </w:r>
      <w:r/>
    </w:p>
    <w:p>
      <w:pPr>
        <w:ind w:left="0" w:right="0"/>
        <w:jc w:val="center"/>
        <w:keepLines w:val="0"/>
        <w:keepNext w:val="0"/>
        <w:spacing w:before="0" w:beforeAutospacing="0" w:after="0" w:afterAutospacing="0" w:line="48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采购项目编号：</w:t>
      </w:r>
      <w:r/>
    </w:p>
    <w:p>
      <w:pPr>
        <w:ind w:left="0" w:right="0"/>
        <w:jc w:val="center"/>
        <w:keepLines w:val="0"/>
        <w:keepNext w:val="0"/>
        <w:spacing w:before="0" w:beforeAutospacing="0" w:after="0" w:afterAutospacing="0" w:line="480" w:lineRule="auto"/>
        <w:widowControl w:val="off"/>
        <w:tabs>
          <w:tab w:val="left" w:pos="6300" w:leader="none"/>
        </w:tabs>
        <w:rPr>
          <w:rFonts w:hint="eastAsia" w:ascii="宋体" w:hAnsi="Times New Roman"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日期：</w:t>
      </w:r>
      <w:r/>
    </w:p>
    <w:p>
      <w:pPr>
        <w:ind w:left="0" w:right="0"/>
        <w:jc w:val="both"/>
        <w:keepLines w:val="0"/>
        <w:keepNext w:val="0"/>
        <w:spacing w:before="0" w:beforeAutospacing="0" w:after="0" w:afterAutospacing="0" w:line="48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江苏新桂工程咨询有限公司：</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我公司（单位）愿针对本次</w:t>
      </w:r>
      <w:r>
        <w:rPr>
          <w:rFonts w:hint="eastAsia" w:ascii="宋体" w:hAnsi="宋体" w:eastAsia="宋体" w:cs="宋体"/>
          <w:bCs/>
          <w:color w:val="auto"/>
          <w:sz w:val="24"/>
          <w:szCs w:val="24"/>
          <w:highlight w:val="none"/>
          <w:u w:val="single"/>
          <w:lang w:val="en-US" w:eastAsia="zh-CN" w:bidi="ar"/>
        </w:rPr>
        <w:t xml:space="preserve">                   项目</w:t>
      </w:r>
      <w:r>
        <w:rPr>
          <w:rFonts w:hint="eastAsia" w:ascii="宋体" w:hAnsi="宋体" w:eastAsia="宋体" w:cs="宋体"/>
          <w:bCs/>
          <w:color w:val="auto"/>
          <w:sz w:val="24"/>
          <w:szCs w:val="24"/>
          <w:highlight w:val="none"/>
          <w:lang w:val="en-US" w:eastAsia="zh-CN" w:bidi="ar"/>
        </w:rPr>
        <w:t xml:space="preserve">进行投标。</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我公司符合《中华人民共和国政府采购法》第二十二条的规定，在此郑重承诺具备以下条件：</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（一）具有独立承担民事责任的能力；</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（二）具有良好的商业信誉和健全的财务会计制度；</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（三）具有履行合同所必需的设备和专业技术能力；</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（四）有依法缴纳税收和社会保障资金的良好记录；</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（五）近三年内，在经营活动中没有重大违法记录；</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（六）投标文件中所有关于投标资格的文件、证明、陈述均是真实的、准确的。</w:t>
      </w:r>
      <w:r/>
    </w:p>
    <w:p>
      <w:pPr>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若有违背，我公司（单位）愿意承担由此而产生的一切后果。</w:t>
      </w:r>
      <w:r/>
    </w:p>
    <w:p>
      <w:pPr>
        <w:ind w:left="0" w:right="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w:t>
      </w:r>
      <w:r/>
    </w:p>
    <w:p>
      <w:pPr>
        <w:pStyle w:val="828"/>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w:t>
      </w:r>
      <w:r/>
    </w:p>
    <w:p>
      <w:pPr>
        <w:pStyle w:val="828"/>
        <w:ind w:left="0" w:right="0" w:firstLine="48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r>
      <w:r/>
    </w:p>
    <w:p>
      <w:pPr>
        <w:ind w:left="0" w:right="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投标供应商（盖章）：</w:t>
      </w:r>
      <w:r/>
    </w:p>
    <w:p>
      <w:pPr>
        <w:ind w:left="0" w:right="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法定代表人或法定代表人授权代表签字或盖章：</w:t>
      </w:r>
      <w:r/>
    </w:p>
    <w:p>
      <w:pPr>
        <w:ind w:left="0" w:right="0"/>
        <w:jc w:val="both"/>
        <w:keepLines w:val="0"/>
        <w:keepNext w:val="0"/>
        <w:spacing w:before="0" w:beforeAutospacing="0" w:after="0" w:afterAutospacing="0" w:line="46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日期：</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widowControl w:val="off"/>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黑体" w:hAnsi="宋体" w:eastAsia="黑体" w:cs="Times New Roman"/>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（三）（投标供应商）法定代表人授权委托书（格式）：</w:t>
      </w:r>
      <w:r/>
    </w:p>
    <w:p>
      <w:pPr>
        <w:ind w:left="0" w:right="0"/>
        <w:jc w:val="center"/>
        <w:keepLines w:val="0"/>
        <w:keepNext w:val="0"/>
        <w:spacing w:before="0" w:beforeAutospacing="0" w:after="0" w:afterAutospacing="0"/>
        <w:widowControl w:val="off"/>
        <w:rPr>
          <w:rFonts w:hint="eastAsia" w:ascii="宋体" w:hAnsi="宋体" w:eastAsia="宋体" w:cs="Times New Roman"/>
          <w:bCs/>
          <w:color w:val="auto"/>
          <w:sz w:val="24"/>
          <w:szCs w:val="24"/>
          <w:highlight w:val="none"/>
        </w:rPr>
        <w:suppressLineNumbers w:val="0"/>
      </w:pPr>
      <w:r>
        <w:rPr>
          <w:rFonts w:hint="eastAsia" w:ascii="黑体" w:hAnsi="宋体" w:eastAsia="黑体" w:cs="黑体"/>
          <w:bCs/>
          <w:color w:val="auto"/>
          <w:sz w:val="28"/>
          <w:szCs w:val="28"/>
          <w:highlight w:val="none"/>
          <w:lang w:val="en-US" w:eastAsia="zh-CN" w:bidi="ar"/>
        </w:rPr>
        <w:t xml:space="preserve">法定代表人授权委托书</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采购项目编号：</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日期：</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lang w:eastAsia="zh-CN"/>
        </w:rPr>
        <w:t xml:space="preserve">江苏新桂工程咨询有限公司</w:t>
      </w:r>
      <w:r>
        <w:rPr>
          <w:rFonts w:hint="eastAsia" w:ascii="宋体" w:hAnsi="宋体"/>
          <w:bCs/>
          <w:color w:val="auto"/>
          <w:sz w:val="24"/>
          <w:highlight w:val="none"/>
        </w:rPr>
        <w:t xml:space="preserve">：</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（投标人单位名称）          </w:t>
      </w:r>
      <w:r>
        <w:rPr>
          <w:rFonts w:hint="eastAsia" w:ascii="宋体" w:hAnsi="宋体"/>
          <w:bCs/>
          <w:color w:val="auto"/>
          <w:sz w:val="24"/>
          <w:highlight w:val="none"/>
        </w:rPr>
        <w:t xml:space="preserve">系中华人民共和国合法企业，</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b/>
          <w:bCs/>
          <w:color w:val="auto"/>
          <w:sz w:val="24"/>
          <w:highlight w:val="none"/>
        </w:rPr>
        <w:t xml:space="preserve">采购编号：</w:t>
      </w:r>
      <w:r>
        <w:rPr>
          <w:rFonts w:hint="eastAsia" w:ascii="宋体" w:hAnsi="宋体"/>
          <w:b/>
          <w:bCs/>
          <w:color w:val="auto"/>
          <w:sz w:val="24"/>
          <w:highlight w:val="none"/>
          <w:lang w:val="en-US" w:eastAsia="zh-CN"/>
        </w:rPr>
        <w:t xml:space="preserve">    </w:t>
      </w:r>
      <w:r>
        <w:rPr>
          <w:rFonts w:hint="eastAsia" w:ascii="黑体" w:eastAsia="黑体"/>
          <w:bCs/>
          <w:color w:val="auto"/>
          <w:sz w:val="24"/>
          <w:highlight w:val="none"/>
        </w:rPr>
        <w:t xml:space="preserve">）</w:t>
      </w:r>
      <w:r>
        <w:rPr>
          <w:rFonts w:hint="eastAsia" w:ascii="宋体" w:hAnsi="宋体"/>
          <w:bCs/>
          <w:color w:val="auto"/>
          <w:sz w:val="24"/>
          <w:highlight w:val="none"/>
        </w:rPr>
        <w:t xml:space="preserve">的投标，参与谈判、签约等具体工作，并签署全部有关的文件、协议及合同。</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8890"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8890" b="10795"/>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35"/>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pStyle w:val="835"/>
        <w:ind w:left="0" w:firstLine="0"/>
        <w:rPr>
          <w:rFonts w:hint="eastAsia"/>
          <w:color w:val="auto"/>
          <w:highlight w:val="none"/>
        </w:rPr>
      </w:pPr>
      <w:r>
        <w:rPr>
          <w:rFonts w:hint="eastAsia"/>
          <w:color w:val="auto"/>
          <w:highlight w:val="none"/>
        </w:rPr>
      </w:r>
      <w:r/>
    </w:p>
    <w:p>
      <w:pPr>
        <w:jc w:val="left"/>
        <w:rPr>
          <w:rFonts w:ascii="宋体" w:hAnsi="宋体"/>
          <w:b/>
          <w:color w:val="auto"/>
          <w:sz w:val="28"/>
          <w:szCs w:val="28"/>
          <w:highlight w:val="none"/>
        </w:rPr>
      </w:pP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姓    名： 性别：年龄：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808"/>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Borders>
              <w:right w:val="single" w:color="auto" w:sz="4" w:space="0"/>
            </w:tcBorders>
            <w:tcW w:w="4680" w:type="dxa"/>
            <w:vAlign w:val="top"/>
            <w:textDirection w:val="lrTb"/>
            <w:noWrap w:val="false"/>
          </w:tcPr>
          <w:p>
            <w:pPr>
              <w:ind w:left="0" w:right="0"/>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ascii="宋体" w:hAnsi="宋体"/>
                <w:color w:val="auto"/>
                <w:sz w:val="24"/>
                <w:szCs w:val="20"/>
                <w:highlight w:val="none"/>
              </w:rPr>
            </w:r>
            <w:r/>
          </w:p>
          <w:p>
            <w:pPr>
              <w:ind w:left="0" w:right="0"/>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left w:val="single" w:color="auto" w:sz="4" w:space="0"/>
              <w:bottom w:val="none" w:color="000000" w:sz="4" w:space="0"/>
              <w:right w:val="single" w:color="auto" w:sz="4" w:space="0"/>
            </w:tcBorders>
            <w:tcW w:w="720" w:type="dxa"/>
            <w:vAlign w:val="top"/>
            <w:textDirection w:val="lrTb"/>
            <w:noWrap w:val="false"/>
          </w:tcPr>
          <w:p>
            <w:pPr>
              <w:ind w:left="0" w:right="0"/>
              <w:jc w:val="left"/>
              <w:keepLines w:val="0"/>
              <w:keepNext w:val="0"/>
              <w:spacing w:before="0" w:beforeAutospacing="0" w:after="0" w:afterAutospacing="0"/>
              <w:widowControl/>
              <w:rPr>
                <w:rFonts w:ascii="宋体" w:hAnsi="宋体"/>
                <w:color w:val="auto"/>
                <w:sz w:val="24"/>
                <w:szCs w:val="20"/>
                <w:highlight w:val="none"/>
              </w:rPr>
              <w:suppressLineNumbers w:val="0"/>
            </w:pPr>
            <w:r>
              <w:rPr>
                <w:rFonts w:ascii="宋体" w:hAnsi="宋体"/>
                <w:color w:val="auto"/>
                <w:sz w:val="24"/>
                <w:szCs w:val="20"/>
                <w:highlight w:val="none"/>
              </w:rPr>
            </w:r>
            <w:r/>
          </w:p>
        </w:tc>
        <w:tc>
          <w:tcPr>
            <w:tcBorders>
              <w:left w:val="single" w:color="auto" w:sz="4" w:space="0"/>
            </w:tcBorders>
            <w:tcW w:w="5040" w:type="dxa"/>
            <w:vAlign w:val="top"/>
            <w:textDirection w:val="lrTb"/>
            <w:noWrap w:val="false"/>
          </w:tcPr>
          <w:p>
            <w:pPr>
              <w:ind w:left="0" w:right="0"/>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ascii="宋体" w:hAnsi="宋体"/>
                <w:color w:val="auto"/>
                <w:sz w:val="24"/>
                <w:szCs w:val="20"/>
                <w:highlight w:val="none"/>
              </w:rPr>
            </w:r>
            <w:r/>
          </w:p>
          <w:p>
            <w:pPr>
              <w:ind w:left="0" w:right="0"/>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left="0" w:right="0"/>
        <w:jc w:val="both"/>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（四）（投标供应商）中小企业声明函（格式）：</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中小企业声明函（货物）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w:t>
      </w:r>
      <w:r>
        <w:rPr>
          <w:rFonts w:hint="eastAsia" w:ascii="宋体" w:hAnsi="宋体" w:eastAsia="宋体" w:cs="宋体"/>
          <w:color w:val="auto"/>
          <w:sz w:val="24"/>
          <w:szCs w:val="24"/>
          <w:highlight w:val="none"/>
          <w:lang w:val="en-US" w:eastAsia="zh-CN" w:bidi="ar"/>
        </w:rPr>
        <w:t xml:space="preserve">公司（联合体）郑重声明，根据《政府采购促进中小企业发展管理办法》（财库﹝2020﹞46 号）的规定，本公司</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参加</w:t>
      </w:r>
      <w:r>
        <w:rPr>
          <w:rFonts w:hint="eastAsia" w:ascii="宋体" w:hAnsi="宋体" w:eastAsia="宋体" w:cs="宋体"/>
          <w:i/>
          <w:iCs w:val="0"/>
          <w:color w:val="auto"/>
          <w:sz w:val="24"/>
          <w:szCs w:val="24"/>
          <w:highlight w:val="none"/>
          <w:u w:val="single"/>
          <w:lang w:val="en-US" w:eastAsia="zh-CN" w:bidi="ar"/>
        </w:rPr>
        <w:t xml:space="preserve">（单位名称）</w:t>
      </w:r>
      <w:r>
        <w:rPr>
          <w:rFonts w:hint="eastAsia" w:ascii="宋体" w:hAnsi="宋体" w:eastAsia="宋体" w:cs="宋体"/>
          <w:color w:val="auto"/>
          <w:sz w:val="24"/>
          <w:szCs w:val="24"/>
          <w:highlight w:val="none"/>
          <w:lang w:val="en-US" w:eastAsia="zh-CN" w:bidi="ar"/>
        </w:rPr>
        <w:t xml:space="preserve">的</w:t>
      </w:r>
      <w:r>
        <w:rPr>
          <w:rFonts w:hint="eastAsia" w:ascii="宋体" w:hAnsi="宋体" w:eastAsia="宋体" w:cs="宋体"/>
          <w:i/>
          <w:iCs w:val="0"/>
          <w:color w:val="auto"/>
          <w:sz w:val="24"/>
          <w:szCs w:val="24"/>
          <w:highlight w:val="none"/>
          <w:u w:val="single"/>
          <w:lang w:val="en-US" w:eastAsia="zh-CN" w:bidi="ar"/>
        </w:rPr>
        <w:t xml:space="preserve">（项目名称）</w:t>
      </w:r>
      <w:r>
        <w:rPr>
          <w:rFonts w:hint="eastAsia" w:ascii="宋体" w:hAnsi="宋体" w:eastAsia="宋体" w:cs="宋体"/>
          <w:color w:val="auto"/>
          <w:sz w:val="24"/>
          <w:szCs w:val="24"/>
          <w:highlight w:val="none"/>
          <w:lang w:val="en-US" w:eastAsia="zh-CN" w:bidi="ar"/>
        </w:rPr>
        <w:t xml:space="preserve">采购活动，提供的货物全部由符合政策要求的中小企业制造。企业的具体情况如下：</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u w:val="single"/>
          <w:lang w:val="en-US" w:eastAsia="zh-CN" w:bidi="ar"/>
        </w:rPr>
        <w:t xml:space="preserve">    （标的名称）</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（采购文件中明确的所属行业）行业；制造商为</w:t>
      </w:r>
      <w:r>
        <w:rPr>
          <w:rFonts w:hint="eastAsia" w:ascii="宋体" w:hAnsi="宋体" w:eastAsia="宋体" w:cs="宋体"/>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 ，属于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（中型企业、小型企业、微型企业）；</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u w:val="single"/>
          <w:lang w:val="en-US" w:eastAsia="zh-CN" w:bidi="ar"/>
        </w:rPr>
        <w:t xml:space="preserve">    （标的名称</w:t>
      </w:r>
      <w:r>
        <w:rPr>
          <w:rFonts w:hint="eastAsia" w:ascii="宋体" w:hAnsi="宋体" w:eastAsia="宋体" w:cs="宋体"/>
          <w:color w:val="auto"/>
          <w:sz w:val="24"/>
          <w:szCs w:val="24"/>
          <w:highlight w:val="none"/>
          <w:lang w:val="en-US" w:eastAsia="zh-CN" w:bidi="ar"/>
        </w:rPr>
        <w:t xml:space="preserve">），属于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（采购文件中明确的所属行业）行业；制造商为</w:t>
      </w:r>
      <w:r>
        <w:rPr>
          <w:rFonts w:hint="eastAsia" w:ascii="宋体" w:hAnsi="宋体" w:eastAsia="宋体" w:cs="宋体"/>
          <w:color w:val="auto"/>
          <w:sz w:val="24"/>
          <w:szCs w:val="24"/>
          <w:highlight w:val="none"/>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 ，属于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（中型企业、小型企业、微型企业）；</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u w:val="single"/>
          <w:lang w:val="en-US" w:eastAsia="zh-CN" w:bidi="ar"/>
        </w:rPr>
        <w:t xml:space="preserve">    （标的名称），属于    （采购文件中明确的所属行业）行业；制造商为        </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（企业名称），从业人员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人，营业收入为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万元，资产总额为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万元 ，属于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（中型企业、小型企业、微型企业）；</w:t>
      </w:r>
      <w:r/>
    </w:p>
    <w:p>
      <w:pPr>
        <w:ind w:left="0" w:right="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u w:val="singl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以上企业，不属于大企业的分支机构，不存在控股股东为大企业的情形，也不存在与大企业的负责人为同一人的情形。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本企业对上述声明内容的真实性负责。如有虚假，将依法承担相 应责任。  </w:t>
      </w:r>
      <w:r/>
    </w:p>
    <w:p>
      <w:pPr>
        <w:ind w:left="0" w:right="0" w:firstLine="5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w:t>
      </w:r>
      <w:r/>
    </w:p>
    <w:p>
      <w:pPr>
        <w:ind w:left="0" w:right="0" w:firstLine="576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企业名称（盖章）： </w:t>
      </w:r>
      <w:r/>
    </w:p>
    <w:p>
      <w:pPr>
        <w:ind w:left="0" w:right="0" w:firstLine="672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    期：</w:t>
      </w:r>
      <w:r/>
    </w:p>
    <w:p>
      <w:pPr>
        <w:pStyle w:val="828"/>
        <w:ind w:left="0" w:right="0"/>
        <w:jc w:val="left"/>
        <w:keepLines w:val="0"/>
        <w:keepNext w:val="0"/>
        <w:spacing w:before="0" w:beforeAutospacing="0" w:after="0" w:afterAutospacing="0"/>
        <w:widowControl/>
        <w:rPr>
          <w:rFonts w:hint="eastAsia" w:ascii="宋体" w:hAnsi="宋体" w:eastAsia="宋体" w:cs="宋体"/>
          <w:color w:val="auto"/>
          <w:sz w:val="32"/>
          <w:szCs w:val="32"/>
          <w:highlight w:val="none"/>
        </w:rPr>
        <w:suppressLineNumbers w:val="0"/>
      </w:pPr>
      <w:r>
        <w:rPr>
          <w:rFonts w:hint="eastAsia" w:ascii="宋体" w:hAnsi="宋体" w:eastAsia="宋体" w:cs="宋体"/>
          <w:color w:val="auto"/>
          <w:sz w:val="32"/>
          <w:szCs w:val="32"/>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说明： </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（2）从业人员、营业收入、资产总额填报上一年度数据，无上一年度数据的新成立企业可不填报。</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（3）在货物采购项目中，供应商提供的货物既有中小企业制造货物，也有大型企业制造货物的，不享受本办法规定的中小企业扶持政策。</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而且要和报价明细表等的相关内容相互保持一致。漏填标的、填写的制造商名称与报价明细表不一致、未按采购标的逐项声明等情形，可能会导致《中小企业声明函》被作无效处理，由此带来的后果由供应商自行承担。</w:t>
      </w:r>
      <w:r/>
    </w:p>
    <w:p>
      <w:pPr>
        <w:rPr>
          <w:rFonts w:hint="eastAsia" w:ascii="Times New Roman" w:hAnsi="Times New Roman" w:eastAsia="宋体" w:cs="Times New Roman"/>
          <w:color w:val="auto"/>
          <w:sz w:val="21"/>
          <w:szCs w:val="21"/>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Times New Roman" w:hAnsi="Times New Roman" w:eastAsia="宋体" w:cs="Times New Roman"/>
          <w:color w:val="auto"/>
          <w:sz w:val="21"/>
          <w:szCs w:val="21"/>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（五）（投标供应商）残疾人福利性单位声明函（格式）：</w:t>
      </w:r>
      <w:r/>
    </w:p>
    <w:p>
      <w:pPr>
        <w:ind w:left="0" w:right="0"/>
        <w:jc w:val="both"/>
        <w:keepLines w:val="0"/>
        <w:keepNext w:val="0"/>
        <w:spacing w:before="0" w:beforeAutospacing="0" w:after="0" w:afterAutospacing="0" w:line="480" w:lineRule="auto"/>
        <w:widowControl w:val="off"/>
        <w:rPr>
          <w:rFonts w:hint="eastAsia" w:ascii="宋体" w:hAnsi="Times New Roman" w:eastAsia="宋体" w:cs="Times New Roman"/>
          <w:bCs/>
          <w:color w:val="auto"/>
          <w:sz w:val="24"/>
          <w:szCs w:val="24"/>
          <w:highlight w:val="none"/>
        </w:rPr>
        <w:suppressLineNumbers w:val="0"/>
      </w:pPr>
      <w:r>
        <w:rPr>
          <w:rFonts w:hint="eastAsia" w:ascii="宋体" w:hAnsi="Times New Roman" w:eastAsia="宋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残疾人福利性单位声明函</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本单位郑重声明，根据《财政部</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民政部</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本单位对上述声明的真实性负责。如有虚假，将依法承担相应责任。</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单位名称（盖章）：</w:t>
      </w:r>
      <w:r/>
    </w:p>
    <w:p>
      <w:pPr>
        <w:ind w:left="0" w:right="0" w:firstLine="480"/>
        <w:jc w:val="both"/>
        <w:keepLines w:val="0"/>
        <w:keepNext w:val="0"/>
        <w:spacing w:before="0" w:beforeAutospacing="0" w:after="0" w:afterAutospacing="0" w:line="580" w:lineRule="exact"/>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日</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期：</w:t>
      </w:r>
      <w:r/>
    </w:p>
    <w:p>
      <w:pPr>
        <w:ind w:left="0" w:right="0" w:firstLine="48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rPr>
          <w:rFonts w:hint="eastAsia" w:ascii="黑体" w:hAnsi="宋体" w:eastAsia="黑体" w:cs="Times New Roman"/>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（六）服务保障承诺书（格式）：</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服务保障承诺书</w:t>
      </w:r>
      <w:r>
        <w:rPr>
          <w:rFonts w:hint="eastAsia" w:ascii="黑体" w:hAnsi="Times New Roman" w:eastAsia="黑体" w:cs="Times New Roman"/>
          <w:bCs/>
          <w:color w:val="auto"/>
          <w:sz w:val="28"/>
          <w:szCs w:val="28"/>
          <w:highlight w:val="none"/>
          <w:lang w:val="en-US" w:eastAsia="zh-CN" w:bidi="ar"/>
        </w:rPr>
        <w:t xml:space="preserve"> </w:t>
      </w:r>
      <w:r/>
    </w:p>
    <w:p>
      <w:pPr>
        <w:ind w:left="0" w:right="0"/>
        <w:jc w:val="both"/>
        <w:keepLines w:val="0"/>
        <w:keepNext w:val="0"/>
        <w:spacing w:before="0" w:beforeAutospacing="0" w:after="0" w:afterAutospacing="0" w:line="48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（投标供应商名称）针</w:t>
      </w:r>
      <w:r>
        <w:rPr>
          <w:rFonts w:hint="eastAsia" w:ascii="宋体" w:hAnsi="宋体" w:eastAsia="宋体" w:cs="宋体"/>
          <w:bCs/>
          <w:color w:val="auto"/>
          <w:sz w:val="24"/>
          <w:szCs w:val="24"/>
          <w:highlight w:val="none"/>
          <w:lang w:val="en-US" w:eastAsia="zh-CN" w:bidi="ar"/>
        </w:rPr>
        <w:t xml:space="preserve">对本项目（采购项目编号</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在此承诺：</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1、本公司（单位）</w:t>
      </w:r>
      <w:r>
        <w:rPr>
          <w:rFonts w:hint="eastAsia" w:ascii="宋体" w:hAnsi="宋体" w:eastAsia="宋体" w:cs="宋体"/>
          <w:bCs/>
          <w:color w:val="auto"/>
          <w:sz w:val="24"/>
          <w:szCs w:val="24"/>
          <w:highlight w:val="none"/>
          <w:lang w:val="en-US" w:eastAsia="zh-CN" w:bidi="ar"/>
        </w:rPr>
        <w:t xml:space="preserve">对本项目（采购项目编号</w:t>
      </w:r>
      <w:r>
        <w:rPr>
          <w:rFonts w:hint="eastAsia" w:ascii="宋体" w:hAnsi="宋体" w:eastAsia="宋体" w:cs="Times New Roman"/>
          <w:bCs/>
          <w:color w:val="auto"/>
          <w:sz w:val="24"/>
          <w:szCs w:val="24"/>
          <w:highlight w:val="none"/>
          <w:lang w:val="en-US" w:eastAsia="zh-CN" w:bidi="ar"/>
        </w:rPr>
        <w:t xml:space="preserve">             </w:t>
      </w:r>
      <w:r>
        <w:rPr>
          <w:rFonts w:hint="eastAsia" w:ascii="宋体" w:hAnsi="宋体" w:eastAsia="宋体" w:cs="宋体"/>
          <w:bCs/>
          <w:color w:val="auto"/>
          <w:sz w:val="24"/>
          <w:szCs w:val="24"/>
          <w:highlight w:val="none"/>
          <w:lang w:val="en-US" w:eastAsia="zh-CN" w:bidi="ar"/>
        </w:rPr>
        <w:t xml:space="preserve">）所提供的服务符合招标文件要求；</w:t>
      </w:r>
      <w:r/>
    </w:p>
    <w:p>
      <w:pPr>
        <w:ind w:left="0" w:right="0" w:firstLine="465"/>
        <w:jc w:val="both"/>
        <w:keepLines w:val="0"/>
        <w:keepNext w:val="0"/>
        <w:spacing w:before="0" w:beforeAutospacing="0" w:after="0" w:afterAutospacing="0" w:line="360" w:lineRule="auto"/>
        <w:widowControl w:val="off"/>
        <w:tabs>
          <w:tab w:val="left" w:pos="945"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2、本公司（单位）</w:t>
      </w:r>
      <w:r>
        <w:rPr>
          <w:rFonts w:hint="eastAsia" w:ascii="宋体" w:hAnsi="宋体" w:eastAsia="宋体" w:cs="宋体"/>
          <w:bCs/>
          <w:color w:val="auto"/>
          <w:sz w:val="24"/>
          <w:szCs w:val="24"/>
          <w:highlight w:val="none"/>
          <w:lang w:val="en-US" w:eastAsia="zh-CN" w:bidi="ar"/>
        </w:rPr>
        <w:t xml:space="preserve">具备履行合同所必需的人员、设备和专业技术能力；</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3、本公司未被“</w:t>
      </w:r>
      <w:r>
        <w:rPr>
          <w:rFonts w:hint="eastAsia" w:ascii="宋体" w:hAnsi="宋体" w:eastAsia="宋体" w:cs="宋体"/>
          <w:bCs/>
          <w:color w:val="auto"/>
          <w:sz w:val="24"/>
          <w:szCs w:val="24"/>
          <w:highlight w:val="none"/>
          <w:lang w:val="en-US" w:eastAsia="zh-CN" w:bidi="ar"/>
        </w:rPr>
        <w:t xml:space="preserve">信用中国</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网站（www.creditchina.gov.cn）、</w:t>
      </w:r>
      <w:r>
        <w:rPr>
          <w:rFonts w:hint="eastAsia" w:ascii="宋体" w:hAnsi="宋体" w:eastAsia="宋体" w:cs="宋体"/>
          <w:color w:val="auto"/>
          <w:sz w:val="24"/>
          <w:szCs w:val="24"/>
          <w:highlight w:val="none"/>
          <w:lang w:val="en-US" w:eastAsia="zh-CN" w:bidi="ar"/>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lang w:val="en-US" w:eastAsia="zh-CN" w:bidi="ar"/>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7、</w:t>
      </w:r>
      <w:r/>
    </w:p>
    <w:p>
      <w:pPr>
        <w:ind w:left="0" w:right="0" w:firstLine="465"/>
        <w:jc w:val="both"/>
        <w:keepLines w:val="0"/>
        <w:keepNext w:val="0"/>
        <w:spacing w:before="0" w:beforeAutospacing="0" w:after="0" w:afterAutospacing="0" w:line="360" w:lineRule="auto"/>
        <w:widowControl w:val="off"/>
        <w:tabs>
          <w:tab w:val="left" w:pos="945"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p>
    <w:p>
      <w:pPr>
        <w:ind w:left="0" w:right="0" w:firstLine="96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w:t>
      </w:r>
      <w:r/>
    </w:p>
    <w:p>
      <w:pPr>
        <w:ind w:left="0" w:right="0" w:firstLine="96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如违背上述承诺，本公司</w:t>
      </w:r>
      <w:r>
        <w:rPr>
          <w:rFonts w:hint="eastAsia" w:ascii="宋体" w:hAnsi="宋体" w:eastAsia="宋体" w:cs="宋体"/>
          <w:color w:val="auto"/>
          <w:sz w:val="24"/>
          <w:szCs w:val="24"/>
          <w:highlight w:val="none"/>
          <w:lang w:val="en-US" w:eastAsia="zh-CN" w:bidi="ar"/>
        </w:rPr>
        <w:t xml:space="preserve">（单位）</w:t>
      </w:r>
      <w:r>
        <w:rPr>
          <w:rFonts w:hint="eastAsia" w:ascii="宋体" w:hAnsi="宋体" w:eastAsia="宋体" w:cs="宋体"/>
          <w:bCs/>
          <w:color w:val="auto"/>
          <w:sz w:val="24"/>
          <w:szCs w:val="24"/>
          <w:highlight w:val="none"/>
          <w:lang w:val="en-US" w:eastAsia="zh-CN" w:bidi="ar"/>
        </w:rPr>
        <w:t xml:space="preserve">将承担一切法律责任。</w:t>
      </w:r>
      <w:r/>
    </w:p>
    <w:p>
      <w:pPr>
        <w:ind w:left="0" w:right="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firstLine="372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投标供应商</w:t>
      </w:r>
      <w:r>
        <w:rPr>
          <w:rFonts w:hint="eastAsia" w:ascii="宋体" w:hAnsi="宋体" w:eastAsia="宋体" w:cs="宋体"/>
          <w:bCs/>
          <w:color w:val="auto"/>
          <w:sz w:val="24"/>
          <w:szCs w:val="24"/>
          <w:highlight w:val="none"/>
          <w:lang w:val="en-US" w:eastAsia="zh-CN" w:bidi="ar"/>
        </w:rPr>
        <w:t xml:space="preserve">（盖章）：</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法定代表人或法定代表人授权代表签字或盖章：</w:t>
      </w:r>
      <w:r/>
    </w:p>
    <w:p>
      <w:pPr>
        <w:ind w:left="0" w:right="0" w:firstLine="4862"/>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日期：</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Times New Roman"/>
          <w:bCs/>
          <w:color w:val="auto"/>
          <w:sz w:val="24"/>
          <w:szCs w:val="24"/>
          <w:highlight w:val="none"/>
          <w:lang w:val="en-US" w:eastAsia="zh-CN" w:bidi="ar"/>
        </w:rPr>
        <w:t xml:space="preserve"> </w:t>
      </w:r>
      <w:r/>
    </w:p>
    <w:p>
      <w:pPr>
        <w:ind w:left="0" w:right="0" w:firstLine="480"/>
        <w:jc w:val="both"/>
        <w:keepLines w:val="0"/>
        <w:keepNext w:val="0"/>
        <w:spacing w:before="0" w:beforeAutospacing="0" w:after="0" w:afterAutospacing="0" w:line="480" w:lineRule="auto"/>
        <w:widowControl w:val="off"/>
        <w:rPr>
          <w:rFonts w:hint="eastAsia" w:ascii="宋体" w:hAnsi="宋体" w:eastAsia="宋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注：以上内容由投标单位根据采购要求可自行完善。</w:t>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（七）开标一览表（格式）：</w:t>
      </w:r>
      <w:r/>
    </w:p>
    <w:p>
      <w:pPr>
        <w:ind w:left="0" w:right="0"/>
        <w:jc w:val="center"/>
        <w:keepLines w:val="0"/>
        <w:keepNext w:val="0"/>
        <w:spacing w:before="0" w:beforeAutospacing="0" w:after="0" w:afterAutospacing="0"/>
        <w:widowControl w:val="off"/>
        <w:rPr>
          <w:rFonts w:hint="eastAsia" w:ascii="黑体" w:hAnsi="Times New Roman" w:eastAsia="黑体" w:cs="Times New Roman"/>
          <w:bCs/>
          <w:color w:val="auto"/>
          <w:sz w:val="28"/>
          <w:szCs w:val="28"/>
          <w:highlight w:val="none"/>
        </w:rPr>
        <w:suppressLineNumbers w:val="0"/>
      </w:pPr>
      <w:r>
        <w:rPr>
          <w:rFonts w:hint="eastAsia" w:ascii="黑体" w:hAnsi="宋体" w:eastAsia="黑体" w:cs="黑体"/>
          <w:bCs/>
          <w:color w:val="auto"/>
          <w:sz w:val="28"/>
          <w:szCs w:val="28"/>
          <w:highlight w:val="none"/>
          <w:lang w:val="en-US" w:eastAsia="zh-CN" w:bidi="ar"/>
        </w:rPr>
        <w:t xml:space="preserve">开标一览表</w:t>
      </w:r>
      <w:r>
        <w:rPr>
          <w:rFonts w:hint="eastAsia" w:ascii="黑体" w:hAnsi="Times New Roman" w:eastAsia="黑体" w:cs="Times New Roman"/>
          <w:bCs/>
          <w:color w:val="auto"/>
          <w:sz w:val="28"/>
          <w:szCs w:val="28"/>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投标人全称（盖章）：</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项目名称：</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项目编号：</w:t>
      </w:r>
      <w:r/>
    </w:p>
    <w:tbl>
      <w:tblPr>
        <w:tblStyle w:val="808"/>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0"/>
                <w:highlight w:val="none"/>
              </w:rPr>
              <w:suppressLineNumbers w:val="0"/>
            </w:pPr>
            <w:r>
              <w:rPr>
                <w:rFonts w:hint="eastAsia" w:ascii="宋体" w:hAnsi="宋体"/>
                <w:b/>
                <w:bCs/>
                <w:color w:val="auto"/>
                <w:sz w:val="24"/>
                <w:szCs w:val="20"/>
                <w:highlight w:val="none"/>
              </w:rPr>
              <w:t xml:space="preserve">项目名称</w:t>
            </w:r>
            <w:r/>
          </w:p>
        </w:tc>
        <w:tc>
          <w:tcPr>
            <w:tcW w:w="451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0"/>
                <w:highlight w:val="none"/>
              </w:rPr>
              <w:suppressLineNumbers w:val="0"/>
            </w:pPr>
            <w:r>
              <w:rPr>
                <w:rFonts w:hint="eastAsia" w:ascii="宋体" w:hAnsi="宋体"/>
                <w:b/>
                <w:bCs/>
                <w:color w:val="auto"/>
                <w:sz w:val="24"/>
                <w:szCs w:val="20"/>
                <w:highlight w:val="none"/>
              </w:rPr>
              <w:t xml:space="preserve">投标总报价</w:t>
            </w:r>
            <w:r>
              <w:rPr>
                <w:rFonts w:ascii="宋体" w:hAnsi="宋体"/>
                <w:b/>
                <w:bCs/>
                <w:color w:val="auto"/>
                <w:sz w:val="24"/>
                <w:szCs w:val="20"/>
                <w:highlight w:val="none"/>
              </w:rPr>
              <w:t xml:space="preserve">(</w:t>
            </w:r>
            <w:r>
              <w:rPr>
                <w:rFonts w:hint="eastAsia" w:ascii="宋体" w:hAnsi="宋体"/>
                <w:b/>
                <w:bCs/>
                <w:color w:val="auto"/>
                <w:sz w:val="24"/>
                <w:szCs w:val="20"/>
                <w:highlight w:val="none"/>
              </w:rPr>
              <w:t xml:space="preserve">小写</w:t>
            </w:r>
            <w:r>
              <w:rPr>
                <w:rFonts w:ascii="宋体" w:hAnsi="宋体"/>
                <w:b/>
                <w:bCs/>
                <w:color w:val="auto"/>
                <w:sz w:val="24"/>
                <w:szCs w:val="20"/>
                <w:highlight w:val="none"/>
              </w:rPr>
              <w:t xml:space="preserve">)</w:t>
            </w:r>
            <w:r/>
          </w:p>
        </w:tc>
      </w:tr>
      <w:tr>
        <w:trPr>
          <w:cantSplit/>
          <w:trHeight w:val="1630"/>
        </w:trPr>
        <w:tc>
          <w:tcPr>
            <w:tcW w:w="5565" w:type="dxa"/>
            <w:vAlign w:val="center"/>
            <w:textDirection w:val="lrTb"/>
            <w:noWrap w:val="false"/>
          </w:tcPr>
          <w:p>
            <w:pPr>
              <w:pStyle w:val="1315"/>
              <w:ind w:left="0" w:right="0"/>
              <w:jc w:val="center"/>
              <w:keepLines w:val="0"/>
              <w:keepNext w:val="0"/>
              <w:spacing w:before="0" w:beforeAutospacing="0" w:after="0" w:afterAutospacing="0" w:line="400" w:lineRule="exact"/>
              <w:rPr>
                <w:rFonts w:hAnsi="宋体"/>
                <w:bCs/>
                <w:color w:val="auto"/>
                <w:sz w:val="28"/>
                <w:szCs w:val="28"/>
                <w:highlight w:val="none"/>
              </w:rPr>
              <w:suppressLineNumbers w:val="0"/>
            </w:pPr>
            <w:r>
              <w:rPr>
                <w:rFonts w:hAnsi="宋体"/>
                <w:bCs/>
                <w:color w:val="auto"/>
                <w:sz w:val="28"/>
                <w:szCs w:val="28"/>
                <w:highlight w:val="none"/>
              </w:rPr>
            </w:r>
            <w:r/>
          </w:p>
        </w:tc>
        <w:tc>
          <w:tcPr>
            <w:tcW w:w="4515" w:type="dxa"/>
            <w:vAlign w:val="center"/>
            <w:textDirection w:val="lrTb"/>
            <w:noWrap w:val="false"/>
          </w:tcPr>
          <w:p>
            <w:pPr>
              <w:pStyle w:val="1315"/>
              <w:ind w:left="0" w:right="0"/>
              <w:keepLines w:val="0"/>
              <w:keepNext w:val="0"/>
              <w:spacing w:before="0" w:beforeAutospacing="0" w:after="0" w:afterAutospacing="0"/>
              <w:rPr>
                <w:rFonts w:hAnsi="宋体"/>
                <w:b/>
                <w:color w:val="auto"/>
                <w:szCs w:val="20"/>
                <w:highlight w:val="none"/>
              </w:rPr>
              <w:suppressLineNumbers w:val="0"/>
            </w:pPr>
            <w:r>
              <w:rPr>
                <w:rFonts w:hAnsi="宋体"/>
                <w:b/>
                <w:color w:val="auto"/>
                <w:szCs w:val="20"/>
                <w:highlight w:val="none"/>
              </w:rPr>
            </w:r>
            <w:r/>
          </w:p>
        </w:tc>
      </w:tr>
      <w:tr>
        <w:trPr>
          <w:cantSplit/>
          <w:trHeight w:val="780"/>
        </w:trPr>
        <w:tc>
          <w:tcPr>
            <w:gridSpan w:val="2"/>
            <w:tcW w:w="10080" w:type="dxa"/>
            <w:vAlign w:val="center"/>
            <w:textDirection w:val="lrTb"/>
            <w:noWrap w:val="false"/>
          </w:tcPr>
          <w:p>
            <w:pPr>
              <w:ind w:left="0" w:right="0"/>
              <w:keepLines w:val="0"/>
              <w:keepNext w:val="0"/>
              <w:spacing w:before="0" w:beforeAutospacing="0" w:after="0" w:afterAutospacing="0"/>
              <w:rPr>
                <w:rFonts w:ascii="宋体"/>
                <w:bCs/>
                <w:color w:val="auto"/>
                <w:sz w:val="24"/>
                <w:szCs w:val="20"/>
                <w:highlight w:val="none"/>
              </w:rPr>
              <w:suppressLineNumbers w:val="0"/>
            </w:pPr>
            <w:r>
              <w:rPr>
                <w:rFonts w:hint="eastAsia" w:ascii="黑体" w:eastAsia="黑体"/>
                <w:color w:val="auto"/>
                <w:sz w:val="24"/>
                <w:szCs w:val="20"/>
                <w:highlight w:val="none"/>
              </w:rPr>
              <w:t xml:space="preserve">投标总报价（大写）</w:t>
            </w:r>
            <w:r>
              <w:rPr>
                <w:rFonts w:hint="eastAsia" w:ascii="宋体" w:hAnsi="宋体"/>
                <w:bCs/>
                <w:color w:val="auto"/>
                <w:sz w:val="24"/>
                <w:szCs w:val="20"/>
                <w:highlight w:val="none"/>
              </w:rPr>
              <w:t xml:space="preserve">：　　　</w:t>
            </w:r>
            <w:r/>
          </w:p>
        </w:tc>
      </w:tr>
    </w:tbl>
    <w:p>
      <w:pPr>
        <w:spacing w:line="300" w:lineRule="auto"/>
        <w:rPr>
          <w:rFonts w:ascii="宋体" w:hAnsi="宋体"/>
          <w:color w:val="auto"/>
          <w:sz w:val="24"/>
          <w:highlight w:val="none"/>
        </w:rPr>
      </w:pPr>
      <w:r>
        <w:rPr>
          <w:rFonts w:ascii="宋体" w:hAnsi="宋体"/>
          <w:color w:val="auto"/>
          <w:sz w:val="24"/>
          <w:highlight w:val="none"/>
        </w:rPr>
      </w:r>
      <w:r/>
    </w:p>
    <w:p>
      <w:pPr>
        <w:spacing w:line="300" w:lineRule="auto"/>
        <w:rPr>
          <w:rFonts w:ascii="宋体" w:hAnsi="宋体" w:cs="宋体"/>
          <w:color w:val="auto"/>
          <w:sz w:val="24"/>
          <w:szCs w:val="28"/>
          <w:highlight w:val="none"/>
        </w:rPr>
      </w:pPr>
      <w:r>
        <w:rPr>
          <w:rFonts w:ascii="宋体" w:hAnsi="宋体" w:cs="宋体"/>
          <w:color w:val="auto"/>
          <w:sz w:val="24"/>
          <w:szCs w:val="28"/>
          <w:highlight w:val="none"/>
        </w:rPr>
      </w:r>
      <w:r/>
    </w:p>
    <w:p>
      <w:pPr>
        <w:jc w:val="right"/>
        <w:rPr>
          <w:rFonts w:ascii="宋体" w:hAnsi="宋体"/>
          <w:color w:val="auto"/>
          <w:sz w:val="24"/>
          <w:highlight w:val="none"/>
        </w:rPr>
      </w:pPr>
      <w:r>
        <w:rPr>
          <w:rFonts w:hint="eastAsia" w:ascii="宋体" w:hAnsi="宋体"/>
          <w:color w:val="auto"/>
          <w:sz w:val="24"/>
          <w:highlight w:val="none"/>
        </w:rPr>
        <w:t xml:space="preserve">                       日期：   年   月   日</w:t>
      </w:r>
      <w:r/>
    </w:p>
    <w:p>
      <w:pPr>
        <w:ind w:firstLine="562"/>
        <w:jc w:val="center"/>
        <w:rPr>
          <w:rFonts w:hint="eastAsia" w:ascii="黑体" w:eastAsia="黑体" w:cs="宋体"/>
          <w:b/>
          <w:color w:val="auto"/>
          <w:sz w:val="32"/>
          <w:szCs w:val="32"/>
          <w:highlight w:val="none"/>
        </w:rPr>
        <w:outlineLvl w:val="0"/>
      </w:pPr>
      <w:r>
        <w:rPr>
          <w:rFonts w:hint="eastAsia" w:ascii="黑体" w:eastAsia="黑体" w:cs="宋体"/>
          <w:b/>
          <w:color w:val="auto"/>
          <w:sz w:val="32"/>
          <w:szCs w:val="32"/>
          <w:highlight w:val="none"/>
        </w:rPr>
      </w:r>
      <w:r/>
    </w:p>
    <w:p>
      <w:pPr>
        <w:ind w:firstLine="562"/>
        <w:jc w:val="left"/>
        <w:rPr>
          <w:rFonts w:hint="eastAsia" w:ascii="黑体" w:eastAsia="黑体" w:cs="宋体"/>
          <w:b/>
          <w:color w:val="auto"/>
          <w:sz w:val="32"/>
          <w:szCs w:val="32"/>
          <w:highlight w:val="none"/>
          <w:lang w:eastAsia="zh-CN"/>
        </w:rPr>
        <w:outlineLvl w:val="0"/>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auto"/>
          <w:sz w:val="24"/>
          <w:szCs w:val="24"/>
          <w:highlight w:val="none"/>
          <w:lang w:eastAsia="zh-CN"/>
        </w:rPr>
        <w:t xml:space="preserve">。</w:t>
      </w:r>
      <w:r/>
    </w:p>
    <w:p>
      <w:pPr>
        <w:ind w:left="0" w:right="0"/>
        <w:jc w:val="both"/>
        <w:keepLines w:val="0"/>
        <w:keepNext w:val="0"/>
        <w:spacing w:before="0" w:beforeAutospacing="0" w:after="0" w:afterAutospacing="0" w:line="400" w:lineRule="exact"/>
        <w:widowControl w:val="off"/>
        <w:rPr>
          <w:rFonts w:hint="eastAsia" w:ascii="黑体" w:hAnsi="Times New Roman" w:eastAsia="黑体" w:cs="Times New Roman"/>
          <w:bCs/>
          <w:color w:val="auto"/>
          <w:sz w:val="32"/>
          <w:szCs w:val="32"/>
          <w:highlight w:val="none"/>
        </w:rPr>
        <w:suppressLineNumbers w:val="0"/>
      </w:pPr>
      <w:r>
        <w:rPr>
          <w:rFonts w:hint="eastAsia" w:ascii="黑体" w:hAnsi="Times New Roman" w:eastAsia="黑体" w:cs="Times New Roman"/>
          <w:bCs/>
          <w:color w:val="auto"/>
          <w:sz w:val="32"/>
          <w:szCs w:val="32"/>
          <w:highlight w:val="none"/>
          <w:lang w:val="en-US" w:eastAsia="zh-CN" w:bidi="ar"/>
        </w:rPr>
        <w:t xml:space="preserve"> </w:t>
      </w:r>
      <w:r/>
    </w:p>
    <w:p>
      <w:pPr>
        <w:rPr>
          <w:rFonts w:hint="eastAsia" w:ascii="黑体" w:hAnsi="宋体" w:eastAsia="黑体" w:cs="Times New Roman"/>
          <w:bCs/>
          <w:color w:val="auto"/>
          <w:sz w:val="24"/>
          <w:szCs w:val="24"/>
          <w:highlight w:val="none"/>
          <w:u w:val="singl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u w:val="single"/>
        </w:rPr>
      </w:r>
      <w:r/>
    </w:p>
    <w:p>
      <w:pPr>
        <w:ind w:left="0" w:right="0"/>
        <w:jc w:val="both"/>
        <w:keepLines w:val="0"/>
        <w:keepNext w:val="0"/>
        <w:spacing w:before="0" w:beforeAutospacing="0" w:after="0" w:afterAutospacing="0"/>
        <w:widowControl w:val="off"/>
        <w:rPr>
          <w:rFonts w:hint="eastAsia" w:ascii="黑体" w:hAnsi="Times New Roman"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（八）投标报价明细表（格式）：</w:t>
      </w:r>
      <w:r>
        <w:rPr>
          <w:rFonts w:hint="eastAsia" w:ascii="黑体" w:hAnsi="Times New Roman" w:eastAsia="黑体" w:cs="Times New Roman"/>
          <w:bCs/>
          <w:color w:val="auto"/>
          <w:sz w:val="24"/>
          <w:szCs w:val="24"/>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4"/>
          <w:szCs w:val="24"/>
          <w:highlight w:val="none"/>
        </w:rPr>
        <w:suppressLineNumbers w:val="0"/>
      </w:pPr>
      <w:r>
        <w:rPr>
          <w:rFonts w:hint="eastAsia" w:ascii="黑体" w:hAnsi="宋体" w:eastAsia="黑体" w:cs="黑体"/>
          <w:bCs/>
          <w:color w:val="auto"/>
          <w:sz w:val="24"/>
          <w:szCs w:val="24"/>
          <w:highlight w:val="none"/>
          <w:lang w:val="en-US" w:eastAsia="zh-CN" w:bidi="ar"/>
        </w:rPr>
        <w:t xml:space="preserve">报价明细表</w:t>
      </w:r>
      <w:r/>
    </w:p>
    <w:p>
      <w:pPr>
        <w:ind w:left="0" w:right="0"/>
        <w:jc w:val="both"/>
        <w:keepLines w:val="0"/>
        <w:keepNext w:val="0"/>
        <w:spacing w:before="0" w:beforeAutospacing="0" w:after="0" w:afterAutospacing="0" w:line="400" w:lineRule="exact"/>
        <w:widowControl w:val="off"/>
        <w:rPr>
          <w:rFonts w:hint="eastAsia" w:ascii="黑体" w:hAnsi="Times New Roman" w:eastAsia="黑体" w:cs="Times New Roman"/>
          <w:bCs/>
          <w:color w:val="auto"/>
          <w:sz w:val="24"/>
          <w:szCs w:val="24"/>
          <w:highlight w:val="none"/>
        </w:rPr>
        <w:suppressLineNumbers w:val="0"/>
      </w:pPr>
      <w:r>
        <w:rPr>
          <w:rFonts w:hint="eastAsia" w:ascii="黑体" w:hAnsi="宋体" w:eastAsia="黑体" w:cs="黑体"/>
          <w:bCs/>
          <w:color w:val="auto"/>
          <w:sz w:val="24"/>
          <w:szCs w:val="24"/>
          <w:highlight w:val="none"/>
          <w:lang w:val="en-US" w:eastAsia="zh-CN" w:bidi="ar"/>
        </w:rPr>
        <w:t xml:space="preserve">投标供应商名称（盖章）</w:t>
      </w:r>
      <w:r>
        <w:rPr>
          <w:rFonts w:hint="eastAsia" w:ascii="黑体" w:hAnsi="Times New Roman" w:eastAsia="黑体" w:cs="Times New Roman"/>
          <w:bCs/>
          <w:color w:val="auto"/>
          <w:sz w:val="24"/>
          <w:szCs w:val="24"/>
          <w:highlight w:val="none"/>
          <w:lang w:val="en-US" w:eastAsia="zh-CN" w:bidi="ar"/>
        </w:rPr>
        <w:t xml:space="preserve">                      </w:t>
      </w:r>
      <w:r>
        <w:rPr>
          <w:rFonts w:hint="eastAsia" w:ascii="黑体" w:hAnsi="宋体" w:eastAsia="黑体" w:cs="黑体"/>
          <w:bCs/>
          <w:color w:val="auto"/>
          <w:sz w:val="24"/>
          <w:szCs w:val="24"/>
          <w:highlight w:val="none"/>
          <w:lang w:val="en-US" w:eastAsia="zh-CN" w:bidi="ar"/>
        </w:rPr>
        <w:t xml:space="preserve">项目编号：</w:t>
      </w:r>
      <w:r/>
    </w:p>
    <w:p>
      <w:pPr>
        <w:pStyle w:val="828"/>
        <w:ind w:left="0" w:right="0" w:firstLine="0"/>
        <w:jc w:val="left"/>
        <w:keepLines w:val="0"/>
        <w:keepNext w:val="0"/>
        <w:spacing w:before="0" w:beforeAutospacing="0" w:after="0" w:afterAutospacing="0"/>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 </w:t>
      </w:r>
      <w:r/>
    </w:p>
    <w:tbl>
      <w:tblPr>
        <w:tblStyle w:val="808"/>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25"/>
        <w:gridCol w:w="1860"/>
        <w:gridCol w:w="1043"/>
        <w:gridCol w:w="1837"/>
        <w:gridCol w:w="900"/>
        <w:gridCol w:w="1170"/>
        <w:gridCol w:w="1215"/>
        <w:gridCol w:w="1080"/>
      </w:tblGrid>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4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品牌、型号</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性能指标</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制造商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lang w:val="en-US" w:eastAsia="zh-CN" w:bidi="ar"/>
              </w:rPr>
              <w:t xml:space="preserve">单报价</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rPr>
                <w:rFonts w:hint="eastAsia" w:ascii="微软雅黑" w:hAnsi="微软雅黑" w:eastAsia="微软雅黑" w:cs="微软雅黑"/>
                <w:b/>
                <w:bCs w:val="0"/>
                <w:color w:val="auto"/>
                <w:sz w:val="22"/>
                <w:szCs w:val="22"/>
                <w:highlight w:val="none"/>
              </w:rPr>
              <w:suppressLineNumbers w:val="0"/>
            </w:pPr>
            <w:r>
              <w:rPr>
                <w:rFonts w:hint="eastAsia" w:ascii="宋体" w:hAnsi="宋体" w:eastAsia="宋体" w:cs="宋体"/>
                <w:color w:val="auto"/>
                <w:sz w:val="18"/>
                <w:szCs w:val="18"/>
                <w:highlight w:val="none"/>
                <w:lang w:val="en-US" w:eastAsia="zh-CN" w:bidi="ar"/>
              </w:rPr>
              <w:t xml:space="preserve">分项</w:t>
            </w:r>
            <w:r>
              <w:rPr>
                <w:rStyle w:val="1470"/>
                <w:rFonts w:hint="eastAsia" w:ascii="微软雅黑" w:hAnsi="微软雅黑" w:eastAsia="微软雅黑" w:cs="微软雅黑"/>
                <w:b/>
                <w:bCs w:val="0"/>
                <w:color w:val="auto"/>
                <w:sz w:val="22"/>
                <w:szCs w:val="22"/>
                <w:highlight w:val="none"/>
                <w:lang w:val="en-US" w:eastAsia="zh-CN" w:bidi="ar"/>
              </w:rPr>
              <w:t xml:space="preserve">  </w:t>
            </w:r>
            <w:r/>
          </w:p>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Style w:val="1470"/>
                <w:rFonts w:hint="eastAsia" w:ascii="微软雅黑" w:hAnsi="微软雅黑" w:eastAsia="微软雅黑" w:cs="微软雅黑"/>
                <w:b/>
                <w:bCs w:val="0"/>
                <w:color w:val="auto"/>
                <w:sz w:val="22"/>
                <w:szCs w:val="22"/>
                <w:highlight w:val="none"/>
                <w:lang w:val="en-US" w:eastAsia="zh-CN" w:bidi="ar"/>
              </w:rPr>
              <w:t xml:space="preserve"> </w:t>
            </w:r>
            <w:r>
              <w:rPr>
                <w:rFonts w:hint="eastAsia" w:ascii="宋体" w:hAnsi="宋体" w:eastAsia="宋体" w:cs="宋体"/>
                <w:color w:val="auto"/>
                <w:sz w:val="18"/>
                <w:szCs w:val="18"/>
                <w:highlight w:val="none"/>
                <w:lang w:val="en-US" w:eastAsia="zh-CN" w:bidi="ar"/>
              </w:rPr>
              <w:t xml:space="preserve">总报价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none" w:color="000000" w:sz="4" w:space="0"/>
              <w:bottom w:val="single" w:color="auto" w:sz="4" w:space="0"/>
              <w:right w:val="single" w:color="000000"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1"/>
                <w:szCs w:val="21"/>
                <w:highlight w:val="none"/>
              </w:rPr>
              <w:suppressLineNumbers w:val="0"/>
            </w:pPr>
            <w:r>
              <w:rPr>
                <w:rFonts w:hint="eastAsia" w:ascii="黑体" w:hAnsi="宋体" w:eastAsia="黑体" w:cs="黑体"/>
                <w:b/>
                <w:bCs w:val="0"/>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41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4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line="360" w:lineRule="auto"/>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8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auto" w:sz="4" w:space="0"/>
            </w:tcBorders>
            <w:tcMar>
              <w:left w:w="15" w:type="dxa"/>
              <w:top w:w="15" w:type="dxa"/>
              <w:right w:w="15" w:type="dxa"/>
            </w:tcMar>
            <w:tcW w:w="104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tcMar>
            <w:tcW w:w="18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18"/>
                <w:szCs w:val="18"/>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170" w:type="dxa"/>
            <w:vAlign w:val="center"/>
            <w:textDirection w:val="lrTb"/>
            <w:noWrap/>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215"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合计（元）</w:t>
            </w:r>
            <w:r/>
          </w:p>
        </w:tc>
        <w:tc>
          <w:tcPr>
            <w:gridSpan w:val="5"/>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ind w:left="0" w:right="0"/>
              <w:jc w:val="center"/>
              <w:keepLines w:val="0"/>
              <w:keepNext w:val="0"/>
              <w:spacing w:before="0" w:beforeAutospacing="0" w:after="0" w:afterAutospacing="0"/>
              <w:widowControl w:val="off"/>
              <w:rPr>
                <w:rFonts w:hint="eastAsia" w:ascii="黑体" w:hAnsi="宋体" w:eastAsia="黑体" w:cs="黑体"/>
                <w:b/>
                <w:bCs w:val="0"/>
                <w:color w:val="auto"/>
                <w:sz w:val="24"/>
                <w:szCs w:val="24"/>
                <w:highlight w:val="none"/>
              </w:rPr>
              <w:suppressLineNumbers w:val="0"/>
            </w:pPr>
            <w:r>
              <w:rPr>
                <w:rFonts w:hint="eastAsia" w:ascii="黑体" w:hAnsi="宋体" w:eastAsia="黑体" w:cs="黑体"/>
                <w:b/>
                <w:bCs w:val="0"/>
                <w:color w:val="auto"/>
                <w:sz w:val="24"/>
                <w:szCs w:val="24"/>
                <w:highlight w:val="none"/>
              </w:rPr>
            </w:r>
            <w:r/>
          </w:p>
        </w:tc>
      </w:tr>
      <w:tr>
        <w:trPr>
          <w:trHeight w:val="500"/>
        </w:trPr>
        <w:tc>
          <w:tcPr>
            <w:gridSpan w:val="3"/>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pStyle w:val="828"/>
              <w:ind w:left="0" w:right="57" w:firstLine="420"/>
              <w:jc w:val="center"/>
              <w:keepLines w:val="0"/>
              <w:keepNext w:val="0"/>
              <w:spacing w:before="0" w:beforeAutospacing="1" w:after="20" w:afterAutospacing="0" w:line="240" w:lineRule="atLeast"/>
              <w:widowControl w:val="off"/>
              <w:tabs>
                <w:tab w:val="left" w:pos="420" w:leader="none"/>
              </w:tabs>
              <w:rPr>
                <w:rFonts w:hint="eastAsia" w:ascii="宋体" w:hAnsi="宋体" w:eastAsia="宋体" w:cs="宋体"/>
                <w:b/>
                <w:bCs/>
                <w:color w:val="auto"/>
                <w:sz w:val="24"/>
                <w:szCs w:val="24"/>
                <w:highlight w:val="none"/>
              </w:rPr>
              <w:pBdr>
                <w:top w:val="none" w:color="auto" w:sz="0" w:space="0"/>
                <w:left w:val="none" w:color="auto" w:sz="0" w:space="0"/>
                <w:bottom w:val="single" w:color="000000" w:sz="6" w:space="1"/>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完工期</w:t>
            </w:r>
            <w:r/>
          </w:p>
        </w:tc>
        <w:tc>
          <w:tcPr>
            <w:gridSpan w:val="5"/>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4"/>
                <w:szCs w:val="24"/>
                <w:highlight w:val="none"/>
                <w:u w:val="single"/>
              </w:rPr>
              <w:suppressLineNumbers w:val="0"/>
            </w:pPr>
            <w:r>
              <w:rPr>
                <w:rFonts w:hint="eastAsia" w:ascii="宋体" w:hAnsi="宋体" w:eastAsia="宋体" w:cs="宋体"/>
                <w:bCs/>
                <w:color w:val="auto"/>
                <w:sz w:val="24"/>
                <w:szCs w:val="24"/>
                <w:highlight w:val="none"/>
                <w:lang w:val="en-US" w:eastAsia="zh-CN" w:bidi="ar"/>
              </w:rPr>
              <w:t xml:space="preserve">合同签订生效之日起</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日历日内交货并安装调试完毕</w:t>
            </w:r>
            <w:r/>
          </w:p>
        </w:tc>
      </w:tr>
      <w:tr>
        <w:trPr>
          <w:trHeight w:val="500"/>
        </w:trPr>
        <w:tc>
          <w:tcPr>
            <w:gridSpan w:val="3"/>
            <w:shd w:val="clear" w:color="auto" w:fill="auto"/>
            <w:tcBorders>
              <w:top w:val="single" w:color="000000" w:sz="4" w:space="0"/>
              <w:left w:val="single" w:color="000000" w:sz="4" w:space="0"/>
              <w:bottom w:val="single" w:color="000000" w:sz="4" w:space="0"/>
              <w:right w:val="single" w:color="auto" w:sz="4" w:space="0"/>
            </w:tcBorders>
            <w:tcMar>
              <w:left w:w="15" w:type="dxa"/>
              <w:top w:w="15" w:type="dxa"/>
              <w:right w:w="15" w:type="dxa"/>
            </w:tcMar>
            <w:tcW w:w="3428" w:type="dxa"/>
            <w:vAlign w:val="center"/>
            <w:textDirection w:val="lrTb"/>
            <w:noWrap/>
          </w:tcPr>
          <w:p>
            <w:pPr>
              <w:pStyle w:val="828"/>
              <w:ind w:left="0" w:right="57" w:firstLine="420"/>
              <w:jc w:val="center"/>
              <w:keepLines w:val="0"/>
              <w:keepNext w:val="0"/>
              <w:spacing w:before="0" w:beforeAutospacing="1" w:after="20" w:afterAutospacing="0" w:line="240" w:lineRule="atLeast"/>
              <w:widowControl w:val="off"/>
              <w:tabs>
                <w:tab w:val="left" w:pos="420" w:leader="none"/>
              </w:tabs>
              <w:rPr>
                <w:rFonts w:hint="eastAsia" w:ascii="宋体" w:hAnsi="宋体" w:eastAsia="宋体" w:cs="宋体"/>
                <w:b/>
                <w:bCs/>
                <w:color w:val="auto"/>
                <w:sz w:val="24"/>
                <w:szCs w:val="24"/>
                <w:highlight w:val="none"/>
              </w:rPr>
              <w:pBdr>
                <w:top w:val="none" w:color="auto" w:sz="0" w:space="0"/>
                <w:left w:val="none" w:color="auto" w:sz="0" w:space="0"/>
                <w:bottom w:val="single" w:color="000000" w:sz="6" w:space="1"/>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项目整体免费质保期</w:t>
            </w:r>
            <w:r/>
          </w:p>
        </w:tc>
        <w:tc>
          <w:tcPr>
            <w:gridSpan w:val="5"/>
            <w:shd w:val="clear" w:color="auto" w:fill="auto"/>
            <w:tcBorders>
              <w:top w:val="single" w:color="auto" w:sz="4" w:space="0"/>
              <w:left w:val="none" w:color="000000" w:sz="4" w:space="0"/>
              <w:bottom w:val="single" w:color="auto" w:sz="4" w:space="0"/>
              <w:right w:val="single" w:color="000000" w:sz="4" w:space="0"/>
            </w:tcBorders>
            <w:tcMar>
              <w:left w:w="15" w:type="dxa"/>
              <w:top w:w="15" w:type="dxa"/>
              <w:right w:w="15" w:type="dxa"/>
            </w:tcMar>
            <w:tcW w:w="620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项目经最终验收合格之日起____年</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30" w:type="dxa"/>
            <w:vAlign w:val="center"/>
            <w:textDirection w:val="lrTb"/>
            <w:noWrap/>
          </w:tcPr>
          <w:p>
            <w:pPr>
              <w:ind w:left="0" w:right="0"/>
              <w:jc w:val="left"/>
              <w:keepLines w:val="0"/>
              <w:keepNext w:val="0"/>
              <w:spacing w:before="0" w:beforeAutospacing="0" w:after="0" w:afterAutospacing="0" w:line="288" w:lineRule="auto"/>
              <w:widowControl w:val="off"/>
              <w:rPr>
                <w:rFonts w:hint="eastAsia" w:ascii="宋体" w:hAnsi="宋体" w:eastAsia="宋体" w:cs="宋体"/>
                <w:bCs/>
                <w:color w:val="auto"/>
                <w:sz w:val="28"/>
                <w:szCs w:val="28"/>
                <w:highlight w:val="none"/>
              </w:rPr>
              <w:suppressLineNumbers w:val="0"/>
            </w:pPr>
            <w:r>
              <w:rPr>
                <w:rFonts w:hint="eastAsia" w:ascii="宋体" w:hAnsi="宋体" w:eastAsia="宋体" w:cs="宋体"/>
                <w:bCs/>
                <w:color w:val="auto"/>
                <w:sz w:val="28"/>
                <w:szCs w:val="28"/>
                <w:highlight w:val="none"/>
                <w:lang w:val="en-US" w:eastAsia="zh-CN" w:bidi="ar"/>
              </w:rPr>
              <w:t xml:space="preserve">投标人承诺：</w:t>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Cs/>
                <w:color w:val="auto"/>
                <w:sz w:val="28"/>
                <w:szCs w:val="28"/>
                <w:highlight w:val="none"/>
                <w:lang w:val="en-US" w:eastAsia="zh-CN" w:bidi="ar"/>
              </w:rPr>
              <w:t xml:space="preserve">本采购项目或采购包中提供的符合本国产品标准的产品</w:t>
            </w:r>
            <w:r>
              <w:rPr>
                <w:rFonts w:hint="eastAsia" w:ascii="宋体" w:hAnsi="宋体" w:eastAsia="宋体" w:cs="宋体"/>
                <w:b/>
                <w:bCs/>
                <w:color w:val="auto"/>
                <w:sz w:val="28"/>
                <w:szCs w:val="28"/>
                <w:highlight w:val="none"/>
                <w:lang w:val="en-US" w:eastAsia="zh-CN" w:bidi="ar"/>
              </w:rPr>
              <w:t xml:space="preserve">成本之和</w:t>
            </w:r>
            <w:r>
              <w:rPr>
                <w:rFonts w:hint="eastAsia" w:ascii="宋体" w:hAnsi="宋体" w:eastAsia="宋体" w:cs="宋体"/>
                <w:bCs/>
                <w:color w:val="auto"/>
                <w:sz w:val="28"/>
                <w:szCs w:val="28"/>
                <w:highlight w:val="none"/>
                <w:lang w:val="en-US" w:eastAsia="zh-CN" w:bidi="ar"/>
              </w:rPr>
              <w:t xml:space="preserve">占提供的全部产品</w:t>
            </w:r>
            <w:r>
              <w:rPr>
                <w:rFonts w:hint="eastAsia" w:ascii="宋体" w:hAnsi="宋体" w:eastAsia="宋体" w:cs="宋体"/>
                <w:b/>
                <w:bCs/>
                <w:color w:val="auto"/>
                <w:sz w:val="28"/>
                <w:szCs w:val="28"/>
                <w:highlight w:val="none"/>
                <w:lang w:val="en-US" w:eastAsia="zh-CN" w:bidi="ar"/>
              </w:rPr>
              <w:t xml:space="preserve">成本之和</w:t>
            </w:r>
            <w:r>
              <w:rPr>
                <w:rFonts w:hint="eastAsia" w:ascii="宋体" w:hAnsi="宋体" w:eastAsia="宋体" w:cs="宋体"/>
                <w:bCs/>
                <w:color w:val="auto"/>
                <w:sz w:val="28"/>
                <w:szCs w:val="28"/>
                <w:highlight w:val="none"/>
                <w:lang w:val="en-US" w:eastAsia="zh-CN" w:bidi="ar"/>
              </w:rPr>
              <w:t xml:space="preserve">的比例：</w:t>
            </w:r>
            <w:r>
              <w:rPr>
                <w:rFonts w:hint="eastAsia" w:ascii="宋体" w:hAnsi="宋体" w:eastAsia="宋体" w:cs="宋体"/>
                <w:bCs/>
                <w:color w:val="auto"/>
                <w:sz w:val="28"/>
                <w:szCs w:val="28"/>
                <w:highlight w:val="none"/>
                <w:u w:val="single"/>
                <w:lang w:val="en-US" w:eastAsia="zh-CN" w:bidi="ar"/>
              </w:rPr>
              <w:t xml:space="preserve">      </w:t>
            </w:r>
            <w:r>
              <w:rPr>
                <w:rFonts w:hint="eastAsia" w:ascii="宋体" w:hAnsi="宋体" w:eastAsia="宋体" w:cs="宋体"/>
                <w:bCs/>
                <w:color w:val="auto"/>
                <w:sz w:val="28"/>
                <w:szCs w:val="28"/>
                <w:highlight w:val="none"/>
                <w:lang w:val="en-US" w:eastAsia="zh-CN" w:bidi="ar"/>
              </w:rPr>
              <w:t xml:space="preserve">%</w:t>
            </w:r>
            <w:r/>
          </w:p>
        </w:tc>
      </w:tr>
    </w:tbl>
    <w:p>
      <w:pPr>
        <w:ind w:left="0" w:right="-511"/>
        <w:jc w:val="both"/>
        <w:keepLines w:val="0"/>
        <w:keepNext w:val="0"/>
        <w:spacing w:before="0" w:beforeAutospacing="0" w:after="120" w:afterAutospacing="0" w:line="420" w:lineRule="exact"/>
        <w:widowControl w:val="off"/>
        <w:tabs>
          <w:tab w:val="left" w:pos="0" w:leader="none"/>
        </w:tabs>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法定代表人或法定代表人授权代表签字或盖章：</w:t>
      </w:r>
      <w:r/>
    </w:p>
    <w:p>
      <w:pPr>
        <w:ind w:left="0" w:right="-511"/>
        <w:jc w:val="both"/>
        <w:keepLines w:val="0"/>
        <w:keepNext w:val="0"/>
        <w:spacing w:before="0" w:beforeAutospacing="0" w:after="120" w:afterAutospacing="0" w:line="420" w:lineRule="exact"/>
        <w:widowControl w:val="off"/>
        <w:tabs>
          <w:tab w:val="left" w:pos="0" w:leader="none"/>
        </w:tabs>
        <w:rPr>
          <w:rFonts w:hint="default" w:ascii="Times New Roman" w:hAnsi="Times New Roman" w:eastAsia="宋体" w:cs="Times New Roman"/>
          <w:b/>
          <w:bCs/>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日期：</w:t>
      </w:r>
      <w:r/>
    </w:p>
    <w:p>
      <w:pPr>
        <w:ind w:left="0" w:right="0" w:firstLine="527"/>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
          <w:bCs w:val="0"/>
          <w:color w:val="auto"/>
          <w:sz w:val="21"/>
          <w:szCs w:val="21"/>
          <w:highlight w:val="none"/>
          <w:lang w:val="en-US" w:eastAsia="zh-CN" w:bidi="ar"/>
        </w:rPr>
        <w:t xml:space="preserve">注：</w:t>
      </w:r>
      <w:r>
        <w:rPr>
          <w:rFonts w:hint="eastAsia" w:ascii="宋体" w:hAnsi="宋体" w:eastAsia="宋体" w:cs="宋体"/>
          <w:bCs/>
          <w:color w:val="auto"/>
          <w:sz w:val="21"/>
          <w:szCs w:val="21"/>
          <w:highlight w:val="none"/>
          <w:lang w:val="en-US" w:eastAsia="zh-CN" w:bidi="ar"/>
        </w:rPr>
        <w:t xml:space="preserve">上述报价表不限于此，结合第三章项目要求和有关说明详细清单自行编制。</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（1）投标供应商应当根据“项目技术要求和有关说明”的内容在上表中详细填写；</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（2）表格不够可自行延长，但不得改变文本格式；</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（3）投标供应商对所报相关数据的真实性负责；</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（4）该报价包括实施本项目所需的全部设备、辅助材料、人工费、服务费、运输费、税金、安装调试费及其他一切费用。如有漏项，均由中标人承担；以上报价为含税价</w:t>
      </w:r>
      <w:r/>
    </w:p>
    <w:p>
      <w:pPr>
        <w:ind w:left="0" w:right="0" w:firstLine="525"/>
        <w:jc w:val="both"/>
        <w:keepLines w:val="0"/>
        <w:keepNext w:val="0"/>
        <w:spacing w:before="0" w:beforeAutospacing="0" w:after="0" w:afterAutospacing="0" w:line="400" w:lineRule="exact"/>
        <w:widowControl w:val="off"/>
        <w:rPr>
          <w:rFonts w:hint="eastAsia" w:ascii="宋体" w:hAnsi="宋体"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（5）当采</w:t>
      </w:r>
      <w:r>
        <w:rPr>
          <w:rFonts w:hint="eastAsia" w:ascii="宋体" w:hAnsi="宋体" w:eastAsia="宋体" w:cs="宋体"/>
          <w:bCs/>
          <w:color w:val="auto"/>
          <w:sz w:val="21"/>
          <w:szCs w:val="21"/>
          <w:highlight w:val="none"/>
          <w:lang w:val="en-US" w:eastAsia="zh-CN" w:bidi="ar"/>
        </w:rPr>
        <w:t xml:space="preserve">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二章第五条第三点“对本国产品的支持政策”）</w:t>
      </w:r>
      <w:r/>
    </w:p>
    <w:p>
      <w:pPr>
        <w:ind w:left="0" w:right="0" w:firstLine="525"/>
        <w:jc w:val="both"/>
        <w:keepLines w:val="0"/>
        <w:keepNext w:val="0"/>
        <w:spacing w:before="0" w:beforeAutospacing="0" w:after="0" w:afterAutospacing="0" w:line="400" w:lineRule="exact"/>
        <w:widowControl w:val="off"/>
        <w:rPr>
          <w:rFonts w:hint="eastAsia" w:ascii="宋体" w:hAnsi="Times New Roman" w:eastAsia="宋体" w:cs="Times New Roman"/>
          <w:bCs/>
          <w:color w:val="auto"/>
          <w:sz w:val="21"/>
          <w:szCs w:val="21"/>
          <w:highlight w:val="none"/>
        </w:rPr>
        <w:outlineLvl w:val="0"/>
        <w:suppressLineNumbers w:val="0"/>
      </w:pPr>
      <w:r>
        <w:rPr>
          <w:rFonts w:hint="eastAsia" w:ascii="宋体" w:hAnsi="宋体" w:eastAsia="宋体" w:cs="宋体"/>
          <w:bCs/>
          <w:color w:val="auto"/>
          <w:sz w:val="21"/>
          <w:szCs w:val="21"/>
          <w:highlight w:val="none"/>
          <w:lang w:val="en-US" w:eastAsia="zh-CN" w:bidi="ar"/>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left="0" w:right="0" w:firstLine="5280"/>
        <w:jc w:val="both"/>
        <w:keepLines w:val="0"/>
        <w:keepNext w:val="0"/>
        <w:spacing w:before="0" w:beforeAutospacing="0" w:after="0" w:afterAutospacing="0" w:line="360" w:lineRule="auto"/>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ind w:left="0" w:right="0"/>
        <w:jc w:val="left"/>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suppressLineNumbers w:val="0"/>
      </w:pPr>
      <w:r>
        <w:rPr>
          <w:rFonts w:hint="eastAsia" w:ascii="黑体" w:hAnsi="宋体" w:eastAsia="黑体" w:cs="Times New Roman"/>
          <w:bCs/>
          <w:color w:val="auto"/>
          <w:sz w:val="24"/>
          <w:szCs w:val="24"/>
          <w:highlight w:val="none"/>
          <w:lang w:val="en-US" w:eastAsia="zh-CN" w:bidi="ar"/>
        </w:rPr>
        <w:t xml:space="preserve"> </w:t>
      </w:r>
      <w:r/>
    </w:p>
    <w:p>
      <w:pPr>
        <w:rPr>
          <w:rFonts w:hint="eastAsia" w:ascii="黑体" w:hAnsi="宋体" w:eastAsia="黑体" w:cs="Times New Roman"/>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（九）投标偏离表（格式）：</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Times New Roman"/>
          <w:b/>
          <w:bCs w:val="0"/>
          <w:color w:val="auto"/>
          <w:sz w:val="24"/>
          <w:szCs w:val="24"/>
          <w:highlight w:val="none"/>
        </w:rPr>
        <w:outlineLvl w:val="0"/>
        <w:suppressLineNumbers w:val="0"/>
      </w:pPr>
      <w:r>
        <w:rPr>
          <w:rFonts w:hint="eastAsia" w:ascii="黑体" w:hAnsi="宋体" w:eastAsia="黑体" w:cs="黑体"/>
          <w:bCs/>
          <w:color w:val="auto"/>
          <w:sz w:val="28"/>
          <w:szCs w:val="28"/>
          <w:highlight w:val="none"/>
          <w:lang w:val="en-US" w:eastAsia="zh-CN" w:bidi="ar"/>
        </w:rPr>
        <w:t xml:space="preserve">投标偏离表</w:t>
      </w:r>
      <w:r/>
    </w:p>
    <w:p>
      <w:pPr>
        <w:ind w:left="0" w:right="0"/>
        <w:jc w:val="both"/>
        <w:keepLines w:val="0"/>
        <w:keepNext w:val="0"/>
        <w:spacing w:before="0" w:beforeAutospacing="0" w:after="0" w:afterAutospacing="0" w:line="400" w:lineRule="exact"/>
        <w:widowControl w:val="off"/>
        <w:rPr>
          <w:rFonts w:hint="eastAsia" w:ascii="黑体" w:hAnsi="Times New Roman" w:eastAsia="黑体" w:cs="Times New Roman"/>
          <w:bCs/>
          <w:color w:val="auto"/>
          <w:sz w:val="24"/>
          <w:szCs w:val="24"/>
          <w:highlight w:val="none"/>
        </w:rPr>
        <w:suppressLineNumbers w:val="0"/>
      </w:pPr>
      <w:r>
        <w:rPr>
          <w:rFonts w:hint="eastAsia" w:ascii="黑体" w:hAnsi="Times New Roman" w:eastAsia="黑体" w:cs="Times New Roman"/>
          <w:bCs/>
          <w:color w:val="auto"/>
          <w:sz w:val="24"/>
          <w:szCs w:val="24"/>
          <w:highlight w:val="none"/>
          <w:lang w:val="en-US" w:eastAsia="zh-CN" w:bidi="ar"/>
        </w:rPr>
        <w:t xml:space="preserve"> </w:t>
      </w:r>
      <w:r/>
    </w:p>
    <w:p>
      <w:pPr>
        <w:pStyle w:val="828"/>
        <w:ind w:left="0" w:right="0" w:firstLine="0"/>
        <w:jc w:val="both"/>
        <w:keepLines w:val="0"/>
        <w:keepNext w:val="0"/>
        <w:spacing w:before="0" w:beforeAutospacing="1" w:after="0" w:afterAutospacing="1"/>
        <w:widowControl w:val="off"/>
        <w:rPr>
          <w:rFonts w:hint="eastAsia" w:ascii="黑体" w:hAnsi="Times New Roman" w:eastAsia="黑体" w:cs="Times New Roman"/>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投标人名称（公章）：                            采购编号：</w:t>
      </w:r>
      <w:r/>
    </w:p>
    <w:p>
      <w:pPr>
        <w:ind w:left="0" w:right="0"/>
        <w:jc w:val="both"/>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tbl>
      <w:tblPr>
        <w:tblStyle w:val="808"/>
        <w:tblW w:w="9070" w:type="dxa"/>
        <w:tblInd w:w="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0" w:type="dxa"/>
        </w:tblCellMar>
        <w:tblLook w:val="04A0" w:firstRow="1" w:lastRow="0" w:firstColumn="1" w:lastColumn="0" w:noHBand="0" w:noVBand="1"/>
      </w:tblPr>
      <w:tblGrid>
        <w:gridCol w:w="1852"/>
        <w:gridCol w:w="2339"/>
        <w:gridCol w:w="2249"/>
        <w:gridCol w:w="2630"/>
      </w:tblGrid>
      <w:tr>
        <w:trPr>
          <w:cantSplit/>
          <w:trHeight w:val="555"/>
        </w:trPr>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名称</w:t>
            </w:r>
            <w:r/>
          </w:p>
        </w:tc>
        <w:tc>
          <w:tcPr>
            <w:shd w:val="clear" w:color="auto" w:fill="auto"/>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采购要求</w:t>
            </w:r>
            <w:r/>
          </w:p>
        </w:tc>
        <w:tc>
          <w:tcPr>
            <w:shd w:val="clear" w:color="auto" w:fill="auto"/>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实报内容</w:t>
            </w:r>
            <w:r/>
          </w:p>
        </w:tc>
        <w:tc>
          <w:tcPr>
            <w:shd w:val="clear" w:color="auto" w:fill="auto"/>
            <w:tcBorders>
              <w:top w:val="single" w:color="000000" w:sz="4" w:space="0"/>
              <w:left w:val="none" w:color="000000" w:sz="4" w:space="0"/>
              <w:bottom w:val="single" w:color="000000" w:sz="4" w:space="0"/>
              <w:right w:val="single" w:color="000000" w:sz="4" w:space="0"/>
            </w:tcBorders>
            <w:tcW w:w="26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偏离说明</w:t>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技术部分</w:t>
            </w:r>
            <w:r/>
          </w:p>
        </w:tc>
        <w:tc>
          <w:tcPr>
            <w:shd w:val="clear" w:color="auto" w:fill="auto"/>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6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6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r>
        <w:trPr>
          <w:cantSplit/>
          <w:trHeight w:val="510"/>
        </w:trPr>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bidi="ar"/>
              </w:rPr>
              <w:t xml:space="preserve">商务部分</w:t>
            </w:r>
            <w:r/>
          </w:p>
        </w:tc>
        <w:tc>
          <w:tcPr>
            <w:shd w:val="clear" w:color="auto" w:fill="auto"/>
            <w:tcBorders>
              <w:top w:val="single" w:color="000000" w:sz="4" w:space="0"/>
              <w:left w:val="none" w:color="000000" w:sz="4" w:space="0"/>
              <w:bottom w:val="single" w:color="000000" w:sz="4" w:space="0"/>
              <w:right w:val="single" w:color="000000" w:sz="4" w:space="0"/>
            </w:tcBorders>
            <w:tcW w:w="233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W w:w="224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响应第三章项目要求和有关说明中商务部分</w:t>
            </w:r>
            <w:r/>
          </w:p>
        </w:tc>
        <w:tc>
          <w:tcPr>
            <w:shd w:val="clear" w:color="auto" w:fill="auto"/>
            <w:tcBorders>
              <w:top w:val="single" w:color="000000" w:sz="4" w:space="0"/>
              <w:left w:val="none" w:color="000000" w:sz="4" w:space="0"/>
              <w:bottom w:val="single" w:color="000000" w:sz="4" w:space="0"/>
              <w:right w:val="single" w:color="000000" w:sz="4" w:space="0"/>
            </w:tcBorders>
            <w:tcW w:w="26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r>
            <w:r/>
          </w:p>
        </w:tc>
      </w:tr>
    </w:tbl>
    <w:p>
      <w:pPr>
        <w:ind w:left="0" w:right="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注：（1）本表不得删除；</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（2）如无任何偏离，请于本表 “偏离说明”中注明“无偏离”；</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（3）如有偏离项，请于本表中列明偏离内容，如需要可自行延长，其余无偏离内容无需赘述；</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left="0" w:right="0" w:firstLine="480"/>
        <w:jc w:val="both"/>
        <w:keepLines w:val="0"/>
        <w:keepNext w:val="0"/>
        <w:spacing w:before="0" w:beforeAutospacing="0" w:after="0" w:afterAutospacing="0"/>
        <w:widowControl w:val="off"/>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（5）表格不够可自行延长，但不得改变文本格式。</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黑体" w:hAnsi="Times New Roman" w:eastAsia="黑体" w:cs="Times New Roman"/>
          <w:bCs/>
          <w:color w:val="auto"/>
          <w:sz w:val="28"/>
          <w:szCs w:val="28"/>
          <w:highlight w:val="none"/>
        </w:rPr>
        <w:outlineLvl w:val="0"/>
        <w:suppressLineNumbers w:val="0"/>
      </w:pPr>
      <w:r>
        <w:rPr>
          <w:rFonts w:hint="eastAsia" w:ascii="黑体" w:hAnsi="Times New Roman" w:eastAsia="黑体" w:cs="Times New Roman"/>
          <w:bCs/>
          <w:color w:val="auto"/>
          <w:sz w:val="28"/>
          <w:szCs w:val="28"/>
          <w:highlight w:val="none"/>
          <w:lang w:val="en-US" w:eastAsia="zh-CN" w:bidi="ar"/>
        </w:rPr>
        <w:t xml:space="preserve"> </w:t>
      </w:r>
      <w:r/>
    </w:p>
    <w:p>
      <w:pPr>
        <w:rPr>
          <w:rFonts w:hint="eastAsia" w:ascii="黑体" w:hAnsi="宋体" w:eastAsia="黑体" w:cs="Times New Roman"/>
          <w:bCs/>
          <w:color w:val="auto"/>
          <w:sz w:val="24"/>
          <w:szCs w:val="24"/>
          <w:highlight w:val="none"/>
        </w:rPr>
        <w:sectPr>
          <w:footnotePr/>
          <w:endnotePr/>
          <w:type w:val="nextPage"/>
          <w:pgSz w:w="11906" w:h="16838" w:orient="portrait"/>
          <w:pgMar w:top="567" w:right="851" w:bottom="567" w:left="1134" w:header="624" w:footer="907" w:gutter="0"/>
          <w:cols w:num="1" w:sep="0" w:space="1701" w:equalWidth="1"/>
          <w:docGrid w:linePitch="360"/>
        </w:sectPr>
      </w:pPr>
      <w:r>
        <w:rPr>
          <w:rFonts w:hint="eastAsia" w:ascii="黑体" w:hAnsi="宋体" w:eastAsia="黑体" w:cs="Times New Roman"/>
          <w:bCs/>
          <w:color w:val="auto"/>
          <w:sz w:val="24"/>
          <w:szCs w:val="24"/>
          <w:highlight w:val="none"/>
        </w:rPr>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（十）投标供应商基本情况表（格式）</w:t>
      </w:r>
      <w:r/>
    </w:p>
    <w:p>
      <w:pPr>
        <w:pStyle w:val="828"/>
        <w:ind w:left="0" w:right="0" w:firstLine="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黑体" w:hAnsi="宋体" w:eastAsia="黑体" w:cs="黑体"/>
          <w:bCs/>
          <w:color w:val="auto"/>
          <w:sz w:val="28"/>
          <w:szCs w:val="28"/>
          <w:highlight w:val="none"/>
          <w:lang w:val="en-US" w:eastAsia="zh-CN" w:bidi="ar"/>
        </w:rPr>
        <w:t xml:space="preserve">投标供应商基本情况表</w:t>
      </w:r>
      <w:r/>
    </w:p>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单位名称：（公章）</w:t>
      </w:r>
      <w:r>
        <w:rPr>
          <w:rFonts w:hint="eastAsia" w:ascii="宋体" w:hAnsi="宋体" w:eastAsia="宋体" w:cs="宋体"/>
          <w:color w:val="auto"/>
          <w:sz w:val="21"/>
          <w:szCs w:val="21"/>
          <w:highlight w:val="none"/>
          <w:lang w:val="en-US" w:eastAsia="zh-CN" w:bidi="ar"/>
        </w:rPr>
        <w:t xml:space="preserve"> </w:t>
      </w:r>
      <w:r/>
    </w:p>
    <w:tbl>
      <w:tblPr>
        <w:tblStyle w:val="808"/>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法定代表人</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成立日期</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503"/>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企业地址</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注册资本</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firstLine="216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万元</w:t>
            </w:r>
            <w:r/>
          </w:p>
        </w:tc>
      </w:tr>
      <w:tr>
        <w:trPr>
          <w:cantSplit/>
          <w:jc w:val="center"/>
          <w:trHeight w:val="528"/>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经营范围</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541"/>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开户行</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银行账号</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541"/>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资产总计</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      万元</w:t>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净资产</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万元</w:t>
            </w:r>
            <w:r/>
          </w:p>
        </w:tc>
      </w:tr>
      <w:tr>
        <w:trPr>
          <w:cantSplit/>
          <w:jc w:val="center"/>
          <w:trHeight w:val="515"/>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股东权益</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     万元</w:t>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主营收入</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center"/>
            <w:textDirection w:val="lrTb"/>
            <w:noWrap w:val="false"/>
          </w:tcPr>
          <w:p>
            <w:pPr>
              <w:ind w:left="0" w:right="0"/>
              <w:jc w:val="center"/>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2025年     万元</w:t>
            </w:r>
            <w:r/>
          </w:p>
        </w:tc>
      </w:tr>
      <w:tr>
        <w:trPr>
          <w:cantSplit/>
          <w:jc w:val="center"/>
          <w:trHeight w:val="564"/>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实现利润</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2025年     万元</w:t>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营业面积</w:t>
            </w:r>
            <w:r/>
          </w:p>
        </w:tc>
        <w:tc>
          <w:tcPr>
            <w:shd w:val="clear" w:color="auto" w:fill="auto"/>
            <w:tcBorders>
              <w:top w:val="single" w:color="000000" w:sz="6" w:space="0"/>
              <w:left w:val="single" w:color="000000" w:sz="6" w:space="0"/>
              <w:bottom w:val="single" w:color="000000" w:sz="6" w:space="0"/>
              <w:right w:val="single" w:color="000000" w:sz="6" w:space="0"/>
            </w:tcBorders>
            <w:tcW w:w="1925" w:type="dxa"/>
            <w:vAlign w:val="center"/>
            <w:textDirection w:val="lrTb"/>
            <w:noWrap w:val="false"/>
          </w:tcPr>
          <w:p>
            <w:pPr>
              <w:ind w:left="0" w:right="0"/>
              <w:jc w:val="both"/>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         平方米</w:t>
            </w:r>
            <w:r/>
          </w:p>
        </w:tc>
        <w:tc>
          <w:tcPr>
            <w:shd w:val="clear" w:color="auto" w:fill="auto"/>
            <w:tcBorders>
              <w:top w:val="single" w:color="000000" w:sz="6" w:space="0"/>
              <w:left w:val="single" w:color="000000" w:sz="6" w:space="0"/>
              <w:bottom w:val="single" w:color="000000" w:sz="6" w:space="0"/>
              <w:right w:val="single" w:color="000000" w:sz="6" w:space="0"/>
            </w:tcBorders>
            <w:tcW w:w="1537"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其中：</w:t>
            </w:r>
            <w:r/>
          </w:p>
        </w:tc>
        <w:tc>
          <w:tcPr>
            <w:shd w:val="clear" w:color="auto" w:fill="auto"/>
            <w:tcBorders>
              <w:top w:val="single" w:color="000000" w:sz="6" w:space="0"/>
              <w:left w:val="single" w:color="000000" w:sz="6" w:space="0"/>
              <w:bottom w:val="single" w:color="000000" w:sz="6" w:space="0"/>
              <w:right w:val="single" w:color="000000" w:sz="6" w:space="0"/>
            </w:tcBorders>
            <w:tcW w:w="3216"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自有面积平方米</w:t>
            </w:r>
            <w:r/>
          </w:p>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承租面积平方米</w:t>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单位简历及内设机构情况</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703"/>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单位优势及特长</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近三年来完成或正在履行的重大合同情况</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最近2年内在经营过程中受到何种奖励或处分</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（包括财政、工商、税务、物价、技监部门稽查情况和结果）</w:t>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最近3年内有无因售假、售劣或是其他原因被消费者投诉或起诉的情况及说明</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（包括解决方式和结果）</w:t>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参加政府采购活动前三年内，在经营活动中有无重大违法记录情况及说明</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获得技术认证的工程师及简介</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cantSplit/>
          <w:jc w:val="center"/>
          <w:trHeight w:val="947"/>
        </w:trPr>
        <w:tc>
          <w:tcPr>
            <w:shd w:val="clear" w:color="auto" w:fill="auto"/>
            <w:tcBorders>
              <w:top w:val="single" w:color="000000" w:sz="6" w:space="0"/>
              <w:left w:val="single" w:color="000000" w:sz="6" w:space="0"/>
              <w:bottom w:val="single" w:color="000000" w:sz="6" w:space="0"/>
              <w:right w:val="single" w:color="000000" w:sz="6" w:space="0"/>
            </w:tcBorders>
            <w:tcW w:w="2590"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其他需要说明的情况</w:t>
            </w:r>
            <w:r/>
          </w:p>
        </w:tc>
        <w:tc>
          <w:tcPr>
            <w:gridSpan w:val="3"/>
            <w:shd w:val="clear" w:color="auto" w:fill="auto"/>
            <w:tcBorders>
              <w:top w:val="single" w:color="000000" w:sz="6" w:space="0"/>
              <w:left w:val="single" w:color="000000" w:sz="6" w:space="0"/>
              <w:bottom w:val="single" w:color="000000" w:sz="6" w:space="0"/>
              <w:right w:val="single" w:color="000000" w:sz="6" w:space="0"/>
            </w:tcBorders>
            <w:tcW w:w="6678" w:type="dxa"/>
            <w:vAlign w:val="top"/>
            <w:textDirection w:val="lrTb"/>
            <w:noWrap w:val="false"/>
          </w:tcPr>
          <w:p>
            <w:pPr>
              <w:ind w:left="0" w:right="0"/>
              <w:jc w:val="left"/>
              <w:keepLines w:val="0"/>
              <w:keepNext w:val="0"/>
              <w:spacing w:before="0" w:beforeAutospacing="0" w:after="0" w:afterAutospacing="0" w:line="273"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bl>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pStyle w:val="828"/>
        <w:ind w:left="0" w:right="0" w:firstLine="0"/>
        <w:jc w:val="both"/>
        <w:keepLines w:val="0"/>
        <w:keepNext w:val="0"/>
        <w:spacing w:before="0" w:beforeAutospacing="1" w:after="120" w:afterAutospacing="0"/>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黑体"/>
          <w:bCs/>
          <w:color w:val="auto"/>
          <w:sz w:val="24"/>
          <w:szCs w:val="24"/>
          <w:highlight w:val="none"/>
          <w:lang w:val="en-US" w:eastAsia="zh-CN" w:bidi="ar"/>
        </w:rPr>
        <w:t xml:space="preserve">（十一）关于符合本国产品标准的声明函（格式）：</w:t>
      </w:r>
      <w:r/>
    </w:p>
    <w:p>
      <w:pPr>
        <w:ind w:left="0" w:right="0" w:firstLine="0"/>
        <w:jc w:val="center"/>
        <w:keepLines w:val="0"/>
        <w:keepNext w:val="0"/>
        <w:spacing w:before="0" w:beforeAutospacing="0" w:after="0" w:afterAutospacing="0"/>
        <w:widowControl w:val="off"/>
        <w:rPr>
          <w:rFonts w:hint="eastAsia" w:ascii="宋体" w:hAnsi="宋体" w:eastAsia="宋体" w:cs="宋体"/>
          <w:bCs/>
          <w:color w:val="auto"/>
          <w:sz w:val="24"/>
          <w:szCs w:val="24"/>
          <w:highlight w:val="none"/>
          <w:shd w:val="clear" w:color="auto" w:fill="ffffff"/>
        </w:rPr>
        <w:suppressLineNumbers w:val="0"/>
      </w:pPr>
      <w:r>
        <w:rPr>
          <w:rFonts w:hint="eastAsia" w:ascii="黑体" w:hAnsi="宋体" w:eastAsia="黑体" w:cs="黑体"/>
          <w:bCs/>
          <w:color w:val="auto"/>
          <w:sz w:val="28"/>
          <w:szCs w:val="28"/>
          <w:highlight w:val="none"/>
          <w:lang w:val="en-US" w:eastAsia="zh-CN" w:bidi="ar"/>
        </w:rPr>
        <w:t xml:space="preserve">关于符合本国产品标准的声明函</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1.（产品名称1）¹，生产厂为（厂名）²，厂址为（生产厂址）。（产品名称1）的中国境内生产的组件成本占比≥（规定比例）³。（产品名称1）的（关键组件）⁴在中国境内生产。（产品名称1）的（关键工序）⁵在中国境内完成。</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2.（产品名称2），生产厂为（厂名），厂址为（生产厂址）。（产品名称2）的中国境内生产的组件成本占比≥（规定比例）。（产品名称2）的（关键组件）在中国境内生产。（产品名称2）的（关键工序）在中国境内完成。</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w:t>
      </w:r>
      <w:r/>
    </w:p>
    <w:p>
      <w:pPr>
        <w:pStyle w:val="828"/>
        <w:ind w:left="0" w:right="0" w:firstLine="420"/>
        <w:jc w:val="lef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本公司（单位）对上述声明内容的真实性负责。如有虚假，愿承担相应法律责任。</w:t>
      </w:r>
      <w:r/>
    </w:p>
    <w:p>
      <w:pPr>
        <w:pStyle w:val="828"/>
        <w:ind w:left="0" w:right="0" w:firstLine="420"/>
        <w:jc w:val="righ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公司（单位）名称（盖章）：      </w:t>
      </w:r>
      <w:r/>
    </w:p>
    <w:p>
      <w:pPr>
        <w:pStyle w:val="828"/>
        <w:ind w:left="0" w:right="0" w:firstLine="420"/>
        <w:jc w:val="right"/>
        <w:keepLines w:val="0"/>
        <w:keepNext w:val="0"/>
        <w:spacing w:before="13" w:beforeAutospacing="0" w:after="13" w:afterAutospacing="0" w:line="360" w:lineRule="auto"/>
        <w:shd w:val="clear" w:color="auto" w:fill="ffffff"/>
        <w:widowControl/>
        <w:rPr>
          <w:rFonts w:hint="eastAsia" w:ascii="宋体" w:hAnsi="宋体" w:eastAsia="宋体" w:cs="宋体"/>
          <w:bCs/>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shd w:val="clear" w:color="auto" w:fill="ffffff"/>
          <w:lang w:val="en-US" w:eastAsia="zh-CN" w:bidi="ar"/>
        </w:rPr>
        <w:t xml:space="preserve">日期：     年  月 日</w:t>
      </w:r>
      <w:r/>
    </w:p>
    <w:p>
      <w:pPr>
        <w:ind w:left="0" w:right="0"/>
        <w:jc w:val="both"/>
        <w:keepLines w:val="0"/>
        <w:keepNext w:val="0"/>
        <w:spacing w:before="0" w:beforeAutospacing="0" w:after="0" w:afterAutospacing="0"/>
        <w:widowControl w:val="off"/>
        <w:tabs>
          <w:tab w:val="center" w:pos="487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tabs>
          <w:tab w:val="center" w:pos="4870" w:leader="none"/>
        </w:tabs>
        <w:rPr>
          <w:rFonts w:hint="eastAsia" w:ascii="宋体" w:hAnsi="宋体" w:eastAsia="宋体" w:cs="宋体"/>
          <w:bCs/>
          <w:color w:val="auto"/>
          <w:sz w:val="24"/>
          <w:szCs w:val="24"/>
          <w:highlight w:val="none"/>
        </w:rPr>
        <w:outlineLvl w:val="0"/>
        <w:suppressLineNumbers w:val="0"/>
      </w:pPr>
      <w:r>
        <w:rPr>
          <w:rFonts w:hint="eastAsia" w:ascii="宋体" w:hAnsi="宋体" w:eastAsia="宋体" w:cs="宋体"/>
          <w:bCs/>
          <w:color w:val="auto"/>
          <w:sz w:val="24"/>
          <w:szCs w:val="24"/>
          <w:highlight w:val="none"/>
          <w:lang w:val="en-US" w:eastAsia="zh-CN" w:bidi="ar"/>
        </w:rPr>
        <w:t xml:space="preserve"> </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注：</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1.产品如有型号，请在“产品名称”栏一并填写。</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2.生产厂名与厂址应与生产厂营业执照载明的相关信息保持一致。</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3.该产品的中国境内生产的组件成本占比相关要求实施前，“规定比例”栏可不填，下同。</w:t>
      </w:r>
      <w:r/>
    </w:p>
    <w:p>
      <w:pPr>
        <w:pStyle w:val="828"/>
        <w:ind w:left="0" w:right="0" w:firstLine="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（在分产品确定的中国境内生产组件成本占比要求正式实施前，只要产品符合“在中华人民共和国关境内完成制造、加工或组装”的基本条件，即可视同为本国产品，无需填写具体的比例数值）</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4.该产品的关键组件要求实施前，“关键组件”栏可不填，下同。</w:t>
      </w:r>
      <w:r/>
    </w:p>
    <w:p>
      <w:pPr>
        <w:pStyle w:val="828"/>
        <w:ind w:left="440" w:right="0" w:hanging="440"/>
        <w:jc w:val="both"/>
        <w:keepLines w:val="0"/>
        <w:keepNext w:val="0"/>
        <w:spacing w:before="0" w:beforeAutospacing="1" w:after="0" w:afterAutospacing="1"/>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5.该产品的关键工序要求实施前，“关键工序”栏可不填，下同。</w:t>
      </w:r>
      <w:r/>
    </w:p>
    <w:p>
      <w:pPr>
        <w:ind w:left="0" w:right="0"/>
        <w:jc w:val="both"/>
        <w:keepLines w:val="0"/>
        <w:keepNext w:val="0"/>
        <w:spacing w:before="0" w:beforeAutospacing="0" w:after="0" w:afterAutospacing="0"/>
        <w:widowControl w:val="off"/>
        <w:rPr>
          <w:rFonts w:hint="eastAsia" w:ascii="黑体" w:hAnsi="宋体" w:eastAsia="黑体" w:cs="Times New Roman"/>
          <w:bCs/>
          <w:color w:val="auto"/>
          <w:sz w:val="24"/>
          <w:szCs w:val="24"/>
          <w:highlight w:val="none"/>
        </w:rPr>
        <w:outlineLvl w:val="2"/>
        <w:suppressLineNumbers w:val="0"/>
      </w:pPr>
      <w:r>
        <w:rPr>
          <w:rFonts w:hint="eastAsia" w:ascii="黑体" w:hAnsi="宋体" w:eastAsia="黑体" w:cs="Times New Roman"/>
          <w:bCs/>
          <w:color w:val="auto"/>
          <w:sz w:val="24"/>
          <w:szCs w:val="24"/>
          <w:highlight w:val="none"/>
        </w:rPr>
      </w:r>
      <w:r/>
    </w:p>
    <w:p>
      <w:pPr>
        <w:pStyle w:val="1382"/>
        <w:rPr>
          <w:color w:val="auto"/>
          <w:highlight w:val="none"/>
        </w:rPr>
      </w:pPr>
      <w:r>
        <w:rPr>
          <w:color w:val="auto"/>
          <w:highlight w:val="none"/>
        </w:rPr>
      </w:r>
      <w:r/>
    </w:p>
    <w:sectPr>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_GB2312">
    <w:panose1 w:val="02010609060101010101"/>
  </w:font>
  <w:font w:name="华文楷体">
    <w:panose1 w:val="0201060004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PingFang SC">
    <w:panose1 w:val="020B0503020202020204"/>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8"/>
                          </w:pPr>
                          <w:r>
                            <w:fldChar w:fldCharType="begin"/>
                          </w:r>
                          <w:r>
                            <w:instrText xml:space="preserve"> PAGE  \* MERGEFORMAT </w:instrText>
                          </w:r>
                          <w:r>
                            <w:fldChar w:fldCharType="separate"/>
                          </w:r>
                          <w:r>
                            <w:t xml:space="preserve">20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07941" cy="153339"/>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307941" cy="153339"/>
                      </a:xfrm>
                      <a:prstGeom prst="rect">
                        <a:avLst/>
                      </a:prstGeom>
                      <a:noFill/>
                      <a:ln>
                        <a:noFill/>
                        <a:miter/>
                      </a:ln>
                    </wps:spPr>
                    <wps:txbx>
                      <w:txbxContent>
                        <w:p>
                          <w:pPr>
                            <w:pStyle w:val="818"/>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4.2pt;height:12.1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spacing w:line="240" w:lineRule="auto"/>
      <w:rPr>
        <w:rFonts w:hint="eastAsia" w:eastAsia="楷体_GB2312"/>
        <w:lang w:eastAsia="zh-CN"/>
      </w:rPr>
    </w:pPr>
    <w:r>
      <w:rPr>
        <w:rFonts w:hint="eastAsia" w:eastAsia="楷体_GB2312" w:cs="Times New Roman"/>
        <w:i w:val="0"/>
        <w:iCs w:val="0"/>
        <w:caps w:val="0"/>
        <w:spacing w:val="0"/>
        <w:sz w:val="22"/>
        <w:szCs w:val="21"/>
        <w:shd w:val="clear" w:color="auto"/>
        <w:lang w:eastAsia="zh-CN"/>
      </w:rPr>
      <w:t xml:space="preserve">JSZC-320205-WXXG-G2026-0010</w:t>
    </w:r>
    <w:r>
      <w:rPr>
        <w:rFonts w:hint="eastAsia" w:eastAsia="楷体_GB2312"/>
        <w:sz w:val="22"/>
        <w:szCs w:val="21"/>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江苏省锡东高级中学大成分校实验室采购项目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ind w:left="5520" w:hanging="5520"/>
      <w:jc w:val="both"/>
      <w:spacing w:line="240" w:lineRule="auto"/>
      <w:rPr>
        <w:rFonts w:hint="eastAsia" w:eastAsia="楷体_GB2312"/>
        <w:sz w:val="20"/>
        <w:lang w:eastAsia="zh-CN"/>
      </w:rPr>
    </w:pPr>
    <w:r>
      <w:rPr>
        <w:rFonts w:hint="eastAsia" w:eastAsia="楷体_GB2312"/>
        <w:sz w:val="24"/>
        <w:szCs w:val="16"/>
        <w:lang w:eastAsia="zh-CN"/>
      </w:rPr>
      <w:t xml:space="preserve">JSZC-320205-WXXG-G2026-0010</w:t>
    </w:r>
    <w:r>
      <w:rPr>
        <w:rFonts w:eastAsia="楷体_GB2312"/>
        <w:sz w:val="28"/>
      </w:rPr>
      <w:t xml:space="preserve"> </w:t>
    </w:r>
    <w:r>
      <w:rPr>
        <w:rFonts w:hint="eastAsia" w:eastAsia="楷体_GB2312"/>
        <w:sz w:val="22"/>
      </w:rPr>
      <w:t xml:space="preserve">                </w:t>
    </w:r>
    <w:r>
      <w:rPr>
        <w:rFonts w:hint="eastAsia" w:eastAsia="楷体_GB2312"/>
        <w:sz w:val="22"/>
        <w:szCs w:val="21"/>
        <w:lang w:eastAsia="zh-CN"/>
      </w:rPr>
      <w:t xml:space="preserve">江苏省锡东高级中学大成分校实验室采购项目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47"/>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ind w:left="6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42"/>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64"/>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hint="default" w:ascii="Times New Roman" w:hAnsi="Times New Roman" w:cs="Times New Roman"/>
        <w:color w:val="000000"/>
      </w:rPr>
    </w:lvl>
    <w:lvl w:ilvl="1">
      <w:start w:val="1"/>
      <w:numFmt w:val="lowerLetter"/>
      <w:isLgl w:val="false"/>
      <w:suff w:val="tab"/>
      <w:lvlText w:val="%2)"/>
      <w:lvlJc w:val="left"/>
      <w:pPr>
        <w:ind w:left="840" w:hanging="420"/>
        <w:tabs>
          <w:tab w:val="left" w:pos="840" w:leader="none"/>
        </w:tabs>
      </w:pPr>
      <w:rPr>
        <w:rFonts w:hint="default" w:ascii="Times New Roman" w:hAnsi="Times New Roman" w:cs="Times New Roman"/>
      </w:rPr>
    </w:lvl>
    <w:lvl w:ilvl="2">
      <w:start w:val="10"/>
      <w:numFmt w:val="decimal"/>
      <w:isLgl w:val="false"/>
      <w:suff w:val="tab"/>
      <w:lvlText w:val="%3."/>
      <w:lvlJc w:val="left"/>
      <w:pPr>
        <w:ind w:left="1200" w:hanging="360"/>
        <w:tabs>
          <w:tab w:val="left" w:pos="1200" w:leader="none"/>
        </w:tabs>
      </w:pPr>
      <w:rPr>
        <w:rFonts w:hint="default" w:ascii="Times New Roman" w:hAnsi="Times New Roman" w:cs="Times New Roman"/>
      </w:rPr>
    </w:lvl>
    <w:lvl w:ilvl="3">
      <w:start w:val="1"/>
      <w:numFmt w:val="decimal"/>
      <w:isLgl w:val="false"/>
      <w:suff w:val="tab"/>
      <w:lvlText w:val="%4."/>
      <w:lvlJc w:val="left"/>
      <w:pPr>
        <w:ind w:left="1680" w:hanging="420"/>
        <w:tabs>
          <w:tab w:val="left" w:pos="1680" w:leader="none"/>
        </w:tabs>
      </w:pPr>
      <w:rPr>
        <w:rFonts w:hint="default"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hint="default"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hint="default" w:ascii="Times New Roman" w:hAnsi="Times New Roman" w:cs="Times New Roman"/>
      </w:rPr>
    </w:lvl>
    <w:lvl w:ilvl="6">
      <w:start w:val="1"/>
      <w:numFmt w:val="decimal"/>
      <w:isLgl w:val="false"/>
      <w:suff w:val="tab"/>
      <w:lvlText w:val="%7."/>
      <w:lvlJc w:val="left"/>
      <w:pPr>
        <w:ind w:left="2940" w:hanging="420"/>
        <w:tabs>
          <w:tab w:val="left" w:pos="2940" w:leader="none"/>
        </w:tabs>
      </w:pPr>
      <w:rPr>
        <w:rFonts w:hint="default"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hint="default"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hint="default" w:ascii="Times New Roman" w:hAnsi="Times New Roman" w:cs="Times New Roman"/>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pStyle w:val="1242"/>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8">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900" w:hanging="420"/>
      </w:pPr>
      <w:rPr>
        <w:rFonts w:hint="default"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78"/>
      <w:isLgl w:val="false"/>
      <w:suff w:val="tab"/>
      <w:lvlText w:val="%1、"/>
      <w:lvlJc w:val="left"/>
      <w:pPr>
        <w:ind w:left="360" w:hanging="360"/>
        <w:tabs>
          <w:tab w:val="left" w:pos="360" w:leader="none"/>
        </w:tabs>
      </w:pPr>
    </w:lvl>
    <w:lvl w:ilvl="1">
      <w:start w:val="1"/>
      <w:numFmt w:val="lowerLetter"/>
      <w:pStyle w:val="146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98">
    <w:name w:val="Heading 1"/>
    <w:basedOn w:val="797"/>
    <w:next w:val="797"/>
    <w:link w:val="874"/>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797"/>
    <w:link w:val="875"/>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76"/>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77"/>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78"/>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79"/>
    <w:uiPriority w:val="9"/>
    <w:unhideWhenUsed/>
    <w:qFormat/>
    <w:pPr>
      <w:keepLines/>
      <w:keepNext/>
      <w:spacing w:before="320" w:after="200"/>
      <w:outlineLvl w:val="5"/>
    </w:pPr>
    <w:rPr>
      <w:rFonts w:ascii="Arial" w:hAnsi="Arial" w:eastAsia="Arial" w:cs="Arial"/>
      <w:b/>
      <w:bCs/>
      <w:sz w:val="22"/>
      <w:szCs w:val="22"/>
    </w:rPr>
  </w:style>
  <w:style w:type="paragraph" w:styleId="804">
    <w:name w:val="Heading 7"/>
    <w:basedOn w:val="797"/>
    <w:next w:val="797"/>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Heading 8"/>
    <w:basedOn w:val="797"/>
    <w:next w:val="797"/>
    <w:link w:val="881"/>
    <w:uiPriority w:val="9"/>
    <w:unhideWhenUsed/>
    <w:qFormat/>
    <w:pPr>
      <w:keepLines/>
      <w:keepNext/>
      <w:spacing w:before="320" w:after="200"/>
      <w:outlineLvl w:val="7"/>
    </w:pPr>
    <w:rPr>
      <w:rFonts w:ascii="Arial" w:hAnsi="Arial" w:eastAsia="Arial" w:cs="Arial"/>
      <w:i/>
      <w:iCs/>
      <w:sz w:val="22"/>
      <w:szCs w:val="22"/>
    </w:rPr>
  </w:style>
  <w:style w:type="paragraph" w:styleId="806">
    <w:name w:val="Heading 9"/>
    <w:basedOn w:val="797"/>
    <w:next w:val="797"/>
    <w:link w:val="882"/>
    <w:uiPriority w:val="9"/>
    <w:unhideWhenUsed/>
    <w:qFormat/>
    <w:pPr>
      <w:keepLines/>
      <w:keepNext/>
      <w:spacing w:before="320" w:after="200"/>
      <w:outlineLvl w:val="8"/>
    </w:pPr>
    <w:rPr>
      <w:rFonts w:ascii="Arial" w:hAnsi="Arial" w:eastAsia="Arial" w:cs="Arial"/>
      <w:i/>
      <w:iCs/>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9">
    <w:name w:val="toc 7"/>
    <w:basedOn w:val="797"/>
    <w:next w:val="797"/>
    <w:uiPriority w:val="39"/>
    <w:unhideWhenUsed/>
    <w:qFormat/>
    <w:pPr>
      <w:ind w:left="1701"/>
      <w:spacing w:after="57"/>
    </w:pPr>
  </w:style>
  <w:style w:type="paragraph" w:styleId="810">
    <w:name w:val="Caption"/>
    <w:basedOn w:val="797"/>
    <w:next w:val="797"/>
    <w:uiPriority w:val="35"/>
    <w:semiHidden/>
    <w:unhideWhenUsed/>
    <w:qFormat/>
    <w:pPr>
      <w:spacing w:line="276" w:lineRule="auto"/>
    </w:pPr>
    <w:rPr>
      <w:b/>
      <w:bCs/>
      <w:color w:val="4f81bd"/>
      <w:sz w:val="18"/>
      <w:szCs w:val="18"/>
    </w:rPr>
  </w:style>
  <w:style w:type="paragraph" w:styleId="811">
    <w:name w:val="annotation text"/>
    <w:basedOn w:val="797"/>
    <w:uiPriority w:val="99"/>
    <w:semiHidden/>
    <w:unhideWhenUsed/>
    <w:qFormat/>
    <w:pPr>
      <w:jc w:val="left"/>
    </w:pPr>
  </w:style>
  <w:style w:type="paragraph" w:styleId="812">
    <w:name w:val="Body Text"/>
    <w:basedOn w:val="797"/>
    <w:next w:val="797"/>
    <w:uiPriority w:val="99"/>
    <w:qFormat/>
    <w:rPr>
      <w:rFonts w:ascii="华文中宋" w:eastAsia="华文中宋"/>
      <w:bCs/>
      <w:sz w:val="28"/>
    </w:rPr>
  </w:style>
  <w:style w:type="paragraph" w:styleId="813">
    <w:name w:val="index 4"/>
    <w:basedOn w:val="797"/>
    <w:next w:val="797"/>
    <w:uiPriority w:val="99"/>
    <w:qFormat/>
    <w:pPr>
      <w:ind w:left="600"/>
    </w:pPr>
    <w:rPr>
      <w:szCs w:val="24"/>
    </w:rPr>
  </w:style>
  <w:style w:type="paragraph" w:styleId="814">
    <w:name w:val="toc 5"/>
    <w:basedOn w:val="797"/>
    <w:next w:val="797"/>
    <w:uiPriority w:val="39"/>
    <w:unhideWhenUsed/>
    <w:qFormat/>
    <w:pPr>
      <w:ind w:left="1134"/>
      <w:spacing w:after="57"/>
    </w:pPr>
  </w:style>
  <w:style w:type="paragraph" w:styleId="815">
    <w:name w:val="toc 3"/>
    <w:basedOn w:val="797"/>
    <w:next w:val="797"/>
    <w:uiPriority w:val="39"/>
    <w:unhideWhenUsed/>
    <w:qFormat/>
    <w:pPr>
      <w:ind w:left="567"/>
      <w:spacing w:after="57"/>
    </w:pPr>
  </w:style>
  <w:style w:type="paragraph" w:styleId="816">
    <w:name w:val="toc 8"/>
    <w:basedOn w:val="797"/>
    <w:next w:val="797"/>
    <w:uiPriority w:val="39"/>
    <w:unhideWhenUsed/>
    <w:qFormat/>
    <w:pPr>
      <w:ind w:left="1984"/>
      <w:spacing w:after="57"/>
    </w:pPr>
  </w:style>
  <w:style w:type="paragraph" w:styleId="817">
    <w:name w:val="endnote text"/>
    <w:basedOn w:val="797"/>
    <w:link w:val="1019"/>
    <w:uiPriority w:val="99"/>
    <w:semiHidden/>
    <w:unhideWhenUsed/>
    <w:qFormat/>
    <w:pPr>
      <w:spacing w:line="240" w:lineRule="auto"/>
    </w:pPr>
    <w:rPr>
      <w:sz w:val="20"/>
    </w:rPr>
  </w:style>
  <w:style w:type="paragraph" w:styleId="818">
    <w:name w:val="Footer"/>
    <w:basedOn w:val="797"/>
    <w:next w:val="797"/>
    <w:link w:val="892"/>
    <w:uiPriority w:val="99"/>
    <w:unhideWhenUsed/>
    <w:qFormat/>
    <w:pPr>
      <w:spacing w:line="240" w:lineRule="auto"/>
      <w:tabs>
        <w:tab w:val="center" w:pos="7143" w:leader="none"/>
        <w:tab w:val="right" w:pos="14287" w:leader="none"/>
      </w:tabs>
    </w:pPr>
  </w:style>
  <w:style w:type="paragraph" w:styleId="819">
    <w:name w:val="Header"/>
    <w:basedOn w:val="797"/>
    <w:link w:val="890"/>
    <w:uiPriority w:val="99"/>
    <w:unhideWhenUsed/>
    <w:qFormat/>
    <w:pPr>
      <w:spacing w:line="240" w:lineRule="auto"/>
      <w:tabs>
        <w:tab w:val="center" w:pos="7143" w:leader="none"/>
        <w:tab w:val="right" w:pos="14287" w:leader="none"/>
      </w:tabs>
    </w:pPr>
  </w:style>
  <w:style w:type="paragraph" w:styleId="820">
    <w:name w:val="toc 1"/>
    <w:basedOn w:val="797"/>
    <w:next w:val="797"/>
    <w:uiPriority w:val="39"/>
    <w:unhideWhenUsed/>
    <w:qFormat/>
    <w:pPr>
      <w:spacing w:after="57"/>
    </w:pPr>
  </w:style>
  <w:style w:type="paragraph" w:styleId="821">
    <w:name w:val="toc 4"/>
    <w:basedOn w:val="797"/>
    <w:next w:val="797"/>
    <w:uiPriority w:val="39"/>
    <w:unhideWhenUsed/>
    <w:qFormat/>
    <w:pPr>
      <w:ind w:left="850"/>
      <w:spacing w:after="57"/>
    </w:pPr>
  </w:style>
  <w:style w:type="paragraph" w:styleId="822">
    <w:name w:val="Subtitle"/>
    <w:basedOn w:val="797"/>
    <w:next w:val="797"/>
    <w:link w:val="885"/>
    <w:uiPriority w:val="11"/>
    <w:qFormat/>
    <w:pPr>
      <w:spacing w:before="200" w:after="200"/>
    </w:pPr>
    <w:rPr>
      <w:sz w:val="24"/>
      <w:szCs w:val="24"/>
    </w:rPr>
  </w:style>
  <w:style w:type="paragraph" w:styleId="823">
    <w:name w:val="footnote text"/>
    <w:basedOn w:val="797"/>
    <w:link w:val="1018"/>
    <w:uiPriority w:val="99"/>
    <w:semiHidden/>
    <w:unhideWhenUsed/>
    <w:qFormat/>
    <w:pPr>
      <w:spacing w:after="40" w:line="240" w:lineRule="auto"/>
    </w:pPr>
    <w:rPr>
      <w:sz w:val="18"/>
    </w:rPr>
  </w:style>
  <w:style w:type="paragraph" w:styleId="824">
    <w:name w:val="toc 6"/>
    <w:basedOn w:val="797"/>
    <w:next w:val="797"/>
    <w:uiPriority w:val="39"/>
    <w:unhideWhenUsed/>
    <w:qFormat/>
    <w:pPr>
      <w:ind w:left="1417"/>
      <w:spacing w:after="57"/>
    </w:pPr>
  </w:style>
  <w:style w:type="paragraph" w:styleId="825">
    <w:name w:val="table of figures"/>
    <w:basedOn w:val="797"/>
    <w:next w:val="797"/>
    <w:uiPriority w:val="99"/>
    <w:unhideWhenUsed/>
    <w:qFormat/>
  </w:style>
  <w:style w:type="paragraph" w:styleId="826">
    <w:name w:val="toc 2"/>
    <w:basedOn w:val="797"/>
    <w:next w:val="797"/>
    <w:uiPriority w:val="39"/>
    <w:unhideWhenUsed/>
    <w:qFormat/>
    <w:pPr>
      <w:ind w:left="283"/>
      <w:spacing w:after="57"/>
    </w:pPr>
  </w:style>
  <w:style w:type="paragraph" w:styleId="827">
    <w:name w:val="toc 9"/>
    <w:basedOn w:val="797"/>
    <w:next w:val="797"/>
    <w:uiPriority w:val="39"/>
    <w:unhideWhenUsed/>
    <w:qFormat/>
    <w:pPr>
      <w:ind w:left="2268"/>
      <w:spacing w:after="57"/>
    </w:pPr>
  </w:style>
  <w:style w:type="paragraph" w:styleId="828">
    <w:name w:val="Normal (Web)"/>
    <w:basedOn w:val="797"/>
    <w:uiPriority w:val="99"/>
    <w:qFormat/>
    <w:pPr>
      <w:ind w:firstLine="420"/>
      <w:jc w:val="left"/>
      <w:spacing w:beforeAutospacing="1" w:afterAutospacing="1" w:line="288" w:lineRule="auto"/>
      <w:widowControl/>
    </w:pPr>
    <w:rPr>
      <w:rFonts w:ascii="宋体" w:hAnsi="宋体"/>
      <w:sz w:val="24"/>
    </w:rPr>
  </w:style>
  <w:style w:type="paragraph" w:styleId="829">
    <w:name w:val="Title"/>
    <w:basedOn w:val="797"/>
    <w:next w:val="797"/>
    <w:link w:val="884"/>
    <w:uiPriority w:val="10"/>
    <w:qFormat/>
    <w:pPr>
      <w:contextualSpacing/>
      <w:spacing w:before="300" w:after="200"/>
    </w:pPr>
    <w:rPr>
      <w:sz w:val="48"/>
      <w:szCs w:val="48"/>
    </w:rPr>
  </w:style>
  <w:style w:type="table" w:styleId="83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1">
    <w:name w:val="endnote reference"/>
    <w:uiPriority w:val="99"/>
    <w:semiHidden/>
    <w:unhideWhenUsed/>
    <w:qFormat/>
    <w:rPr>
      <w:vertAlign w:val="superscript"/>
    </w:rPr>
  </w:style>
  <w:style w:type="character" w:styleId="832">
    <w:name w:val="Hyperlink"/>
    <w:uiPriority w:val="99"/>
    <w:unhideWhenUsed/>
    <w:qFormat/>
    <w:rPr>
      <w:color w:val="0000ff"/>
      <w:u w:val="single"/>
    </w:rPr>
  </w:style>
  <w:style w:type="character" w:styleId="833">
    <w:name w:val="annotation reference"/>
    <w:basedOn w:val="807"/>
    <w:uiPriority w:val="99"/>
    <w:semiHidden/>
    <w:unhideWhenUsed/>
    <w:qFormat/>
    <w:rPr>
      <w:sz w:val="21"/>
      <w:szCs w:val="21"/>
    </w:rPr>
  </w:style>
  <w:style w:type="character" w:styleId="834">
    <w:name w:val="footnote reference"/>
    <w:uiPriority w:val="99"/>
    <w:unhideWhenUsed/>
    <w:qFormat/>
    <w:rPr>
      <w:vertAlign w:val="superscript"/>
    </w:rPr>
  </w:style>
  <w:style w:type="paragraph" w:styleId="835" w:customStyle="1">
    <w:name w:val="索引 41"/>
    <w:basedOn w:val="797"/>
    <w:next w:val="797"/>
    <w:uiPriority w:val="99"/>
    <w:qFormat/>
    <w:pPr>
      <w:ind w:left="600"/>
    </w:pPr>
    <w:rPr>
      <w:szCs w:val="24"/>
    </w:rPr>
  </w:style>
  <w:style w:type="character" w:styleId="836" w:customStyle="1">
    <w:name w:val="Heading 1 Char"/>
    <w:basedOn w:val="807"/>
    <w:uiPriority w:val="9"/>
    <w:qFormat/>
    <w:rPr>
      <w:rFonts w:ascii="Arial" w:hAnsi="Arial" w:eastAsia="Arial" w:cs="Arial"/>
      <w:sz w:val="40"/>
      <w:szCs w:val="40"/>
    </w:rPr>
  </w:style>
  <w:style w:type="character" w:styleId="837" w:customStyle="1">
    <w:name w:val="Heading 2 Char"/>
    <w:basedOn w:val="807"/>
    <w:uiPriority w:val="9"/>
    <w:qFormat/>
    <w:rPr>
      <w:rFonts w:ascii="Arial" w:hAnsi="Arial" w:eastAsia="Arial" w:cs="Arial"/>
      <w:sz w:val="34"/>
    </w:rPr>
  </w:style>
  <w:style w:type="character" w:styleId="838" w:customStyle="1">
    <w:name w:val="Heading 3 Char"/>
    <w:basedOn w:val="807"/>
    <w:uiPriority w:val="9"/>
    <w:qFormat/>
    <w:rPr>
      <w:rFonts w:ascii="Arial" w:hAnsi="Arial" w:eastAsia="Arial" w:cs="Arial"/>
      <w:sz w:val="30"/>
      <w:szCs w:val="30"/>
    </w:rPr>
  </w:style>
  <w:style w:type="character" w:styleId="839" w:customStyle="1">
    <w:name w:val="Heading 4 Char"/>
    <w:basedOn w:val="807"/>
    <w:uiPriority w:val="9"/>
    <w:qFormat/>
    <w:rPr>
      <w:rFonts w:ascii="Arial" w:hAnsi="Arial" w:eastAsia="Arial" w:cs="Arial"/>
      <w:b/>
      <w:bCs/>
      <w:sz w:val="26"/>
      <w:szCs w:val="26"/>
    </w:rPr>
  </w:style>
  <w:style w:type="character" w:styleId="840" w:customStyle="1">
    <w:name w:val="Heading 5 Char"/>
    <w:basedOn w:val="807"/>
    <w:uiPriority w:val="9"/>
    <w:qFormat/>
    <w:rPr>
      <w:rFonts w:ascii="Arial" w:hAnsi="Arial" w:eastAsia="Arial" w:cs="Arial"/>
      <w:b/>
      <w:bCs/>
      <w:sz w:val="24"/>
      <w:szCs w:val="24"/>
    </w:rPr>
  </w:style>
  <w:style w:type="character" w:styleId="841" w:customStyle="1">
    <w:name w:val="Heading 6 Char"/>
    <w:basedOn w:val="807"/>
    <w:uiPriority w:val="9"/>
    <w:qFormat/>
    <w:rPr>
      <w:rFonts w:ascii="Arial" w:hAnsi="Arial" w:eastAsia="Arial" w:cs="Arial"/>
      <w:b/>
      <w:bCs/>
      <w:sz w:val="22"/>
      <w:szCs w:val="22"/>
    </w:rPr>
  </w:style>
  <w:style w:type="character" w:styleId="842" w:customStyle="1">
    <w:name w:val="Heading 7 Char"/>
    <w:basedOn w:val="807"/>
    <w:uiPriority w:val="9"/>
    <w:qFormat/>
    <w:rPr>
      <w:rFonts w:ascii="Arial" w:hAnsi="Arial" w:eastAsia="Arial" w:cs="Arial"/>
      <w:b/>
      <w:bCs/>
      <w:i/>
      <w:iCs/>
      <w:sz w:val="22"/>
      <w:szCs w:val="22"/>
    </w:rPr>
  </w:style>
  <w:style w:type="character" w:styleId="843" w:customStyle="1">
    <w:name w:val="Heading 8 Char"/>
    <w:basedOn w:val="807"/>
    <w:uiPriority w:val="9"/>
    <w:qFormat/>
    <w:rPr>
      <w:rFonts w:ascii="Arial" w:hAnsi="Arial" w:eastAsia="Arial" w:cs="Arial"/>
      <w:i/>
      <w:iCs/>
      <w:sz w:val="22"/>
      <w:szCs w:val="22"/>
    </w:rPr>
  </w:style>
  <w:style w:type="character" w:styleId="844" w:customStyle="1">
    <w:name w:val="Heading 9 Char"/>
    <w:basedOn w:val="807"/>
    <w:uiPriority w:val="9"/>
    <w:qFormat/>
    <w:rPr>
      <w:rFonts w:ascii="Arial" w:hAnsi="Arial" w:eastAsia="Arial" w:cs="Arial"/>
      <w:i/>
      <w:iCs/>
      <w:sz w:val="21"/>
      <w:szCs w:val="21"/>
    </w:rPr>
  </w:style>
  <w:style w:type="character" w:styleId="845" w:customStyle="1">
    <w:name w:val="Title Char"/>
    <w:basedOn w:val="807"/>
    <w:uiPriority w:val="10"/>
    <w:qFormat/>
    <w:rPr>
      <w:sz w:val="48"/>
      <w:szCs w:val="48"/>
    </w:rPr>
  </w:style>
  <w:style w:type="character" w:styleId="846" w:customStyle="1">
    <w:name w:val="Subtitle Char"/>
    <w:basedOn w:val="807"/>
    <w:uiPriority w:val="11"/>
    <w:qFormat/>
    <w:rPr>
      <w:sz w:val="24"/>
      <w:szCs w:val="24"/>
    </w:rPr>
  </w:style>
  <w:style w:type="character" w:styleId="847" w:customStyle="1">
    <w:name w:val="Quote Char"/>
    <w:uiPriority w:val="29"/>
    <w:qFormat/>
    <w:rPr>
      <w:i/>
    </w:rPr>
  </w:style>
  <w:style w:type="character" w:styleId="848" w:customStyle="1">
    <w:name w:val="Intense Quote Char"/>
    <w:uiPriority w:val="30"/>
    <w:qFormat/>
    <w:rPr>
      <w:i/>
    </w:rPr>
  </w:style>
  <w:style w:type="character" w:styleId="849" w:customStyle="1">
    <w:name w:val="Header Char"/>
    <w:basedOn w:val="807"/>
    <w:uiPriority w:val="99"/>
    <w:qFormat/>
  </w:style>
  <w:style w:type="character" w:styleId="850" w:customStyle="1">
    <w:name w:val="Caption Char"/>
    <w:uiPriority w:val="99"/>
    <w:qFormat/>
  </w:style>
  <w:style w:type="table" w:styleId="851" w:customStyle="1">
    <w:name w:val="Plain Table 1"/>
    <w:basedOn w:val="8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8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8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8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3"/>
    <w:basedOn w:val="8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8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5 Dark"/>
    <w:basedOn w:val="8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6 Colorful"/>
    <w:basedOn w:val="8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7 Colorful"/>
    <w:basedOn w:val="8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1 Light"/>
    <w:basedOn w:val="8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2"/>
    <w:basedOn w:val="8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3"/>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w:basedOn w:val="8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5 Dark"/>
    <w:basedOn w:val="8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8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7 Colorful"/>
    <w:basedOn w:val="8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0" w:customStyle="1">
    <w:name w:val="Footnote Text Char"/>
    <w:uiPriority w:val="99"/>
    <w:qFormat/>
    <w:rPr>
      <w:sz w:val="18"/>
    </w:rPr>
  </w:style>
  <w:style w:type="character" w:styleId="871" w:customStyle="1">
    <w:name w:val="Endnote Text Char"/>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列出段落1"/>
    <w:basedOn w:val="797"/>
    <w:uiPriority w:val="0"/>
    <w:qFormat/>
    <w:pPr>
      <w:ind w:firstLine="420"/>
    </w:pPr>
    <w:rPr>
      <w:szCs w:val="21"/>
    </w:rPr>
  </w:style>
  <w:style w:type="character" w:styleId="874" w:customStyle="1">
    <w:name w:val="标题 1 字符1"/>
    <w:link w:val="798"/>
    <w:uiPriority w:val="9"/>
    <w:qFormat/>
    <w:rPr>
      <w:rFonts w:ascii="Arial" w:hAnsi="Arial" w:eastAsia="Arial" w:cs="Arial"/>
      <w:sz w:val="40"/>
      <w:szCs w:val="40"/>
    </w:rPr>
  </w:style>
  <w:style w:type="character" w:styleId="875" w:customStyle="1">
    <w:name w:val="标题 2 字符1"/>
    <w:link w:val="799"/>
    <w:uiPriority w:val="9"/>
    <w:qFormat/>
    <w:rPr>
      <w:rFonts w:ascii="Arial" w:hAnsi="Arial" w:eastAsia="Arial" w:cs="Arial"/>
      <w:sz w:val="34"/>
    </w:rPr>
  </w:style>
  <w:style w:type="character" w:styleId="876" w:customStyle="1">
    <w:name w:val="标题 3 字符1"/>
    <w:link w:val="800"/>
    <w:uiPriority w:val="9"/>
    <w:qFormat/>
    <w:rPr>
      <w:rFonts w:ascii="Arial" w:hAnsi="Arial" w:eastAsia="Arial" w:cs="Arial"/>
      <w:sz w:val="30"/>
      <w:szCs w:val="30"/>
    </w:rPr>
  </w:style>
  <w:style w:type="character" w:styleId="877" w:customStyle="1">
    <w:name w:val="标题 4 字符1"/>
    <w:link w:val="801"/>
    <w:uiPriority w:val="9"/>
    <w:qFormat/>
    <w:rPr>
      <w:rFonts w:ascii="Arial" w:hAnsi="Arial" w:eastAsia="Arial" w:cs="Arial"/>
      <w:b/>
      <w:bCs/>
      <w:sz w:val="26"/>
      <w:szCs w:val="26"/>
    </w:rPr>
  </w:style>
  <w:style w:type="character" w:styleId="878" w:customStyle="1">
    <w:name w:val="标题 5 字符1"/>
    <w:link w:val="802"/>
    <w:uiPriority w:val="9"/>
    <w:qFormat/>
    <w:rPr>
      <w:rFonts w:ascii="Arial" w:hAnsi="Arial" w:eastAsia="Arial" w:cs="Arial"/>
      <w:b/>
      <w:bCs/>
      <w:sz w:val="24"/>
      <w:szCs w:val="24"/>
    </w:rPr>
  </w:style>
  <w:style w:type="character" w:styleId="879" w:customStyle="1">
    <w:name w:val="标题 6 字符1"/>
    <w:link w:val="803"/>
    <w:uiPriority w:val="9"/>
    <w:qFormat/>
    <w:rPr>
      <w:rFonts w:ascii="Arial" w:hAnsi="Arial" w:eastAsia="Arial" w:cs="Arial"/>
      <w:b/>
      <w:bCs/>
      <w:sz w:val="22"/>
      <w:szCs w:val="22"/>
    </w:rPr>
  </w:style>
  <w:style w:type="character" w:styleId="880" w:customStyle="1">
    <w:name w:val="标题 7 字符1"/>
    <w:link w:val="804"/>
    <w:uiPriority w:val="9"/>
    <w:qFormat/>
    <w:rPr>
      <w:rFonts w:ascii="Arial" w:hAnsi="Arial" w:eastAsia="Arial" w:cs="Arial"/>
      <w:b/>
      <w:bCs/>
      <w:i/>
      <w:iCs/>
      <w:sz w:val="22"/>
      <w:szCs w:val="22"/>
    </w:rPr>
  </w:style>
  <w:style w:type="character" w:styleId="881" w:customStyle="1">
    <w:name w:val="标题 8 字符1"/>
    <w:link w:val="805"/>
    <w:uiPriority w:val="9"/>
    <w:qFormat/>
    <w:rPr>
      <w:rFonts w:ascii="Arial" w:hAnsi="Arial" w:eastAsia="Arial" w:cs="Arial"/>
      <w:i/>
      <w:iCs/>
      <w:sz w:val="22"/>
      <w:szCs w:val="22"/>
    </w:rPr>
  </w:style>
  <w:style w:type="character" w:styleId="882" w:customStyle="1">
    <w:name w:val="标题 9 字符1"/>
    <w:link w:val="806"/>
    <w:uiPriority w:val="9"/>
    <w:qFormat/>
    <w:rPr>
      <w:rFonts w:ascii="Arial" w:hAnsi="Arial" w:eastAsia="Arial" w:cs="Arial"/>
      <w:i/>
      <w:iCs/>
      <w:sz w:val="21"/>
      <w:szCs w:val="21"/>
    </w:rPr>
  </w:style>
  <w:style w:type="paragraph" w:styleId="883">
    <w:name w:val="No Spacing"/>
    <w:uiPriority w:val="1"/>
    <w:qFormat/>
    <w:rPr>
      <w:rFonts w:hint="default" w:ascii="Times New Roman" w:hAnsi="Times New Roman" w:eastAsia="宋体" w:cs="Times New Roman"/>
      <w:lang w:val="en-US" w:eastAsia="zh-CN" w:bidi="ar-SA"/>
    </w:rPr>
  </w:style>
  <w:style w:type="character" w:styleId="884" w:customStyle="1">
    <w:name w:val="标题 字符"/>
    <w:link w:val="829"/>
    <w:uiPriority w:val="10"/>
    <w:qFormat/>
    <w:rPr>
      <w:sz w:val="48"/>
      <w:szCs w:val="48"/>
    </w:rPr>
  </w:style>
  <w:style w:type="character" w:styleId="885" w:customStyle="1">
    <w:name w:val="副标题 字符"/>
    <w:link w:val="822"/>
    <w:uiPriority w:val="11"/>
    <w:qFormat/>
    <w:rPr>
      <w:sz w:val="24"/>
      <w:szCs w:val="24"/>
    </w:rPr>
  </w:style>
  <w:style w:type="paragraph" w:styleId="886">
    <w:name w:val="Quote"/>
    <w:basedOn w:val="797"/>
    <w:next w:val="797"/>
    <w:link w:val="887"/>
    <w:uiPriority w:val="29"/>
    <w:qFormat/>
    <w:pPr>
      <w:ind w:left="720" w:right="720"/>
    </w:pPr>
    <w:rPr>
      <w:i/>
    </w:rPr>
  </w:style>
  <w:style w:type="character" w:styleId="887" w:customStyle="1">
    <w:name w:val="引用 字符"/>
    <w:link w:val="886"/>
    <w:uiPriority w:val="29"/>
    <w:qFormat/>
    <w:rPr>
      <w:i/>
    </w:rPr>
  </w:style>
  <w:style w:type="paragraph" w:styleId="888">
    <w:name w:val="Intense Quote"/>
    <w:basedOn w:val="797"/>
    <w:next w:val="797"/>
    <w:link w:val="8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明显引用 字符"/>
    <w:link w:val="888"/>
    <w:uiPriority w:val="30"/>
    <w:qFormat/>
    <w:rPr>
      <w:i/>
    </w:rPr>
  </w:style>
  <w:style w:type="character" w:styleId="890" w:customStyle="1">
    <w:name w:val="页眉 字符1"/>
    <w:link w:val="819"/>
    <w:uiPriority w:val="99"/>
    <w:qFormat/>
  </w:style>
  <w:style w:type="character" w:styleId="891" w:customStyle="1">
    <w:name w:val="Footer Char"/>
    <w:uiPriority w:val="99"/>
    <w:qFormat/>
  </w:style>
  <w:style w:type="character" w:styleId="892" w:customStyle="1">
    <w:name w:val="页脚 字符1"/>
    <w:link w:val="818"/>
    <w:uiPriority w:val="99"/>
    <w:qFormat/>
  </w:style>
  <w:style w:type="table" w:styleId="89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6" w:customStyle="1">
    <w:name w:val="无格式表格 31"/>
    <w:uiPriority w:val="99"/>
    <w:qFormat/>
    <w:tblPr>
      <w:tblCellMar>
        <w:left w:w="0" w:type="dxa"/>
        <w:top w:w="0" w:type="dxa"/>
        <w:right w:w="0" w:type="dxa"/>
        <w:bottom w:w="0" w:type="dxa"/>
      </w:tblCellMar>
    </w:tblPr>
  </w:style>
  <w:style w:type="table" w:styleId="897" w:customStyle="1">
    <w:name w:val="无格式表格 41"/>
    <w:uiPriority w:val="99"/>
    <w:qFormat/>
    <w:tblPr>
      <w:tblCellMar>
        <w:left w:w="0" w:type="dxa"/>
        <w:top w:w="0" w:type="dxa"/>
        <w:right w:w="0" w:type="dxa"/>
        <w:bottom w:w="0" w:type="dxa"/>
      </w:tblCellMar>
    </w:tblPr>
  </w:style>
  <w:style w:type="table" w:styleId="898" w:customStyle="1">
    <w:name w:val="无格式表格 51"/>
    <w:uiPriority w:val="99"/>
    <w:qFormat/>
    <w:tblPr>
      <w:tblCellMar>
        <w:left w:w="0" w:type="dxa"/>
        <w:top w:w="0" w:type="dxa"/>
        <w:right w:w="0" w:type="dxa"/>
        <w:bottom w:w="0" w:type="dxa"/>
      </w:tblCellMar>
    </w:tblPr>
  </w:style>
  <w:style w:type="table" w:styleId="89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8" w:customStyle="1">
    <w:name w:val="清单表 1 浅色1"/>
    <w:uiPriority w:val="99"/>
    <w:qFormat/>
    <w:tblPr>
      <w:tblCellMar>
        <w:left w:w="0" w:type="dxa"/>
        <w:top w:w="0" w:type="dxa"/>
        <w:right w:w="0" w:type="dxa"/>
        <w:bottom w:w="0" w:type="dxa"/>
      </w:tblCellMar>
    </w:tblPr>
  </w:style>
  <w:style w:type="table" w:styleId="949" w:customStyle="1">
    <w:name w:val="List Table 1 Light - Accent 1"/>
    <w:uiPriority w:val="99"/>
    <w:qFormat/>
    <w:tblPr>
      <w:tblCellMar>
        <w:left w:w="0" w:type="dxa"/>
        <w:top w:w="0" w:type="dxa"/>
        <w:right w:w="0" w:type="dxa"/>
        <w:bottom w:w="0" w:type="dxa"/>
      </w:tblCellMar>
    </w:tblPr>
  </w:style>
  <w:style w:type="table" w:styleId="950" w:customStyle="1">
    <w:name w:val="List Table 1 Light - Accent 2"/>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List Table 1 Light - Accent 4"/>
    <w:uiPriority w:val="99"/>
    <w:qFormat/>
    <w:tblPr>
      <w:tblCellMar>
        <w:left w:w="0" w:type="dxa"/>
        <w:top w:w="0" w:type="dxa"/>
        <w:right w:w="0" w:type="dxa"/>
        <w:bottom w:w="0" w:type="dxa"/>
      </w:tblCellMar>
    </w:tblPr>
  </w:style>
  <w:style w:type="table" w:styleId="953" w:customStyle="1">
    <w:name w:val="List Table 1 Light - Accent 5"/>
    <w:uiPriority w:val="99"/>
    <w:qFormat/>
    <w:tblPr>
      <w:tblCellMar>
        <w:left w:w="0" w:type="dxa"/>
        <w:top w:w="0" w:type="dxa"/>
        <w:right w:w="0" w:type="dxa"/>
        <w:bottom w:w="0" w:type="dxa"/>
      </w:tblCellMar>
    </w:tblPr>
  </w:style>
  <w:style w:type="table" w:styleId="954" w:customStyle="1">
    <w:name w:val="List Table 1 Light - Accent 6"/>
    <w:uiPriority w:val="99"/>
    <w:qFormat/>
    <w:tblPr>
      <w:tblCellMar>
        <w:left w:w="0" w:type="dxa"/>
        <w:top w:w="0" w:type="dxa"/>
        <w:right w:w="0" w:type="dxa"/>
        <w:bottom w:w="0" w:type="dxa"/>
      </w:tblCellMar>
    </w:tblPr>
  </w:style>
  <w:style w:type="table" w:styleId="95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7" w:customStyle="1">
    <w:name w:val="Lined - Accent"/>
    <w:uiPriority w:val="99"/>
    <w:qFormat/>
    <w:rPr>
      <w:color w:val="404040"/>
    </w:rPr>
    <w:tblPr>
      <w:tblCellMar>
        <w:left w:w="0" w:type="dxa"/>
        <w:top w:w="0" w:type="dxa"/>
        <w:right w:w="0" w:type="dxa"/>
        <w:bottom w:w="0" w:type="dxa"/>
      </w:tblCellMar>
    </w:tblPr>
  </w:style>
  <w:style w:type="table" w:styleId="998" w:customStyle="1">
    <w:name w:val="Lined - Accent 1"/>
    <w:uiPriority w:val="99"/>
    <w:qFormat/>
    <w:rPr>
      <w:color w:val="404040"/>
    </w:rPr>
    <w:tblPr>
      <w:tblCellMar>
        <w:left w:w="0" w:type="dxa"/>
        <w:top w:w="0" w:type="dxa"/>
        <w:right w:w="0" w:type="dxa"/>
        <w:bottom w:w="0" w:type="dxa"/>
      </w:tblCellMar>
    </w:tblPr>
  </w:style>
  <w:style w:type="table" w:styleId="999" w:customStyle="1">
    <w:name w:val="Lined - Accent 2"/>
    <w:uiPriority w:val="99"/>
    <w:qFormat/>
    <w:rPr>
      <w:color w:val="404040"/>
    </w:rPr>
    <w:tblPr>
      <w:tblCellMar>
        <w:left w:w="0" w:type="dxa"/>
        <w:top w:w="0" w:type="dxa"/>
        <w:right w:w="0" w:type="dxa"/>
        <w:bottom w:w="0" w:type="dxa"/>
      </w:tblCellMar>
    </w:tblPr>
  </w:style>
  <w:style w:type="table" w:styleId="1000" w:customStyle="1">
    <w:name w:val="Lined - Accent 3"/>
    <w:uiPriority w:val="99"/>
    <w:qFormat/>
    <w:rPr>
      <w:color w:val="404040"/>
    </w:rPr>
    <w:tblPr>
      <w:tblCellMar>
        <w:left w:w="0" w:type="dxa"/>
        <w:top w:w="0" w:type="dxa"/>
        <w:right w:w="0" w:type="dxa"/>
        <w:bottom w:w="0" w:type="dxa"/>
      </w:tblCellMar>
    </w:tblPr>
  </w:style>
  <w:style w:type="table" w:styleId="1001" w:customStyle="1">
    <w:name w:val="Lined - Accent 4"/>
    <w:uiPriority w:val="99"/>
    <w:qFormat/>
    <w:rPr>
      <w:color w:val="404040"/>
    </w:rPr>
    <w:tblPr>
      <w:tblCellMar>
        <w:left w:w="0" w:type="dxa"/>
        <w:top w:w="0" w:type="dxa"/>
        <w:right w:w="0" w:type="dxa"/>
        <w:bottom w:w="0" w:type="dxa"/>
      </w:tblCellMar>
    </w:tblPr>
  </w:style>
  <w:style w:type="table" w:styleId="1002" w:customStyle="1">
    <w:name w:val="Lined - Accent 5"/>
    <w:uiPriority w:val="99"/>
    <w:qFormat/>
    <w:rPr>
      <w:color w:val="404040"/>
    </w:rPr>
    <w:tblPr>
      <w:tblCellMar>
        <w:left w:w="0" w:type="dxa"/>
        <w:top w:w="0" w:type="dxa"/>
        <w:right w:w="0" w:type="dxa"/>
        <w:bottom w:w="0" w:type="dxa"/>
      </w:tblCellMar>
    </w:tblPr>
  </w:style>
  <w:style w:type="table" w:styleId="1003" w:customStyle="1">
    <w:name w:val="Lined - Accent 6"/>
    <w:uiPriority w:val="99"/>
    <w:qFormat/>
    <w:rPr>
      <w:color w:val="404040"/>
    </w:rPr>
    <w:tblPr>
      <w:tblCellMar>
        <w:left w:w="0" w:type="dxa"/>
        <w:top w:w="0" w:type="dxa"/>
        <w:right w:w="0" w:type="dxa"/>
        <w:bottom w:w="0" w:type="dxa"/>
      </w:tblCellMar>
    </w:tblPr>
  </w:style>
  <w:style w:type="table" w:styleId="10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8" w:customStyle="1">
    <w:name w:val="脚注文本 字符"/>
    <w:link w:val="823"/>
    <w:uiPriority w:val="99"/>
    <w:qFormat/>
    <w:rPr>
      <w:sz w:val="18"/>
    </w:rPr>
  </w:style>
  <w:style w:type="character" w:styleId="1019" w:customStyle="1">
    <w:name w:val="尾注文本 字符"/>
    <w:link w:val="817"/>
    <w:uiPriority w:val="99"/>
    <w:qFormat/>
    <w:rPr>
      <w:sz w:val="20"/>
    </w:rPr>
  </w:style>
  <w:style w:type="paragraph" w:styleId="1020" w:customStyle="1">
    <w:name w:val="TOC 标题1"/>
    <w:uiPriority w:val="39"/>
    <w:unhideWhenUsed/>
    <w:qFormat/>
    <w:rPr>
      <w:rFonts w:hint="default" w:ascii="Times New Roman" w:hAnsi="Times New Roman" w:eastAsia="宋体" w:cs="Times New Roman"/>
      <w:lang w:val="en-US" w:eastAsia="zh-CN" w:bidi="ar-SA"/>
    </w:rPr>
  </w:style>
  <w:style w:type="paragraph" w:styleId="1021" w:customStyle="1">
    <w:name w:val="标题 111"/>
    <w:basedOn w:val="797"/>
    <w:next w:val="797"/>
    <w:link w:val="1033"/>
    <w:uiPriority w:val="99"/>
    <w:qFormat/>
    <w:pPr>
      <w:ind w:left="432" w:hanging="432"/>
      <w:jc w:val="center"/>
      <w:keepNext/>
      <w:widowControl/>
      <w:tabs>
        <w:tab w:val="left" w:pos="432" w:leader="none"/>
      </w:tabs>
      <w:outlineLvl w:val="0"/>
    </w:pPr>
    <w:rPr>
      <w:rFonts w:ascii="黑体" w:eastAsia="黑体"/>
      <w:sz w:val="52"/>
    </w:rPr>
  </w:style>
  <w:style w:type="paragraph" w:styleId="1022" w:customStyle="1">
    <w:name w:val="标题 21"/>
    <w:basedOn w:val="797"/>
    <w:next w:val="797"/>
    <w:link w:val="1034"/>
    <w:uiPriority w:val="99"/>
    <w:qFormat/>
    <w:pPr>
      <w:keepLines/>
      <w:keepNext/>
      <w:spacing w:before="260" w:after="260" w:line="413" w:lineRule="auto"/>
      <w:outlineLvl w:val="1"/>
    </w:pPr>
    <w:rPr>
      <w:rFonts w:ascii="Arial" w:hAnsi="Arial" w:eastAsia="黑体"/>
      <w:b/>
      <w:bCs/>
      <w:sz w:val="32"/>
      <w:szCs w:val="32"/>
    </w:rPr>
  </w:style>
  <w:style w:type="paragraph" w:styleId="1023" w:customStyle="1">
    <w:name w:val="标题 31"/>
    <w:basedOn w:val="797"/>
    <w:next w:val="1024"/>
    <w:link w:val="1035"/>
    <w:uiPriority w:val="9"/>
    <w:qFormat/>
    <w:pPr>
      <w:ind w:left="720" w:hanging="720"/>
      <w:jc w:val="center"/>
      <w:keepLines/>
      <w:keepNext/>
      <w:spacing w:before="120" w:after="120"/>
      <w:widowControl/>
      <w:tabs>
        <w:tab w:val="left" w:pos="720" w:leader="none"/>
      </w:tabs>
      <w:outlineLvl w:val="2"/>
    </w:pPr>
    <w:rPr>
      <w:b/>
      <w:sz w:val="32"/>
    </w:rPr>
  </w:style>
  <w:style w:type="paragraph" w:styleId="1024" w:customStyle="1">
    <w:name w:val="正文缩进1"/>
    <w:basedOn w:val="797"/>
    <w:link w:val="1036"/>
    <w:uiPriority w:val="99"/>
    <w:qFormat/>
    <w:pPr>
      <w:ind w:firstLine="420"/>
    </w:pPr>
  </w:style>
  <w:style w:type="paragraph" w:styleId="1025" w:customStyle="1">
    <w:name w:val="标题 41"/>
    <w:basedOn w:val="797"/>
    <w:next w:val="797"/>
    <w:link w:val="1037"/>
    <w:uiPriority w:val="99"/>
    <w:qFormat/>
    <w:pPr>
      <w:jc w:val="center"/>
      <w:keepLines/>
      <w:keepNext/>
      <w:spacing w:before="120" w:after="120"/>
      <w:widowControl/>
      <w:outlineLvl w:val="3"/>
    </w:pPr>
    <w:rPr>
      <w:rFonts w:ascii="Arial" w:hAnsi="Arial" w:eastAsia="黑体"/>
      <w:sz w:val="28"/>
    </w:rPr>
  </w:style>
  <w:style w:type="paragraph" w:styleId="1026" w:customStyle="1">
    <w:name w:val="标题 51"/>
    <w:basedOn w:val="797"/>
    <w:next w:val="797"/>
    <w:link w:val="1038"/>
    <w:uiPriority w:val="99"/>
    <w:qFormat/>
    <w:pPr>
      <w:ind w:firstLine="499"/>
      <w:jc w:val="left"/>
      <w:keepLines/>
      <w:keepNext/>
      <w:spacing w:before="120" w:after="120"/>
      <w:widowControl/>
      <w:outlineLvl w:val="4"/>
    </w:pPr>
    <w:rPr>
      <w:rFonts w:ascii="宋体" w:hAnsi="宋体"/>
      <w:b/>
      <w:sz w:val="24"/>
    </w:rPr>
  </w:style>
  <w:style w:type="paragraph" w:styleId="1027" w:customStyle="1">
    <w:name w:val="标题 61"/>
    <w:basedOn w:val="797"/>
    <w:next w:val="797"/>
    <w:link w:val="1039"/>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28" w:customStyle="1">
    <w:name w:val="标题 71"/>
    <w:basedOn w:val="797"/>
    <w:next w:val="797"/>
    <w:link w:val="1040"/>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029" w:customStyle="1">
    <w:name w:val="标题 81"/>
    <w:basedOn w:val="797"/>
    <w:next w:val="797"/>
    <w:link w:val="1041"/>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30" w:customStyle="1">
    <w:name w:val="标题 91"/>
    <w:basedOn w:val="797"/>
    <w:next w:val="797"/>
    <w:link w:val="1042"/>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31" w:customStyle="1">
    <w:name w:val="默认段落字体1"/>
    <w:uiPriority w:val="1"/>
    <w:unhideWhenUsed/>
    <w:qFormat/>
  </w:style>
  <w:style w:type="table" w:styleId="1032" w:customStyle="1">
    <w:name w:val="普通表格1"/>
    <w:uiPriority w:val="99"/>
    <w:unhideWhenUsed/>
    <w:qFormat/>
    <w:tblPr>
      <w:tblCellMar>
        <w:left w:w="0" w:type="dxa"/>
        <w:top w:w="0" w:type="dxa"/>
        <w:right w:w="0" w:type="dxa"/>
        <w:bottom w:w="0" w:type="dxa"/>
      </w:tblCellMar>
    </w:tblPr>
  </w:style>
  <w:style w:type="character" w:styleId="1033" w:customStyle="1">
    <w:name w:val="标题 1 Char"/>
    <w:link w:val="1021"/>
    <w:uiPriority w:val="99"/>
    <w:qFormat/>
    <w:rPr>
      <w:rFonts w:ascii="黑体" w:eastAsia="黑体"/>
      <w:sz w:val="52"/>
    </w:rPr>
  </w:style>
  <w:style w:type="character" w:styleId="1034" w:customStyle="1">
    <w:name w:val="标题 2 Char"/>
    <w:link w:val="1022"/>
    <w:uiPriority w:val="99"/>
    <w:qFormat/>
    <w:rPr>
      <w:rFonts w:ascii="Arial" w:hAnsi="Arial" w:eastAsia="黑体"/>
      <w:b/>
      <w:bCs/>
      <w:sz w:val="32"/>
      <w:szCs w:val="32"/>
      <w:lang w:val="en-US" w:eastAsia="zh-CN" w:bidi="ar-SA"/>
    </w:rPr>
  </w:style>
  <w:style w:type="character" w:styleId="1035" w:customStyle="1">
    <w:name w:val="标题 3 Char"/>
    <w:link w:val="1023"/>
    <w:uiPriority w:val="9"/>
    <w:qFormat/>
    <w:rPr>
      <w:rFonts w:eastAsia="宋体"/>
      <w:b/>
      <w:sz w:val="32"/>
      <w:lang w:val="en-US" w:eastAsia="zh-CN" w:bidi="ar-SA"/>
    </w:rPr>
  </w:style>
  <w:style w:type="character" w:styleId="1036" w:customStyle="1">
    <w:name w:val="正文缩进 Char"/>
    <w:link w:val="1024"/>
    <w:uiPriority w:val="99"/>
    <w:qFormat/>
    <w:rPr>
      <w:rFonts w:eastAsia="宋体"/>
      <w:sz w:val="21"/>
      <w:lang w:val="en-US" w:eastAsia="zh-CN" w:bidi="ar-SA"/>
    </w:rPr>
  </w:style>
  <w:style w:type="character" w:styleId="1037" w:customStyle="1">
    <w:name w:val="标题 4 Char"/>
    <w:link w:val="1025"/>
    <w:uiPriority w:val="99"/>
    <w:qFormat/>
    <w:rPr>
      <w:rFonts w:ascii="Arial" w:hAnsi="Arial" w:eastAsia="黑体"/>
      <w:sz w:val="28"/>
    </w:rPr>
  </w:style>
  <w:style w:type="character" w:styleId="1038" w:customStyle="1">
    <w:name w:val="标题 5 Char"/>
    <w:link w:val="1026"/>
    <w:uiPriority w:val="99"/>
    <w:qFormat/>
    <w:rPr>
      <w:rFonts w:ascii="宋体" w:hAnsi="宋体"/>
      <w:b/>
      <w:sz w:val="24"/>
    </w:rPr>
  </w:style>
  <w:style w:type="character" w:styleId="1039" w:customStyle="1">
    <w:name w:val="标题 6 Char"/>
    <w:link w:val="1027"/>
    <w:uiPriority w:val="99"/>
    <w:qFormat/>
    <w:rPr>
      <w:rFonts w:ascii="Arial" w:hAnsi="Arial" w:eastAsia="黑体"/>
      <w:b/>
      <w:bCs/>
      <w:sz w:val="24"/>
      <w:szCs w:val="24"/>
    </w:rPr>
  </w:style>
  <w:style w:type="character" w:styleId="1040" w:customStyle="1">
    <w:name w:val="标题 7 Char"/>
    <w:link w:val="1028"/>
    <w:uiPriority w:val="99"/>
    <w:qFormat/>
    <w:rPr>
      <w:b/>
      <w:bCs/>
      <w:sz w:val="24"/>
      <w:szCs w:val="24"/>
    </w:rPr>
  </w:style>
  <w:style w:type="character" w:styleId="1041" w:customStyle="1">
    <w:name w:val="标题 8 Char"/>
    <w:link w:val="1029"/>
    <w:uiPriority w:val="99"/>
    <w:qFormat/>
    <w:rPr>
      <w:rFonts w:ascii="Arial" w:hAnsi="Arial" w:eastAsia="黑体"/>
      <w:sz w:val="24"/>
      <w:szCs w:val="24"/>
    </w:rPr>
  </w:style>
  <w:style w:type="character" w:styleId="1042" w:customStyle="1">
    <w:name w:val="标题 9 Char"/>
    <w:link w:val="1030"/>
    <w:uiPriority w:val="99"/>
    <w:qFormat/>
    <w:rPr>
      <w:rFonts w:ascii="Arial" w:hAnsi="Arial" w:eastAsia="黑体"/>
      <w:sz w:val="21"/>
      <w:szCs w:val="21"/>
    </w:rPr>
  </w:style>
  <w:style w:type="paragraph" w:styleId="1043" w:customStyle="1">
    <w:name w:val="目录 71"/>
    <w:basedOn w:val="797"/>
    <w:next w:val="797"/>
    <w:uiPriority w:val="99"/>
    <w:qFormat/>
    <w:pPr>
      <w:ind w:firstLine="505"/>
      <w:jc w:val="left"/>
      <w:spacing w:line="240" w:lineRule="auto"/>
      <w:tabs>
        <w:tab w:val="right" w:pos="9241" w:leader="dot"/>
      </w:tabs>
    </w:pPr>
    <w:rPr>
      <w:rFonts w:ascii="宋体"/>
      <w:szCs w:val="21"/>
    </w:rPr>
  </w:style>
  <w:style w:type="paragraph" w:styleId="1044" w:customStyle="1">
    <w:name w:val="索引 81"/>
    <w:basedOn w:val="797"/>
    <w:next w:val="797"/>
    <w:uiPriority w:val="99"/>
    <w:qFormat/>
    <w:pPr>
      <w:ind w:left="1680" w:hanging="210"/>
      <w:jc w:val="left"/>
      <w:spacing w:line="240" w:lineRule="auto"/>
    </w:pPr>
    <w:rPr>
      <w:sz w:val="20"/>
    </w:rPr>
  </w:style>
  <w:style w:type="paragraph" w:styleId="1045" w:customStyle="1">
    <w:name w:val="题注1"/>
    <w:basedOn w:val="797"/>
    <w:next w:val="797"/>
    <w:uiPriority w:val="35"/>
    <w:qFormat/>
    <w:pPr>
      <w:spacing w:before="152" w:after="160" w:line="240" w:lineRule="auto"/>
    </w:pPr>
    <w:rPr>
      <w:rFonts w:ascii="Arial" w:hAnsi="Arial" w:eastAsia="黑体" w:cs="Arial"/>
      <w:sz w:val="20"/>
    </w:rPr>
  </w:style>
  <w:style w:type="paragraph" w:styleId="1046" w:customStyle="1">
    <w:name w:val="索引 51"/>
    <w:basedOn w:val="797"/>
    <w:next w:val="797"/>
    <w:uiPriority w:val="99"/>
    <w:qFormat/>
    <w:pPr>
      <w:ind w:left="1050" w:hanging="210"/>
      <w:jc w:val="left"/>
      <w:spacing w:line="240" w:lineRule="auto"/>
    </w:pPr>
    <w:rPr>
      <w:sz w:val="20"/>
    </w:rPr>
  </w:style>
  <w:style w:type="paragraph" w:styleId="1047" w:customStyle="1">
    <w:name w:val="文档结构图1"/>
    <w:basedOn w:val="797"/>
    <w:link w:val="1048"/>
    <w:uiPriority w:val="99"/>
    <w:qFormat/>
    <w:pPr>
      <w:shd w:val="clear" w:color="auto" w:fill="000080"/>
    </w:pPr>
  </w:style>
  <w:style w:type="character" w:styleId="1048" w:customStyle="1">
    <w:name w:val="文档结构图 Char"/>
    <w:link w:val="1047"/>
    <w:uiPriority w:val="99"/>
    <w:qFormat/>
    <w:rPr>
      <w:sz w:val="21"/>
      <w:shd w:val="clear" w:color="auto" w:fill="000080"/>
    </w:rPr>
  </w:style>
  <w:style w:type="paragraph" w:styleId="1049" w:customStyle="1">
    <w:name w:val="批注文字1"/>
    <w:basedOn w:val="797"/>
    <w:link w:val="1050"/>
    <w:uiPriority w:val="99"/>
    <w:qFormat/>
    <w:pPr>
      <w:jc w:val="left"/>
      <w:spacing w:line="360" w:lineRule="atLeast"/>
    </w:pPr>
    <w:rPr>
      <w:sz w:val="24"/>
    </w:rPr>
  </w:style>
  <w:style w:type="character" w:styleId="1050" w:customStyle="1">
    <w:name w:val="批注文字 Char"/>
    <w:link w:val="1049"/>
    <w:uiPriority w:val="99"/>
    <w:qFormat/>
    <w:rPr>
      <w:sz w:val="24"/>
    </w:rPr>
  </w:style>
  <w:style w:type="paragraph" w:styleId="1051" w:customStyle="1">
    <w:name w:val="索引 61"/>
    <w:basedOn w:val="797"/>
    <w:next w:val="797"/>
    <w:uiPriority w:val="99"/>
    <w:qFormat/>
    <w:pPr>
      <w:ind w:left="1260" w:hanging="210"/>
      <w:jc w:val="left"/>
      <w:spacing w:line="240" w:lineRule="auto"/>
    </w:pPr>
    <w:rPr>
      <w:sz w:val="20"/>
    </w:rPr>
  </w:style>
  <w:style w:type="paragraph" w:styleId="1052" w:customStyle="1">
    <w:name w:val="正文文本 31"/>
    <w:basedOn w:val="797"/>
    <w:link w:val="1053"/>
    <w:uiPriority w:val="99"/>
    <w:qFormat/>
    <w:pPr>
      <w:spacing w:line="240" w:lineRule="auto"/>
    </w:pPr>
    <w:rPr>
      <w:rFonts w:ascii="宋体"/>
      <w:sz w:val="24"/>
    </w:rPr>
  </w:style>
  <w:style w:type="character" w:styleId="1053" w:customStyle="1">
    <w:name w:val="正文文本 3 Char"/>
    <w:link w:val="1052"/>
    <w:uiPriority w:val="99"/>
    <w:qFormat/>
    <w:rPr>
      <w:rFonts w:ascii="宋体" w:hAnsi="Times New Roman"/>
      <w:sz w:val="24"/>
    </w:rPr>
  </w:style>
  <w:style w:type="paragraph" w:styleId="1054" w:customStyle="1">
    <w:name w:val="正文文本1"/>
    <w:basedOn w:val="797"/>
    <w:next w:val="1055"/>
    <w:link w:val="1056"/>
    <w:uiPriority w:val="99"/>
    <w:qFormat/>
    <w:rPr>
      <w:rFonts w:ascii="华文中宋" w:eastAsia="华文中宋"/>
      <w:bCs/>
      <w:sz w:val="28"/>
    </w:rPr>
  </w:style>
  <w:style w:type="paragraph" w:styleId="1055" w:customStyle="1">
    <w:name w:val="正文首行缩进1"/>
    <w:basedOn w:val="1054"/>
    <w:uiPriority w:val="99"/>
    <w:unhideWhenUsed/>
    <w:qFormat/>
    <w:pPr>
      <w:ind w:firstLine="420"/>
      <w:jc w:val="both"/>
      <w:spacing w:after="120"/>
      <w:widowControl w:val="off"/>
    </w:pPr>
    <w:rPr>
      <w:rFonts w:hint="default" w:ascii="Times New Roman" w:hAnsi="Times New Roman" w:eastAsia="华文中宋" w:cs="Times New Roman"/>
      <w:sz w:val="21"/>
      <w:lang w:val="en-US" w:eastAsia="zh-CN" w:bidi="ar-SA"/>
    </w:rPr>
  </w:style>
  <w:style w:type="character" w:styleId="1056" w:customStyle="1">
    <w:name w:val="正文文本 Char"/>
    <w:link w:val="1054"/>
    <w:uiPriority w:val="99"/>
    <w:qFormat/>
    <w:rPr>
      <w:rFonts w:ascii="华文中宋" w:eastAsia="华文中宋"/>
      <w:bCs/>
      <w:sz w:val="28"/>
    </w:rPr>
  </w:style>
  <w:style w:type="paragraph" w:styleId="1057" w:customStyle="1">
    <w:name w:val="正文文本缩进1"/>
    <w:basedOn w:val="797"/>
    <w:next w:val="1058"/>
    <w:link w:val="1059"/>
    <w:uiPriority w:val="99"/>
    <w:qFormat/>
    <w:pPr>
      <w:ind w:firstLine="540"/>
      <w:widowControl/>
    </w:pPr>
    <w:rPr>
      <w:rFonts w:ascii="宋体" w:hAnsi="MS Sans Serif"/>
      <w:spacing w:val="12"/>
      <w:sz w:val="24"/>
    </w:rPr>
  </w:style>
  <w:style w:type="paragraph" w:styleId="1058" w:customStyle="1">
    <w:name w:val="寄信人地址1"/>
    <w:basedOn w:val="797"/>
    <w:uiPriority w:val="0"/>
    <w:qFormat/>
    <w:rPr>
      <w:rFonts w:ascii="Arial" w:hAnsi="Arial"/>
    </w:rPr>
  </w:style>
  <w:style w:type="character" w:styleId="1059" w:customStyle="1">
    <w:name w:val="正文文本缩进 Char1"/>
    <w:link w:val="1057"/>
    <w:uiPriority w:val="99"/>
    <w:qFormat/>
    <w:rPr>
      <w:rFonts w:ascii="宋体" w:hAnsi="MS Sans Serif"/>
      <w:spacing w:val="12"/>
      <w:sz w:val="24"/>
    </w:rPr>
  </w:style>
  <w:style w:type="paragraph" w:styleId="1060" w:customStyle="1">
    <w:name w:val="文本块1"/>
    <w:basedOn w:val="797"/>
    <w:uiPriority w:val="0"/>
    <w:qFormat/>
    <w:pPr>
      <w:ind w:left="420" w:right="33"/>
      <w:jc w:val="left"/>
    </w:pPr>
    <w:rPr>
      <w:sz w:val="24"/>
    </w:rPr>
  </w:style>
  <w:style w:type="paragraph" w:styleId="1061" w:customStyle="1">
    <w:name w:val="索引 411"/>
    <w:basedOn w:val="797"/>
    <w:next w:val="797"/>
    <w:uiPriority w:val="99"/>
    <w:qFormat/>
    <w:pPr>
      <w:ind w:left="840" w:hanging="210"/>
      <w:jc w:val="left"/>
      <w:spacing w:line="240" w:lineRule="auto"/>
    </w:pPr>
    <w:rPr>
      <w:sz w:val="20"/>
    </w:rPr>
  </w:style>
  <w:style w:type="paragraph" w:styleId="1062" w:customStyle="1">
    <w:name w:val="目录 51"/>
    <w:basedOn w:val="797"/>
    <w:next w:val="797"/>
    <w:uiPriority w:val="99"/>
    <w:qFormat/>
    <w:pPr>
      <w:ind w:firstLine="300"/>
      <w:jc w:val="left"/>
      <w:spacing w:line="240" w:lineRule="auto"/>
      <w:tabs>
        <w:tab w:val="right" w:pos="9241" w:leader="dot"/>
      </w:tabs>
    </w:pPr>
    <w:rPr>
      <w:rFonts w:ascii="宋体"/>
      <w:szCs w:val="21"/>
    </w:rPr>
  </w:style>
  <w:style w:type="paragraph" w:styleId="1063" w:customStyle="1">
    <w:name w:val="目录 31"/>
    <w:basedOn w:val="797"/>
    <w:next w:val="797"/>
    <w:uiPriority w:val="39"/>
    <w:qFormat/>
    <w:pPr>
      <w:ind w:firstLine="102"/>
      <w:jc w:val="left"/>
      <w:spacing w:line="240" w:lineRule="auto"/>
      <w:tabs>
        <w:tab w:val="right" w:pos="9241" w:leader="dot"/>
      </w:tabs>
    </w:pPr>
    <w:rPr>
      <w:rFonts w:ascii="宋体"/>
      <w:szCs w:val="21"/>
    </w:rPr>
  </w:style>
  <w:style w:type="paragraph" w:styleId="1064" w:customStyle="1">
    <w:name w:val="纯文本1"/>
    <w:basedOn w:val="797"/>
    <w:link w:val="1065"/>
    <w:uiPriority w:val="0"/>
    <w:qFormat/>
    <w:rPr>
      <w:rFonts w:ascii="宋体" w:hAnsi="Courier New"/>
    </w:rPr>
  </w:style>
  <w:style w:type="character" w:styleId="1065" w:customStyle="1">
    <w:name w:val="纯文本 Char"/>
    <w:link w:val="1064"/>
    <w:uiPriority w:val="0"/>
    <w:qFormat/>
    <w:rPr>
      <w:rFonts w:ascii="宋体" w:hAnsi="Courier New" w:eastAsia="宋体"/>
      <w:sz w:val="21"/>
      <w:lang w:val="en-US" w:eastAsia="zh-CN" w:bidi="ar-SA"/>
    </w:rPr>
  </w:style>
  <w:style w:type="paragraph" w:styleId="1066" w:customStyle="1">
    <w:name w:val="目录 81"/>
    <w:basedOn w:val="797"/>
    <w:next w:val="797"/>
    <w:uiPriority w:val="99"/>
    <w:qFormat/>
    <w:pPr>
      <w:ind w:left="71"/>
    </w:pPr>
  </w:style>
  <w:style w:type="paragraph" w:styleId="1067" w:customStyle="1">
    <w:name w:val="索引 31"/>
    <w:basedOn w:val="797"/>
    <w:next w:val="797"/>
    <w:uiPriority w:val="99"/>
    <w:qFormat/>
    <w:pPr>
      <w:ind w:left="630" w:hanging="210"/>
      <w:jc w:val="left"/>
      <w:spacing w:line="240" w:lineRule="auto"/>
    </w:pPr>
    <w:rPr>
      <w:sz w:val="20"/>
    </w:rPr>
  </w:style>
  <w:style w:type="paragraph" w:styleId="1068" w:customStyle="1">
    <w:name w:val="日期1"/>
    <w:basedOn w:val="797"/>
    <w:next w:val="797"/>
    <w:link w:val="1069"/>
    <w:uiPriority w:val="99"/>
    <w:qFormat/>
    <w:rPr>
      <w:sz w:val="24"/>
    </w:rPr>
  </w:style>
  <w:style w:type="character" w:styleId="1069" w:customStyle="1">
    <w:name w:val="日期 Char"/>
    <w:link w:val="1068"/>
    <w:uiPriority w:val="99"/>
    <w:qFormat/>
    <w:rPr>
      <w:sz w:val="24"/>
    </w:rPr>
  </w:style>
  <w:style w:type="paragraph" w:styleId="1070" w:customStyle="1">
    <w:name w:val="正文文本缩进 21"/>
    <w:basedOn w:val="797"/>
    <w:link w:val="1071"/>
    <w:uiPriority w:val="99"/>
    <w:qFormat/>
    <w:pPr>
      <w:ind w:left="420"/>
      <w:spacing w:after="120" w:line="480" w:lineRule="auto"/>
    </w:pPr>
    <w:rPr>
      <w:szCs w:val="24"/>
    </w:rPr>
  </w:style>
  <w:style w:type="character" w:styleId="1071" w:customStyle="1">
    <w:name w:val="正文文本缩进 2 Char"/>
    <w:link w:val="1070"/>
    <w:uiPriority w:val="99"/>
    <w:qFormat/>
    <w:rPr>
      <w:sz w:val="21"/>
      <w:szCs w:val="24"/>
    </w:rPr>
  </w:style>
  <w:style w:type="paragraph" w:styleId="1072" w:customStyle="1">
    <w:name w:val="尾注文本1"/>
    <w:basedOn w:val="797"/>
    <w:link w:val="1073"/>
    <w:uiPriority w:val="99"/>
    <w:qFormat/>
    <w:pPr>
      <w:jc w:val="left"/>
      <w:spacing w:line="240" w:lineRule="auto"/>
    </w:pPr>
    <w:rPr>
      <w:sz w:val="24"/>
    </w:rPr>
  </w:style>
  <w:style w:type="character" w:styleId="1073" w:customStyle="1">
    <w:name w:val="尾注文本 Char"/>
    <w:link w:val="1072"/>
    <w:uiPriority w:val="99"/>
    <w:qFormat/>
    <w:rPr>
      <w:rFonts w:ascii="Times New Roman" w:hAnsi="Times New Roman"/>
      <w:sz w:val="24"/>
    </w:rPr>
  </w:style>
  <w:style w:type="paragraph" w:styleId="1074" w:customStyle="1">
    <w:name w:val="批注框文本1"/>
    <w:basedOn w:val="797"/>
    <w:link w:val="1075"/>
    <w:uiPriority w:val="99"/>
    <w:qFormat/>
    <w:rPr>
      <w:sz w:val="18"/>
      <w:szCs w:val="18"/>
    </w:rPr>
  </w:style>
  <w:style w:type="character" w:styleId="1075" w:customStyle="1">
    <w:name w:val="批注框文本 Char"/>
    <w:link w:val="1074"/>
    <w:uiPriority w:val="99"/>
    <w:qFormat/>
    <w:rPr>
      <w:sz w:val="18"/>
      <w:szCs w:val="18"/>
    </w:rPr>
  </w:style>
  <w:style w:type="paragraph" w:styleId="1076" w:customStyle="1">
    <w:name w:val="页脚1"/>
    <w:basedOn w:val="797"/>
    <w:link w:val="1077"/>
    <w:uiPriority w:val="99"/>
    <w:qFormat/>
    <w:pPr>
      <w:jc w:val="left"/>
      <w:tabs>
        <w:tab w:val="center" w:pos="4153" w:leader="none"/>
        <w:tab w:val="right" w:pos="8306" w:leader="none"/>
      </w:tabs>
    </w:pPr>
    <w:rPr>
      <w:sz w:val="18"/>
      <w:szCs w:val="18"/>
    </w:rPr>
  </w:style>
  <w:style w:type="character" w:styleId="1077" w:customStyle="1">
    <w:name w:val="页脚 Char"/>
    <w:link w:val="1076"/>
    <w:uiPriority w:val="99"/>
    <w:qFormat/>
    <w:rPr>
      <w:sz w:val="18"/>
      <w:szCs w:val="18"/>
    </w:rPr>
  </w:style>
  <w:style w:type="paragraph" w:styleId="1078" w:customStyle="1">
    <w:name w:val="页眉1"/>
    <w:basedOn w:val="797"/>
    <w:link w:val="1079"/>
    <w:uiPriority w:val="99"/>
    <w:qFormat/>
    <w:pPr>
      <w:jc w:val="center"/>
      <w:tabs>
        <w:tab w:val="center" w:pos="4153" w:leader="none"/>
        <w:tab w:val="right" w:pos="8306" w:leader="none"/>
      </w:tabs>
      <w:pBdr>
        <w:bottom w:val="single" w:color="000000" w:sz="6" w:space="1"/>
      </w:pBdr>
    </w:pPr>
    <w:rPr>
      <w:sz w:val="18"/>
      <w:szCs w:val="18"/>
    </w:rPr>
  </w:style>
  <w:style w:type="character" w:styleId="1079" w:customStyle="1">
    <w:name w:val="页眉 Char"/>
    <w:link w:val="1078"/>
    <w:uiPriority w:val="99"/>
    <w:qFormat/>
    <w:rPr>
      <w:sz w:val="18"/>
      <w:szCs w:val="18"/>
    </w:rPr>
  </w:style>
  <w:style w:type="paragraph" w:styleId="1080" w:customStyle="1">
    <w:name w:val="目录 11"/>
    <w:basedOn w:val="797"/>
    <w:next w:val="797"/>
    <w:uiPriority w:val="39"/>
    <w:qFormat/>
    <w:pPr>
      <w:jc w:val="center"/>
      <w:spacing w:before="120" w:after="120"/>
      <w:tabs>
        <w:tab w:val="right" w:pos="9170" w:leader="dot"/>
      </w:tabs>
    </w:pPr>
    <w:rPr>
      <w:rFonts w:eastAsia="文鼎小标宋简"/>
      <w:caps/>
      <w:sz w:val="32"/>
      <w:szCs w:val="32"/>
    </w:rPr>
  </w:style>
  <w:style w:type="paragraph" w:styleId="1081" w:customStyle="1">
    <w:name w:val="目录 41"/>
    <w:basedOn w:val="797"/>
    <w:next w:val="797"/>
    <w:uiPriority w:val="99"/>
    <w:qFormat/>
    <w:pPr>
      <w:ind w:firstLine="198"/>
      <w:jc w:val="left"/>
      <w:spacing w:line="240" w:lineRule="auto"/>
      <w:tabs>
        <w:tab w:val="right" w:pos="9241" w:leader="dot"/>
      </w:tabs>
    </w:pPr>
    <w:rPr>
      <w:rFonts w:ascii="宋体"/>
      <w:szCs w:val="21"/>
    </w:rPr>
  </w:style>
  <w:style w:type="paragraph" w:styleId="1082" w:customStyle="1">
    <w:name w:val="索引标题1"/>
    <w:basedOn w:val="797"/>
    <w:next w:val="1083"/>
    <w:uiPriority w:val="99"/>
    <w:qFormat/>
    <w:pPr>
      <w:jc w:val="center"/>
      <w:spacing w:before="120" w:after="120" w:line="240" w:lineRule="auto"/>
    </w:pPr>
    <w:rPr>
      <w:b/>
      <w:bCs/>
      <w:iCs/>
    </w:rPr>
  </w:style>
  <w:style w:type="paragraph" w:styleId="1083" w:customStyle="1">
    <w:name w:val="索引 11"/>
    <w:basedOn w:val="797"/>
    <w:next w:val="797"/>
    <w:uiPriority w:val="99"/>
    <w:unhideWhenUsed/>
    <w:qFormat/>
    <w:pPr>
      <w:spacing w:line="240" w:lineRule="auto"/>
    </w:pPr>
  </w:style>
  <w:style w:type="paragraph" w:styleId="1084" w:customStyle="1">
    <w:name w:val="副标题11"/>
    <w:basedOn w:val="797"/>
    <w:next w:val="797"/>
    <w:link w:val="1085"/>
    <w:uiPriority w:val="99"/>
    <w:qFormat/>
    <w:pPr>
      <w:jc w:val="center"/>
      <w:spacing w:before="240" w:after="60" w:line="312" w:lineRule="auto"/>
      <w:outlineLvl w:val="1"/>
    </w:pPr>
    <w:rPr>
      <w:rFonts w:ascii="Cambria" w:hAnsi="Cambria"/>
      <w:b/>
      <w:sz w:val="32"/>
    </w:rPr>
  </w:style>
  <w:style w:type="character" w:styleId="1085" w:customStyle="1">
    <w:name w:val="副标题 Char"/>
    <w:link w:val="1084"/>
    <w:uiPriority w:val="99"/>
    <w:qFormat/>
    <w:rPr>
      <w:rFonts w:ascii="Cambria" w:hAnsi="Cambria"/>
      <w:b/>
      <w:sz w:val="32"/>
    </w:rPr>
  </w:style>
  <w:style w:type="paragraph" w:styleId="1086" w:customStyle="1">
    <w:name w:val="列表1"/>
    <w:basedOn w:val="797"/>
    <w:uiPriority w:val="99"/>
    <w:qFormat/>
    <w:pPr>
      <w:contextualSpacing/>
      <w:ind w:left="200" w:hanging="200"/>
      <w:spacing w:line="240" w:lineRule="auto"/>
    </w:pPr>
  </w:style>
  <w:style w:type="paragraph" w:styleId="1087" w:customStyle="1">
    <w:name w:val="脚注文本1"/>
    <w:basedOn w:val="797"/>
    <w:next w:val="1046"/>
    <w:link w:val="1088"/>
    <w:uiPriority w:val="99"/>
    <w:qFormat/>
    <w:pPr>
      <w:ind w:left="720" w:hanging="357"/>
      <w:jc w:val="left"/>
      <w:spacing w:line="240" w:lineRule="auto"/>
      <w:tabs>
        <w:tab w:val="left" w:pos="0" w:leader="none"/>
      </w:tabs>
    </w:pPr>
    <w:rPr>
      <w:rFonts w:ascii="宋体"/>
      <w:sz w:val="18"/>
      <w:lang w:val="zh-CN"/>
    </w:rPr>
  </w:style>
  <w:style w:type="character" w:styleId="1088" w:customStyle="1">
    <w:name w:val="脚注文本 Char"/>
    <w:link w:val="1087"/>
    <w:uiPriority w:val="99"/>
    <w:qFormat/>
    <w:rPr>
      <w:rFonts w:ascii="宋体" w:hAnsi="Times New Roman"/>
      <w:sz w:val="18"/>
      <w:lang w:val="zh-CN"/>
    </w:rPr>
  </w:style>
  <w:style w:type="paragraph" w:styleId="1089" w:customStyle="1">
    <w:name w:val="目录 611"/>
    <w:basedOn w:val="797"/>
    <w:next w:val="797"/>
    <w:uiPriority w:val="99"/>
    <w:qFormat/>
    <w:pPr>
      <w:ind w:firstLine="403"/>
      <w:jc w:val="left"/>
      <w:spacing w:line="240" w:lineRule="auto"/>
      <w:tabs>
        <w:tab w:val="right" w:pos="9241" w:leader="dot"/>
      </w:tabs>
    </w:pPr>
    <w:rPr>
      <w:rFonts w:ascii="宋体"/>
      <w:szCs w:val="21"/>
    </w:rPr>
  </w:style>
  <w:style w:type="paragraph" w:styleId="1090" w:customStyle="1">
    <w:name w:val="正文文本缩进 31"/>
    <w:basedOn w:val="797"/>
    <w:link w:val="1091"/>
    <w:uiPriority w:val="99"/>
    <w:qFormat/>
    <w:pPr>
      <w:ind w:firstLine="540"/>
      <w:widowControl/>
    </w:pPr>
    <w:rPr>
      <w:rFonts w:ascii="宋体" w:hAnsi="MS Sans Serif"/>
      <w:color w:val="000000"/>
      <w:sz w:val="24"/>
    </w:rPr>
  </w:style>
  <w:style w:type="character" w:styleId="1091" w:customStyle="1">
    <w:name w:val="正文文本缩进 3 Char"/>
    <w:link w:val="1090"/>
    <w:uiPriority w:val="99"/>
    <w:qFormat/>
    <w:rPr>
      <w:rFonts w:ascii="宋体" w:hAnsi="MS Sans Serif"/>
      <w:color w:val="000000"/>
      <w:sz w:val="24"/>
    </w:rPr>
  </w:style>
  <w:style w:type="paragraph" w:styleId="1092" w:customStyle="1">
    <w:name w:val="索引 71"/>
    <w:basedOn w:val="797"/>
    <w:next w:val="797"/>
    <w:uiPriority w:val="99"/>
    <w:qFormat/>
    <w:pPr>
      <w:ind w:left="1470" w:hanging="210"/>
      <w:jc w:val="left"/>
      <w:spacing w:line="240" w:lineRule="auto"/>
    </w:pPr>
    <w:rPr>
      <w:sz w:val="20"/>
    </w:rPr>
  </w:style>
  <w:style w:type="paragraph" w:styleId="1093" w:customStyle="1">
    <w:name w:val="索引 91"/>
    <w:basedOn w:val="797"/>
    <w:next w:val="797"/>
    <w:uiPriority w:val="99"/>
    <w:qFormat/>
    <w:pPr>
      <w:ind w:left="1890" w:hanging="210"/>
      <w:jc w:val="left"/>
      <w:spacing w:line="240" w:lineRule="auto"/>
    </w:pPr>
    <w:rPr>
      <w:sz w:val="20"/>
    </w:rPr>
  </w:style>
  <w:style w:type="paragraph" w:styleId="1094" w:customStyle="1">
    <w:name w:val="图表目录1"/>
    <w:basedOn w:val="797"/>
    <w:next w:val="797"/>
    <w:uiPriority w:val="99"/>
    <w:qFormat/>
    <w:pPr>
      <w:ind w:left="200" w:hanging="200"/>
      <w:spacing w:line="240" w:lineRule="auto"/>
    </w:pPr>
    <w:rPr>
      <w:szCs w:val="21"/>
    </w:rPr>
  </w:style>
  <w:style w:type="paragraph" w:styleId="1095" w:customStyle="1">
    <w:name w:val="目录 21"/>
    <w:basedOn w:val="797"/>
    <w:next w:val="797"/>
    <w:uiPriority w:val="39"/>
    <w:qFormat/>
    <w:pPr>
      <w:ind w:left="210" w:firstLine="150"/>
      <w:jc w:val="left"/>
      <w:tabs>
        <w:tab w:val="right" w:pos="9170" w:leader="dot"/>
      </w:tabs>
    </w:pPr>
    <w:rPr>
      <w:smallCaps/>
      <w:sz w:val="20"/>
    </w:rPr>
  </w:style>
  <w:style w:type="paragraph" w:styleId="1096" w:customStyle="1">
    <w:name w:val="目录 91"/>
    <w:basedOn w:val="797"/>
    <w:next w:val="797"/>
    <w:uiPriority w:val="99"/>
    <w:qFormat/>
    <w:pPr>
      <w:ind w:left="1470"/>
      <w:jc w:val="left"/>
      <w:spacing w:line="240" w:lineRule="auto"/>
    </w:pPr>
    <w:rPr>
      <w:sz w:val="20"/>
    </w:rPr>
  </w:style>
  <w:style w:type="paragraph" w:styleId="1097" w:customStyle="1">
    <w:name w:val="正文文本 21"/>
    <w:basedOn w:val="797"/>
    <w:link w:val="1098"/>
    <w:uiPriority w:val="99"/>
    <w:qFormat/>
    <w:pPr>
      <w:spacing w:after="120" w:line="480" w:lineRule="auto"/>
    </w:pPr>
  </w:style>
  <w:style w:type="character" w:styleId="1098" w:customStyle="1">
    <w:name w:val="正文文本 2 Char"/>
    <w:link w:val="1097"/>
    <w:uiPriority w:val="99"/>
    <w:qFormat/>
    <w:rPr>
      <w:sz w:val="21"/>
    </w:rPr>
  </w:style>
  <w:style w:type="paragraph" w:styleId="1099" w:customStyle="1">
    <w:name w:val="HTML 预设格式1"/>
    <w:basedOn w:val="797"/>
    <w:link w:val="1100"/>
    <w:uiPriority w:val="99"/>
    <w:qFormat/>
    <w:pPr>
      <w:spacing w:line="240" w:lineRule="auto"/>
    </w:pPr>
    <w:rPr>
      <w:rFonts w:ascii="Courier New" w:hAnsi="Courier New"/>
      <w:sz w:val="20"/>
    </w:rPr>
  </w:style>
  <w:style w:type="character" w:styleId="1100" w:customStyle="1">
    <w:name w:val="HTML 预设格式 Char"/>
    <w:link w:val="1099"/>
    <w:uiPriority w:val="99"/>
    <w:qFormat/>
    <w:rPr>
      <w:rFonts w:ascii="Courier New" w:hAnsi="Courier New"/>
    </w:rPr>
  </w:style>
  <w:style w:type="paragraph" w:styleId="1101" w:customStyle="1">
    <w:name w:val="普通(网站)1"/>
    <w:basedOn w:val="797"/>
    <w:uiPriority w:val="99"/>
    <w:qFormat/>
    <w:pPr>
      <w:jc w:val="left"/>
      <w:spacing w:before="100" w:beforeAutospacing="1" w:after="100" w:afterAutospacing="1"/>
      <w:widowControl/>
    </w:pPr>
    <w:rPr>
      <w:rFonts w:ascii="宋体" w:hAnsi="宋体" w:cs="宋体"/>
      <w:sz w:val="24"/>
      <w:szCs w:val="24"/>
    </w:rPr>
  </w:style>
  <w:style w:type="paragraph" w:styleId="1102" w:customStyle="1">
    <w:name w:val="索引 21"/>
    <w:basedOn w:val="797"/>
    <w:next w:val="797"/>
    <w:uiPriority w:val="99"/>
    <w:qFormat/>
    <w:pPr>
      <w:ind w:left="420" w:hanging="210"/>
      <w:jc w:val="left"/>
      <w:spacing w:line="240" w:lineRule="auto"/>
    </w:pPr>
    <w:rPr>
      <w:sz w:val="20"/>
    </w:rPr>
  </w:style>
  <w:style w:type="paragraph" w:styleId="1103" w:customStyle="1">
    <w:name w:val="标题1"/>
    <w:basedOn w:val="797"/>
    <w:next w:val="797"/>
    <w:link w:val="1104"/>
    <w:uiPriority w:val="0"/>
    <w:qFormat/>
    <w:pPr>
      <w:jc w:val="center"/>
      <w:spacing w:before="240" w:after="60" w:line="240" w:lineRule="auto"/>
      <w:outlineLvl w:val="0"/>
    </w:pPr>
    <w:rPr>
      <w:rFonts w:ascii="Cambria" w:hAnsi="Cambria" w:eastAsia="黑体"/>
      <w:bCs/>
      <w:sz w:val="28"/>
      <w:szCs w:val="32"/>
    </w:rPr>
  </w:style>
  <w:style w:type="character" w:styleId="1104" w:customStyle="1">
    <w:name w:val="标题 Char"/>
    <w:link w:val="1103"/>
    <w:uiPriority w:val="0"/>
    <w:qFormat/>
    <w:rPr>
      <w:rFonts w:ascii="Cambria" w:hAnsi="Cambria" w:eastAsia="黑体"/>
      <w:bCs/>
      <w:sz w:val="28"/>
      <w:szCs w:val="32"/>
    </w:rPr>
  </w:style>
  <w:style w:type="paragraph" w:styleId="1105" w:customStyle="1">
    <w:name w:val="批注主题1"/>
    <w:basedOn w:val="1049"/>
    <w:next w:val="1049"/>
    <w:link w:val="1106"/>
    <w:uiPriority w:val="99"/>
    <w:qFormat/>
    <w:pPr>
      <w:spacing w:line="240" w:lineRule="auto"/>
    </w:pPr>
  </w:style>
  <w:style w:type="character" w:styleId="1106" w:customStyle="1">
    <w:name w:val="批注主题 Char"/>
    <w:link w:val="1105"/>
    <w:uiPriority w:val="99"/>
    <w:qFormat/>
    <w:rPr>
      <w:sz w:val="24"/>
    </w:rPr>
  </w:style>
  <w:style w:type="paragraph" w:styleId="1107" w:customStyle="1">
    <w:name w:val="正文首行缩进11"/>
    <w:basedOn w:val="1108"/>
    <w:link w:val="1109"/>
    <w:uiPriority w:val="99"/>
    <w:qFormat/>
    <w:pPr>
      <w:ind w:firstLine="420"/>
      <w:spacing w:after="120" w:line="240" w:lineRule="auto"/>
    </w:pPr>
    <w:rPr>
      <w:rFonts w:ascii="Times New Roman" w:eastAsia="宋体"/>
      <w:b/>
      <w:bCs w:val="0"/>
      <w:sz w:val="21"/>
      <w:szCs w:val="24"/>
    </w:rPr>
  </w:style>
  <w:style w:type="paragraph" w:styleId="1108" w:customStyle="1">
    <w:name w:val="正文文本11"/>
    <w:next w:val="1055"/>
    <w:uiPriority w:val="99"/>
    <w:qFormat/>
    <w:pPr>
      <w:jc w:val="both"/>
      <w:widowControl w:val="off"/>
    </w:pPr>
    <w:rPr>
      <w:rFonts w:hint="default" w:ascii="华文中宋" w:hAnsi="Times New Roman" w:eastAsia="华文中宋" w:cs="Times New Roman"/>
      <w:bCs/>
      <w:sz w:val="28"/>
      <w:lang w:val="en-US" w:eastAsia="zh-CN" w:bidi="ar-SA"/>
    </w:rPr>
  </w:style>
  <w:style w:type="character" w:styleId="1109" w:customStyle="1">
    <w:name w:val="正文首行缩进 Char"/>
    <w:link w:val="1107"/>
    <w:uiPriority w:val="99"/>
    <w:qFormat/>
    <w:rPr>
      <w:b/>
      <w:sz w:val="21"/>
      <w:szCs w:val="24"/>
    </w:rPr>
  </w:style>
  <w:style w:type="paragraph" w:styleId="1110" w:customStyle="1">
    <w:name w:val="正文首行缩进 21"/>
    <w:basedOn w:val="1057"/>
    <w:next w:val="797"/>
    <w:link w:val="1111"/>
    <w:uiPriority w:val="99"/>
    <w:qFormat/>
    <w:pPr>
      <w:ind w:left="420" w:firstLine="420"/>
      <w:spacing w:after="120" w:line="240" w:lineRule="auto"/>
      <w:widowControl w:val="off"/>
    </w:pPr>
    <w:rPr>
      <w:rFonts w:ascii="Times New Roman" w:hAnsi="Times New Roman"/>
      <w:spacing w:val="0"/>
      <w:sz w:val="21"/>
    </w:rPr>
  </w:style>
  <w:style w:type="character" w:styleId="1111" w:customStyle="1">
    <w:name w:val="正文首行缩进 2 Char"/>
    <w:link w:val="1110"/>
    <w:uiPriority w:val="99"/>
    <w:qFormat/>
    <w:rPr>
      <w:rFonts w:ascii="Times New Roman" w:hAnsi="Times New Roman"/>
      <w:sz w:val="21"/>
    </w:rPr>
  </w:style>
  <w:style w:type="table" w:styleId="1112" w:customStyle="1">
    <w:name w:val="网格型11"/>
    <w:basedOn w:val="1032"/>
    <w:uiPriority w:val="39"/>
    <w:qFormat/>
    <w:tblPr/>
  </w:style>
  <w:style w:type="character" w:styleId="1113" w:customStyle="1">
    <w:name w:val="要点1"/>
    <w:uiPriority w:val="99"/>
    <w:qFormat/>
    <w:rPr>
      <w:rFonts w:cs="Times New Roman"/>
      <w:b/>
    </w:rPr>
  </w:style>
  <w:style w:type="character" w:styleId="1114" w:customStyle="1">
    <w:name w:val="页码1"/>
    <w:uiPriority w:val="99"/>
    <w:qFormat/>
  </w:style>
  <w:style w:type="character" w:styleId="1115" w:customStyle="1">
    <w:name w:val="已访问的超链接11"/>
    <w:uiPriority w:val="99"/>
    <w:qFormat/>
    <w:rPr>
      <w:color w:val="800080"/>
      <w:u w:val="single"/>
    </w:rPr>
  </w:style>
  <w:style w:type="character" w:styleId="1116" w:customStyle="1">
    <w:name w:val="强调1"/>
    <w:uiPriority w:val="99"/>
    <w:qFormat/>
    <w:rPr>
      <w:rFonts w:cs="Times New Roman"/>
      <w:i/>
    </w:rPr>
  </w:style>
  <w:style w:type="character" w:styleId="1117" w:customStyle="1">
    <w:name w:val="HTML 打字机1"/>
    <w:uiPriority w:val="99"/>
    <w:qFormat/>
    <w:rPr>
      <w:rFonts w:ascii="宋体" w:hAnsi="宋体" w:eastAsia="宋体" w:cs="宋体"/>
      <w:sz w:val="24"/>
      <w:szCs w:val="24"/>
    </w:rPr>
  </w:style>
  <w:style w:type="character" w:styleId="1118" w:customStyle="1">
    <w:name w:val="超链接1"/>
    <w:uiPriority w:val="99"/>
    <w:qFormat/>
    <w:rPr>
      <w:color w:val="0000ff"/>
      <w:u w:val="single"/>
    </w:rPr>
  </w:style>
  <w:style w:type="character" w:styleId="1119" w:customStyle="1">
    <w:name w:val="批注引用1"/>
    <w:uiPriority w:val="99"/>
    <w:qFormat/>
    <w:rPr>
      <w:sz w:val="21"/>
      <w:szCs w:val="21"/>
    </w:rPr>
  </w:style>
  <w:style w:type="paragraph" w:styleId="1120" w:customStyle="1">
    <w:name w:val="toc 11"/>
    <w:next w:val="797"/>
    <w:uiPriority w:val="0"/>
    <w:qFormat/>
    <w:pPr>
      <w:jc w:val="both"/>
    </w:pPr>
    <w:rPr>
      <w:rFonts w:hint="default" w:ascii="Calibri" w:hAnsi="Calibri" w:eastAsia="宋体" w:cs="Times New Roman"/>
      <w:sz w:val="21"/>
      <w:lang w:val="en-US" w:eastAsia="zh-CN" w:bidi="ar-SA"/>
    </w:rPr>
  </w:style>
  <w:style w:type="paragraph" w:styleId="1121" w:customStyle="1">
    <w:name w:val="_Style 1"/>
    <w:basedOn w:val="797"/>
    <w:uiPriority w:val="0"/>
    <w:qFormat/>
    <w:pPr>
      <w:ind w:firstLine="420"/>
    </w:pPr>
  </w:style>
  <w:style w:type="character" w:styleId="1122" w:customStyle="1">
    <w:name w:val="标题5 Char Char"/>
    <w:link w:val="1123"/>
    <w:uiPriority w:val="99"/>
    <w:qFormat/>
    <w:rPr>
      <w:rFonts w:ascii="Arial" w:hAnsi="Arial"/>
      <w:b/>
      <w:sz w:val="32"/>
    </w:rPr>
  </w:style>
  <w:style w:type="paragraph" w:styleId="1123" w:customStyle="1">
    <w:name w:val="标题5"/>
    <w:basedOn w:val="1023"/>
    <w:link w:val="1122"/>
    <w:uiPriority w:val="99"/>
    <w:qFormat/>
    <w:pPr>
      <w:ind w:left="0" w:firstLine="0"/>
      <w:jc w:val="both"/>
      <w:spacing w:before="260" w:after="260" w:line="413" w:lineRule="auto"/>
      <w:widowControl w:val="off"/>
      <w:tabs>
        <w:tab w:val="clear" w:pos="720" w:leader="none"/>
      </w:tabs>
    </w:pPr>
    <w:rPr>
      <w:rFonts w:ascii="Arial" w:hAnsi="Arial"/>
    </w:rPr>
  </w:style>
  <w:style w:type="character" w:styleId="1124" w:customStyle="1">
    <w:name w:val="页脚 字符"/>
    <w:uiPriority w:val="0"/>
    <w:qFormat/>
    <w:rPr>
      <w:rFonts w:ascii="仿宋" w:hAnsi="仿宋" w:eastAsia="仿宋" w:cs="仿宋"/>
      <w:sz w:val="18"/>
      <w:szCs w:val="24"/>
    </w:rPr>
  </w:style>
  <w:style w:type="character" w:styleId="1125" w:customStyle="1">
    <w:name w:val="Variable"/>
    <w:uiPriority w:val="99"/>
    <w:qFormat/>
    <w:rPr>
      <w:i/>
    </w:rPr>
  </w:style>
  <w:style w:type="character" w:styleId="1126" w:customStyle="1">
    <w:name w:val="Char Char33"/>
    <w:uiPriority w:val="99"/>
    <w:qFormat/>
    <w:rPr>
      <w:rFonts w:ascii="Tahoma" w:hAnsi="Tahoma" w:eastAsia="幼圆"/>
      <w:sz w:val="21"/>
    </w:rPr>
  </w:style>
  <w:style w:type="character" w:styleId="1127" w:customStyle="1">
    <w:name w:val="普通文字 Char1"/>
    <w:uiPriority w:val="0"/>
    <w:qFormat/>
    <w:rPr>
      <w:rFonts w:ascii="宋体" w:hAnsi="Courier New" w:eastAsia="宋体"/>
      <w:sz w:val="21"/>
      <w:lang w:val="en-US" w:eastAsia="zh-CN" w:bidi="ar-SA"/>
    </w:rPr>
  </w:style>
  <w:style w:type="character" w:styleId="1128" w:customStyle="1">
    <w:name w:val="font101"/>
    <w:uiPriority w:val="0"/>
    <w:qFormat/>
    <w:rPr>
      <w:rFonts w:hint="eastAsia" w:ascii="宋体" w:hAnsi="宋体" w:eastAsia="宋体" w:cs="宋体"/>
      <w:color w:val="000000"/>
      <w:sz w:val="20"/>
      <w:szCs w:val="20"/>
      <w:u w:val="none"/>
    </w:rPr>
  </w:style>
  <w:style w:type="character" w:styleId="1129" w:customStyle="1">
    <w:name w:val="qowt-font2"/>
    <w:uiPriority w:val="0"/>
    <w:qFormat/>
  </w:style>
  <w:style w:type="character" w:styleId="1130" w:customStyle="1">
    <w:name w:val="Char Char39"/>
    <w:uiPriority w:val="99"/>
    <w:qFormat/>
    <w:rPr>
      <w:rFonts w:ascii="华文细黑" w:hAnsi="华文细黑" w:eastAsia="幼圆"/>
      <w:b/>
      <w:sz w:val="30"/>
    </w:rPr>
  </w:style>
  <w:style w:type="character" w:styleId="1131" w:customStyle="1">
    <w:name w:val="font61"/>
    <w:uiPriority w:val="0"/>
    <w:qFormat/>
    <w:rPr>
      <w:rFonts w:hint="eastAsia" w:ascii="宋体" w:hAnsi="宋体" w:eastAsia="宋体" w:cs="宋体"/>
      <w:color w:val="000000"/>
      <w:sz w:val="20"/>
      <w:szCs w:val="20"/>
      <w:u w:val="none"/>
    </w:rPr>
  </w:style>
  <w:style w:type="character" w:styleId="1132" w:customStyle="1">
    <w:name w:val="Char Char3"/>
    <w:uiPriority w:val="99"/>
    <w:qFormat/>
    <w:rPr>
      <w:rFonts w:ascii="黑体" w:hAnsi="宋体" w:eastAsia="黑体"/>
      <w:b/>
      <w:sz w:val="24"/>
      <w:lang w:val="en-US" w:eastAsia="zh-CN"/>
    </w:rPr>
  </w:style>
  <w:style w:type="character" w:styleId="1133" w:customStyle="1">
    <w:name w:val="正文文本 Char1"/>
    <w:uiPriority w:val="99"/>
    <w:qFormat/>
    <w:rPr>
      <w:rFonts w:ascii="华文中宋" w:eastAsia="华文中宋"/>
      <w:sz w:val="28"/>
    </w:rPr>
  </w:style>
  <w:style w:type="character" w:styleId="1134" w:customStyle="1">
    <w:name w:val="标题 3 字符"/>
    <w:uiPriority w:val="99"/>
    <w:qFormat/>
    <w:rPr>
      <w:rFonts w:ascii="宋体" w:hAnsi="宋体" w:eastAsia="宋体" w:cs="宋体"/>
      <w:b/>
      <w:bCs/>
      <w:sz w:val="30"/>
      <w:szCs w:val="30"/>
    </w:rPr>
  </w:style>
  <w:style w:type="character" w:styleId="1135" w:customStyle="1">
    <w:name w:val="明显参考1"/>
    <w:uiPriority w:val="99"/>
    <w:qFormat/>
    <w:rPr>
      <w:b/>
      <w:smallCaps/>
      <w:color w:val="c0504d"/>
      <w:spacing w:val="5"/>
      <w:u w:val="single"/>
    </w:rPr>
  </w:style>
  <w:style w:type="character" w:styleId="1136" w:customStyle="1">
    <w:name w:val="已访问的超链接1"/>
    <w:uiPriority w:val="99"/>
    <w:qFormat/>
    <w:rPr>
      <w:color w:val="800080"/>
      <w:u w:val="single"/>
    </w:rPr>
  </w:style>
  <w:style w:type="character" w:styleId="1137" w:customStyle="1">
    <w:name w:val="正文文本首行缩进 2 字符"/>
    <w:uiPriority w:val="0"/>
    <w:qFormat/>
  </w:style>
  <w:style w:type="character" w:styleId="1138" w:customStyle="1">
    <w:name w:val="标题 6 字符"/>
    <w:uiPriority w:val="9"/>
    <w:semiHidden/>
    <w:qFormat/>
    <w:rPr>
      <w:rFonts w:ascii="Cambria" w:hAnsi="Cambria" w:eastAsia="宋体" w:cs="Times New Roman"/>
      <w:b/>
      <w:bCs/>
      <w:sz w:val="24"/>
      <w:szCs w:val="24"/>
    </w:rPr>
  </w:style>
  <w:style w:type="character" w:styleId="1139" w:customStyle="1">
    <w:name w:val="正文文本 + 间距 0 pt14"/>
    <w:uiPriority w:val="99"/>
    <w:qFormat/>
    <w:rPr>
      <w:rFonts w:ascii="MingLiU" w:eastAsia="MingLiU"/>
      <w:color w:val="0000fd"/>
      <w:spacing w:val="10"/>
      <w:sz w:val="19"/>
      <w:u w:val="none"/>
      <w:lang w:val="en-US" w:eastAsia="zh-CN"/>
    </w:rPr>
  </w:style>
  <w:style w:type="character" w:styleId="1140" w:customStyle="1">
    <w:name w:val="标题 4 字符"/>
    <w:uiPriority w:val="0"/>
    <w:qFormat/>
    <w:rPr>
      <w:rFonts w:ascii="Cambria" w:hAnsi="Cambria" w:eastAsia="宋体" w:cs="Times New Roman"/>
      <w:b/>
      <w:bCs/>
      <w:sz w:val="28"/>
      <w:szCs w:val="28"/>
    </w:rPr>
  </w:style>
  <w:style w:type="character" w:styleId="1141" w:customStyle="1">
    <w:name w:val="页眉 字符"/>
    <w:uiPriority w:val="0"/>
    <w:qFormat/>
    <w:rPr>
      <w:rFonts w:ascii="仿宋" w:hAnsi="仿宋" w:eastAsia="仿宋" w:cs="仿宋"/>
      <w:sz w:val="18"/>
      <w:szCs w:val="24"/>
    </w:rPr>
  </w:style>
  <w:style w:type="character" w:styleId="1142" w:customStyle="1">
    <w:name w:val="font81"/>
    <w:uiPriority w:val="0"/>
    <w:qFormat/>
    <w:rPr>
      <w:rFonts w:hint="eastAsia" w:ascii="宋体" w:hAnsi="宋体" w:eastAsia="宋体" w:cs="宋体"/>
      <w:color w:val="000000"/>
      <w:sz w:val="20"/>
      <w:szCs w:val="20"/>
      <w:u w:val="none"/>
    </w:rPr>
  </w:style>
  <w:style w:type="character" w:styleId="1143" w:customStyle="1">
    <w:name w:val="textcontents"/>
    <w:uiPriority w:val="99"/>
    <w:qFormat/>
  </w:style>
  <w:style w:type="character" w:styleId="1144" w:customStyle="1">
    <w:name w:val="Char Char38"/>
    <w:uiPriority w:val="99"/>
    <w:qFormat/>
    <w:rPr>
      <w:rFonts w:ascii="Tahoma" w:hAnsi="Tahoma" w:eastAsia="幼圆"/>
      <w:b/>
      <w:sz w:val="28"/>
    </w:rPr>
  </w:style>
  <w:style w:type="character" w:styleId="1145" w:customStyle="1">
    <w:name w:val="Char Char2"/>
    <w:uiPriority w:val="99"/>
    <w:semiHidden/>
    <w:qFormat/>
    <w:rPr>
      <w:rFonts w:eastAsia="宋体"/>
      <w:sz w:val="24"/>
      <w:lang w:val="en-US" w:eastAsia="zh-CN"/>
    </w:rPr>
  </w:style>
  <w:style w:type="character" w:styleId="1146" w:customStyle="1">
    <w:name w:val="副标题 Char1"/>
    <w:uiPriority w:val="99"/>
    <w:qFormat/>
    <w:rPr>
      <w:rFonts w:ascii="Cambria" w:hAnsi="Cambria"/>
      <w:b/>
      <w:sz w:val="32"/>
    </w:rPr>
  </w:style>
  <w:style w:type="character" w:styleId="1147" w:customStyle="1">
    <w:name w:val="Para head"/>
    <w:uiPriority w:val="0"/>
    <w:qFormat/>
    <w:rPr>
      <w:rFonts w:ascii="Arial" w:hAnsi="Arial" w:eastAsia="Times New Roman"/>
      <w:sz w:val="20"/>
    </w:rPr>
  </w:style>
  <w:style w:type="character" w:styleId="1148" w:customStyle="1">
    <w:name w:val="标题 1 字符"/>
    <w:uiPriority w:val="99"/>
    <w:qFormat/>
    <w:rPr>
      <w:rFonts w:ascii="宋体" w:hAnsi="宋体" w:eastAsia="宋体" w:cs="宋体"/>
      <w:b/>
      <w:sz w:val="30"/>
      <w:szCs w:val="30"/>
    </w:rPr>
  </w:style>
  <w:style w:type="character" w:styleId="1149" w:customStyle="1">
    <w:name w:val="不明显参考1"/>
    <w:uiPriority w:val="99"/>
    <w:qFormat/>
    <w:rPr>
      <w:smallCaps/>
      <w:color w:val="c0504d"/>
      <w:u w:val="single"/>
    </w:rPr>
  </w:style>
  <w:style w:type="character" w:styleId="1150" w:customStyle="1">
    <w:name w:val="font112"/>
    <w:basedOn w:val="807"/>
    <w:uiPriority w:val="0"/>
    <w:qFormat/>
    <w:rPr>
      <w:rFonts w:ascii="Calibri" w:hAnsi="Calibri" w:cs="Calibri"/>
      <w:color w:val="000000"/>
      <w:sz w:val="22"/>
      <w:szCs w:val="22"/>
      <w:u w:val="none"/>
    </w:rPr>
  </w:style>
  <w:style w:type="character" w:styleId="1151" w:customStyle="1">
    <w:name w:val="正文文本缩进 Char"/>
    <w:uiPriority w:val="99"/>
    <w:qFormat/>
    <w:rPr>
      <w:rFonts w:ascii="Times New Roman" w:hAnsi="Times New Roman" w:eastAsia="宋体" w:cs="Times New Roman"/>
      <w:szCs w:val="20"/>
    </w:rPr>
  </w:style>
  <w:style w:type="character" w:styleId="1152" w:customStyle="1">
    <w:name w:val="CITE"/>
    <w:uiPriority w:val="99"/>
    <w:qFormat/>
    <w:rPr>
      <w:i/>
    </w:rPr>
  </w:style>
  <w:style w:type="character" w:styleId="1153" w:customStyle="1">
    <w:name w:val="明显强调1"/>
    <w:uiPriority w:val="99"/>
    <w:qFormat/>
    <w:rPr>
      <w:b/>
      <w:i/>
      <w:color w:val="4f81bd"/>
    </w:rPr>
  </w:style>
  <w:style w:type="character" w:styleId="1154" w:customStyle="1">
    <w:name w:val="正文文本缩进 字符"/>
    <w:uiPriority w:val="0"/>
    <w:qFormat/>
    <w:rPr>
      <w:rFonts w:ascii="仿宋" w:hAnsi="仿宋" w:eastAsia="仿宋" w:cs="仿宋"/>
      <w:sz w:val="24"/>
      <w:szCs w:val="24"/>
    </w:rPr>
  </w:style>
  <w:style w:type="character" w:styleId="1155" w:customStyle="1">
    <w:name w:val="标题 2 字符"/>
    <w:uiPriority w:val="99"/>
    <w:qFormat/>
    <w:rPr>
      <w:rFonts w:ascii="Cambria" w:hAnsi="Cambria" w:eastAsia="宋体" w:cs="Times New Roman"/>
      <w:b/>
      <w:bCs/>
      <w:sz w:val="32"/>
      <w:szCs w:val="32"/>
    </w:rPr>
  </w:style>
  <w:style w:type="character" w:styleId="1156" w:customStyle="1">
    <w:name w:val="页眉 Char1"/>
    <w:uiPriority w:val="99"/>
    <w:qFormat/>
    <w:rPr>
      <w:sz w:val="18"/>
    </w:rPr>
  </w:style>
  <w:style w:type="character" w:styleId="1157" w:customStyle="1">
    <w:name w:val="批注主题 字符"/>
    <w:uiPriority w:val="99"/>
    <w:semiHidden/>
    <w:qFormat/>
    <w:rPr>
      <w:rFonts w:ascii="Times New Roman" w:hAnsi="Times New Roman" w:eastAsia="宋体" w:cs="Times New Roman"/>
      <w:b/>
      <w:bCs/>
      <w:sz w:val="24"/>
      <w:szCs w:val="20"/>
    </w:rPr>
  </w:style>
  <w:style w:type="character" w:styleId="1158" w:customStyle="1">
    <w:name w:val="标题 7 字符"/>
    <w:uiPriority w:val="0"/>
    <w:semiHidden/>
    <w:qFormat/>
    <w:rPr>
      <w:rFonts w:ascii="仿宋" w:hAnsi="仿宋" w:eastAsia="仿宋" w:cs="仿宋"/>
      <w:b/>
      <w:sz w:val="24"/>
      <w:szCs w:val="24"/>
    </w:rPr>
  </w:style>
  <w:style w:type="character" w:styleId="1159" w:customStyle="1">
    <w:name w:val="引用 Char1"/>
    <w:uiPriority w:val="99"/>
    <w:qFormat/>
    <w:rPr>
      <w:i/>
      <w:color w:val="000000"/>
      <w:sz w:val="21"/>
    </w:rPr>
  </w:style>
  <w:style w:type="character" w:styleId="1160" w:customStyle="1">
    <w:name w:val="正文文本 + Gungsuh"/>
    <w:uiPriority w:val="99"/>
    <w:qFormat/>
    <w:rPr>
      <w:rFonts w:ascii="Gungsuh" w:eastAsia="Gungsuh"/>
      <w:b/>
      <w:sz w:val="16"/>
      <w:lang w:val="en-US" w:eastAsia="en-US"/>
    </w:rPr>
  </w:style>
  <w:style w:type="character" w:styleId="1161" w:customStyle="1">
    <w:name w:val="Keyboard"/>
    <w:uiPriority w:val="99"/>
    <w:qFormat/>
    <w:rPr>
      <w:rFonts w:ascii="Courier New" w:hAnsi="Courier New"/>
      <w:b/>
      <w:sz w:val="20"/>
    </w:rPr>
  </w:style>
  <w:style w:type="character" w:styleId="1162" w:customStyle="1">
    <w:name w:val="表正文 Char1"/>
    <w:uiPriority w:val="0"/>
    <w:qFormat/>
    <w:rPr>
      <w:rFonts w:eastAsia="宋体"/>
      <w:sz w:val="21"/>
      <w:lang w:val="en-US" w:eastAsia="zh-CN" w:bidi="ar-SA"/>
    </w:rPr>
  </w:style>
  <w:style w:type="character" w:styleId="1163" w:customStyle="1">
    <w:name w:val="Char Char4"/>
    <w:uiPriority w:val="99"/>
    <w:qFormat/>
    <w:rPr>
      <w:rFonts w:ascii="宋体" w:hAnsi="宋体" w:eastAsia="黑体"/>
      <w:b/>
      <w:sz w:val="32"/>
      <w:lang w:val="en-US" w:eastAsia="zh-CN"/>
    </w:rPr>
  </w:style>
  <w:style w:type="character" w:styleId="1164" w:customStyle="1">
    <w:name w:val="批注文字 Char Char"/>
    <w:uiPriority w:val="99"/>
    <w:qFormat/>
    <w:rPr>
      <w:rFonts w:ascii="宋体" w:hAnsi="Times New Roman" w:eastAsia="宋体"/>
      <w:sz w:val="20"/>
    </w:rPr>
  </w:style>
  <w:style w:type="character" w:styleId="1165" w:customStyle="1">
    <w:name w:val="批注主题 Char1"/>
    <w:uiPriority w:val="99"/>
    <w:qFormat/>
    <w:rPr>
      <w:b/>
      <w:sz w:val="22"/>
    </w:rPr>
  </w:style>
  <w:style w:type="character" w:styleId="1166" w:customStyle="1">
    <w:name w:val="font41"/>
    <w:uiPriority w:val="0"/>
    <w:qFormat/>
    <w:rPr>
      <w:rFonts w:ascii="Times New Roman" w:hAnsi="Times New Roman" w:cs="Times New Roman"/>
      <w:color w:val="000000"/>
      <w:sz w:val="20"/>
      <w:szCs w:val="20"/>
      <w:u w:val="none"/>
    </w:rPr>
  </w:style>
  <w:style w:type="character" w:styleId="1167" w:customStyle="1">
    <w:name w:val="日期 Char1"/>
    <w:uiPriority w:val="99"/>
    <w:qFormat/>
    <w:rPr>
      <w:sz w:val="22"/>
    </w:rPr>
  </w:style>
  <w:style w:type="character" w:styleId="1168" w:customStyle="1">
    <w:name w:val="标题 Char1"/>
    <w:uiPriority w:val="0"/>
    <w:qFormat/>
    <w:rPr>
      <w:rFonts w:ascii="Cambria" w:hAnsi="Cambria" w:cs="Times New Roman"/>
      <w:b/>
      <w:bCs/>
      <w:sz w:val="32"/>
      <w:szCs w:val="32"/>
    </w:rPr>
  </w:style>
  <w:style w:type="character" w:styleId="1169" w:customStyle="1">
    <w:name w:val="发布"/>
    <w:uiPriority w:val="99"/>
    <w:qFormat/>
    <w:rPr>
      <w:rFonts w:ascii="黑体" w:eastAsia="黑体"/>
      <w:spacing w:val="85"/>
      <w:position w:val="3"/>
      <w:sz w:val="28"/>
    </w:rPr>
  </w:style>
  <w:style w:type="character" w:styleId="1170" w:customStyle="1">
    <w:name w:val="font31"/>
    <w:uiPriority w:val="0"/>
    <w:qFormat/>
    <w:rPr>
      <w:rFonts w:ascii="Times New Roman" w:hAnsi="Times New Roman" w:cs="Times New Roman"/>
      <w:b/>
      <w:color w:val="000000"/>
      <w:sz w:val="20"/>
      <w:szCs w:val="20"/>
      <w:u w:val="none"/>
    </w:rPr>
  </w:style>
  <w:style w:type="character" w:styleId="1171" w:customStyle="1">
    <w:name w:val="页眉 Char2"/>
    <w:uiPriority w:val="99"/>
    <w:qFormat/>
    <w:rPr>
      <w:rFonts w:eastAsia="宋体"/>
      <w:sz w:val="18"/>
      <w:lang w:val="en-US" w:eastAsia="zh-CN"/>
    </w:rPr>
  </w:style>
  <w:style w:type="character" w:styleId="1172" w:customStyle="1">
    <w:name w:val="font91"/>
    <w:uiPriority w:val="0"/>
    <w:qFormat/>
    <w:rPr>
      <w:rFonts w:ascii="Calibri" w:hAnsi="Calibri" w:cs="Calibri"/>
      <w:color w:val="000000"/>
      <w:sz w:val="20"/>
      <w:szCs w:val="20"/>
      <w:u w:val="none"/>
    </w:rPr>
  </w:style>
  <w:style w:type="character" w:styleId="1173" w:customStyle="1">
    <w:name w:val="明显引用字符"/>
    <w:link w:val="1174"/>
    <w:uiPriority w:val="99"/>
    <w:qFormat/>
    <w:rPr>
      <w:b/>
      <w:i/>
      <w:color w:val="4f81bd"/>
      <w:sz w:val="22"/>
    </w:rPr>
  </w:style>
  <w:style w:type="paragraph" w:styleId="1174" w:customStyle="1">
    <w:name w:val="明显引用1"/>
    <w:basedOn w:val="797"/>
    <w:next w:val="797"/>
    <w:link w:val="1173"/>
    <w:uiPriority w:val="99"/>
    <w:qFormat/>
    <w:pPr>
      <w:ind w:left="936" w:right="936"/>
      <w:spacing w:before="200" w:after="280" w:line="240" w:lineRule="auto"/>
      <w:pBdr>
        <w:bottom w:val="single" w:color="4F81BD" w:sz="4" w:space="4"/>
      </w:pBdr>
    </w:pPr>
    <w:rPr>
      <w:b/>
      <w:i/>
      <w:color w:val="4f81bd"/>
      <w:sz w:val="22"/>
    </w:rPr>
  </w:style>
  <w:style w:type="character" w:styleId="1175" w:customStyle="1">
    <w:name w:val="font111"/>
    <w:uiPriority w:val="99"/>
    <w:qFormat/>
    <w:rPr>
      <w:rFonts w:ascii="宋体" w:hAnsi="宋体" w:eastAsia="宋体" w:cs="宋体"/>
      <w:color w:val="000000"/>
      <w:sz w:val="18"/>
      <w:szCs w:val="18"/>
      <w:u w:val="none"/>
    </w:rPr>
  </w:style>
  <w:style w:type="character" w:styleId="1176" w:customStyle="1">
    <w:name w:val="正文文本 + Gungsuh13"/>
    <w:uiPriority w:val="99"/>
    <w:qFormat/>
    <w:rPr>
      <w:rFonts w:ascii="Gungsuh" w:eastAsia="Gungsuh"/>
      <w:b/>
      <w:color w:val="0000fd"/>
      <w:spacing w:val="10"/>
      <w:sz w:val="16"/>
      <w:u w:val="none"/>
      <w:lang w:val="en-US" w:eastAsia="en-US"/>
    </w:rPr>
  </w:style>
  <w:style w:type="character" w:styleId="1177" w:customStyle="1">
    <w:name w:val="Char Char61"/>
    <w:uiPriority w:val="99"/>
    <w:qFormat/>
    <w:rPr>
      <w:rFonts w:eastAsia="宋体"/>
      <w:b/>
      <w:sz w:val="32"/>
      <w:lang w:val="en-US" w:eastAsia="zh-CN"/>
    </w:rPr>
  </w:style>
  <w:style w:type="character" w:styleId="1178" w:customStyle="1">
    <w:name w:val="Char Char1"/>
    <w:uiPriority w:val="99"/>
    <w:qFormat/>
    <w:rPr>
      <w:rFonts w:ascii="黑体" w:hAnsi="Arial" w:eastAsia="黑体"/>
      <w:b/>
      <w:sz w:val="32"/>
      <w:lang w:val="en-US" w:eastAsia="zh-CN"/>
    </w:rPr>
  </w:style>
  <w:style w:type="character" w:styleId="1179" w:customStyle="1">
    <w:name w:val="font21"/>
    <w:uiPriority w:val="0"/>
    <w:qFormat/>
    <w:rPr>
      <w:rFonts w:hint="eastAsia" w:ascii="宋体" w:hAnsi="宋体" w:eastAsia="宋体" w:cs="宋体"/>
      <w:color w:val="000000"/>
      <w:sz w:val="16"/>
      <w:szCs w:val="16"/>
      <w:u w:val="none"/>
    </w:rPr>
  </w:style>
  <w:style w:type="character" w:styleId="1180" w:customStyle="1">
    <w:name w:val="书籍标题1"/>
    <w:uiPriority w:val="99"/>
    <w:qFormat/>
    <w:rPr>
      <w:b/>
      <w:smallCaps/>
      <w:spacing w:val="5"/>
    </w:rPr>
  </w:style>
  <w:style w:type="character" w:styleId="1181" w:customStyle="1">
    <w:name w:val="font11"/>
    <w:uiPriority w:val="0"/>
    <w:qFormat/>
    <w:rPr>
      <w:rFonts w:hint="eastAsia" w:ascii="宋体" w:hAnsi="宋体" w:eastAsia="宋体" w:cs="宋体"/>
      <w:b/>
      <w:color w:val="ff0000"/>
      <w:sz w:val="20"/>
      <w:szCs w:val="20"/>
      <w:u w:val="none"/>
    </w:rPr>
  </w:style>
  <w:style w:type="character" w:styleId="1182" w:customStyle="1">
    <w:name w:val="font121"/>
    <w:basedOn w:val="807"/>
    <w:uiPriority w:val="0"/>
    <w:qFormat/>
    <w:rPr>
      <w:rFonts w:ascii="Arial" w:hAnsi="Arial" w:cs="Arial"/>
      <w:color w:val="000000"/>
      <w:sz w:val="20"/>
      <w:szCs w:val="20"/>
      <w:u w:val="none"/>
    </w:rPr>
  </w:style>
  <w:style w:type="character" w:styleId="1183" w:customStyle="1">
    <w:name w:val="CODE"/>
    <w:uiPriority w:val="99"/>
    <w:qFormat/>
    <w:rPr>
      <w:rFonts w:ascii="Courier New" w:hAnsi="Courier New"/>
      <w:sz w:val="20"/>
    </w:rPr>
  </w:style>
  <w:style w:type="character" w:styleId="1184" w:customStyle="1">
    <w:name w:val="正文文本 + 间距 0 pt"/>
    <w:uiPriority w:val="99"/>
    <w:qFormat/>
    <w:rPr>
      <w:rFonts w:ascii="MingLiU" w:eastAsia="MingLiU"/>
      <w:spacing w:val="10"/>
      <w:sz w:val="19"/>
      <w:u w:val="none"/>
      <w:lang w:val="en-US" w:eastAsia="zh-CN"/>
    </w:rPr>
  </w:style>
  <w:style w:type="character" w:styleId="1185" w:customStyle="1">
    <w:name w:val="正文文本 + Gungsuh14"/>
    <w:uiPriority w:val="99"/>
    <w:qFormat/>
    <w:rPr>
      <w:rFonts w:ascii="Gungsuh" w:eastAsia="Gungsuh"/>
      <w:b/>
      <w:color w:val="0000fd"/>
      <w:spacing w:val="10"/>
      <w:sz w:val="16"/>
      <w:u w:val="single"/>
      <w:lang w:val="en-US" w:eastAsia="en-US"/>
    </w:rPr>
  </w:style>
  <w:style w:type="character" w:styleId="1186" w:customStyle="1">
    <w:name w:val="首示例 Char"/>
    <w:link w:val="1187"/>
    <w:uiPriority w:val="99"/>
    <w:qFormat/>
    <w:rPr>
      <w:rFonts w:ascii="宋体" w:hAnsi="宋体"/>
      <w:sz w:val="18"/>
      <w:szCs w:val="18"/>
      <w:lang w:val="en-US" w:eastAsia="zh-CN" w:bidi="ar-SA"/>
    </w:rPr>
  </w:style>
  <w:style w:type="paragraph" w:styleId="1187" w:customStyle="1">
    <w:name w:val="首示例"/>
    <w:next w:val="1188"/>
    <w:link w:val="1186"/>
    <w:uiPriority w:val="99"/>
    <w:qFormat/>
    <w:pPr>
      <w:tabs>
        <w:tab w:val="left" w:pos="360" w:leader="none"/>
      </w:tabs>
    </w:pPr>
    <w:rPr>
      <w:rFonts w:hint="default" w:ascii="宋体" w:hAnsi="宋体" w:eastAsia="宋体" w:cs="Times New Roman"/>
      <w:sz w:val="18"/>
      <w:szCs w:val="18"/>
      <w:lang w:val="en-US" w:eastAsia="zh-CN" w:bidi="ar-SA"/>
    </w:rPr>
  </w:style>
  <w:style w:type="paragraph" w:styleId="1188" w:customStyle="1">
    <w:name w:val="段"/>
    <w:next w:val="797"/>
    <w:link w:val="1189"/>
    <w:uiPriority w:val="99"/>
    <w:qFormat/>
    <w:pPr>
      <w:ind w:firstLine="200"/>
      <w:jc w:val="both"/>
    </w:pPr>
    <w:rPr>
      <w:rFonts w:hint="default" w:ascii="宋体" w:hAnsi="Times New Roman" w:eastAsia="Times New Roman" w:cs="Times New Roman"/>
      <w:sz w:val="21"/>
      <w:lang w:val="en-US" w:eastAsia="zh-CN" w:bidi="ar-SA"/>
    </w:rPr>
  </w:style>
  <w:style w:type="character" w:styleId="1189" w:customStyle="1">
    <w:name w:val="段 Char"/>
    <w:link w:val="1188"/>
    <w:uiPriority w:val="99"/>
    <w:qFormat/>
    <w:rPr>
      <w:rFonts w:ascii="宋体" w:eastAsia="Times New Roman"/>
      <w:sz w:val="21"/>
      <w:lang w:val="en-US" w:eastAsia="zh-CN" w:bidi="ar-SA"/>
    </w:rPr>
  </w:style>
  <w:style w:type="character" w:styleId="1190" w:customStyle="1">
    <w:name w:val="附录公式 Char"/>
    <w:link w:val="1191"/>
    <w:uiPriority w:val="99"/>
    <w:qFormat/>
    <w:rPr>
      <w:rFonts w:ascii="宋体"/>
    </w:rPr>
  </w:style>
  <w:style w:type="paragraph" w:styleId="1191" w:customStyle="1">
    <w:name w:val="附录公式"/>
    <w:basedOn w:val="1188"/>
    <w:next w:val="1188"/>
    <w:link w:val="1190"/>
    <w:uiPriority w:val="99"/>
    <w:qFormat/>
    <w:pPr>
      <w:ind w:firstLine="420"/>
      <w:tabs>
        <w:tab w:val="center" w:pos="4201" w:leader="none"/>
        <w:tab w:val="right" w:pos="9298" w:leader="dot"/>
      </w:tabs>
    </w:pPr>
    <w:rPr>
      <w:rFonts w:eastAsia="宋体"/>
      <w:sz w:val="20"/>
    </w:rPr>
  </w:style>
  <w:style w:type="character" w:styleId="1192" w:customStyle="1">
    <w:name w:val="Char Char37"/>
    <w:uiPriority w:val="99"/>
    <w:qFormat/>
    <w:rPr>
      <w:rFonts w:ascii="仿宋_GB2312" w:eastAsia="仿宋_GB2312"/>
      <w:b/>
      <w:sz w:val="28"/>
    </w:rPr>
  </w:style>
  <w:style w:type="character" w:styleId="1193" w:customStyle="1">
    <w:name w:val="正文文本 + 间距 0 pt12"/>
    <w:uiPriority w:val="99"/>
    <w:qFormat/>
    <w:rPr>
      <w:rFonts w:ascii="MingLiU" w:eastAsia="MingLiU"/>
      <w:color w:val="0000ce"/>
      <w:spacing w:val="10"/>
      <w:sz w:val="19"/>
      <w:u w:val="none"/>
      <w:lang w:val="en-US" w:eastAsia="zh-CN"/>
    </w:rPr>
  </w:style>
  <w:style w:type="character" w:styleId="1194" w:customStyle="1">
    <w:name w:val="纯文本 Char1"/>
    <w:uiPriority w:val="99"/>
    <w:qFormat/>
    <w:rPr>
      <w:rFonts w:ascii="宋体" w:hAnsi="Courier New"/>
      <w:sz w:val="21"/>
    </w:rPr>
  </w:style>
  <w:style w:type="character" w:styleId="1195"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196" w:customStyle="1">
    <w:name w:val="HTML Markup"/>
    <w:uiPriority w:val="99"/>
    <w:qFormat/>
    <w:rPr>
      <w:vanish/>
      <w:color w:val="ff0000"/>
    </w:rPr>
  </w:style>
  <w:style w:type="character" w:styleId="1197" w:customStyle="1">
    <w:name w:val="Definition"/>
    <w:uiPriority w:val="99"/>
    <w:qFormat/>
    <w:rPr>
      <w:i/>
    </w:rPr>
  </w:style>
  <w:style w:type="character" w:styleId="1198" w:customStyle="1">
    <w:name w:val="标题 8 字符"/>
    <w:uiPriority w:val="0"/>
    <w:semiHidden/>
    <w:qFormat/>
    <w:rPr>
      <w:rFonts w:ascii="Arial" w:hAnsi="Arial" w:eastAsia="黑体" w:cs="仿宋"/>
      <w:sz w:val="24"/>
      <w:szCs w:val="24"/>
    </w:rPr>
  </w:style>
  <w:style w:type="character" w:styleId="1199" w:customStyle="1">
    <w:name w:val="Char Char34"/>
    <w:uiPriority w:val="99"/>
    <w:qFormat/>
    <w:rPr>
      <w:rFonts w:ascii="Tahoma" w:hAnsi="Tahoma" w:eastAsia="幼圆"/>
      <w:sz w:val="24"/>
    </w:rPr>
  </w:style>
  <w:style w:type="character" w:styleId="1200" w:customStyle="1">
    <w:name w:val="正文文本 + Gungsuh32"/>
    <w:uiPriority w:val="99"/>
    <w:qFormat/>
    <w:rPr>
      <w:rFonts w:ascii="Gungsuh" w:eastAsia="Gungsuh"/>
      <w:b/>
      <w:color w:val="0000fd"/>
      <w:sz w:val="16"/>
      <w:u w:val="none"/>
      <w:lang w:val="en-US" w:eastAsia="en-US"/>
    </w:rPr>
  </w:style>
  <w:style w:type="character" w:styleId="1201" w:customStyle="1">
    <w:name w:val="批注文字 字符"/>
    <w:uiPriority w:val="99"/>
    <w:qFormat/>
    <w:rPr>
      <w:rFonts w:ascii="仿宋" w:hAnsi="仿宋" w:eastAsia="仿宋" w:cs="仿宋"/>
      <w:sz w:val="24"/>
      <w:szCs w:val="24"/>
    </w:rPr>
  </w:style>
  <w:style w:type="character" w:styleId="1202" w:customStyle="1">
    <w:name w:val="Char Char"/>
    <w:uiPriority w:val="99"/>
    <w:qFormat/>
    <w:rPr>
      <w:rFonts w:eastAsia="宋体"/>
      <w:b/>
      <w:sz w:val="32"/>
      <w:lang w:val="en-US" w:eastAsia="zh-CN" w:bidi="ar-SA"/>
    </w:rPr>
  </w:style>
  <w:style w:type="character" w:styleId="1203" w:customStyle="1">
    <w:name w:val="Char Char6"/>
    <w:uiPriority w:val="99"/>
    <w:qFormat/>
    <w:rPr>
      <w:rFonts w:eastAsia="宋体"/>
      <w:b/>
      <w:sz w:val="32"/>
      <w:lang w:val="en-US" w:eastAsia="zh-CN"/>
    </w:rPr>
  </w:style>
  <w:style w:type="character" w:styleId="1204" w:customStyle="1">
    <w:name w:val="批注框文本 字符"/>
    <w:uiPriority w:val="99"/>
    <w:qFormat/>
    <w:rPr>
      <w:rFonts w:ascii="仿宋" w:hAnsi="仿宋" w:eastAsia="仿宋" w:cs="仿宋"/>
      <w:sz w:val="18"/>
      <w:szCs w:val="18"/>
    </w:rPr>
  </w:style>
  <w:style w:type="character" w:styleId="1205" w:customStyle="1">
    <w:name w:val="Char Char40"/>
    <w:uiPriority w:val="99"/>
    <w:qFormat/>
    <w:rPr>
      <w:rFonts w:ascii="幼圆" w:hAnsi="华文细黑" w:eastAsia="幼圆"/>
      <w:b/>
      <w:color w:val="ff0000"/>
      <w:sz w:val="30"/>
    </w:rPr>
  </w:style>
  <w:style w:type="character" w:styleId="1206" w:customStyle="1">
    <w:name w:val="页眉 字符2"/>
    <w:uiPriority w:val="99"/>
    <w:qFormat/>
    <w:rPr>
      <w:sz w:val="18"/>
      <w:szCs w:val="18"/>
    </w:rPr>
  </w:style>
  <w:style w:type="character" w:styleId="1207" w:customStyle="1">
    <w:name w:val="Comment"/>
    <w:uiPriority w:val="99"/>
    <w:qFormat/>
    <w:rPr>
      <w:vanish/>
    </w:rPr>
  </w:style>
  <w:style w:type="character" w:styleId="1208" w:customStyle="1">
    <w:name w:val="不明显强调1"/>
    <w:uiPriority w:val="99"/>
    <w:qFormat/>
    <w:rPr>
      <w:i/>
      <w:color w:val="808080"/>
    </w:rPr>
  </w:style>
  <w:style w:type="character" w:styleId="1209" w:customStyle="1">
    <w:name w:val="标题 3 Char Char"/>
    <w:uiPriority w:val="0"/>
    <w:qFormat/>
    <w:rPr>
      <w:rFonts w:eastAsia="宋体"/>
      <w:b/>
      <w:sz w:val="32"/>
      <w:lang w:val="en-US" w:eastAsia="zh-CN" w:bidi="ar-SA"/>
    </w:rPr>
  </w:style>
  <w:style w:type="character" w:styleId="1210" w:customStyle="1">
    <w:name w:val="font131"/>
    <w:uiPriority w:val="0"/>
    <w:qFormat/>
    <w:rPr>
      <w:rFonts w:ascii="Calibri" w:hAnsi="Calibri" w:cs="Calibri"/>
      <w:color w:val="000000"/>
      <w:sz w:val="22"/>
      <w:szCs w:val="22"/>
      <w:u w:val="none"/>
    </w:rPr>
  </w:style>
  <w:style w:type="character" w:styleId="1211" w:customStyle="1">
    <w:name w:val="标题 9 字符"/>
    <w:uiPriority w:val="0"/>
    <w:semiHidden/>
    <w:qFormat/>
    <w:rPr>
      <w:rFonts w:ascii="Arial" w:hAnsi="Arial" w:eastAsia="黑体" w:cs="仿宋"/>
      <w:szCs w:val="24"/>
    </w:rPr>
  </w:style>
  <w:style w:type="character" w:styleId="1212" w:customStyle="1">
    <w:name w:val="正文文本 + 间距 0 pt10"/>
    <w:uiPriority w:val="99"/>
    <w:qFormat/>
    <w:rPr>
      <w:rFonts w:ascii="MingLiU" w:eastAsia="MingLiU"/>
      <w:color w:val="0000fd"/>
      <w:spacing w:val="10"/>
      <w:sz w:val="19"/>
      <w:u w:val="single"/>
      <w:lang w:val="en-US" w:eastAsia="zh-CN"/>
    </w:rPr>
  </w:style>
  <w:style w:type="character" w:styleId="1213" w:customStyle="1">
    <w:name w:val="Typewriter"/>
    <w:uiPriority w:val="99"/>
    <w:qFormat/>
    <w:rPr>
      <w:rFonts w:ascii="Courier New" w:hAnsi="Courier New"/>
      <w:sz w:val="20"/>
    </w:rPr>
  </w:style>
  <w:style w:type="character" w:styleId="1214" w:customStyle="1">
    <w:name w:val="font51"/>
    <w:uiPriority w:val="0"/>
    <w:qFormat/>
    <w:rPr>
      <w:rFonts w:hint="eastAsia" w:ascii="宋体" w:hAnsi="宋体" w:eastAsia="宋体" w:cs="宋体"/>
      <w:b/>
      <w:color w:val="000000"/>
      <w:sz w:val="20"/>
      <w:szCs w:val="20"/>
      <w:u w:val="none"/>
    </w:rPr>
  </w:style>
  <w:style w:type="character" w:styleId="1215" w:customStyle="1">
    <w:name w:val="文档结构图 Char1"/>
    <w:uiPriority w:val="99"/>
    <w:qFormat/>
    <w:rPr>
      <w:rFonts w:ascii="宋体"/>
      <w:sz w:val="18"/>
    </w:rPr>
  </w:style>
  <w:style w:type="character" w:styleId="1216" w:customStyle="1">
    <w:name w:val="列出段落 Char"/>
    <w:link w:val="1217"/>
    <w:uiPriority w:val="0"/>
    <w:qFormat/>
    <w:rPr>
      <w:sz w:val="21"/>
    </w:rPr>
  </w:style>
  <w:style w:type="paragraph" w:styleId="1217" w:customStyle="1">
    <w:name w:val="列出段落"/>
    <w:basedOn w:val="797"/>
    <w:link w:val="1216"/>
    <w:uiPriority w:val="0"/>
    <w:qFormat/>
    <w:pPr>
      <w:ind w:firstLine="420"/>
    </w:pPr>
  </w:style>
  <w:style w:type="character" w:styleId="1218" w:customStyle="1">
    <w:name w:val="正文文本 (5) Exact"/>
    <w:link w:val="1219"/>
    <w:uiPriority w:val="99"/>
    <w:qFormat/>
    <w:rPr>
      <w:rFonts w:ascii="仿宋" w:eastAsia="仿宋"/>
      <w:sz w:val="19"/>
      <w:shd w:val="clear" w:color="auto" w:fill="ffffff"/>
      <w:lang w:eastAsia="en-US"/>
    </w:rPr>
  </w:style>
  <w:style w:type="paragraph" w:styleId="1219" w:customStyle="1">
    <w:name w:val="正文文本 (5)"/>
    <w:basedOn w:val="797"/>
    <w:link w:val="1218"/>
    <w:uiPriority w:val="99"/>
    <w:qFormat/>
    <w:pPr>
      <w:jc w:val="left"/>
      <w:spacing w:line="240" w:lineRule="atLeast"/>
      <w:shd w:val="clear" w:color="auto" w:fill="ffffff"/>
    </w:pPr>
    <w:rPr>
      <w:rFonts w:ascii="仿宋" w:eastAsia="仿宋"/>
      <w:sz w:val="19"/>
      <w:lang w:eastAsia="en-US"/>
    </w:rPr>
  </w:style>
  <w:style w:type="character" w:styleId="1220" w:customStyle="1">
    <w:name w:val="引用字符"/>
    <w:link w:val="1221"/>
    <w:uiPriority w:val="99"/>
    <w:qFormat/>
    <w:rPr>
      <w:i/>
      <w:color w:val="000000"/>
      <w:sz w:val="22"/>
    </w:rPr>
  </w:style>
  <w:style w:type="paragraph" w:styleId="1221" w:customStyle="1">
    <w:name w:val="引用1"/>
    <w:basedOn w:val="797"/>
    <w:next w:val="797"/>
    <w:link w:val="1220"/>
    <w:uiPriority w:val="99"/>
    <w:qFormat/>
    <w:pPr>
      <w:spacing w:line="240" w:lineRule="auto"/>
    </w:pPr>
    <w:rPr>
      <w:i/>
      <w:color w:val="000000"/>
      <w:sz w:val="22"/>
    </w:rPr>
  </w:style>
  <w:style w:type="character" w:styleId="1222" w:customStyle="1">
    <w:name w:val="Char Char41"/>
    <w:uiPriority w:val="99"/>
    <w:qFormat/>
    <w:rPr>
      <w:rFonts w:ascii="幼圆" w:hAnsi="华文细黑" w:eastAsia="幼圆"/>
      <w:b/>
      <w:sz w:val="24"/>
      <w:lang w:val="en-US" w:eastAsia="zh-CN"/>
    </w:rPr>
  </w:style>
  <w:style w:type="character" w:styleId="1223" w:customStyle="1">
    <w:name w:val="正文首行缩进 Char1"/>
    <w:uiPriority w:val="99"/>
    <w:qFormat/>
    <w:rPr>
      <w:sz w:val="21"/>
    </w:rPr>
  </w:style>
  <w:style w:type="character" w:styleId="1224" w:customStyle="1">
    <w:name w:val="Char Char35"/>
    <w:uiPriority w:val="99"/>
    <w:qFormat/>
    <w:rPr>
      <w:b/>
      <w:sz w:val="24"/>
    </w:rPr>
  </w:style>
  <w:style w:type="character" w:styleId="1225" w:customStyle="1">
    <w:name w:val="font14181"/>
    <w:uiPriority w:val="0"/>
    <w:qFormat/>
    <w:rPr>
      <w:sz w:val="21"/>
      <w:szCs w:val="21"/>
    </w:rPr>
  </w:style>
  <w:style w:type="character" w:styleId="1226" w:customStyle="1">
    <w:name w:val="样式 标题 3 + (中文) 黑体 小四 非加粗 段前: 7.8 磅 段后: 0 磅 行距: 固定值 20 磅 Char"/>
    <w:uiPriority w:val="99"/>
    <w:qFormat/>
    <w:rPr>
      <w:rFonts w:ascii="黑体" w:hAnsi="宋体" w:eastAsia="黑体"/>
      <w:b/>
      <w:sz w:val="24"/>
      <w:lang w:val="en-US" w:eastAsia="zh-CN"/>
    </w:rPr>
  </w:style>
  <w:style w:type="character" w:styleId="1227" w:customStyle="1">
    <w:name w:val="页脚 Char1"/>
    <w:uiPriority w:val="99"/>
    <w:qFormat/>
    <w:rPr>
      <w:sz w:val="18"/>
    </w:rPr>
  </w:style>
  <w:style w:type="character" w:styleId="1228" w:customStyle="1">
    <w:name w:val="正文文本 + 间距 0 pt5"/>
    <w:uiPriority w:val="99"/>
    <w:qFormat/>
    <w:rPr>
      <w:rFonts w:ascii="MingLiU" w:eastAsia="MingLiU"/>
      <w:spacing w:val="10"/>
      <w:sz w:val="19"/>
      <w:u w:val="single"/>
      <w:lang w:val="en-US" w:eastAsia="zh-CN"/>
    </w:rPr>
  </w:style>
  <w:style w:type="character" w:styleId="1229" w:customStyle="1">
    <w:name w:val="Sample"/>
    <w:uiPriority w:val="99"/>
    <w:qFormat/>
    <w:rPr>
      <w:rFonts w:ascii="Courier New" w:hAnsi="Courier New"/>
    </w:rPr>
  </w:style>
  <w:style w:type="character" w:styleId="1230" w:customStyle="1">
    <w:name w:val="Char Char36"/>
    <w:uiPriority w:val="99"/>
    <w:qFormat/>
    <w:rPr>
      <w:rFonts w:ascii="Tahoma" w:hAnsi="Tahoma" w:eastAsia="幼圆"/>
      <w:b/>
      <w:sz w:val="24"/>
    </w:rPr>
  </w:style>
  <w:style w:type="character" w:styleId="1231" w:customStyle="1">
    <w:name w:val="font71"/>
    <w:uiPriority w:val="0"/>
    <w:qFormat/>
    <w:rPr>
      <w:rFonts w:hint="eastAsia" w:ascii="仿宋" w:hAnsi="仿宋" w:eastAsia="仿宋" w:cs="仿宋"/>
      <w:color w:val="000000"/>
      <w:sz w:val="20"/>
      <w:szCs w:val="20"/>
      <w:u w:val="none"/>
    </w:rPr>
  </w:style>
  <w:style w:type="character" w:styleId="1232" w:customStyle="1">
    <w:name w:val="标题 5 字符"/>
    <w:uiPriority w:val="99"/>
    <w:qFormat/>
    <w:rPr>
      <w:rFonts w:ascii="Times New Roman" w:hAnsi="Times New Roman" w:eastAsia="宋体" w:cs="Times New Roman"/>
      <w:b/>
      <w:bCs/>
      <w:sz w:val="28"/>
      <w:szCs w:val="28"/>
    </w:rPr>
  </w:style>
  <w:style w:type="character" w:styleId="1233" w:customStyle="1">
    <w:name w:val="font01"/>
    <w:uiPriority w:val="0"/>
    <w:qFormat/>
    <w:rPr>
      <w:rFonts w:ascii="Times New Roman" w:hAnsi="Times New Roman" w:cs="Times New Roman"/>
      <w:color w:val="000000"/>
      <w:sz w:val="16"/>
      <w:szCs w:val="16"/>
      <w:u w:val="none"/>
    </w:rPr>
  </w:style>
  <w:style w:type="character" w:styleId="1234" w:customStyle="1">
    <w:name w:val="font132"/>
    <w:uiPriority w:val="99"/>
    <w:qFormat/>
    <w:rPr>
      <w:rFonts w:ascii="宋体" w:hAnsi="宋体" w:eastAsia="宋体" w:cs="宋体"/>
      <w:color w:val="000000"/>
      <w:sz w:val="18"/>
      <w:szCs w:val="18"/>
      <w:u w:val="none"/>
    </w:rPr>
  </w:style>
  <w:style w:type="character" w:styleId="1235" w:customStyle="1">
    <w:name w:val="批注框文本 Char1"/>
    <w:uiPriority w:val="99"/>
    <w:qFormat/>
    <w:rPr>
      <w:sz w:val="18"/>
    </w:rPr>
  </w:style>
  <w:style w:type="character" w:styleId="1236" w:customStyle="1">
    <w:name w:val="明显引用 Char1"/>
    <w:uiPriority w:val="99"/>
    <w:qFormat/>
    <w:rPr>
      <w:b/>
      <w:i/>
      <w:color w:val="4f81bd"/>
      <w:sz w:val="21"/>
    </w:rPr>
  </w:style>
  <w:style w:type="paragraph" w:styleId="1237" w:customStyle="1">
    <w:name w:val="TOC Heading1"/>
    <w:next w:val="797"/>
    <w:uiPriority w:val="0"/>
    <w:qFormat/>
    <w:rPr>
      <w:rFonts w:hint="default" w:ascii="Times New Roman" w:hAnsi="Times New Roman" w:eastAsia="宋体" w:cs="Times New Roman"/>
      <w:sz w:val="32"/>
      <w:lang w:val="en-US" w:eastAsia="zh-CN" w:bidi="ar-SA"/>
    </w:rPr>
  </w:style>
  <w:style w:type="paragraph" w:styleId="1238" w:customStyle="1">
    <w:name w:val="2"/>
    <w:basedOn w:val="797"/>
    <w:next w:val="1217"/>
    <w:uiPriority w:val="0"/>
    <w:qFormat/>
    <w:pPr>
      <w:ind w:firstLine="420"/>
    </w:pPr>
    <w:rPr>
      <w:szCs w:val="24"/>
    </w:rPr>
  </w:style>
  <w:style w:type="paragraph" w:styleId="1239" w:customStyle="1">
    <w:name w:val="TOC 标题2"/>
    <w:basedOn w:val="1021"/>
    <w:next w:val="797"/>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240" w:customStyle="1">
    <w:name w:val="_Style 435"/>
    <w:uiPriority w:val="99"/>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1241" w:customStyle="1">
    <w:name w:val="彩色列表1"/>
    <w:basedOn w:val="797"/>
    <w:uiPriority w:val="99"/>
    <w:qFormat/>
    <w:pPr>
      <w:ind w:firstLine="420"/>
    </w:pPr>
    <w:rPr>
      <w:szCs w:val="24"/>
    </w:rPr>
  </w:style>
  <w:style w:type="paragraph" w:styleId="1242" w:customStyle="1">
    <w:name w:val="编号，小四"/>
    <w:basedOn w:val="797"/>
    <w:uiPriority w:val="0"/>
    <w:qFormat/>
    <w:pPr>
      <w:numPr>
        <w:ilvl w:val="0"/>
        <w:numId w:val="1"/>
      </w:numPr>
      <w:ind w:firstLine="200"/>
    </w:pPr>
    <w:rPr>
      <w:rFonts w:ascii="Arial" w:hAnsi="Arial" w:eastAsia="仿宋" w:cs="宋体"/>
      <w:sz w:val="24"/>
      <w:szCs w:val="24"/>
    </w:rPr>
  </w:style>
  <w:style w:type="paragraph" w:styleId="1243" w:customStyle="1">
    <w:name w:val="Header or footer|2"/>
    <w:basedOn w:val="797"/>
    <w:uiPriority w:val="0"/>
    <w:qFormat/>
    <w:pPr>
      <w:ind w:firstLine="883"/>
    </w:pPr>
    <w:rPr>
      <w:rFonts w:ascii="仿宋" w:hAnsi="仿宋" w:eastAsia="仿宋" w:cs="仿宋"/>
      <w:sz w:val="20"/>
    </w:rPr>
  </w:style>
  <w:style w:type="paragraph" w:styleId="1244" w:customStyle="1">
    <w:name w:val="*正文"/>
    <w:basedOn w:val="797"/>
    <w:uiPriority w:val="0"/>
    <w:qFormat/>
    <w:pPr>
      <w:ind w:firstLine="200"/>
      <w:spacing w:line="440" w:lineRule="exact"/>
    </w:pPr>
    <w:rPr>
      <w:rFonts w:ascii="宋体" w:hAnsi="宋体"/>
      <w:sz w:val="20"/>
    </w:rPr>
  </w:style>
  <w:style w:type="paragraph" w:styleId="1245" w:customStyle="1">
    <w:name w:val="五级无"/>
    <w:basedOn w:val="1246"/>
    <w:uiPriority w:val="99"/>
    <w:qFormat/>
    <w:pPr>
      <w:tabs>
        <w:tab w:val="left" w:pos="1140" w:leader="none"/>
        <w:tab w:val="left" w:pos="1259" w:leader="none"/>
      </w:tabs>
    </w:pPr>
    <w:rPr>
      <w:rFonts w:ascii="宋体" w:eastAsia="宋体"/>
    </w:rPr>
  </w:style>
  <w:style w:type="paragraph" w:styleId="1246" w:customStyle="1">
    <w:name w:val="五级条标题"/>
    <w:basedOn w:val="1247"/>
    <w:next w:val="1188"/>
    <w:uiPriority w:val="99"/>
    <w:qFormat/>
    <w:pPr>
      <w:tabs>
        <w:tab w:val="left" w:pos="1140" w:leader="none"/>
        <w:tab w:val="left" w:pos="1259" w:leader="none"/>
      </w:tabs>
      <w:outlineLvl w:val="6"/>
    </w:pPr>
  </w:style>
  <w:style w:type="paragraph" w:styleId="1247" w:customStyle="1">
    <w:name w:val="四级条标题"/>
    <w:basedOn w:val="1248"/>
    <w:next w:val="1188"/>
    <w:uiPriority w:val="99"/>
    <w:qFormat/>
    <w:pPr>
      <w:tabs>
        <w:tab w:val="left" w:pos="1259" w:leader="none"/>
      </w:tabs>
      <w:outlineLvl w:val="5"/>
    </w:pPr>
  </w:style>
  <w:style w:type="paragraph" w:styleId="1248" w:customStyle="1">
    <w:name w:val="三级条标题"/>
    <w:basedOn w:val="1249"/>
    <w:next w:val="1188"/>
    <w:uiPriority w:val="99"/>
    <w:qFormat/>
    <w:pPr>
      <w:ind w:left="0"/>
      <w:tabs>
        <w:tab w:val="left" w:pos="1259" w:leader="none"/>
      </w:tabs>
      <w:outlineLvl w:val="4"/>
    </w:pPr>
  </w:style>
  <w:style w:type="paragraph" w:styleId="1249" w:customStyle="1">
    <w:name w:val="二级条标题"/>
    <w:basedOn w:val="1250"/>
    <w:next w:val="1188"/>
    <w:uiPriority w:val="99"/>
    <w:qFormat/>
    <w:pPr>
      <w:ind w:left="735"/>
      <w:spacing w:before="50" w:after="50"/>
      <w:outlineLvl w:val="3"/>
    </w:pPr>
  </w:style>
  <w:style w:type="paragraph" w:styleId="1250" w:customStyle="1">
    <w:name w:val="一级条标题"/>
    <w:next w:val="1188"/>
    <w:uiPriority w:val="99"/>
    <w:qFormat/>
    <w:pPr>
      <w:outlineLvl w:val="2"/>
    </w:pPr>
    <w:rPr>
      <w:rFonts w:hint="default" w:ascii="黑体" w:hAnsi="Times New Roman" w:eastAsia="黑体" w:cs="Times New Roman"/>
      <w:sz w:val="21"/>
      <w:szCs w:val="21"/>
      <w:lang w:val="en-US" w:eastAsia="zh-CN" w:bidi="ar-SA"/>
    </w:rPr>
  </w:style>
  <w:style w:type="paragraph" w:styleId="1251" w:customStyle="1">
    <w:name w:val="GP正文(无首行缩进)"/>
    <w:basedOn w:val="797"/>
    <w:uiPriority w:val="0"/>
    <w:qFormat/>
    <w:pPr>
      <w:ind w:firstLine="480"/>
      <w:jc w:val="left"/>
    </w:pPr>
    <w:rPr>
      <w:rFonts w:ascii="Arial" w:hAnsi="宋体" w:eastAsia="仿宋" w:cs="宋体"/>
      <w:sz w:val="24"/>
      <w:szCs w:val="24"/>
    </w:rPr>
  </w:style>
  <w:style w:type="paragraph" w:styleId="1252" w:customStyle="1">
    <w:name w:val="Char"/>
    <w:basedOn w:val="797"/>
    <w:uiPriority w:val="99"/>
    <w:qFormat/>
    <w:pPr>
      <w:jc w:val="left"/>
      <w:spacing w:after="160" w:line="240" w:lineRule="exact"/>
      <w:widowControl/>
    </w:pPr>
  </w:style>
  <w:style w:type="paragraph" w:styleId="1253" w:customStyle="1">
    <w:name w:val="二级无"/>
    <w:basedOn w:val="1249"/>
    <w:uiPriority w:val="99"/>
    <w:qFormat/>
    <w:pPr>
      <w:ind w:left="0"/>
    </w:pPr>
    <w:rPr>
      <w:rFonts w:ascii="宋体" w:eastAsia="宋体"/>
    </w:rPr>
  </w:style>
  <w:style w:type="paragraph" w:styleId="1254" w:customStyle="1">
    <w:name w:val="样式 (西文) 仿宋_GB2312 居中 行距: 1.5 倍行距"/>
    <w:basedOn w:val="797"/>
    <w:uiPriority w:val="99"/>
    <w:qFormat/>
    <w:pPr>
      <w:jc w:val="center"/>
    </w:pPr>
    <w:rPr>
      <w:rFonts w:ascii="宋体" w:hAnsi="宋体" w:cs="宋体"/>
    </w:rPr>
  </w:style>
  <w:style w:type="paragraph" w:styleId="1255" w:customStyle="1">
    <w:name w:val="图表脚注说明"/>
    <w:basedOn w:val="797"/>
    <w:uiPriority w:val="99"/>
    <w:qFormat/>
    <w:pPr>
      <w:ind w:left="544" w:hanging="181"/>
      <w:spacing w:line="240" w:lineRule="auto"/>
    </w:pPr>
    <w:rPr>
      <w:rFonts w:ascii="宋体"/>
      <w:sz w:val="18"/>
      <w:szCs w:val="18"/>
    </w:rPr>
  </w:style>
  <w:style w:type="paragraph" w:styleId="1256"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257" w:customStyle="1">
    <w:name w:val="xl70"/>
    <w:basedOn w:val="797"/>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58"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59" w:customStyle="1">
    <w:name w:val="封面标准号2"/>
    <w:uiPriority w:val="99"/>
    <w:qFormat/>
    <w:pPr>
      <w:jc w:val="right"/>
      <w:spacing w:before="357" w:line="280" w:lineRule="exact"/>
      <w:framePr w:w="9140" w:h="1242" w:hSpace="284" w:wrap="around" w:vAnchor="page" w:hAnchor="page" w:x="1644" w:y="2909" w:hRule="exact"/>
    </w:pPr>
    <w:rPr>
      <w:rFonts w:hint="default" w:ascii="黑体" w:hAnsi="Times New Roman" w:eastAsia="黑体" w:cs="Times New Roman"/>
      <w:sz w:val="28"/>
      <w:szCs w:val="28"/>
      <w:lang w:val="en-US" w:eastAsia="zh-CN" w:bidi="ar-SA"/>
    </w:rPr>
  </w:style>
  <w:style w:type="paragraph" w:styleId="1260"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261" w:customStyle="1">
    <w:name w:val="Heading #2|1"/>
    <w:basedOn w:val="797"/>
    <w:uiPriority w:val="0"/>
    <w:qFormat/>
    <w:pPr>
      <w:ind w:firstLine="883"/>
      <w:spacing w:after="220"/>
      <w:outlineLvl w:val="1"/>
    </w:pPr>
    <w:rPr>
      <w:rFonts w:ascii="宋体" w:hAnsi="宋体" w:cs="宋体"/>
      <w:b/>
      <w:bCs/>
      <w:sz w:val="30"/>
      <w:szCs w:val="30"/>
      <w:lang w:val="zh-TW" w:eastAsia="zh-TW" w:bidi="zh-TW"/>
    </w:rPr>
  </w:style>
  <w:style w:type="paragraph" w:styleId="1262" w:customStyle="1">
    <w:name w:val="示例×："/>
    <w:basedOn w:val="1263"/>
    <w:uiPriority w:val="99"/>
    <w:qFormat/>
    <w:pPr>
      <w:ind w:firstLine="363"/>
      <w:outlineLvl w:val="9"/>
    </w:pPr>
    <w:rPr>
      <w:rFonts w:ascii="宋体" w:eastAsia="宋体"/>
      <w:sz w:val="18"/>
      <w:szCs w:val="18"/>
    </w:rPr>
  </w:style>
  <w:style w:type="paragraph" w:styleId="1263" w:customStyle="1">
    <w:name w:val="章标题"/>
    <w:next w:val="797"/>
    <w:uiPriority w:val="99"/>
    <w:qFormat/>
    <w:pPr>
      <w:jc w:val="both"/>
      <w:outlineLvl w:val="1"/>
    </w:pPr>
    <w:rPr>
      <w:rFonts w:hint="default" w:ascii="黑体" w:hAnsi="Times New Roman" w:eastAsia="黑体" w:cs="Times New Roman"/>
      <w:sz w:val="21"/>
      <w:lang w:val="en-US" w:eastAsia="zh-CN" w:bidi="ar-SA"/>
    </w:rPr>
  </w:style>
  <w:style w:type="paragraph" w:styleId="1264" w:customStyle="1">
    <w:name w:val="表1"/>
    <w:basedOn w:val="797"/>
    <w:uiPriority w:val="0"/>
    <w:qFormat/>
    <w:pPr>
      <w:numPr>
        <w:ilvl w:val="0"/>
        <w:numId w:val="2"/>
      </w:numPr>
      <w:ind w:firstLine="200"/>
      <w:jc w:val="center"/>
    </w:pPr>
    <w:rPr>
      <w:rFonts w:ascii="Arial" w:hAnsi="Arial" w:eastAsia="仿宋" w:cs="宋体"/>
      <w:szCs w:val="24"/>
    </w:rPr>
  </w:style>
  <w:style w:type="paragraph" w:styleId="1265" w:customStyle="1">
    <w:name w:val="附录五级无"/>
    <w:basedOn w:val="1266"/>
    <w:uiPriority w:val="99"/>
    <w:qFormat/>
    <w:pPr>
      <w:tabs>
        <w:tab w:val="left" w:pos="0" w:leader="none"/>
        <w:tab w:val="left" w:pos="839" w:leader="none"/>
      </w:tabs>
    </w:pPr>
    <w:rPr>
      <w:rFonts w:ascii="宋体" w:eastAsia="宋体"/>
      <w:szCs w:val="21"/>
    </w:rPr>
  </w:style>
  <w:style w:type="paragraph" w:styleId="1266" w:customStyle="1">
    <w:name w:val="附录五级条标题"/>
    <w:basedOn w:val="1267"/>
    <w:next w:val="1188"/>
    <w:uiPriority w:val="99"/>
    <w:qFormat/>
    <w:pPr>
      <w:tabs>
        <w:tab w:val="left" w:pos="839" w:leader="none"/>
      </w:tabs>
      <w:outlineLvl w:val="6"/>
    </w:pPr>
  </w:style>
  <w:style w:type="paragraph" w:styleId="1267" w:customStyle="1">
    <w:name w:val="附录四级条标题"/>
    <w:basedOn w:val="1268"/>
    <w:next w:val="1188"/>
    <w:uiPriority w:val="99"/>
    <w:qFormat/>
    <w:pPr>
      <w:outlineLvl w:val="5"/>
    </w:pPr>
  </w:style>
  <w:style w:type="paragraph" w:styleId="1268" w:customStyle="1">
    <w:name w:val="附录三级条标题"/>
    <w:basedOn w:val="1269"/>
    <w:next w:val="1188"/>
    <w:uiPriority w:val="99"/>
    <w:qFormat/>
    <w:pPr>
      <w:outlineLvl w:val="4"/>
    </w:pPr>
  </w:style>
  <w:style w:type="paragraph" w:styleId="1269" w:customStyle="1">
    <w:name w:val="附录二级条标题"/>
    <w:basedOn w:val="797"/>
    <w:next w:val="1188"/>
    <w:uiPriority w:val="99"/>
    <w:qFormat/>
    <w:pPr>
      <w:spacing w:line="240" w:lineRule="auto"/>
      <w:widowControl/>
      <w:outlineLvl w:val="3"/>
    </w:pPr>
    <w:rPr>
      <w:rFonts w:ascii="黑体" w:eastAsia="黑体"/>
    </w:rPr>
  </w:style>
  <w:style w:type="paragraph" w:styleId="1270" w:customStyle="1">
    <w:name w:val="Body text|1"/>
    <w:basedOn w:val="797"/>
    <w:uiPriority w:val="0"/>
    <w:qFormat/>
    <w:pPr>
      <w:ind w:firstLine="400"/>
      <w:spacing w:after="200"/>
    </w:pPr>
    <w:rPr>
      <w:rFonts w:ascii="宋体" w:hAnsi="宋体" w:cs="宋体"/>
      <w:sz w:val="30"/>
      <w:szCs w:val="30"/>
      <w:lang w:val="zh-TW" w:eastAsia="zh-TW" w:bidi="zh-TW"/>
    </w:rPr>
  </w:style>
  <w:style w:type="paragraph" w:styleId="1271" w:customStyle="1">
    <w:name w:val="ugc"/>
    <w:basedOn w:val="797"/>
    <w:uiPriority w:val="99"/>
    <w:qFormat/>
    <w:pPr>
      <w:jc w:val="left"/>
      <w:spacing w:before="100" w:beforeAutospacing="1" w:after="100" w:afterAutospacing="1" w:line="240" w:lineRule="auto"/>
      <w:widowControl/>
    </w:pPr>
    <w:rPr>
      <w:rFonts w:ascii="宋体" w:hAnsi="宋体" w:cs="宋体"/>
      <w:szCs w:val="21"/>
    </w:rPr>
  </w:style>
  <w:style w:type="paragraph" w:styleId="1272"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73" w:customStyle="1">
    <w:name w:val="xl71"/>
    <w:basedOn w:val="797"/>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74"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75" w:customStyle="1">
    <w:name w:val="GP正文(首行缩进)"/>
    <w:basedOn w:val="797"/>
    <w:uiPriority w:val="0"/>
    <w:qFormat/>
    <w:pPr>
      <w:ind w:firstLine="200"/>
      <w:jc w:val="left"/>
    </w:pPr>
    <w:rPr>
      <w:rFonts w:eastAsia="仿宋" w:cs="仿宋"/>
      <w:szCs w:val="21"/>
    </w:rPr>
  </w:style>
  <w:style w:type="paragraph" w:styleId="1276"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77" w:customStyle="1">
    <w:name w:val="封面标准英文名称2"/>
    <w:basedOn w:val="1278"/>
    <w:uiPriority w:val="99"/>
    <w:qFormat/>
    <w:pPr>
      <w:framePr w:wrap="around" w:y="4468"/>
    </w:pPr>
  </w:style>
  <w:style w:type="paragraph" w:styleId="1278" w:customStyle="1">
    <w:name w:val="封面标准英文名称"/>
    <w:basedOn w:val="1279"/>
    <w:uiPriority w:val="99"/>
    <w:qFormat/>
    <w:pPr>
      <w:spacing w:before="370" w:line="400" w:lineRule="exact"/>
      <w:framePr w:wrap="around"/>
    </w:pPr>
    <w:rPr>
      <w:rFonts w:ascii="Times New Roman"/>
      <w:sz w:val="28"/>
      <w:szCs w:val="28"/>
    </w:rPr>
  </w:style>
  <w:style w:type="paragraph" w:styleId="1279" w:customStyle="1">
    <w:name w:val="封面标准名称"/>
    <w:uiPriority w:val="99"/>
    <w:qFormat/>
    <w:pPr>
      <w:jc w:val="center"/>
      <w:spacing w:line="680" w:lineRule="exact"/>
      <w:widowControl w:val="off"/>
      <w:framePr w:w="9639" w:h="6917" w:wrap="around" w:vAnchor="page" w:hAnchor="page" w:xAlign="center" w:y="6407" w:hRule="exact"/>
    </w:pPr>
    <w:rPr>
      <w:rFonts w:hint="default" w:ascii="黑体" w:hAnsi="Times New Roman" w:eastAsia="黑体" w:cs="Times New Roman"/>
      <w:sz w:val="52"/>
      <w:lang w:val="en-US" w:eastAsia="zh-CN" w:bidi="ar-SA"/>
    </w:rPr>
  </w:style>
  <w:style w:type="paragraph" w:styleId="1280" w:customStyle="1">
    <w:name w:val="封面标准文稿编辑信息2"/>
    <w:basedOn w:val="1281"/>
    <w:uiPriority w:val="99"/>
    <w:qFormat/>
    <w:pPr>
      <w:tabs>
        <w:tab w:val="left" w:pos="0" w:leader="none"/>
      </w:tabs>
      <w:framePr w:wrap="around" w:y="4468"/>
    </w:pPr>
  </w:style>
  <w:style w:type="paragraph" w:styleId="1281" w:customStyle="1">
    <w:name w:val="封面标准文稿编辑信息"/>
    <w:basedOn w:val="1282"/>
    <w:uiPriority w:val="99"/>
    <w:qFormat/>
    <w:pPr>
      <w:spacing w:before="180" w:line="180" w:lineRule="exact"/>
      <w:tabs>
        <w:tab w:val="left" w:pos="0" w:leader="none"/>
      </w:tabs>
      <w:framePr w:wrap="around"/>
    </w:pPr>
    <w:rPr>
      <w:sz w:val="21"/>
    </w:rPr>
  </w:style>
  <w:style w:type="paragraph" w:styleId="1282" w:customStyle="1">
    <w:name w:val="封面标准文稿类别"/>
    <w:basedOn w:val="1283"/>
    <w:uiPriority w:val="99"/>
    <w:qFormat/>
    <w:pPr>
      <w:spacing w:after="160" w:line="240" w:lineRule="auto"/>
      <w:tabs>
        <w:tab w:val="left" w:pos="0" w:leader="none"/>
      </w:tabs>
      <w:framePr w:wrap="around"/>
    </w:pPr>
    <w:rPr>
      <w:sz w:val="24"/>
    </w:rPr>
  </w:style>
  <w:style w:type="paragraph" w:styleId="1283" w:customStyle="1">
    <w:name w:val="封面一致性程度标识"/>
    <w:basedOn w:val="1278"/>
    <w:uiPriority w:val="99"/>
    <w:qFormat/>
    <w:pPr>
      <w:spacing w:before="440"/>
      <w:framePr w:wrap="around"/>
    </w:pPr>
    <w:rPr>
      <w:rFonts w:ascii="宋体" w:eastAsia="宋体"/>
    </w:rPr>
  </w:style>
  <w:style w:type="paragraph" w:styleId="1284" w:customStyle="1">
    <w:name w:val="List Paragraph1"/>
    <w:basedOn w:val="797"/>
    <w:uiPriority w:val="99"/>
    <w:qFormat/>
    <w:pPr>
      <w:ind w:firstLine="420"/>
      <w:spacing w:line="240" w:lineRule="auto"/>
    </w:pPr>
    <w:rPr>
      <w:szCs w:val="22"/>
    </w:rPr>
  </w:style>
  <w:style w:type="paragraph" w:styleId="1285" w:customStyle="1">
    <w:name w:val="正文SONG"/>
    <w:basedOn w:val="797"/>
    <w:uiPriority w:val="99"/>
    <w:qFormat/>
    <w:pPr>
      <w:ind w:firstLine="210"/>
    </w:pPr>
    <w:rPr>
      <w:rFonts w:ascii="仿宋_GB2312" w:hAnsi="宋体" w:eastAsia="仿宋_GB2312"/>
      <w:sz w:val="30"/>
      <w:szCs w:val="30"/>
    </w:rPr>
  </w:style>
  <w:style w:type="paragraph" w:styleId="1286" w:customStyle="1">
    <w:name w:val="表格正文"/>
    <w:basedOn w:val="797"/>
    <w:uiPriority w:val="0"/>
    <w:qFormat/>
    <w:pPr>
      <w:ind w:firstLine="883"/>
      <w:jc w:val="left"/>
    </w:pPr>
    <w:rPr>
      <w:rFonts w:ascii="Arial" w:hAnsi="Arial" w:eastAsia="仿宋" w:cs="宋体"/>
      <w:szCs w:val="24"/>
    </w:rPr>
  </w:style>
  <w:style w:type="paragraph" w:styleId="1287" w:customStyle="1">
    <w:name w:val="z-Top of Form1"/>
    <w:next w:val="797"/>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88" w:customStyle="1">
    <w:name w:val="终结线"/>
    <w:basedOn w:val="797"/>
    <w:uiPriority w:val="99"/>
    <w:qFormat/>
    <w:pPr>
      <w:spacing w:line="240" w:lineRule="auto"/>
      <w:framePr w:vSpace="181" w:hSpace="181" w:wrap="around" w:vAnchor="text" w:hAnchor="margin" w:xAlign="center" w:y="284"/>
    </w:pPr>
    <w:rPr>
      <w:szCs w:val="24"/>
    </w:rPr>
  </w:style>
  <w:style w:type="paragraph" w:styleId="1289" w:customStyle="1">
    <w:name w:val="默认段落字体 Para Char Char Char1 Char"/>
    <w:basedOn w:val="797"/>
    <w:uiPriority w:val="99"/>
    <w:qFormat/>
    <w:pPr>
      <w:ind w:left="420" w:firstLine="420"/>
    </w:pPr>
    <w:rPr>
      <w:sz w:val="24"/>
      <w:szCs w:val="21"/>
    </w:rPr>
  </w:style>
  <w:style w:type="paragraph" w:styleId="1290" w:customStyle="1">
    <w:name w:val="H6"/>
    <w:basedOn w:val="797"/>
    <w:next w:val="797"/>
    <w:uiPriority w:val="99"/>
    <w:qFormat/>
    <w:pPr>
      <w:jc w:val="left"/>
      <w:keepNext/>
      <w:spacing w:before="100" w:after="100" w:line="240" w:lineRule="auto"/>
      <w:outlineLvl w:val="6"/>
    </w:pPr>
    <w:rPr>
      <w:b/>
      <w:sz w:val="16"/>
    </w:rPr>
  </w:style>
  <w:style w:type="paragraph" w:styleId="1291" w:customStyle="1">
    <w:name w:val="Body text|3"/>
    <w:basedOn w:val="797"/>
    <w:uiPriority w:val="0"/>
    <w:qFormat/>
    <w:pPr>
      <w:ind w:firstLine="300"/>
      <w:spacing w:after="200"/>
    </w:pPr>
    <w:rPr>
      <w:rFonts w:ascii="仿宋" w:hAnsi="仿宋" w:eastAsia="仿宋" w:cs="仿宋"/>
      <w:sz w:val="28"/>
      <w:szCs w:val="28"/>
    </w:rPr>
  </w:style>
  <w:style w:type="paragraph" w:styleId="1292" w:customStyle="1">
    <w:name w:val="列出段落5"/>
    <w:basedOn w:val="797"/>
    <w:uiPriority w:val="99"/>
    <w:qFormat/>
    <w:pPr>
      <w:ind w:firstLine="420"/>
      <w:spacing w:line="240" w:lineRule="auto"/>
    </w:pPr>
    <w:rPr>
      <w:szCs w:val="21"/>
    </w:rPr>
  </w:style>
  <w:style w:type="paragraph" w:styleId="1293" w:customStyle="1">
    <w:name w:val="xl76"/>
    <w:basedOn w:val="797"/>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94" w:customStyle="1">
    <w:name w:val="封面标准文稿类别2"/>
    <w:basedOn w:val="1282"/>
    <w:uiPriority w:val="99"/>
    <w:qFormat/>
    <w:pPr>
      <w:framePr w:wrap="around" w:y="4468"/>
    </w:pPr>
  </w:style>
  <w:style w:type="paragraph" w:styleId="1295" w:customStyle="1">
    <w:name w:val="附录标题"/>
    <w:basedOn w:val="1188"/>
    <w:next w:val="1188"/>
    <w:uiPriority w:val="99"/>
    <w:qFormat/>
    <w:pPr>
      <w:ind w:firstLine="0"/>
      <w:jc w:val="center"/>
      <w:tabs>
        <w:tab w:val="center" w:pos="4201" w:leader="none"/>
        <w:tab w:val="right" w:pos="9298" w:leader="dot"/>
      </w:tabs>
    </w:pPr>
    <w:rPr>
      <w:rFonts w:ascii="黑体" w:eastAsia="黑体"/>
      <w:szCs w:val="22"/>
    </w:rPr>
  </w:style>
  <w:style w:type="paragraph" w:styleId="1296" w:customStyle="1">
    <w:name w:val="目次、标准名称标题"/>
    <w:basedOn w:val="797"/>
    <w:next w:val="1188"/>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297" w:customStyle="1">
    <w:name w:val="font7"/>
    <w:basedOn w:val="797"/>
    <w:uiPriority w:val="0"/>
    <w:qFormat/>
    <w:pPr>
      <w:jc w:val="left"/>
      <w:spacing w:before="100" w:beforeAutospacing="1" w:after="100" w:afterAutospacing="1" w:line="240" w:lineRule="auto"/>
      <w:widowControl/>
    </w:pPr>
    <w:rPr>
      <w:sz w:val="20"/>
    </w:rPr>
  </w:style>
  <w:style w:type="paragraph" w:styleId="1298" w:customStyle="1">
    <w:name w:val="xl67"/>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99" w:customStyle="1">
    <w:name w:val="xl85"/>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300" w:customStyle="1">
    <w:name w:val="xl88"/>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01" w:customStyle="1">
    <w:name w:val="封面正文"/>
    <w:uiPriority w:val="99"/>
    <w:qFormat/>
    <w:pPr>
      <w:jc w:val="both"/>
    </w:pPr>
    <w:rPr>
      <w:rFonts w:hint="default" w:ascii="Times New Roman" w:hAnsi="Times New Roman" w:eastAsia="宋体" w:cs="Times New Roman"/>
      <w:lang w:val="en-US" w:eastAsia="zh-CN" w:bidi="ar-SA"/>
    </w:rPr>
  </w:style>
  <w:style w:type="paragraph" w:styleId="1302"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303" w:customStyle="1">
    <w:name w:val="附录二级无"/>
    <w:basedOn w:val="1269"/>
    <w:uiPriority w:val="99"/>
    <w:qFormat/>
    <w:rPr>
      <w:rFonts w:ascii="宋体" w:eastAsia="宋体"/>
      <w:szCs w:val="21"/>
    </w:rPr>
  </w:style>
  <w:style w:type="paragraph" w:styleId="1304" w:customStyle="1">
    <w:name w:val="xl65"/>
    <w:basedOn w:val="797"/>
    <w:uiPriority w:val="0"/>
    <w:qFormat/>
    <w:pPr>
      <w:jc w:val="center"/>
      <w:spacing w:before="100" w:beforeAutospacing="1" w:after="100" w:afterAutospacing="1" w:line="240" w:lineRule="auto"/>
      <w:widowControl/>
    </w:pPr>
    <w:rPr>
      <w:rFonts w:ascii="宋体" w:hAnsi="宋体" w:cs="宋体"/>
      <w:sz w:val="24"/>
      <w:szCs w:val="24"/>
    </w:rPr>
  </w:style>
  <w:style w:type="paragraph" w:styleId="1305" w:customStyle="1">
    <w:name w:val="☆ 正文"/>
    <w:basedOn w:val="797"/>
    <w:uiPriority w:val="99"/>
    <w:qFormat/>
    <w:pPr>
      <w:spacing w:line="240" w:lineRule="auto"/>
    </w:pPr>
  </w:style>
  <w:style w:type="paragraph" w:styleId="1306" w:customStyle="1">
    <w:name w:val="空半行"/>
    <w:basedOn w:val="797"/>
    <w:uiPriority w:val="99"/>
    <w:qFormat/>
    <w:pPr>
      <w:spacing w:line="120" w:lineRule="exact"/>
    </w:pPr>
    <w:rPr>
      <w:rFonts w:eastAsia="仿宋_GB2312"/>
      <w:color w:val="ffffff"/>
      <w:sz w:val="30"/>
    </w:rPr>
  </w:style>
  <w:style w:type="paragraph" w:styleId="1307" w:customStyle="1">
    <w:name w:val="附录图标题"/>
    <w:basedOn w:val="797"/>
    <w:next w:val="1188"/>
    <w:uiPriority w:val="99"/>
    <w:qFormat/>
    <w:pPr>
      <w:jc w:val="center"/>
      <w:spacing w:line="240" w:lineRule="auto"/>
      <w:tabs>
        <w:tab w:val="left" w:pos="363" w:leader="none"/>
      </w:tabs>
    </w:pPr>
    <w:rPr>
      <w:rFonts w:ascii="黑体" w:eastAsia="黑体"/>
      <w:szCs w:val="21"/>
    </w:rPr>
  </w:style>
  <w:style w:type="paragraph" w:styleId="1308"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309" w:customStyle="1">
    <w:name w:val="参考文献"/>
    <w:basedOn w:val="797"/>
    <w:next w:val="1188"/>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310" w:customStyle="1">
    <w:name w:val="+标题4"/>
    <w:basedOn w:val="1025"/>
    <w:uiPriority w:val="99"/>
    <w:qFormat/>
    <w:pPr>
      <w:jc w:val="both"/>
      <w:spacing w:line="500" w:lineRule="exact"/>
      <w:widowControl w:val="off"/>
    </w:pPr>
    <w:rPr>
      <w:rFonts w:ascii="Times New Roman" w:hAnsi="Times New Roman" w:eastAsia="宋体"/>
      <w:b/>
      <w:sz w:val="24"/>
    </w:rPr>
  </w:style>
  <w:style w:type="paragraph" w:styleId="1311" w:customStyle="1">
    <w:name w:val="示例后文字"/>
    <w:basedOn w:val="1188"/>
    <w:next w:val="1188"/>
    <w:uiPriority w:val="99"/>
    <w:qFormat/>
    <w:pPr>
      <w:ind w:firstLine="360"/>
      <w:tabs>
        <w:tab w:val="center" w:pos="4201" w:leader="none"/>
        <w:tab w:val="right" w:pos="9298" w:leader="dot"/>
      </w:tabs>
    </w:pPr>
    <w:rPr>
      <w:rFonts w:eastAsia="宋体"/>
      <w:sz w:val="18"/>
      <w:szCs w:val="22"/>
    </w:rPr>
  </w:style>
  <w:style w:type="paragraph" w:styleId="1312" w:customStyle="1">
    <w:name w:val="三级无"/>
    <w:basedOn w:val="1248"/>
    <w:uiPriority w:val="99"/>
    <w:qFormat/>
    <w:rPr>
      <w:rFonts w:ascii="宋体" w:eastAsia="宋体"/>
    </w:rPr>
  </w:style>
  <w:style w:type="paragraph" w:styleId="1313" w:customStyle="1">
    <w:name w:val="xl83"/>
    <w:basedOn w:val="79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4" w:customStyle="1">
    <w:name w:val="H1"/>
    <w:basedOn w:val="797"/>
    <w:next w:val="797"/>
    <w:uiPriority w:val="99"/>
    <w:qFormat/>
    <w:pPr>
      <w:jc w:val="left"/>
      <w:keepNext/>
      <w:spacing w:before="100" w:after="100" w:line="240" w:lineRule="auto"/>
      <w:outlineLvl w:val="1"/>
    </w:pPr>
    <w:rPr>
      <w:b/>
      <w:sz w:val="48"/>
    </w:rPr>
  </w:style>
  <w:style w:type="paragraph" w:styleId="1315" w:customStyle="1">
    <w:name w:val="普通文字"/>
    <w:basedOn w:val="797"/>
    <w:next w:val="797"/>
    <w:uiPriority w:val="99"/>
    <w:qFormat/>
    <w:pPr>
      <w:spacing w:line="240" w:lineRule="auto"/>
    </w:pPr>
    <w:rPr>
      <w:rFonts w:ascii="宋体"/>
      <w:sz w:val="24"/>
    </w:rPr>
  </w:style>
  <w:style w:type="paragraph" w:styleId="1316" w:customStyle="1">
    <w:name w:val="标准称谓"/>
    <w:next w:val="797"/>
    <w:uiPriority w:val="99"/>
    <w:qFormat/>
    <w:pPr>
      <w:jc w:val="both"/>
      <w:spacing w:line="240" w:lineRule="atLeast"/>
      <w:widowControl w:val="off"/>
      <w:framePr w:w="9639" w:h="624" w:vSpace="181" w:hSpace="181" w:wrap="around" w:vAnchor="page" w:hAnchor="page" w:x="1418" w:y="2285" w:hRule="exact"/>
    </w:pPr>
    <w:rPr>
      <w:rFonts w:hint="default" w:ascii="宋体" w:hAnsi="Times New Roman" w:eastAsia="宋体" w:cs="Times New Roman"/>
      <w:b/>
      <w:bCs/>
      <w:spacing w:val="20"/>
      <w:sz w:val="48"/>
      <w:lang w:val="en-US" w:eastAsia="zh-CN" w:bidi="ar-SA"/>
    </w:rPr>
  </w:style>
  <w:style w:type="paragraph" w:styleId="1317" w:customStyle="1">
    <w:name w:val="xl82"/>
    <w:basedOn w:val="797"/>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318" w:customStyle="1">
    <w:name w:val="tableheading"/>
    <w:basedOn w:val="797"/>
    <w:uiPriority w:val="99"/>
    <w:qFormat/>
    <w:pPr>
      <w:jc w:val="left"/>
      <w:spacing w:before="100" w:beforeAutospacing="1" w:after="100" w:afterAutospacing="1" w:line="240" w:lineRule="auto"/>
      <w:widowControl/>
    </w:pPr>
    <w:rPr>
      <w:rFonts w:ascii="宋体" w:hAnsi="宋体" w:cs="宋体"/>
      <w:sz w:val="24"/>
      <w:szCs w:val="24"/>
    </w:rPr>
  </w:style>
  <w:style w:type="paragraph" w:styleId="1319" w:customStyle="1">
    <w:name w:val="标题 11"/>
    <w:basedOn w:val="797"/>
    <w:uiPriority w:val="99"/>
    <w:qFormat/>
    <w:pPr>
      <w:ind w:left="102"/>
      <w:jc w:val="left"/>
      <w:spacing w:line="240" w:lineRule="auto"/>
      <w:outlineLvl w:val="1"/>
    </w:pPr>
    <w:rPr>
      <w:rFonts w:ascii="宋体" w:hAnsi="宋体"/>
      <w:sz w:val="31"/>
      <w:szCs w:val="31"/>
      <w:lang w:eastAsia="en-US"/>
    </w:rPr>
  </w:style>
  <w:style w:type="paragraph" w:styleId="1320" w:customStyle="1">
    <w:name w:val="xl78"/>
    <w:basedOn w:val="797"/>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21" w:customStyle="1">
    <w:name w:val="条文脚注"/>
    <w:basedOn w:val="1087"/>
    <w:uiPriority w:val="99"/>
    <w:qFormat/>
    <w:pPr>
      <w:ind w:left="0" w:firstLine="0"/>
      <w:jc w:val="both"/>
    </w:pPr>
  </w:style>
  <w:style w:type="paragraph" w:styleId="1322" w:customStyle="1">
    <w:name w:val="列项说明"/>
    <w:basedOn w:val="797"/>
    <w:uiPriority w:val="99"/>
    <w:qFormat/>
    <w:pPr>
      <w:ind w:left="400" w:hanging="200"/>
      <w:jc w:val="left"/>
      <w:spacing w:line="320" w:lineRule="exact"/>
    </w:pPr>
    <w:rPr>
      <w:rFonts w:ascii="宋体"/>
    </w:rPr>
  </w:style>
  <w:style w:type="paragraph" w:styleId="1323" w:customStyle="1">
    <w:name w:val="样式 标题 3 + (中文) 黑体 小四 非加粗 段前: 7.8 磅 段后: 0 磅 行距: 固定值 20 磅"/>
    <w:basedOn w:val="1023"/>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324"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325" w:customStyle="1">
    <w:name w:val="正文表标题"/>
    <w:next w:val="1188"/>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26" w:customStyle="1">
    <w:name w:val="附录图标号"/>
    <w:basedOn w:val="797"/>
    <w:uiPriority w:val="99"/>
    <w:qFormat/>
    <w:pPr>
      <w:ind w:firstLine="363"/>
      <w:jc w:val="center"/>
      <w:keepNext/>
      <w:pageBreakBefore/>
      <w:spacing w:line="14" w:lineRule="exact"/>
      <w:widowControl/>
      <w:outlineLvl w:val="0"/>
    </w:pPr>
    <w:rPr>
      <w:color w:val="ffffff"/>
      <w:szCs w:val="24"/>
    </w:rPr>
  </w:style>
  <w:style w:type="paragraph" w:styleId="1327" w:customStyle="1">
    <w:name w:val="附录四级无"/>
    <w:basedOn w:val="1267"/>
    <w:uiPriority w:val="99"/>
    <w:qFormat/>
    <w:rPr>
      <w:rFonts w:ascii="宋体" w:eastAsia="宋体"/>
      <w:szCs w:val="21"/>
    </w:rPr>
  </w:style>
  <w:style w:type="paragraph" w:styleId="1328" w:customStyle="1">
    <w:name w:val="xl68"/>
    <w:basedOn w:val="797"/>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29" w:customStyle="1">
    <w:name w:val="图的脚注"/>
    <w:next w:val="1188"/>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330" w:customStyle="1">
    <w:name w:val="标准标志"/>
    <w:next w:val="797"/>
    <w:uiPriority w:val="99"/>
    <w:qFormat/>
    <w:pPr>
      <w:jc w:val="right"/>
      <w:spacing w:line="240" w:lineRule="atLeast"/>
      <w:shd w:val="solid" w:color="ffffff" w:fill="ffffff"/>
      <w:framePr w:w="2546" w:h="1389" w:vSpace="181" w:hSpace="181" w:wrap="around" w:vAnchor="margin" w:hAnchor="margin" w:x="6521" w:y="397" w:hRule="exact"/>
    </w:pPr>
    <w:rPr>
      <w:rFonts w:hint="default" w:ascii="Times New Roman" w:hAnsi="Times New Roman" w:eastAsia="宋体" w:cs="Times New Roman"/>
      <w:b/>
      <w:sz w:val="96"/>
      <w:szCs w:val="96"/>
      <w:lang w:val="en-US" w:eastAsia="zh-CN" w:bidi="ar-SA"/>
    </w:rPr>
  </w:style>
  <w:style w:type="paragraph" w:styleId="1331" w:customStyle="1">
    <w:name w:val="Definition List"/>
    <w:basedOn w:val="797"/>
    <w:next w:val="1332"/>
    <w:uiPriority w:val="99"/>
    <w:qFormat/>
    <w:pPr>
      <w:ind w:left="360"/>
      <w:jc w:val="left"/>
      <w:spacing w:line="240" w:lineRule="auto"/>
    </w:pPr>
    <w:rPr>
      <w:sz w:val="24"/>
    </w:rPr>
  </w:style>
  <w:style w:type="paragraph" w:styleId="1332" w:customStyle="1">
    <w:name w:val="Definition Term"/>
    <w:basedOn w:val="797"/>
    <w:next w:val="1331"/>
    <w:uiPriority w:val="99"/>
    <w:qFormat/>
    <w:pPr>
      <w:jc w:val="left"/>
      <w:spacing w:line="240" w:lineRule="auto"/>
    </w:pPr>
    <w:rPr>
      <w:sz w:val="24"/>
    </w:rPr>
  </w:style>
  <w:style w:type="paragraph" w:styleId="1333" w:customStyle="1">
    <w:name w:val="表格"/>
    <w:basedOn w:val="797"/>
    <w:next w:val="1054"/>
    <w:uiPriority w:val="99"/>
    <w:qFormat/>
    <w:pPr>
      <w:jc w:val="center"/>
      <w:spacing w:line="240" w:lineRule="auto"/>
    </w:pPr>
    <w:rPr>
      <w:rFonts w:ascii="华文细黑" w:hAnsi="华文细黑"/>
    </w:rPr>
  </w:style>
  <w:style w:type="paragraph" w:styleId="1334" w:customStyle="1">
    <w:name w:val="示例"/>
    <w:next w:val="1335"/>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35"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336"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337" w:customStyle="1">
    <w:name w:val="p17"/>
    <w:basedOn w:val="797"/>
    <w:uiPriority w:val="99"/>
    <w:qFormat/>
    <w:pPr>
      <w:ind w:firstLine="420"/>
      <w:spacing w:line="240" w:lineRule="auto"/>
      <w:widowControl/>
    </w:pPr>
    <w:rPr>
      <w:rFonts w:ascii="仿宋_GB2312" w:hAnsi="宋体" w:eastAsia="仿宋_GB2312" w:cs="宋体"/>
      <w:sz w:val="24"/>
      <w:szCs w:val="24"/>
    </w:rPr>
  </w:style>
  <w:style w:type="paragraph" w:styleId="1338" w:customStyle="1">
    <w:name w:val="附录三级无"/>
    <w:basedOn w:val="1268"/>
    <w:uiPriority w:val="99"/>
    <w:qFormat/>
    <w:rPr>
      <w:rFonts w:ascii="宋体" w:eastAsia="宋体"/>
      <w:szCs w:val="21"/>
    </w:rPr>
  </w:style>
  <w:style w:type="paragraph" w:styleId="1339" w:customStyle="1">
    <w:name w:val="tabletext"/>
    <w:basedOn w:val="797"/>
    <w:uiPriority w:val="99"/>
    <w:qFormat/>
    <w:pPr>
      <w:jc w:val="left"/>
      <w:spacing w:before="100" w:beforeAutospacing="1" w:after="100" w:afterAutospacing="1" w:line="240" w:lineRule="auto"/>
      <w:widowControl/>
    </w:pPr>
    <w:rPr>
      <w:rFonts w:ascii="宋体" w:hAnsi="宋体" w:cs="宋体"/>
      <w:sz w:val="24"/>
      <w:szCs w:val="24"/>
    </w:rPr>
  </w:style>
  <w:style w:type="paragraph" w:styleId="1340" w:customStyle="1">
    <w:name w:val="列项◆（三级）"/>
    <w:basedOn w:val="797"/>
    <w:uiPriority w:val="99"/>
    <w:qFormat/>
    <w:pPr>
      <w:ind w:left="1678" w:hanging="414"/>
      <w:spacing w:line="240" w:lineRule="auto"/>
      <w:tabs>
        <w:tab w:val="left" w:pos="1678" w:leader="none"/>
      </w:tabs>
    </w:pPr>
    <w:rPr>
      <w:rFonts w:ascii="宋体"/>
      <w:szCs w:val="21"/>
    </w:rPr>
  </w:style>
  <w:style w:type="paragraph" w:styleId="1341"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342" w:customStyle="1">
    <w:name w:val="xl63"/>
    <w:basedOn w:val="797"/>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343" w:customStyle="1">
    <w:name w:val="附录标识"/>
    <w:basedOn w:val="797"/>
    <w:next w:val="1188"/>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1344" w:customStyle="1">
    <w:name w:val="Char1"/>
    <w:basedOn w:val="797"/>
    <w:uiPriority w:val="99"/>
    <w:qFormat/>
    <w:rPr>
      <w:sz w:val="20"/>
    </w:rPr>
  </w:style>
  <w:style w:type="paragraph" w:styleId="1345" w:customStyle="1">
    <w:name w:val="正文公式编号制表符"/>
    <w:basedOn w:val="1188"/>
    <w:next w:val="1188"/>
    <w:uiPriority w:val="99"/>
    <w:qFormat/>
    <w:pPr>
      <w:ind w:firstLine="0"/>
      <w:tabs>
        <w:tab w:val="center" w:pos="4201" w:leader="none"/>
        <w:tab w:val="right" w:pos="9298" w:leader="dot"/>
      </w:tabs>
    </w:pPr>
    <w:rPr>
      <w:rFonts w:eastAsia="宋体"/>
      <w:szCs w:val="22"/>
    </w:rPr>
  </w:style>
  <w:style w:type="paragraph" w:styleId="1346" w:customStyle="1">
    <w:name w:val="正文内容"/>
    <w:basedOn w:val="797"/>
    <w:uiPriority w:val="99"/>
    <w:qFormat/>
    <w:pPr>
      <w:ind w:firstLine="480"/>
      <w:jc w:val="left"/>
    </w:pPr>
    <w:rPr>
      <w:rFonts w:ascii="Arial" w:hAnsi="Arial"/>
      <w:sz w:val="24"/>
      <w:szCs w:val="21"/>
    </w:rPr>
  </w:style>
  <w:style w:type="paragraph" w:styleId="1347" w:customStyle="1">
    <w:name w:val="附录表标题"/>
    <w:basedOn w:val="797"/>
    <w:next w:val="1188"/>
    <w:uiPriority w:val="99"/>
    <w:qFormat/>
    <w:pPr>
      <w:jc w:val="center"/>
      <w:spacing w:line="240" w:lineRule="auto"/>
      <w:tabs>
        <w:tab w:val="left" w:pos="180" w:leader="none"/>
      </w:tabs>
    </w:pPr>
    <w:rPr>
      <w:rFonts w:ascii="黑体" w:eastAsia="黑体"/>
      <w:szCs w:val="21"/>
    </w:rPr>
  </w:style>
  <w:style w:type="paragraph" w:styleId="1348" w:customStyle="1">
    <w:name w:val="xl66"/>
    <w:basedOn w:val="7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49" w:customStyle="1">
    <w:name w:val="前言、引言标题"/>
    <w:next w:val="1188"/>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50" w:customStyle="1">
    <w:name w:val="xl81"/>
    <w:basedOn w:val="797"/>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351" w:customStyle="1">
    <w:name w:val="xl72"/>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352"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353" w:customStyle="1">
    <w:name w:val="xl69"/>
    <w:basedOn w:val="797"/>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354" w:customStyle="1">
    <w:name w:val="xl86"/>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55" w:customStyle="1">
    <w:name w:val="1"/>
    <w:basedOn w:val="797"/>
    <w:uiPriority w:val="99"/>
    <w:qFormat/>
    <w:pPr>
      <w:ind w:firstLine="200"/>
    </w:pPr>
    <w:rPr>
      <w:rFonts w:ascii="宋体" w:hAnsi="宋体" w:cs="宋体"/>
      <w:sz w:val="24"/>
      <w:szCs w:val="24"/>
    </w:rPr>
  </w:style>
  <w:style w:type="paragraph" w:styleId="1356"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57" w:customStyle="1">
    <w:name w:val="标准书眉一"/>
    <w:uiPriority w:val="99"/>
    <w:qFormat/>
    <w:pPr>
      <w:jc w:val="both"/>
    </w:pPr>
    <w:rPr>
      <w:rFonts w:hint="default" w:ascii="Times New Roman" w:hAnsi="Times New Roman" w:eastAsia="宋体" w:cs="Times New Roman"/>
      <w:lang w:val="en-US" w:eastAsia="zh-CN" w:bidi="ar-SA"/>
    </w:rPr>
  </w:style>
  <w:style w:type="paragraph" w:styleId="1358" w:customStyle="1">
    <w:name w:val="xl89"/>
    <w:basedOn w:val="797"/>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359" w:customStyle="1">
    <w:name w:val="xl77"/>
    <w:basedOn w:val="797"/>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60" w:customStyle="1">
    <w:name w:val="font5"/>
    <w:basedOn w:val="797"/>
    <w:uiPriority w:val="0"/>
    <w:qFormat/>
    <w:pPr>
      <w:jc w:val="left"/>
      <w:spacing w:before="100" w:beforeAutospacing="1" w:after="100" w:afterAutospacing="1" w:line="240" w:lineRule="auto"/>
      <w:widowControl/>
    </w:pPr>
    <w:rPr>
      <w:rFonts w:ascii="宋体" w:hAnsi="宋体" w:cs="宋体"/>
      <w:sz w:val="18"/>
      <w:szCs w:val="18"/>
    </w:rPr>
  </w:style>
  <w:style w:type="paragraph" w:styleId="1361" w:customStyle="1">
    <w:name w:val="xl73"/>
    <w:basedOn w:val="7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362" w:customStyle="1">
    <w:name w:val="xl84"/>
    <w:basedOn w:val="7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3" w:customStyle="1">
    <w:name w:val="封面标准名称2"/>
    <w:basedOn w:val="1279"/>
    <w:uiPriority w:val="99"/>
    <w:qFormat/>
    <w:pPr>
      <w:framePr w:wrap="around" w:y="4468"/>
    </w:pPr>
  </w:style>
  <w:style w:type="paragraph" w:styleId="1364" w:customStyle="1">
    <w:name w:val="附录公式编号制表符"/>
    <w:basedOn w:val="797"/>
    <w:next w:val="1188"/>
    <w:uiPriority w:val="99"/>
    <w:qFormat/>
    <w:pPr>
      <w:spacing w:line="240" w:lineRule="auto"/>
      <w:widowControl/>
      <w:tabs>
        <w:tab w:val="center" w:pos="4201" w:leader="none"/>
        <w:tab w:val="right" w:pos="9298" w:leader="dot"/>
      </w:tabs>
    </w:pPr>
    <w:rPr>
      <w:rFonts w:ascii="宋体"/>
    </w:rPr>
  </w:style>
  <w:style w:type="paragraph" w:styleId="1365" w:customStyle="1">
    <w:name w:val="Address"/>
    <w:basedOn w:val="797"/>
    <w:next w:val="797"/>
    <w:uiPriority w:val="99"/>
    <w:qFormat/>
    <w:pPr>
      <w:jc w:val="left"/>
      <w:spacing w:line="240" w:lineRule="auto"/>
    </w:pPr>
    <w:rPr>
      <w:i/>
      <w:sz w:val="24"/>
    </w:rPr>
  </w:style>
  <w:style w:type="paragraph" w:styleId="1366" w:customStyle="1">
    <w:name w:val="标准书眉_奇数页"/>
    <w:next w:val="797"/>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367" w:customStyle="1">
    <w:name w:val="xl90"/>
    <w:basedOn w:val="797"/>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368" w:customStyle="1">
    <w:name w:val="Blockquote"/>
    <w:basedOn w:val="797"/>
    <w:uiPriority w:val="0"/>
    <w:qFormat/>
    <w:pPr>
      <w:ind w:left="360" w:right="360"/>
      <w:jc w:val="left"/>
      <w:spacing w:before="100" w:after="100" w:line="240" w:lineRule="auto"/>
    </w:pPr>
    <w:rPr>
      <w:sz w:val="24"/>
    </w:rPr>
  </w:style>
  <w:style w:type="paragraph" w:styleId="1369" w:customStyle="1">
    <w:name w:val="H5"/>
    <w:basedOn w:val="797"/>
    <w:next w:val="797"/>
    <w:uiPriority w:val="99"/>
    <w:qFormat/>
    <w:pPr>
      <w:jc w:val="left"/>
      <w:keepNext/>
      <w:spacing w:before="100" w:after="100" w:line="240" w:lineRule="auto"/>
      <w:outlineLvl w:val="5"/>
    </w:pPr>
    <w:rPr>
      <w:b/>
      <w:sz w:val="20"/>
    </w:rPr>
  </w:style>
  <w:style w:type="paragraph" w:styleId="1370" w:customStyle="1">
    <w:name w:val="a2"/>
    <w:basedOn w:val="797"/>
    <w:uiPriority w:val="99"/>
    <w:qFormat/>
    <w:pPr>
      <w:jc w:val="left"/>
      <w:spacing w:before="100" w:beforeAutospacing="1" w:after="100" w:afterAutospacing="1" w:line="240" w:lineRule="auto"/>
      <w:widowControl/>
    </w:pPr>
    <w:rPr>
      <w:rFonts w:ascii="宋体" w:hAnsi="宋体" w:cs="宋体"/>
      <w:sz w:val="24"/>
      <w:szCs w:val="24"/>
    </w:rPr>
  </w:style>
  <w:style w:type="paragraph" w:styleId="1371" w:customStyle="1">
    <w:name w:val="xl80"/>
    <w:basedOn w:val="797"/>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372" w:customStyle="1">
    <w:name w:val="注："/>
    <w:next w:val="1188"/>
    <w:uiPriority w:val="99"/>
    <w:qFormat/>
    <w:pPr>
      <w:jc w:val="both"/>
      <w:widowControl w:val="off"/>
    </w:pPr>
    <w:rPr>
      <w:rFonts w:hint="default" w:ascii="宋体" w:hAnsi="Times New Roman" w:eastAsia="宋体" w:cs="Times New Roman"/>
      <w:sz w:val="18"/>
      <w:szCs w:val="18"/>
      <w:lang w:val="en-US" w:eastAsia="zh-CN" w:bidi="ar-SA"/>
    </w:rPr>
  </w:style>
  <w:style w:type="paragraph" w:styleId="1373" w:customStyle="1">
    <w:name w:val="注：（正文）"/>
    <w:basedOn w:val="1372"/>
    <w:next w:val="1188"/>
    <w:uiPriority w:val="99"/>
    <w:qFormat/>
  </w:style>
  <w:style w:type="paragraph" w:styleId="1374" w:customStyle="1">
    <w:name w:val="Table Paragraph"/>
    <w:basedOn w:val="797"/>
    <w:uiPriority w:val="99"/>
    <w:qFormat/>
    <w:pPr>
      <w:jc w:val="left"/>
      <w:spacing w:line="240" w:lineRule="auto"/>
    </w:pPr>
    <w:rPr>
      <w:sz w:val="24"/>
      <w:szCs w:val="24"/>
    </w:rPr>
  </w:style>
  <w:style w:type="paragraph" w:styleId="1375" w:customStyle="1">
    <w:name w:val="G正文"/>
    <w:basedOn w:val="797"/>
    <w:uiPriority w:val="99"/>
    <w:qFormat/>
    <w:pPr>
      <w:ind w:firstLine="480"/>
      <w:widowControl/>
    </w:pPr>
    <w:rPr>
      <w:rFonts w:eastAsia="仿宋_GB2312" w:cs="宋体"/>
      <w:sz w:val="24"/>
    </w:rPr>
  </w:style>
  <w:style w:type="paragraph" w:styleId="1376" w:customStyle="1">
    <w:name w:val="xl79"/>
    <w:basedOn w:val="797"/>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77" w:customStyle="1">
    <w:name w:val="参考文献、索引标题"/>
    <w:basedOn w:val="797"/>
    <w:next w:val="1188"/>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378" w:customStyle="1">
    <w:name w:val="项目编号3"/>
    <w:basedOn w:val="797"/>
    <w:next w:val="797"/>
    <w:uiPriority w:val="0"/>
    <w:qFormat/>
    <w:pPr>
      <w:numPr>
        <w:ilvl w:val="0"/>
        <w:numId w:val="3"/>
      </w:numPr>
      <w:ind w:left="0" w:firstLine="200"/>
      <w:jc w:val="left"/>
    </w:pPr>
    <w:rPr>
      <w:rFonts w:ascii="宋体"/>
      <w:sz w:val="24"/>
      <w:szCs w:val="24"/>
    </w:rPr>
  </w:style>
  <w:style w:type="paragraph" w:styleId="1379" w:customStyle="1">
    <w:name w:val="2 Char Char Char Char Char Char Char"/>
    <w:basedOn w:val="797"/>
    <w:uiPriority w:val="0"/>
    <w:qFormat/>
    <w:pPr>
      <w:spacing w:line="240" w:lineRule="auto"/>
    </w:pPr>
    <w:rPr>
      <w:rFonts w:ascii="Tahoma" w:hAnsi="Tahoma"/>
      <w:sz w:val="24"/>
    </w:rPr>
  </w:style>
  <w:style w:type="paragraph" w:styleId="1380" w:customStyle="1">
    <w:name w:val="Char Char Char Char Char Char Char Char Char Char"/>
    <w:basedOn w:val="797"/>
    <w:uiPriority w:val="0"/>
    <w:qFormat/>
    <w:pPr>
      <w:ind w:left="883" w:hanging="315"/>
      <w:spacing w:line="240" w:lineRule="auto"/>
      <w:tabs>
        <w:tab w:val="left" w:pos="883" w:leader="none"/>
      </w:tabs>
    </w:pPr>
    <w:rPr>
      <w:sz w:val="24"/>
      <w:szCs w:val="24"/>
    </w:rPr>
  </w:style>
  <w:style w:type="paragraph" w:styleId="1381" w:customStyle="1">
    <w:name w:val="样式1"/>
    <w:basedOn w:val="797"/>
    <w:uiPriority w:val="99"/>
    <w:qFormat/>
    <w:pPr>
      <w:spacing w:before="120" w:after="120" w:line="300" w:lineRule="auto"/>
    </w:pPr>
    <w:rPr>
      <w:rFonts w:ascii="宋体" w:hAnsi="宋体"/>
      <w:b/>
      <w:sz w:val="24"/>
    </w:rPr>
  </w:style>
  <w:style w:type="paragraph" w:styleId="1382">
    <w:name w:val="List Paragraph"/>
    <w:basedOn w:val="797"/>
    <w:uiPriority w:val="0"/>
    <w:qFormat/>
    <w:pPr>
      <w:ind w:firstLine="420"/>
    </w:pPr>
    <w:rPr>
      <w:szCs w:val="21"/>
    </w:rPr>
  </w:style>
  <w:style w:type="paragraph" w:styleId="1383" w:customStyle="1">
    <w:name w:val="菲页(卷)"/>
    <w:basedOn w:val="1021"/>
    <w:next w:val="1384"/>
    <w:uiPriority w:val="0"/>
    <w:qFormat/>
    <w:pPr>
      <w:ind w:left="1380" w:hanging="855"/>
      <w:tabs>
        <w:tab w:val="left" w:pos="1380" w:leader="none"/>
      </w:tabs>
      <w:outlineLvl w:val="1"/>
    </w:pPr>
  </w:style>
  <w:style w:type="paragraph" w:styleId="1384"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85" w:customStyle="1">
    <w:name w:val="p0"/>
    <w:basedOn w:val="797"/>
    <w:uiPriority w:val="99"/>
    <w:qFormat/>
    <w:pPr>
      <w:widowControl/>
    </w:pPr>
    <w:rPr>
      <w:szCs w:val="21"/>
    </w:rPr>
  </w:style>
  <w:style w:type="paragraph" w:styleId="1386" w:customStyle="1">
    <w:name w:val="样式 小四 段前: 5 磅 段后: 5 磅 首行缩进:  2 字符"/>
    <w:basedOn w:val="797"/>
    <w:uiPriority w:val="0"/>
    <w:qFormat/>
    <w:rPr>
      <w:rFonts w:ascii="宋体" w:hAnsi="宋体"/>
      <w:szCs w:val="21"/>
    </w:rPr>
  </w:style>
  <w:style w:type="paragraph" w:styleId="1387" w:customStyle="1">
    <w:name w:val="默认段落字体 Para Char Char Char"/>
    <w:basedOn w:val="797"/>
    <w:uiPriority w:val="99"/>
    <w:qFormat/>
    <w:pPr>
      <w:spacing w:line="240" w:lineRule="auto"/>
    </w:pPr>
    <w:rPr>
      <w:szCs w:val="24"/>
    </w:rPr>
  </w:style>
  <w:style w:type="paragraph" w:styleId="1388"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389" w:customStyle="1">
    <w:name w:val="目录"/>
    <w:basedOn w:val="797"/>
    <w:uiPriority w:val="0"/>
    <w:qFormat/>
    <w:pPr>
      <w:jc w:val="center"/>
      <w:widowControl/>
    </w:pPr>
    <w:rPr>
      <w:rFonts w:ascii="宋体"/>
      <w:b/>
      <w:sz w:val="36"/>
    </w:rPr>
  </w:style>
  <w:style w:type="paragraph" w:styleId="1390" w:customStyle="1">
    <w:name w:val="qowt-stl-110"/>
    <w:basedOn w:val="797"/>
    <w:uiPriority w:val="0"/>
    <w:qFormat/>
    <w:pPr>
      <w:jc w:val="left"/>
      <w:spacing w:before="100" w:beforeAutospacing="1" w:after="100" w:afterAutospacing="1"/>
      <w:widowControl/>
    </w:pPr>
    <w:rPr>
      <w:rFonts w:ascii="宋体" w:hAnsi="宋体" w:cs="宋体"/>
      <w:sz w:val="24"/>
      <w:szCs w:val="24"/>
    </w:rPr>
  </w:style>
  <w:style w:type="paragraph" w:styleId="1391" w:customStyle="1">
    <w:name w:val="Char Char Char Char1"/>
    <w:basedOn w:val="797"/>
    <w:uiPriority w:val="0"/>
    <w:qFormat/>
    <w:pPr>
      <w:jc w:val="left"/>
      <w:spacing w:after="160" w:line="240" w:lineRule="exact"/>
      <w:widowControl/>
    </w:pPr>
    <w:rPr>
      <w:rFonts w:ascii="Verdana" w:hAnsi="Verdana"/>
      <w:sz w:val="20"/>
      <w:lang w:eastAsia="en-US"/>
    </w:rPr>
  </w:style>
  <w:style w:type="paragraph" w:styleId="1392" w:customStyle="1">
    <w:name w:val="副标题1"/>
    <w:next w:val="1384"/>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393" w:customStyle="1">
    <w:name w:val="样式 首行缩进:  0 字符"/>
    <w:basedOn w:val="797"/>
    <w:uiPriority w:val="0"/>
    <w:qFormat/>
    <w:pPr>
      <w:ind w:firstLine="480"/>
      <w:spacing w:line="240" w:lineRule="auto"/>
    </w:pPr>
    <w:rPr>
      <w:rFonts w:ascii="Arial" w:hAnsi="Arial" w:cs="宋体"/>
    </w:rPr>
  </w:style>
  <w:style w:type="paragraph" w:styleId="1394" w:customStyle="1">
    <w:name w:val="目录文字"/>
    <w:basedOn w:val="797"/>
    <w:uiPriority w:val="0"/>
    <w:qFormat/>
    <w:pPr>
      <w:jc w:val="left"/>
      <w:spacing w:line="480" w:lineRule="auto"/>
      <w:widowControl/>
    </w:pPr>
    <w:rPr>
      <w:rFonts w:ascii="宋体" w:hAnsi="宋体"/>
      <w:sz w:val="24"/>
    </w:rPr>
  </w:style>
  <w:style w:type="paragraph" w:styleId="1395" w:customStyle="1">
    <w:name w:val="正文图标题"/>
    <w:next w:val="1188"/>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96" w:customStyle="1">
    <w:name w:val="菲页1"/>
    <w:basedOn w:val="1022"/>
    <w:uiPriority w:val="0"/>
    <w:qFormat/>
    <w:pPr>
      <w:jc w:val="center"/>
      <w:spacing w:line="360" w:lineRule="auto"/>
      <w:widowControl/>
    </w:pPr>
    <w:rPr>
      <w:rFonts w:ascii="黑体" w:hAnsi="宋体"/>
      <w:b w:val="0"/>
      <w:color w:val="000000"/>
      <w:sz w:val="52"/>
      <w:szCs w:val="20"/>
    </w:rPr>
  </w:style>
  <w:style w:type="paragraph" w:styleId="1397" w:customStyle="1">
    <w:name w:val="TOC 标题11"/>
    <w:basedOn w:val="1021"/>
    <w:next w:val="797"/>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paragraph" w:styleId="1398" w:customStyle="1">
    <w:name w:val="Char Char Char Char"/>
    <w:basedOn w:val="1047"/>
    <w:uiPriority w:val="99"/>
    <w:qFormat/>
    <w:rPr>
      <w:rFonts w:ascii="Tahoma" w:hAnsi="Tahoma"/>
      <w:sz w:val="24"/>
      <w:szCs w:val="24"/>
    </w:rPr>
  </w:style>
  <w:style w:type="paragraph" w:styleId="1399" w:customStyle="1">
    <w:name w:val="Char Char1 Char"/>
    <w:basedOn w:val="797"/>
    <w:uiPriority w:val="0"/>
    <w:qFormat/>
    <w:pPr>
      <w:jc w:val="left"/>
      <w:spacing w:after="160" w:line="240" w:lineRule="exact"/>
      <w:widowControl/>
    </w:pPr>
  </w:style>
  <w:style w:type="paragraph" w:styleId="1400" w:customStyle="1">
    <w:name w:val="文档正文"/>
    <w:basedOn w:val="797"/>
    <w:uiPriority w:val="0"/>
    <w:qFormat/>
    <w:pPr>
      <w:ind w:left="315" w:hanging="315"/>
      <w:spacing w:line="300" w:lineRule="auto"/>
      <w:tabs>
        <w:tab w:val="left" w:pos="315" w:leader="none"/>
        <w:tab w:val="left" w:pos="980" w:leader="none"/>
      </w:tabs>
    </w:pPr>
    <w:rPr>
      <w:rFonts w:ascii="仿宋_GB2312" w:hAnsi="宋体"/>
      <w:sz w:val="24"/>
    </w:rPr>
  </w:style>
  <w:style w:type="paragraph" w:styleId="1401" w:customStyle="1">
    <w:name w:val="菲页2"/>
    <w:basedOn w:val="1023"/>
    <w:uiPriority w:val="0"/>
    <w:qFormat/>
    <w:pPr>
      <w:ind w:left="2265" w:hanging="900"/>
      <w:tabs>
        <w:tab w:val="left" w:pos="2265" w:leader="none"/>
      </w:tabs>
    </w:pPr>
    <w:rPr>
      <w:rFonts w:ascii="黑体" w:hAnsi="宋体" w:eastAsia="黑体"/>
      <w:b w:val="0"/>
      <w:sz w:val="44"/>
    </w:rPr>
  </w:style>
  <w:style w:type="paragraph" w:styleId="1402" w:customStyle="1">
    <w:name w:val="xl87"/>
    <w:basedOn w:val="7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403" w:customStyle="1">
    <w:name w:val="font6"/>
    <w:basedOn w:val="797"/>
    <w:uiPriority w:val="0"/>
    <w:qFormat/>
    <w:pPr>
      <w:jc w:val="left"/>
      <w:spacing w:before="100" w:beforeAutospacing="1" w:after="100" w:afterAutospacing="1" w:line="240" w:lineRule="auto"/>
      <w:widowControl/>
    </w:pPr>
    <w:rPr>
      <w:rFonts w:ascii="宋体" w:hAnsi="宋体" w:cs="宋体"/>
      <w:sz w:val="20"/>
    </w:rPr>
  </w:style>
  <w:style w:type="paragraph" w:styleId="1404" w:customStyle="1">
    <w:name w:val="Char Char Char Char Char Char Char Char Char Char Char Char Char Char Char Char Char Char Char Char Char Char Char Char Char Char Char Char Char Char Char Char Char"/>
    <w:basedOn w:val="797"/>
    <w:uiPriority w:val="0"/>
    <w:qFormat/>
    <w:pPr>
      <w:jc w:val="left"/>
      <w:spacing w:after="160" w:line="240" w:lineRule="exact"/>
      <w:widowControl/>
    </w:pPr>
  </w:style>
  <w:style w:type="paragraph" w:styleId="1405" w:customStyle="1">
    <w:name w:val="附录章标题"/>
    <w:next w:val="1188"/>
    <w:uiPriority w:val="99"/>
    <w:qFormat/>
    <w:pPr>
      <w:ind w:left="3060"/>
      <w:jc w:val="both"/>
      <w:outlineLvl w:val="1"/>
    </w:pPr>
    <w:rPr>
      <w:rFonts w:hint="default" w:ascii="黑体" w:hAnsi="Times New Roman" w:eastAsia="黑体" w:cs="Times New Roman"/>
      <w:sz w:val="21"/>
      <w:lang w:val="en-US" w:eastAsia="zh-CN" w:bidi="ar-SA"/>
    </w:rPr>
  </w:style>
  <w:style w:type="paragraph" w:styleId="1406" w:customStyle="1">
    <w:name w:val="附录一级条标题"/>
    <w:basedOn w:val="1405"/>
    <w:next w:val="1188"/>
    <w:uiPriority w:val="99"/>
    <w:qFormat/>
    <w:pPr>
      <w:outlineLvl w:val="2"/>
    </w:pPr>
  </w:style>
  <w:style w:type="paragraph" w:styleId="1407" w:customStyle="1">
    <w:name w:val="附录一级无"/>
    <w:basedOn w:val="1406"/>
    <w:uiPriority w:val="99"/>
    <w:qFormat/>
    <w:rPr>
      <w:rFonts w:ascii="宋体" w:eastAsia="宋体"/>
      <w:szCs w:val="21"/>
    </w:rPr>
  </w:style>
  <w:style w:type="paragraph" w:styleId="1408" w:customStyle="1">
    <w:name w:val="发布部门"/>
    <w:next w:val="1188"/>
    <w:uiPriority w:val="99"/>
    <w:qFormat/>
    <w:pPr>
      <w:jc w:val="center"/>
      <w:framePr w:w="7938" w:h="1134" w:vSpace="181" w:hSpace="125" w:wrap="around" w:vAnchor="page" w:hAnchor="page" w:x="2149" w:y="14629" w:hRule="exact"/>
    </w:pPr>
    <w:rPr>
      <w:rFonts w:hint="default" w:ascii="宋体" w:hAnsi="Times New Roman" w:eastAsia="宋体" w:cs="Times New Roman"/>
      <w:b/>
      <w:spacing w:val="20"/>
      <w:sz w:val="28"/>
      <w:lang w:val="en-US" w:eastAsia="zh-CN" w:bidi="ar-SA"/>
    </w:rPr>
  </w:style>
  <w:style w:type="paragraph" w:styleId="1409" w:customStyle="1">
    <w:name w:val="列出段落2"/>
    <w:basedOn w:val="797"/>
    <w:uiPriority w:val="34"/>
    <w:qFormat/>
    <w:pPr>
      <w:ind w:firstLine="420"/>
      <w:spacing w:line="240" w:lineRule="auto"/>
    </w:pPr>
    <w:rPr>
      <w:rFonts w:cs="Calibri"/>
      <w:szCs w:val="21"/>
    </w:rPr>
  </w:style>
  <w:style w:type="paragraph" w:styleId="1410" w:customStyle="1">
    <w:name w:val="默认段落字体 Para Char Char Char Char Char Char Char"/>
    <w:basedOn w:val="797"/>
    <w:uiPriority w:val="99"/>
    <w:qFormat/>
    <w:pPr>
      <w:spacing w:line="240" w:lineRule="auto"/>
    </w:pPr>
    <w:rPr>
      <w:rFonts w:ascii="Tahoma" w:hAnsi="Tahoma"/>
      <w:sz w:val="24"/>
    </w:rPr>
  </w:style>
  <w:style w:type="paragraph" w:styleId="1411" w:customStyle="1">
    <w:name w:val="其他标准标志"/>
    <w:basedOn w:val="1330"/>
    <w:uiPriority w:val="99"/>
    <w:qFormat/>
    <w:pPr>
      <w:framePr w:w="6101" w:wrap="around" w:vAnchor="page" w:hAnchor="page" w:x="4672" w:y="941"/>
    </w:pPr>
  </w:style>
  <w:style w:type="paragraph" w:styleId="1412" w:customStyle="1">
    <w:name w:val="默认段落字体 Para Char"/>
    <w:basedOn w:val="797"/>
    <w:uiPriority w:val="99"/>
    <w:qFormat/>
    <w:pPr>
      <w:ind w:firstLine="200"/>
    </w:pPr>
    <w:rPr>
      <w:rFonts w:ascii="宋体" w:hAnsi="宋体" w:cs="宋体"/>
      <w:sz w:val="24"/>
      <w:szCs w:val="24"/>
    </w:rPr>
  </w:style>
  <w:style w:type="paragraph" w:styleId="1413" w:customStyle="1">
    <w:name w:val="Default"/>
    <w:uiPriority w:val="99"/>
    <w:qFormat/>
    <w:pPr>
      <w:widowControl w:val="off"/>
    </w:pPr>
    <w:rPr>
      <w:rFonts w:hint="default" w:ascii="Arial" w:hAnsi="Arial" w:eastAsia="宋体" w:cs="Arial"/>
      <w:color w:val="000000"/>
      <w:sz w:val="24"/>
      <w:szCs w:val="24"/>
      <w:lang w:val="en-US" w:eastAsia="zh-CN" w:bidi="ar-SA"/>
    </w:rPr>
  </w:style>
  <w:style w:type="paragraph" w:styleId="1414" w:customStyle="1">
    <w:name w:val="标准正文"/>
    <w:basedOn w:val="797"/>
    <w:uiPriority w:val="0"/>
    <w:qFormat/>
    <w:pPr>
      <w:ind w:firstLine="480"/>
      <w:spacing w:before="156" w:after="156"/>
    </w:pPr>
    <w:rPr>
      <w:rFonts w:eastAsia="仿宋" w:cs="宋体"/>
      <w:sz w:val="24"/>
      <w:szCs w:val="24"/>
    </w:rPr>
  </w:style>
  <w:style w:type="paragraph" w:styleId="1415" w:customStyle="1">
    <w:name w:val="其他实施日期"/>
    <w:basedOn w:val="1416"/>
    <w:uiPriority w:val="99"/>
    <w:qFormat/>
    <w:pPr>
      <w:framePr w:wrap="around"/>
    </w:pPr>
  </w:style>
  <w:style w:type="paragraph" w:styleId="1416" w:customStyle="1">
    <w:name w:val="实施日期"/>
    <w:basedOn w:val="1417"/>
    <w:uiPriority w:val="99"/>
    <w:qFormat/>
    <w:pPr>
      <w:jc w:val="right"/>
      <w:framePr w:wrap="around" w:vAnchor="page" w:hAnchor="text"/>
    </w:pPr>
  </w:style>
  <w:style w:type="paragraph" w:styleId="1417" w:customStyle="1">
    <w:name w:val="发布日期"/>
    <w:uiPriority w:val="99"/>
    <w:qFormat/>
    <w:pPr>
      <w:framePr w:w="3997" w:h="471" w:vSpace="181" w:wrap="around" w:vAnchor="margin" w:hAnchor="page" w:x="7088" w:y="14096" w:hRule="exact"/>
    </w:pPr>
    <w:rPr>
      <w:rFonts w:hint="default" w:ascii="Times New Roman" w:hAnsi="Times New Roman" w:eastAsia="黑体" w:cs="Times New Roman"/>
      <w:sz w:val="28"/>
      <w:lang w:val="en-US" w:eastAsia="zh-CN" w:bidi="ar-SA"/>
    </w:rPr>
  </w:style>
  <w:style w:type="paragraph" w:styleId="1418" w:customStyle="1">
    <w:name w:val="xl74"/>
    <w:basedOn w:val="797"/>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419"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420" w:customStyle="1">
    <w:name w:val="封面一致性程度标识2"/>
    <w:basedOn w:val="1283"/>
    <w:uiPriority w:val="99"/>
    <w:qFormat/>
    <w:pPr>
      <w:framePr w:wrap="around" w:y="4468"/>
    </w:pPr>
  </w:style>
  <w:style w:type="paragraph" w:styleId="1421" w:customStyle="1">
    <w:name w:val="列出段落112"/>
    <w:basedOn w:val="797"/>
    <w:uiPriority w:val="99"/>
    <w:qFormat/>
    <w:pPr>
      <w:ind w:firstLine="420"/>
      <w:spacing w:line="240" w:lineRule="auto"/>
    </w:pPr>
    <w:rPr>
      <w:szCs w:val="21"/>
    </w:rPr>
  </w:style>
  <w:style w:type="paragraph" w:styleId="1422" w:customStyle="1">
    <w:name w:val="xl75"/>
    <w:basedOn w:val="797"/>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423"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424" w:customStyle="1">
    <w:name w:val="其他发布日期"/>
    <w:basedOn w:val="1417"/>
    <w:uiPriority w:val="99"/>
    <w:qFormat/>
    <w:pPr>
      <w:framePr w:wrap="around" w:vAnchor="page" w:hAnchor="text" w:x="1418"/>
    </w:pPr>
  </w:style>
  <w:style w:type="paragraph" w:styleId="1425" w:customStyle="1">
    <w:name w:val="H2"/>
    <w:basedOn w:val="797"/>
    <w:next w:val="797"/>
    <w:uiPriority w:val="99"/>
    <w:qFormat/>
    <w:pPr>
      <w:jc w:val="left"/>
      <w:keepNext/>
      <w:spacing w:before="100" w:after="100" w:line="240" w:lineRule="auto"/>
      <w:outlineLvl w:val="2"/>
    </w:pPr>
    <w:rPr>
      <w:b/>
      <w:sz w:val="36"/>
    </w:rPr>
  </w:style>
  <w:style w:type="paragraph" w:styleId="1426" w:customStyle="1">
    <w:name w:val="封面标准代替信息"/>
    <w:uiPriority w:val="99"/>
    <w:qFormat/>
    <w:pPr>
      <w:jc w:val="right"/>
      <w:spacing w:before="57" w:line="280" w:lineRule="exact"/>
      <w:framePr w:w="9140" w:h="1242" w:hSpace="284" w:wrap="around" w:vAnchor="page" w:hAnchor="page" w:x="1644" w:y="2909" w:hRule="exact"/>
    </w:pPr>
    <w:rPr>
      <w:rFonts w:hint="default" w:ascii="宋体" w:hAnsi="Times New Roman" w:eastAsia="宋体" w:cs="Times New Roman"/>
      <w:sz w:val="21"/>
      <w:szCs w:val="21"/>
      <w:lang w:val="en-US" w:eastAsia="zh-CN" w:bidi="ar-SA"/>
    </w:rPr>
  </w:style>
  <w:style w:type="paragraph" w:styleId="1427" w:customStyle="1">
    <w:name w:val="列出段落11"/>
    <w:basedOn w:val="797"/>
    <w:uiPriority w:val="99"/>
    <w:qFormat/>
    <w:pPr>
      <w:ind w:firstLine="420"/>
      <w:spacing w:line="240" w:lineRule="auto"/>
    </w:pPr>
    <w:rPr>
      <w:rFonts w:cs="Calibri"/>
      <w:szCs w:val="21"/>
    </w:rPr>
  </w:style>
  <w:style w:type="paragraph" w:styleId="1428"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429" w:customStyle="1">
    <w:name w:val="修订1"/>
    <w:uiPriority w:val="99"/>
    <w:qFormat/>
    <w:rPr>
      <w:rFonts w:hint="default" w:ascii="Times New Roman" w:hAnsi="Times New Roman" w:eastAsia="宋体" w:cs="Times New Roman"/>
      <w:sz w:val="21"/>
      <w:szCs w:val="24"/>
      <w:lang w:val="en-US" w:eastAsia="zh-CN" w:bidi="ar-SA"/>
    </w:rPr>
  </w:style>
  <w:style w:type="paragraph" w:styleId="1430" w:customStyle="1">
    <w:name w:val="内容文本"/>
    <w:basedOn w:val="873"/>
    <w:uiPriority w:val="99"/>
    <w:qFormat/>
    <w:pPr>
      <w:contextualSpacing/>
      <w:ind w:firstLine="200"/>
      <w:jc w:val="left"/>
    </w:pPr>
    <w:rPr>
      <w:rFonts w:ascii="宋体" w:hAnsi="宋体"/>
      <w:sz w:val="24"/>
      <w:lang w:eastAsia="en-US"/>
    </w:rPr>
  </w:style>
  <w:style w:type="paragraph" w:styleId="1431" w:customStyle="1">
    <w:name w:val="Char Char Char Char Char Char"/>
    <w:basedOn w:val="797"/>
    <w:uiPriority w:val="99"/>
    <w:qFormat/>
    <w:pPr>
      <w:jc w:val="left"/>
      <w:spacing w:after="160" w:line="240" w:lineRule="exact"/>
      <w:widowControl/>
    </w:pPr>
    <w:rPr>
      <w:rFonts w:ascii="宋体"/>
      <w:sz w:val="34"/>
    </w:rPr>
  </w:style>
  <w:style w:type="paragraph" w:styleId="1432" w:customStyle="1">
    <w:name w:val="其他标准称谓"/>
    <w:next w:val="797"/>
    <w:uiPriority w:val="99"/>
    <w:qFormat/>
    <w:pPr>
      <w:jc w:val="both"/>
      <w:spacing w:line="240" w:lineRule="atLeast"/>
      <w:framePr w:vSpace="181" w:hSpace="181" w:wrap="around" w:vAnchor="page" w:hAnchor="page" w:x="1418" w:y="2285"/>
    </w:pPr>
    <w:rPr>
      <w:rFonts w:hint="default" w:ascii="黑体" w:hAnsi="宋体" w:eastAsia="黑体" w:cs="Times New Roman"/>
      <w:spacing w:val="-40"/>
      <w:sz w:val="48"/>
      <w:szCs w:val="52"/>
      <w:lang w:val="en-US" w:eastAsia="zh-CN" w:bidi="ar-SA"/>
    </w:rPr>
  </w:style>
  <w:style w:type="paragraph" w:styleId="1433" w:customStyle="1">
    <w:name w:val="附录表标号"/>
    <w:basedOn w:val="797"/>
    <w:next w:val="1188"/>
    <w:uiPriority w:val="99"/>
    <w:qFormat/>
    <w:pPr>
      <w:ind w:left="811" w:hanging="448"/>
      <w:jc w:val="center"/>
      <w:spacing w:line="14" w:lineRule="exact"/>
      <w:tabs>
        <w:tab w:val="left" w:pos="0" w:leader="none"/>
      </w:tabs>
      <w:outlineLvl w:val="0"/>
    </w:pPr>
    <w:rPr>
      <w:color w:val="ffffff"/>
      <w:szCs w:val="24"/>
    </w:rPr>
  </w:style>
  <w:style w:type="paragraph" w:styleId="1434" w:customStyle="1">
    <w:name w:val="H3"/>
    <w:basedOn w:val="797"/>
    <w:next w:val="797"/>
    <w:uiPriority w:val="99"/>
    <w:qFormat/>
    <w:pPr>
      <w:jc w:val="left"/>
      <w:keepNext/>
      <w:spacing w:before="100" w:after="100" w:line="240" w:lineRule="auto"/>
      <w:outlineLvl w:val="3"/>
    </w:pPr>
    <w:rPr>
      <w:b/>
      <w:sz w:val="28"/>
    </w:rPr>
  </w:style>
  <w:style w:type="paragraph" w:styleId="1435" w:customStyle="1">
    <w:name w:val="font8"/>
    <w:basedOn w:val="797"/>
    <w:uiPriority w:val="0"/>
    <w:qFormat/>
    <w:pPr>
      <w:jc w:val="left"/>
      <w:spacing w:before="100" w:beforeAutospacing="1" w:after="100" w:afterAutospacing="1" w:line="240" w:lineRule="auto"/>
      <w:widowControl/>
    </w:pPr>
    <w:rPr>
      <w:rFonts w:ascii="宋体" w:hAnsi="宋体" w:cs="宋体"/>
      <w:color w:val="000000"/>
      <w:sz w:val="20"/>
    </w:rPr>
  </w:style>
  <w:style w:type="paragraph" w:styleId="1436" w:customStyle="1">
    <w:name w:val="引文目录1"/>
    <w:basedOn w:val="797"/>
    <w:next w:val="797"/>
    <w:uiPriority w:val="0"/>
    <w:qFormat/>
    <w:pPr>
      <w:ind w:left="420" w:firstLine="883"/>
    </w:pPr>
    <w:rPr>
      <w:rFonts w:ascii="仿宋" w:hAnsi="仿宋" w:eastAsia="仿宋" w:cs="仿宋"/>
      <w:sz w:val="24"/>
      <w:szCs w:val="24"/>
    </w:rPr>
  </w:style>
  <w:style w:type="paragraph" w:styleId="1437" w:customStyle="1">
    <w:name w:val="列出段落4"/>
    <w:basedOn w:val="797"/>
    <w:uiPriority w:val="99"/>
    <w:qFormat/>
    <w:pPr>
      <w:ind w:firstLine="420"/>
      <w:spacing w:line="240" w:lineRule="auto"/>
    </w:pPr>
    <w:rPr>
      <w:szCs w:val="21"/>
    </w:rPr>
  </w:style>
  <w:style w:type="paragraph" w:styleId="1438" w:customStyle="1">
    <w:name w:val="样式 标题 2 + Times New Roman 四号 非加粗 段前: 5 磅 段后: 0 磅 行距: 固定值 20..."/>
    <w:basedOn w:val="1022"/>
    <w:uiPriority w:val="99"/>
    <w:qFormat/>
    <w:pPr>
      <w:spacing w:before="100" w:after="0" w:line="400" w:lineRule="exact"/>
    </w:pPr>
    <w:rPr>
      <w:rFonts w:ascii="Times New Roman" w:hAnsi="Times New Roman" w:cs="宋体"/>
      <w:b w:val="0"/>
      <w:bCs w:val="0"/>
      <w:color w:val="ff0000"/>
      <w:sz w:val="30"/>
      <w:szCs w:val="20"/>
    </w:rPr>
  </w:style>
  <w:style w:type="paragraph" w:styleId="1439" w:customStyle="1">
    <w:name w:val="样式 标题 1 + 黑体 三号 非加粗 居中 段前: 6 磅 段后: 6 磅 行距: 固定值 20 磅"/>
    <w:basedOn w:val="1021"/>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440" w:customStyle="1">
    <w:name w:val="列出段落111"/>
    <w:basedOn w:val="797"/>
    <w:uiPriority w:val="99"/>
    <w:qFormat/>
    <w:pPr>
      <w:ind w:firstLine="420"/>
      <w:spacing w:line="240" w:lineRule="auto"/>
    </w:pPr>
    <w:rPr>
      <w:rFonts w:cs="Calibri"/>
      <w:szCs w:val="21"/>
    </w:rPr>
  </w:style>
  <w:style w:type="paragraph" w:styleId="1441" w:customStyle="1">
    <w:name w:val="z-Bottom of Form1"/>
    <w:next w:val="797"/>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42" w:customStyle="1">
    <w:name w:val="Item List in Table"/>
    <w:basedOn w:val="797"/>
    <w:uiPriority w:val="0"/>
    <w:qFormat/>
    <w:pPr>
      <w:numPr>
        <w:ilvl w:val="0"/>
        <w:numId w:val="4"/>
      </w:numPr>
      <w:spacing w:before="80" w:after="80" w:line="240" w:lineRule="atLeast"/>
      <w:widowControl/>
    </w:pPr>
    <w:rPr>
      <w:rFonts w:hint="eastAsia" w:ascii="Calibri" w:hAnsi="Calibri" w:cs="Arial"/>
      <w:szCs w:val="21"/>
    </w:rPr>
  </w:style>
  <w:style w:type="paragraph" w:styleId="1443" w:customStyle="1">
    <w:name w:val="图标脚注说明"/>
    <w:basedOn w:val="1188"/>
    <w:uiPriority w:val="99"/>
    <w:qFormat/>
    <w:pPr>
      <w:ind w:left="840" w:hanging="420"/>
      <w:tabs>
        <w:tab w:val="center" w:pos="4201" w:leader="none"/>
        <w:tab w:val="right" w:pos="9298" w:leader="dot"/>
      </w:tabs>
    </w:pPr>
    <w:rPr>
      <w:rFonts w:eastAsia="宋体"/>
      <w:sz w:val="18"/>
      <w:szCs w:val="18"/>
    </w:rPr>
  </w:style>
  <w:style w:type="paragraph" w:styleId="1444" w:customStyle="1">
    <w:name w:val="其他发布部门"/>
    <w:basedOn w:val="1408"/>
    <w:uiPriority w:val="99"/>
    <w:qFormat/>
    <w:pPr>
      <w:spacing w:line="240" w:lineRule="atLeast"/>
      <w:framePr w:wrap="around" w:y="15309"/>
    </w:pPr>
    <w:rPr>
      <w:rFonts w:ascii="黑体" w:eastAsia="黑体"/>
      <w:b w:val="0"/>
    </w:rPr>
  </w:style>
  <w:style w:type="paragraph" w:styleId="1445" w:customStyle="1">
    <w:name w:val="xl64"/>
    <w:basedOn w:val="797"/>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446" w:customStyle="1">
    <w:name w:val="qowt-stl-style1"/>
    <w:basedOn w:val="797"/>
    <w:uiPriority w:val="0"/>
    <w:qFormat/>
    <w:pPr>
      <w:jc w:val="left"/>
      <w:spacing w:before="100" w:beforeAutospacing="1" w:after="100" w:afterAutospacing="1"/>
      <w:widowControl/>
    </w:pPr>
    <w:rPr>
      <w:rFonts w:ascii="宋体" w:hAnsi="宋体" w:cs="宋体"/>
      <w:sz w:val="24"/>
      <w:szCs w:val="24"/>
    </w:rPr>
  </w:style>
  <w:style w:type="paragraph" w:styleId="1447" w:customStyle="1">
    <w:name w:val="一级无"/>
    <w:basedOn w:val="1250"/>
    <w:uiPriority w:val="99"/>
    <w:qFormat/>
    <w:rPr>
      <w:rFonts w:ascii="宋体" w:eastAsia="宋体"/>
    </w:rPr>
  </w:style>
  <w:style w:type="paragraph" w:styleId="1448" w:customStyle="1">
    <w:name w:val="flNote"/>
    <w:basedOn w:val="797"/>
    <w:uiPriority w:val="99"/>
    <w:qFormat/>
    <w:pPr>
      <w:jc w:val="center"/>
      <w:spacing w:before="320" w:after="160" w:line="360" w:lineRule="atLeast"/>
    </w:pPr>
    <w:rPr>
      <w:rFonts w:ascii="Arial" w:eastAsia="黑体"/>
      <w:sz w:val="30"/>
    </w:rPr>
  </w:style>
  <w:style w:type="paragraph" w:styleId="1449" w:customStyle="1">
    <w:name w:val="标准书眉_偶数页"/>
    <w:basedOn w:val="1366"/>
    <w:next w:val="797"/>
    <w:uiPriority w:val="99"/>
    <w:qFormat/>
    <w:pPr>
      <w:jc w:val="left"/>
    </w:pPr>
  </w:style>
  <w:style w:type="paragraph" w:styleId="1450"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451" w:customStyle="1">
    <w:name w:val="列出段落6"/>
    <w:basedOn w:val="797"/>
    <w:uiPriority w:val="99"/>
    <w:qFormat/>
    <w:pPr>
      <w:ind w:firstLine="420"/>
      <w:spacing w:line="240" w:lineRule="auto"/>
    </w:pPr>
    <w:rPr>
      <w:szCs w:val="21"/>
    </w:rPr>
  </w:style>
  <w:style w:type="paragraph" w:styleId="1452" w:customStyle="1">
    <w:name w:val="四级无"/>
    <w:basedOn w:val="1247"/>
    <w:uiPriority w:val="99"/>
    <w:qFormat/>
    <w:rPr>
      <w:rFonts w:ascii="宋体" w:eastAsia="宋体"/>
    </w:rPr>
  </w:style>
  <w:style w:type="paragraph" w:styleId="1453" w:customStyle="1">
    <w:name w:val="列出段落3"/>
    <w:basedOn w:val="797"/>
    <w:uiPriority w:val="99"/>
    <w:qFormat/>
    <w:pPr>
      <w:ind w:firstLine="420"/>
      <w:spacing w:line="240" w:lineRule="auto"/>
    </w:pPr>
    <w:rPr>
      <w:rFonts w:eastAsia="等线"/>
      <w:szCs w:val="22"/>
    </w:rPr>
  </w:style>
  <w:style w:type="paragraph" w:styleId="1454" w:customStyle="1">
    <w:name w:val="H4"/>
    <w:basedOn w:val="797"/>
    <w:next w:val="797"/>
    <w:uiPriority w:val="99"/>
    <w:qFormat/>
    <w:pPr>
      <w:jc w:val="left"/>
      <w:keepNext/>
      <w:spacing w:before="100" w:after="100" w:line="240" w:lineRule="auto"/>
      <w:outlineLvl w:val="4"/>
    </w:pPr>
    <w:rPr>
      <w:b/>
      <w:sz w:val="24"/>
    </w:rPr>
  </w:style>
  <w:style w:type="paragraph" w:styleId="1455" w:customStyle="1">
    <w:name w:val="Preformatted"/>
    <w:basedOn w:val="797"/>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56" w:customStyle="1">
    <w:name w:val="首行缩进"/>
    <w:basedOn w:val="797"/>
    <w:uiPriority w:val="0"/>
    <w:qFormat/>
    <w:pPr>
      <w:ind w:firstLine="480"/>
    </w:pPr>
    <w:rPr>
      <w:lang w:val="zh-CN"/>
    </w:rPr>
  </w:style>
  <w:style w:type="table" w:styleId="1457" w:customStyle="1">
    <w:name w:val="网格型1"/>
    <w:uiPriority w:val="99"/>
    <w:qFormat/>
    <w:pPr>
      <w:jc w:val="both"/>
      <w:widowControl w:val="off"/>
    </w:pPr>
    <w:tblPr>
      <w:tblCellMar>
        <w:left w:w="0" w:type="dxa"/>
        <w:top w:w="0" w:type="dxa"/>
        <w:right w:w="0" w:type="dxa"/>
        <w:bottom w:w="0" w:type="dxa"/>
      </w:tblCellMar>
    </w:tblPr>
  </w:style>
  <w:style w:type="table" w:styleId="1458"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459" w:customStyle="1">
    <w:name w:val="网格型2"/>
    <w:basedOn w:val="1032"/>
    <w:uiPriority w:val="0"/>
    <w:qFormat/>
    <w:rPr>
      <w:sz w:val="21"/>
      <w:szCs w:val="22"/>
    </w:rPr>
    <w:tblPr/>
  </w:style>
  <w:style w:type="paragraph" w:styleId="1460" w:customStyle="1">
    <w:name w:val="修订2"/>
    <w:uiPriority w:val="99"/>
    <w:unhideWhenUsed/>
    <w:qFormat/>
    <w:rPr>
      <w:rFonts w:hint="default" w:ascii="Times New Roman" w:hAnsi="Times New Roman" w:eastAsia="宋体" w:cs="Times New Roman"/>
      <w:sz w:val="21"/>
      <w:lang w:val="en-US" w:eastAsia="zh-CN" w:bidi="ar-SA"/>
    </w:rPr>
  </w:style>
  <w:style w:type="paragraph" w:styleId="1461" w:customStyle="1">
    <w:name w:val="p1"/>
    <w:uiPriority w:val="0"/>
    <w:qFormat/>
    <w:pPr>
      <w:jc w:val="both"/>
      <w:widowControl w:val="off"/>
    </w:pPr>
    <w:rPr>
      <w:rFonts w:hint="default" w:ascii=".PingFang SC" w:hAnsi=".PingFang SC" w:eastAsia="宋体" w:cs="Times New Roman"/>
      <w:sz w:val="26"/>
      <w:szCs w:val="26"/>
      <w:lang w:val="en-US" w:eastAsia="zh-CN" w:bidi="ar-SA"/>
    </w:rPr>
  </w:style>
  <w:style w:type="paragraph" w:styleId="1462" w:customStyle="1">
    <w:name w:val="行文"/>
    <w:uiPriority w:val="0"/>
    <w:qFormat/>
    <w:pPr>
      <w:ind w:firstLine="624"/>
      <w:jc w:val="both"/>
      <w:spacing w:line="480" w:lineRule="exact"/>
      <w:widowControl w:val="off"/>
    </w:pPr>
    <w:rPr>
      <w:rFonts w:hint="default" w:ascii="宋体" w:hAnsi="Times New Roman" w:eastAsia="仿宋_GB2312" w:cs="Times New Roman"/>
      <w:sz w:val="30"/>
      <w:lang w:val="en-US" w:eastAsia="zh-CN" w:bidi="ar-SA"/>
    </w:rPr>
  </w:style>
  <w:style w:type="paragraph" w:styleId="146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Times New Roman" w:cs="Arial Unicode MS"/>
      <w:color w:val="000000"/>
      <w:sz w:val="21"/>
      <w:szCs w:val="21"/>
      <w:lang w:val="en-US" w:eastAsia="zh-CN" w:bidi="ar-SA"/>
    </w:rPr>
  </w:style>
  <w:style w:type="paragraph" w:styleId="1464" w:customStyle="1">
    <w:name w:val="目录 61"/>
    <w:next w:val="797"/>
    <w:uiPriority w:val="99"/>
    <w:qFormat/>
    <w:pPr>
      <w:ind w:left="1050" w:firstLine="420"/>
      <w:spacing w:line="288" w:lineRule="auto"/>
      <w:widowControl w:val="off"/>
    </w:pPr>
    <w:rPr>
      <w:rFonts w:hint="default" w:ascii="Times New Roman" w:hAnsi="Times New Roman" w:eastAsia="宋体" w:cs="Times New Roman"/>
      <w:sz w:val="18"/>
      <w:szCs w:val="18"/>
      <w:lang w:val="en-US" w:eastAsia="zh-CN" w:bidi="ar-SA"/>
    </w:rPr>
  </w:style>
  <w:style w:type="paragraph" w:styleId="1465" w:customStyle="1">
    <w:name w:val="页脚11"/>
    <w:next w:val="797"/>
    <w:uiPriority w:val="0"/>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466" w:customStyle="1">
    <w:name w:val="页眉11"/>
    <w:uiPriority w:val="0"/>
    <w:unhideWhenUsed/>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467" w:customStyle="1">
    <w:name w:val="02-标书-标题2"/>
    <w:uiPriority w:val="0"/>
    <w:qFormat/>
    <w:pPr>
      <w:numPr>
        <w:ilvl w:val="1"/>
        <w:numId w:val="3"/>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468" w:customStyle="1">
    <w:name w:val="10"/>
    <w:basedOn w:val="807"/>
    <w:uiPriority w:val="0"/>
    <w:qFormat/>
    <w:rPr>
      <w:rFonts w:hint="default" w:ascii="Times New Roman" w:hAnsi="Times New Roman" w:cs="Times New Roman"/>
    </w:rPr>
  </w:style>
  <w:style w:type="character" w:styleId="1469" w:customStyle="1">
    <w:name w:val="15"/>
    <w:basedOn w:val="807"/>
    <w:uiPriority w:val="0"/>
    <w:qFormat/>
    <w:rPr>
      <w:rFonts w:hint="eastAsia" w:ascii="宋体" w:hAnsi="宋体" w:eastAsia="宋体" w:cs="宋体"/>
      <w:sz w:val="24"/>
      <w:szCs w:val="24"/>
    </w:rPr>
  </w:style>
  <w:style w:type="character" w:styleId="1470" w:customStyle="1">
    <w:name w:val="16"/>
    <w:basedOn w:val="807"/>
    <w:uiPriority w:val="0"/>
    <w:qFormat/>
    <w:rPr>
      <w:rFonts w:hint="eastAsia" w:ascii="微软雅黑" w:hAnsi="微软雅黑" w:eastAsia="微软雅黑" w:cs="微软雅黑"/>
      <w:b/>
      <w:color w:val="ff0000"/>
      <w:sz w:val="22"/>
      <w:szCs w:val="22"/>
    </w:rPr>
  </w:style>
  <w:style w:type="numbering" w:styleId="14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3bc5494e-28a5-40cb-92ea-de060d367fa5</errorID>
      <errorWord>城市设计及概念规划</errorWord>
      <group>L1_Grammar</group>
      <groupName>语法问题</groupName>
      <ability>L2_Order</ability>
      <abilityName>语序不当</abilityName>
      <candidateList>
        <item>概念规划及城市设计</item>
      </candidateList>
      <explain>句子可能没有遵循时空、逻辑顺序，或者介词、关联词等位置不当。</explain>
      <paraID>5CDE91F3</paraID>
      <start>89</start>
      <end>98</end>
      <status>unmodified</status>
      <modifiedWord/>
      <trackRevisions>false</trackRevisions>
    </reviewItem>
    <reviewItem>
      <errorID>ab122bfd-37ea-4d02-8d75-256372024a91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16899C1F</paraID>
      <start>0</start>
      <end>2</end>
      <status>unmodified</status>
      <modifiedWord/>
      <trackRevisions>false</trackRevisions>
    </reviewItem>
    <reviewItem>
      <errorID>9936686b-afd5-43c7-bcd4-792631a37d1a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C6326DA</paraID>
      <start>0</start>
      <end>2</end>
      <status>unmodified</status>
      <modifiedWord/>
      <trackRevisions>false</trackRevisions>
    </reviewItem>
    <reviewItem>
      <errorID>3428d849-2d20-4bba-ba6c-612de2833a52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575405AF</paraID>
      <start>0</start>
      <end>2</end>
      <status>unmodified</status>
      <modifiedWord/>
      <trackRevisions>false</trackRevisions>
    </reviewItem>
    <reviewItem>
      <errorID>dba5cb89-fec2-4645-8348-b473ca018d78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4D1C1864</paraID>
      <start>0</start>
      <end>2</end>
      <status>unmodified</status>
      <modifiedWord/>
      <trackRevisions>false</trackRevisions>
    </reviewItem>
    <reviewItem>
      <errorID>01d14206-4c0d-4d42-8440-05da5c6def64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740CD831</paraID>
      <start>0</start>
      <end>2</end>
      <status>unmodified</status>
      <modifiedWord/>
      <trackRevisions>false</trackRevisions>
    </reviewItem>
    <reviewItem>
      <errorID>b8fdc110-43de-44ec-9a4f-0d0799873b80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12FB7AD5</paraID>
      <start>0</start>
      <end>2</end>
      <status>unmodified</status>
      <modifiedWord/>
      <trackRevisions>false</trackRevisions>
    </reviewItem>
    <reviewItem>
      <errorID>9d4ae92f-6032-46b9-abf3-9435d2ce2f08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496A60F8</paraID>
      <start>0</start>
      <end>2</end>
      <status>unmodified</status>
      <modifiedWord/>
      <trackRevisions>false</trackRevisions>
    </reviewItem>
    <reviewItem>
      <errorID>68d65b3f-63ea-4aab-aec0-c8b673a2314d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63DDB1FB</paraID>
      <start>0</start>
      <end>2</end>
      <status>unmodified</status>
      <modifiedWord/>
      <trackRevisions>false</trackRevisions>
    </reviewItem>
    <reviewItem>
      <errorID>c2e2b886-b540-46de-94f1-ac0e17fbc4fc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351EA281</paraID>
      <start>0</start>
      <end>2</end>
      <status>unmodified</status>
      <modifiedWord/>
      <trackRevisions>false</trackRevisions>
    </reviewItem>
    <reviewItem>
      <errorID>e78b0ace-c66e-444d-9610-eaec1efafcee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4A288CB1</paraID>
      <start>67</start>
      <end>68</end>
      <status>unmodified</status>
      <modifiedWord/>
      <trackRevisions>false</trackRevisions>
    </reviewItem>
    <reviewItem>
      <errorID>bdd0142c-bf41-435d-8d0d-f432b4fef65f</errorID>
      <errorWord>-</errorWord>
      <group>L1_Format</group>
      <groupName>格式问题</groupName>
      <ability>L2_HalfPunc</ability>
      <abilityName>全半角检查</abilityName>
      <candidateList>
        <item>－</item>
      </candidateList>
      <explain>文本全半角错误。</explain>
      <paraID>2A73A26B</paraID>
      <start>33</start>
      <end>34</end>
      <status>modified</status>
      <modifiedWord>－</modifiedWord>
      <trackRevisions>false</trackRevisions>
    </reviewItem>
    <reviewItem>
      <errorID>e65647cd-8575-4c26-95c9-86e7d996b76a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28B8996</paraID>
      <start>0</start>
      <end>2</end>
      <status>unmodified</status>
      <modifiedWord/>
      <trackRevisions>false</trackRevisions>
    </reviewItem>
    <reviewItem>
      <errorID>6f74718d-78cc-48a8-87b7-e6108cc5ddde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33A318C7</paraID>
      <start>0</start>
      <end>2</end>
      <status>unmodified</status>
      <modifiedWord/>
      <trackRevisions>false</trackRevisions>
    </reviewItem>
    <reviewItem>
      <errorID>9cc82762-666f-4f0a-b50d-4cef8ca50c62</errorID>
      <errorWord>-</errorWord>
      <group>L1_Format</group>
      <groupName>格式问题</groupName>
      <ability>L2_HalfPunc</ability>
      <abilityName>全半角检查</abilityName>
      <candidateList>
        <item>－</item>
      </candidateList>
      <explain>文本全半角错误。</explain>
      <paraID>3A2A8B26</paraID>
      <start>33</start>
      <end>34</end>
      <status>modified</status>
      <modifiedWord>－</modifiedWord>
      <trackRevisions>false</trackRevisions>
    </reviewItem>
    <reviewItem>
      <errorID>fc94e367-a3f6-4588-ad5f-70d7c37d2e05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5FA76DDD</paraID>
      <start>0</start>
      <end>2</end>
      <status>unmodified</status>
      <modifiedWord/>
      <trackRevisions>false</trackRevisions>
    </reviewItem>
    <reviewItem>
      <errorID>372635a8-8873-4d92-a9ba-39958d162868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577B4EC8</paraID>
      <start>0</start>
      <end>2</end>
      <status>unmodified</status>
      <modifiedWord/>
      <trackRevisions>false</trackRevisions>
    </reviewItem>
    <reviewItem>
      <errorID>31312076-5d11-454a-a7dd-5827c5586319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5BDCE6E5</paraID>
      <start>0</start>
      <end>2</end>
      <status>unmodified</status>
      <modifiedWord/>
      <trackRevisions>false</trackRevisions>
    </reviewItem>
    <reviewItem>
      <errorID>c001f955-b245-48ae-a9b8-4343df011e1e</errorID>
      <errorWord>（</errorWord>
      <group>L1_Punc</group>
      <groupName>标点问题</groupName>
      <ability>L2_Punc</ability>
      <abilityName>标点符号检查</abilityName>
      <candidateList/>
      <explain>同一形式括号套用。</explain>
      <paraID>7EACA43D</paraID>
      <start>50</start>
      <end>51</end>
      <status>unmodified</status>
      <modifiedWord/>
      <trackRevisions>false</trackRevisions>
    </reviewItem>
    <reviewItem>
      <errorID>6af336ac-1cc4-40ac-b798-763803717a5b</errorID>
      <errorWord>）</errorWord>
      <group>L1_Punc</group>
      <groupName>标点问题</groupName>
      <ability>L2_Punc</ability>
      <abilityName>标点符号检查</abilityName>
      <candidateList/>
      <explain>同一形式括号套用。</explain>
      <paraID>7EACA43D</paraID>
      <start>52</start>
      <end>53</end>
      <status>unmodified</status>
      <modifiedWord/>
      <trackRevisions>false</trackRevisions>
    </reviewItem>
    <reviewItem>
      <errorID>78c5dd68-8f37-414e-a6ee-6014c093a767</errorID>
      <errorWord>（</errorWord>
      <group>L1_Punc</group>
      <groupName>标点问题</groupName>
      <ability>L2_Punc</ability>
      <abilityName>标点符号检查</abilityName>
      <candidateList/>
      <explain>同一形式括号套用。</explain>
      <paraID>7EACA43D</paraID>
      <start>53</start>
      <end>54</end>
      <status>unmodified</status>
      <modifiedWord/>
      <trackRevisions>false</trackRevisions>
    </reviewItem>
    <reviewItem>
      <errorID>82637eb9-0fe7-45cd-849e-5eafe07a0bb8</errorID>
      <errorWord>）</errorWord>
      <group>L1_Punc</group>
      <groupName>标点问题</groupName>
      <ability>L2_Punc</ability>
      <abilityName>标点符号检查</abilityName>
      <candidateList/>
      <explain>同一形式括号套用。</explain>
      <paraID>7EACA43D</paraID>
      <start>55</start>
      <end>56</end>
      <status>unmodified</status>
      <modifiedWord/>
      <trackRevisions>false</trackRevisions>
    </reviewItem>
    <reviewItem>
      <errorID>f5431ace-d383-44e6-aae7-8c250e5845db</errorID>
      <errorWord>（</errorWord>
      <group>L1_Punc</group>
      <groupName>标点问题</groupName>
      <ability>L2_Punc</ability>
      <abilityName>标点符号检查</abilityName>
      <candidateList/>
      <explain>同一形式括号套用。</explain>
      <paraID>7EACA43D</paraID>
      <start>56</start>
      <end>57</end>
      <status>unmodified</status>
      <modifiedWord/>
      <trackRevisions>false</trackRevisions>
    </reviewItem>
    <reviewItem>
      <errorID>62d4ba55-8b47-4935-9d12-d1eb13abde33</errorID>
      <errorWord>）</errorWord>
      <group>L1_Punc</group>
      <groupName>标点问题</groupName>
      <ability>L2_Punc</ability>
      <abilityName>标点符号检查</abilityName>
      <candidateList/>
      <explain>同一形式括号套用。</explain>
      <paraID>7EACA43D</paraID>
      <start>58</start>
      <end>59</end>
      <status>unmodified</status>
      <modifiedWord/>
      <trackRevisions>false</trackRevisions>
    </reviewItem>
    <reviewItem>
      <errorID>933e75b0-808a-4baf-83e1-7fb7a3265434</errorID>
      <errorWord>（</errorWord>
      <group>L1_Punc</group>
      <groupName>标点问题</groupName>
      <ability>L2_Punc</ability>
      <abilityName>标点符号检查</abilityName>
      <candidateList/>
      <explain>同一形式括号套用。</explain>
      <paraID>7EACA43D</paraID>
      <start>59</start>
      <end>60</end>
      <status>unmodified</status>
      <modifiedWord/>
      <trackRevisions>false</trackRevisions>
    </reviewItem>
    <reviewItem>
      <errorID>bc28ef5a-4133-48aa-979e-c0fde40fb973</errorID>
      <errorWord>）</errorWord>
      <group>L1_Punc</group>
      <groupName>标点问题</groupName>
      <ability>L2_Punc</ability>
      <abilityName>标点符号检查</abilityName>
      <candidateList/>
      <explain>同一形式括号套用。</explain>
      <paraID>7EACA43D</paraID>
      <start>61</start>
      <end>62</end>
      <status>unmodified</status>
      <modifiedWord/>
      <trackRevisions>false</trackRevisions>
    </reviewItem>
    <reviewItem>
      <errorID>2016d2eb-f560-44a2-b964-1fa43185babe</errorID>
      <errorWord>（</errorWord>
      <group>L1_Punc</group>
      <groupName>标点问题</groupName>
      <ability>L2_Punc</ability>
      <abilityName>标点符号检查</abilityName>
      <candidateList/>
      <explain>同一形式括号套用。</explain>
      <paraID>7EACA43D</paraID>
      <start>62</start>
      <end>63</end>
      <status>unmodified</status>
      <modifiedWord/>
      <trackRevisions>false</trackRevisions>
    </reviewItem>
    <reviewItem>
      <errorID>c0aad001-2de6-4934-9303-c894afa07f45</errorID>
      <errorWord>）</errorWord>
      <group>L1_Punc</group>
      <groupName>标点问题</groupName>
      <ability>L2_Punc</ability>
      <abilityName>标点符号检查</abilityName>
      <candidateList/>
      <explain>同一形式括号套用。</explain>
      <paraID>7EACA43D</paraID>
      <start>64</start>
      <end>65</end>
      <status>unmodified</status>
      <modifiedWord/>
      <trackRevisions>false</trackRevisions>
    </reviewItem>
    <reviewItem>
      <errorID>db5c35f4-432e-481c-ac8e-93f7c0fa5c7b</errorID>
      <errorWord>（</errorWord>
      <group>L1_Punc</group>
      <groupName>标点问题</groupName>
      <ability>L2_Punc</ability>
      <abilityName>标点符号检查</abilityName>
      <candidateList/>
      <explain>同一形式括号套用。</explain>
      <paraID>7EACA43D</paraID>
      <start>65</start>
      <end>66</end>
      <status>unmodified</status>
      <modifiedWord/>
      <trackRevisions>false</trackRevisions>
    </reviewItem>
    <reviewItem>
      <errorID>44d1edbf-f51e-4da5-9fc9-99e8c5b74637</errorID>
      <errorWord>）</errorWord>
      <group>L1_Punc</group>
      <groupName>标点问题</groupName>
      <ability>L2_Punc</ability>
      <abilityName>标点符号检查</abilityName>
      <candidateList/>
      <explain>同一形式括号套用。</explain>
      <paraID>7EACA43D</paraID>
      <start>67</start>
      <end>68</end>
      <status>unmodified</status>
      <modifiedWord/>
      <trackRevisions>false</trackRevisions>
    </reviewItem>
    <reviewItem>
      <errorID>1461bf04-5182-4e48-a57e-4c42f5b0f05e</errorID>
      <errorWord>（</errorWord>
      <group>L1_Punc</group>
      <groupName>标点问题</groupName>
      <ability>L2_Punc</ability>
      <abilityName>标点符号检查</abilityName>
      <candidateList/>
      <explain>同一形式括号套用。</explain>
      <paraID>7EACA43D</paraID>
      <start>68</start>
      <end>69</end>
      <status>unmodified</status>
      <modifiedWord/>
      <trackRevisions>false</trackRevisions>
    </reviewItem>
    <reviewItem>
      <errorID>0e66b930-ea3a-494d-9d30-eeb977288001</errorID>
      <errorWord>）</errorWord>
      <group>L1_Punc</group>
      <groupName>标点问题</groupName>
      <ability>L2_Punc</ability>
      <abilityName>标点符号检查</abilityName>
      <candidateList/>
      <explain>同一形式括号套用。</explain>
      <paraID>7EACA43D</paraID>
      <start>71</start>
      <end>72</end>
      <status>unmodified</status>
      <modifiedWord/>
      <trackRevisions>false</trackRevisions>
    </reviewItem>
    <reviewItem>
      <errorID>4864b312-4578-4d91-b3a3-29c1c069b4ff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6B87BEA6</paraID>
      <start>48</start>
      <end>49</end>
      <status>unmodified</status>
      <modifiedWord/>
      <trackRevisions>false</trackRevisions>
    </reviewItem>
    <reviewItem>
      <errorID>8b503dd3-5a99-40cf-8fc9-1f5f699f48b3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64B3F68B</paraID>
      <start>48</start>
      <end>49</end>
      <status>unmodified</status>
      <modifiedWord/>
      <trackRevisions>false</trackRevisions>
    </reviewItem>
    <reviewItem>
      <errorID>db8dccd7-84f4-4bd0-bfc5-43c79d5104d6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8B5104D</paraID>
      <start>33</start>
      <end>34</end>
      <status>unmodified</status>
      <modifiedWord/>
      <trackRevisions>false</trackRevisions>
    </reviewItem>
    <reviewItem>
      <errorID>387cdea6-7ca8-47a6-a4e4-a24d4b009d65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6F162F79</paraID>
      <start>0</start>
      <end>2</end>
      <status>unmodified</status>
      <modifiedWord/>
      <trackRevisions>false</trackRevisions>
    </reviewItem>
    <reviewItem>
      <errorID>17ce9a8c-2c25-49c4-812c-2eadcedb9ac2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C8823C3</paraID>
      <start>0</start>
      <end>2</end>
      <status>unmodified</status>
      <modifiedWord/>
      <trackRevisions>false</trackRevisions>
    </reviewItem>
    <reviewItem>
      <errorID>50973d21-5d4a-4516-86c3-38eefcb2305b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5F3F5BF1</paraID>
      <start>0</start>
      <end>2</end>
      <status>unmodified</status>
      <modifiedWord/>
      <trackRevisions>false</trackRevisions>
    </reviewItem>
    <reviewItem>
      <errorID>1c2ea95a-91e0-4d1a-a544-46c7ef262af7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373AAB42</paraID>
      <start>0</start>
      <end>2</end>
      <status>unmodified</status>
      <modifiedWord/>
      <trackRevisions>false</trackRevisions>
    </reviewItem>
    <reviewItem>
      <errorID>ec5b76dc-d7a2-42f9-9871-af2412143082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5C7C349</paraID>
      <start>0</start>
      <end>2</end>
      <status>unmodified</status>
      <modifiedWord/>
      <trackRevisions>false</trackRevisions>
    </reviewItem>
    <reviewItem>
      <errorID>858ff580-6a87-4800-ba77-92b3a6d14a78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329B5949</paraID>
      <start>0</start>
      <end>2</end>
      <status>unmodified</status>
      <modifiedWord/>
      <trackRevisions>false</trackRevisions>
    </reviewItem>
    <reviewItem>
      <errorID>8af0c920-a503-45d8-bcdf-757ad5a1d660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238FA037</paraID>
      <start>0</start>
      <end>2</end>
      <status>unmodified</status>
      <modifiedWord/>
      <trackRevisions>false</trackRevisions>
    </reviewItem>
    <reviewItem>
      <errorID>9aaca767-bfa8-4555-b050-84326ccbcc66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6A247AC0</paraID>
      <start>0</start>
      <end>2</end>
      <status>unmodified</status>
      <modifiedWord/>
      <trackRevisions>false</trackRevisions>
    </reviewItem>
    <reviewItem>
      <errorID>2561465e-521f-4aef-9252-3777f2d7c0b2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7A365F29</paraID>
      <start>0</start>
      <end>2</end>
      <status>unmodified</status>
      <modifiedWord/>
      <trackRevisions>false</trackRevisions>
    </reviewItem>
    <reviewItem>
      <errorID>caddd36f-de90-4066-97a0-571cbc1f989e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624EFE4E</paraID>
      <start>0</start>
      <end>2</end>
      <status>unmodified</status>
      <modifiedWord/>
      <trackRevisions>false</trackRevisions>
    </reviewItem>
    <reviewItem>
      <errorID>e5de200d-fda7-4da2-aa83-ada2ce22ebff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1CA99DEF</paraID>
      <start>0</start>
      <end>2</end>
      <status>unmodified</status>
      <modifiedWord/>
      <trackRevisions>false</trackRevisions>
    </reviewItem>
    <reviewItem>
      <errorID>36a2f300-8cd2-4618-8451-d92dfe8cdead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850BA05</paraID>
      <start>0</start>
      <end>2</end>
      <status>unmodified</status>
      <modifiedWord/>
      <trackRevisions>false</trackRevisions>
    </reviewItem>
    <reviewItem>
      <errorID>72427c0a-1f4d-45b7-ba6d-f4ac82cd7b96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22D8F8D1</paraID>
      <start>0</start>
      <end>2</end>
      <status>unmodified</status>
      <modifiedWord/>
      <trackRevisions>false</trackRevisions>
    </reviewItem>
    <reviewItem>
      <errorID>e805c3f7-2d92-4cb4-8cc7-2ce2ee3747ed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54ADD43C</paraID>
      <start>0</start>
      <end>2</end>
      <status>unmodified</status>
      <modifiedWord/>
      <trackRevisions>false</trackRevisions>
    </reviewItem>
    <reviewItem>
      <errorID>e4fc59c8-0b94-46fd-a767-21d6a1a9646f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4D403A5B</paraID>
      <start>0</start>
      <end>2</end>
      <status>unmodified</status>
      <modifiedWord/>
      <trackRevisions>false</trackRevisions>
    </reviewItem>
    <reviewItem>
      <errorID>e29e13c6-8e49-4c27-8253-4ee8526a2bec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6F53A57B</paraID>
      <start>0</start>
      <end>2</end>
      <status>unmodified</status>
      <modifiedWord/>
      <trackRevisions>false</trackRevisions>
    </reviewItem>
    <reviewItem>
      <errorID>b100255e-f2ec-433b-8a73-eff1ab956b72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29AE3F88</paraID>
      <start>0</start>
      <end>2</end>
      <status>unmodified</status>
      <modifiedWord/>
      <trackRevisions>false</trackRevisions>
    </reviewItem>
    <reviewItem>
      <errorID>d1ec307c-bf3e-48bb-8f67-3a031763a62a</errorID>
      <errorWord>100万以下</errorWord>
      <group>L1_Word</group>
      <groupName>字词问题</groupName>
      <ability>L2_Typo</ability>
      <abilityName>字词错误</abilityName>
      <candidateList>
        <item>100万元以下</item>
      </candidateList>
      <explain/>
      <paraID>1E9B5435</paraID>
      <start>37</start>
      <end>44</end>
      <status>modified</status>
      <modifiedWord>100万元以下</modifiedWord>
      <trackRevisions>false</trackRevisions>
    </reviewItem>
    <reviewItem>
      <errorID>677a337a-51e8-45e8-b3d9-85a21c698224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1E9B5435</paraID>
      <start>52</start>
      <end>61</end>
      <status>modified</status>
      <modifiedWord>100万—500万</modifiedWord>
      <trackRevisions>false</trackRevisions>
    </reviewItem>
    <reviewItem>
      <errorID>ce93647d-befa-4175-b963-51bcda7fe4d2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6BD53A0</paraID>
      <start>0</start>
      <end>2</end>
      <status>unmodified</status>
      <modifiedWord/>
      <trackRevisions>false</trackRevisions>
    </reviewItem>
    <reviewItem>
      <errorID>02d18c5a-54e8-462c-a974-439b74570b91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283DD1D5</paraID>
      <start>0</start>
      <end>2</end>
      <status>unmodified</status>
      <modifiedWord/>
      <trackRevisions>false</trackRevisions>
    </reviewItem>
    <reviewItem>
      <errorID>7d524e50-44a6-4158-80a6-d316b68ca9cd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450EDDD5</paraID>
      <start>0</start>
      <end>2</end>
      <status>unmodified</status>
      <modifiedWord/>
      <trackRevisions>false</trackRevisions>
    </reviewItem>
    <reviewItem>
      <errorID>a20a41c0-3a80-40cb-bcb8-ec9e4f9ef7f2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3659B5C6</paraID>
      <start>0</start>
      <end>2</end>
      <status>unmodified</status>
      <modifiedWord/>
      <trackRevisions>false</trackRevisions>
    </reviewItem>
    <reviewItem>
      <errorID>60ea968e-ed4b-4b8b-a195-5e81af58d572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726C32C1</paraID>
      <start>0</start>
      <end>2</end>
      <status>unmodified</status>
      <modifiedWord/>
      <trackRevisions>false</trackRevisions>
    </reviewItem>
    <reviewItem>
      <errorID>46156301-fb2d-461d-85e5-035dc2b26814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3BE40648</paraID>
      <start>0</start>
      <end>2</end>
      <status>unmodified</status>
      <modifiedWord/>
      <trackRevisions>false</trackRevisions>
    </reviewItem>
    <reviewItem>
      <errorID>4c648d07-55b1-442e-a0d5-9bac4d2a1f78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35D1CED9</paraID>
      <start>0</start>
      <end>2</end>
      <status>unmodified</status>
      <modifiedWord/>
      <trackRevisions>false</trackRevisions>
    </reviewItem>
    <reviewItem>
      <errorID>94a55165-2f2e-4e07-9eb0-1ef1f3ecc838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4CF93ABD</paraID>
      <start>0</start>
      <end>2</end>
      <status>unmodified</status>
      <modifiedWord/>
      <trackRevisions>false</trackRevisions>
    </reviewItem>
    <reviewItem>
      <errorID>46092b97-7d3a-495b-8be0-aca91be7b5e9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104F51AF</paraID>
      <start>0</start>
      <end>2</end>
      <status>unmodified</status>
      <modifiedWord/>
      <trackRevisions>false</trackRevisions>
    </reviewItem>
    <reviewItem>
      <errorID>d6bf7670-261b-41ce-96ba-1b09f054c330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4DFD6510</paraID>
      <start>0</start>
      <end>2</end>
      <status>unmodified</status>
      <modifiedWord/>
      <trackRevisions>false</trackRevisions>
    </reviewItem>
    <reviewItem>
      <errorID>0626b134-b86b-443d-a1b0-886980b91a05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D1B0363</paraID>
      <start>0</start>
      <end>2</end>
      <status>unmodified</status>
      <modifiedWord/>
      <trackRevisions>false</trackRevisions>
    </reviewItem>
    <reviewItem>
      <errorID>c63da42a-67a0-44b0-af7f-b557f5cc18ef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605DA802</paraID>
      <start>0</start>
      <end>2</end>
      <status>unmodified</status>
      <modifiedWord/>
      <trackRevisions>false</trackRevisions>
    </reviewItem>
    <reviewItem>
      <errorID>0db5cf10-11c2-4a5c-9392-8b52be45704a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40333AA</paraID>
      <start>0</start>
      <end>2</end>
      <status>unmodified</status>
      <modifiedWord/>
      <trackRevisions>false</trackRevisions>
    </reviewItem>
    <reviewItem>
      <errorID>4dac55d9-409a-48bc-b7fc-71550d073bdb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9E1B98F</paraID>
      <start>0</start>
      <end>3</end>
      <status>unmodified</status>
      <modifiedWord/>
      <trackRevisions>false</trackRevisions>
    </reviewItem>
    <reviewItem>
      <errorID>028476fc-b632-4dbd-8d61-a07d9ee418c9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2402DF2C</paraID>
      <start>20</start>
      <end>21</end>
      <status>modified</status>
      <modifiedWord>—</modifiedWord>
      <trackRevisions>false</trackRevisions>
    </reviewItem>
    <reviewItem>
      <errorID>e3ecd29b-67b3-474f-8ed4-c80caf42d1ed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58718E78</paraID>
      <start>0</start>
      <end>2</end>
      <status>unmodified</status>
      <modifiedWord/>
      <trackRevisions>false</trackRevisions>
    </reviewItem>
    <reviewItem>
      <errorID>c6e465dd-0094-49c1-a2d3-337a7ee59e49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4648A0D1</paraID>
      <start>0</start>
      <end>2</end>
      <status>unmodified</status>
      <modifiedWord/>
      <trackRevisions>false</trackRevisions>
    </reviewItem>
    <reviewItem>
      <errorID>d9995fd7-5c9f-4997-9361-87af2e244b99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37839B71</paraID>
      <start>0</start>
      <end>2</end>
      <status>unmodified</status>
      <modifiedWord/>
      <trackRevisions>false</trackRevisions>
    </reviewItem>
    <reviewItem>
      <errorID>31a341e1-e1b3-45cd-a117-cf2a3c7ed37b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458B5677</paraID>
      <start>0</start>
      <end>2</end>
      <status>unmodified</status>
      <modifiedWord/>
      <trackRevisions>false</trackRevisions>
    </reviewItem>
    <reviewItem>
      <errorID>0aef3d4c-05c5-4db9-8a26-3d11ebe3fa49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3B6C2D0</paraID>
      <start>0</start>
      <end>2</end>
      <status>unmodified</status>
      <modifiedWord/>
      <trackRevisions>false</trackRevisions>
    </reviewItem>
    <reviewItem>
      <errorID>202f06b8-6f51-402e-adda-aee129482f48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10CB3D96</paraID>
      <start>0</start>
      <end>2</end>
      <status>unmodified</status>
      <modifiedWord/>
      <trackRevisions>false</trackRevisions>
    </reviewItem>
    <reviewItem>
      <errorID>087de658-8df1-41fd-a7d7-82dfbf1e73bd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25B49772</paraID>
      <start>0</start>
      <end>2</end>
      <status>unmodified</status>
      <modifiedWord/>
      <trackRevisions>false</trackRevisions>
    </reviewItem>
    <reviewItem>
      <errorID>128c2ad0-abb0-4f32-92e3-c7681e2d61a0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79CD9E4A</paraID>
      <start>0</start>
      <end>2</end>
      <status>unmodified</status>
      <modifiedWord/>
      <trackRevisions>false</trackRevisions>
    </reviewItem>
    <reviewItem>
      <errorID>e58400ea-ae26-4c7e-9215-127fec96b9e1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54B3F062</paraID>
      <start>0</start>
      <end>2</end>
      <status>unmodified</status>
      <modifiedWord/>
      <trackRevisions>false</trackRevisions>
    </reviewItem>
    <reviewItem>
      <errorID>38351426-db26-401b-801b-84920f8579d0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728A65A0</paraID>
      <start>0</start>
      <end>3</end>
      <status>unmodified</status>
      <modifiedWord/>
      <trackRevisions>false</trackRevisions>
    </reviewItem>
    <reviewItem>
      <errorID>58037d39-ee7f-4ebc-a176-4caed01b7f90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6C069A04</paraID>
      <start>0</start>
      <end>3</end>
      <status>unmodified</status>
      <modifiedWord/>
      <trackRevisions>false</trackRevisions>
    </reviewItem>
    <reviewItem>
      <errorID>4dc5ba53-1587-44d7-ab81-6886c1eb0bbb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6944D10</paraID>
      <start>0</start>
      <end>3</end>
      <status>unmodified</status>
      <modifiedWord/>
      <trackRevisions>false</trackRevisions>
    </reviewItem>
    <reviewItem>
      <errorID>c29ac825-4296-4362-bab3-a765e87a85f4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450CAFA7</paraID>
      <start>0</start>
      <end>3</end>
      <status>unmodified</status>
      <modifiedWord/>
      <trackRevisions>false</trackRevisions>
    </reviewItem>
    <reviewItem>
      <errorID>5627b991-6ec7-4753-aa66-780d61f7541b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3D34006D</paraID>
      <start>0</start>
      <end>3</end>
      <status>unmodified</status>
      <modifiedWord/>
      <trackRevisions>false</trackRevisions>
    </reviewItem>
    <reviewItem>
      <errorID>d4e4aeeb-8d76-4614-a1ed-e37e1d618965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3BD069FF</paraID>
      <start>0</start>
      <end>3</end>
      <status>unmodified</status>
      <modifiedWord/>
      <trackRevisions>false</trackRevisions>
    </reviewItem>
    <reviewItem>
      <errorID>751c65f3-17b3-447d-adec-10dc2c73a7c2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3D52CE0F</paraID>
      <start>0</start>
      <end>3</end>
      <status>unmodified</status>
      <modifiedWord/>
      <trackRevisions>false</trackRevisions>
    </reviewItem>
    <reviewItem>
      <errorID>0caf13a0-6740-415c-a226-8adf2a7ff521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71537B3A</paraID>
      <start>0</start>
      <end>3</end>
      <status>unmodified</status>
      <modifiedWord/>
      <trackRevisions>false</trackRevisions>
    </reviewItem>
    <reviewItem>
      <errorID>602c5713-b64f-4e22-84f2-c2bb27149ad7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4E02DDD4</paraID>
      <start>0</start>
      <end>3</end>
      <status>unmodified</status>
      <modifiedWord/>
      <trackRevisions>false</trackRevisions>
    </reviewItem>
    <reviewItem>
      <errorID>ab80f9df-a3ea-4bc9-a6fb-2954e2f794d8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64F9DCEE</paraID>
      <start>0</start>
      <end>2</end>
      <status>unmodified</status>
      <modifiedWord/>
      <trackRevisions>false</trackRevisions>
    </reviewItem>
    <reviewItem>
      <errorID>cea32461-18ec-407f-90bb-34bb0ad35bb2</errorID>
      <errorWord>详实</errorWord>
      <group>L1_Word</group>
      <groupName>字词问题</groupName>
      <ability>L2_Typo</ability>
      <abilityName>字词错误</abilityName>
      <candidateList>
        <item>翔实</item>
      </candidateList>
      <explain/>
      <paraID>609D8AAC</paraID>
      <start>5</start>
      <end>7</end>
      <status>unmodified</status>
      <modifiedWord/>
      <trackRevisions>false</trackRevisions>
    </reviewItem>
    <reviewItem>
      <errorID>a0630da4-e587-4a39-9d47-0eeab2a93b8f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16DDDE20</paraID>
      <start>0</start>
      <end>2</end>
      <status>unmodified</status>
      <modifiedWord/>
      <trackRevisions>false</trackRevisions>
    </reviewItem>
    <reviewItem>
      <errorID>de2cdba9-3921-421f-b58e-a76dbb0b759c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6D61DC7A</paraID>
      <start>0</start>
      <end>2</end>
      <status>unmodified</status>
      <modifiedWord/>
      <trackRevisions>false</trackRevisions>
    </reviewItem>
    <reviewItem>
      <errorID>1b388d8d-f633-4ab1-b332-c56bb93e016f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5B87776E</paraID>
      <start>0</start>
      <end>2</end>
      <status>unmodified</status>
      <modifiedWord/>
      <trackRevisions>false</trackRevisions>
    </reviewItem>
    <reviewItem>
      <errorID>b7dd965e-2f99-46c1-84fe-ffd36116322e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7BD6558B</paraID>
      <start>0</start>
      <end>2</end>
      <status>unmodified</status>
      <modifiedWord/>
      <trackRevisions>false</trackRevisions>
    </reviewItem>
    <reviewItem>
      <errorID>373002f3-00b3-4c73-bdbd-39ccb0806fa6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44D16040</paraID>
      <start>0</start>
      <end>2</end>
      <status>unmodified</status>
      <modifiedWord/>
      <trackRevisions>false</trackRevisions>
    </reviewItem>
    <reviewItem>
      <errorID>09f6d8a0-2a07-4034-9db7-f7d856b17bab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9B4F8D</paraID>
      <start>0</start>
      <end>2</end>
      <status>unmodified</status>
      <modifiedWord/>
      <trackRevisions>false</trackRevisions>
    </reviewItem>
    <reviewItem>
      <errorID>8a8b864f-c39a-4149-8b03-b6dacc0c2fd6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1221D933</paraID>
      <start>0</start>
      <end>2</end>
      <status>unmodified</status>
      <modifiedWord/>
      <trackRevisions>false</trackRevisions>
    </reviewItem>
    <reviewItem>
      <errorID>35f1fcac-9c02-4dff-bf3b-1abf2626a8eb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1AB60998</paraID>
      <start>0</start>
      <end>2</end>
      <status>unmodified</status>
      <modifiedWord/>
      <trackRevisions>false</trackRevisions>
    </reviewItem>
    <reviewItem>
      <errorID>23e8a9f5-e05d-4a78-869c-e1921ad24144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51037276</paraID>
      <start>0</start>
      <end>2</end>
      <status>unmodified</status>
      <modifiedWord/>
      <trackRevisions>false</trackRevisions>
    </reviewItem>
    <reviewItem>
      <errorID>22ef2cea-c4f5-454e-a7fa-370f614b4514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35F41165</paraID>
      <start>0</start>
      <end>2</end>
      <status>unmodified</status>
      <modifiedWord/>
      <trackRevisions>false</trackRevisions>
    </reviewItem>
    <reviewItem>
      <errorID>414b66ae-b23f-4c9d-86a7-3e834473a2e0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47FF2803</paraID>
      <start>0</start>
      <end>2</end>
      <status>unmodified</status>
      <modifiedWord/>
      <trackRevisions>false</trackRevisions>
    </reviewItem>
    <reviewItem>
      <errorID>d29e1366-8df2-4ade-84f9-724b9b7c4b9c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2673B3EC</paraID>
      <start>0</start>
      <end>2</end>
      <status>unmodified</status>
      <modifiedWord/>
      <trackRevisions>false</trackRevisions>
    </reviewItem>
    <reviewItem>
      <errorID>dc1858b5-c896-467e-9dad-044cecafe9f0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403BE0A8</paraID>
      <start>0</start>
      <end>2</end>
      <status>unmodified</status>
      <modifiedWord/>
      <trackRevisions>false</trackRevisions>
    </reviewItem>
    <reviewItem>
      <errorID>7bd968fa-6d93-425e-abff-6dd4708c2cfe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5E9EBDB1</paraID>
      <start>0</start>
      <end>2</end>
      <status>unmodified</status>
      <modifiedWord/>
      <trackRevisions>false</trackRevisions>
    </reviewItem>
    <reviewItem>
      <errorID>b851dcb8-68a5-40a0-9383-ccaae9c51817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704E8A34</paraID>
      <start>0</start>
      <end>2</end>
      <status>unmodified</status>
      <modifiedWord/>
      <trackRevisions>false</trackRevisions>
    </reviewItem>
    <reviewItem>
      <errorID>4f45f9e0-b894-4096-8a74-9f15a3d5e93c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27552328</paraID>
      <start>0</start>
      <end>2</end>
      <status>unmodified</status>
      <modifiedWord/>
      <trackRevisions>false</trackRevisions>
    </reviewItem>
    <reviewItem>
      <errorID>00c7b09a-f910-4f2c-8036-b164e960035a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37518BAE</paraID>
      <start>0</start>
      <end>2</end>
      <status>unmodified</status>
      <modifiedWord/>
      <trackRevisions>false</trackRevisions>
    </reviewItem>
    <reviewItem>
      <errorID>39a1d7c2-5ecc-4e6f-9ff1-5bb2c69ab5cf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6490D0D8</paraID>
      <start>0</start>
      <end>2</end>
      <status>unmodified</status>
      <modifiedWord/>
      <trackRevisions>false</trackRevisions>
    </reviewItem>
    <reviewItem>
      <errorID>594e114b-7a66-4009-b041-9f8433832ad2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647A2CF6</paraID>
      <start>0</start>
      <end>2</end>
      <status>unmodified</status>
      <modifiedWord/>
      <trackRevisions>false</trackRevisions>
    </reviewItem>
    <reviewItem>
      <errorID>7afeb6c3-c8c1-4110-8737-d2c72afe298b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46E21A3E</paraID>
      <start>0</start>
      <end>2</end>
      <status>unmodified</status>
      <modifiedWord/>
      <trackRevisions>false</trackRevisions>
    </reviewItem>
    <reviewItem>
      <errorID>e08038db-9680-408b-93b4-6e9f3b3d0cc6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58C50EAA</paraID>
      <start>0</start>
      <end>2</end>
      <status>unmodified</status>
      <modifiedWord/>
      <trackRevisions>false</trackRevisions>
    </reviewItem>
    <reviewItem>
      <errorID>da5a6919-4c5f-47fa-af43-4f6770f78e52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5FDD61E9</paraID>
      <start>0</start>
      <end>2</end>
      <status>unmodified</status>
      <modifiedWord/>
      <trackRevisions>false</trackRevisions>
    </reviewItem>
    <reviewItem>
      <errorID>66762483-4837-46c9-a383-a78d0f5d9936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67D73E8F</paraID>
      <start>0</start>
      <end>2</end>
      <status>unmodified</status>
      <modifiedWord/>
      <trackRevisions>false</trackRevisions>
    </reviewItem>
    <reviewItem>
      <errorID>77a3d440-ab71-46d6-a6d6-d59e43328ee8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6343953B</paraID>
      <start>0</start>
      <end>2</end>
      <status>unmodified</status>
      <modifiedWord/>
      <trackRevisions>false</trackRevisions>
    </reviewItem>
    <reviewItem>
      <errorID>696fe74c-4269-428a-891c-722be5767497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5F84919B</paraID>
      <start>0</start>
      <end>2</end>
      <status>unmodified</status>
      <modifiedWord/>
      <trackRevisions>false</trackRevisions>
    </reviewItem>
    <reviewItem>
      <errorID>6b6fdf31-fb60-4c92-8238-69d876b5edf2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53BAA7D9</paraID>
      <start>0</start>
      <end>2</end>
      <status>unmodified</status>
      <modifiedWord/>
      <trackRevisions>false</trackRevisions>
    </reviewItem>
    <reviewItem>
      <errorID>9edfd0f8-3d67-4acd-a462-7cd0c2a69c3e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5647607C</paraID>
      <start>0</start>
      <end>2</end>
      <status>unmodified</status>
      <modifiedWord/>
      <trackRevisions>false</trackRevisions>
    </reviewItem>
    <reviewItem>
      <errorID>c5292f91-edbc-4674-af68-aad29b501cd8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5862E50B</paraID>
      <start>0</start>
      <end>3</end>
      <status>unmodified</status>
      <modifiedWord/>
      <trackRevisions>false</trackRevisions>
    </reviewItem>
    <reviewItem>
      <errorID>a39dd974-73ee-4d10-9a80-5a383ea9b591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37D85195</paraID>
      <start>0</start>
      <end>2</end>
      <status>unmodified</status>
      <modifiedWord/>
      <trackRevisions>false</trackRevisions>
    </reviewItem>
    <reviewItem>
      <errorID>57296663-442d-4e13-91b2-381a25f2116d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742F1AD1</paraID>
      <start>0</start>
      <end>2</end>
      <status>unmodified</status>
      <modifiedWord/>
      <trackRevisions>false</trackRevisions>
    </reviewItem>
    <reviewItem>
      <errorID>e1d64a65-a115-42dc-a4ef-54fd16d13b16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23CEB882</paraID>
      <start>0</start>
      <end>2</end>
      <status>unmodified</status>
      <modifiedWord/>
      <trackRevisions>false</trackRevisions>
    </reviewItem>
    <reviewItem>
      <errorID>7145dbda-465a-485a-843b-3d3b47f6cdb8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77CCFB21</paraID>
      <start>0</start>
      <end>2</end>
      <status>unmodified</status>
      <modifiedWord/>
      <trackRevisions>false</trackRevisions>
    </reviewItem>
    <reviewItem>
      <errorID>92cc83af-707b-401b-a1bf-1721d99f9eb5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6CB1F943</paraID>
      <start>0</start>
      <end>2</end>
      <status>unmodified</status>
      <modifiedWord/>
      <trackRevisions>false</trackRevisions>
    </reviewItem>
    <reviewItem>
      <errorID>4c65e54e-a816-45fa-b525-df00f2d0227d</errorID>
      <errorWord>详实</errorWord>
      <group>L1_Word</group>
      <groupName>字词问题</groupName>
      <ability>L2_Typo</ability>
      <abilityName>字词错误</abilityName>
      <candidateList>
        <item>翔实</item>
      </candidateList>
      <explain/>
      <paraID>5E890C3E</paraID>
      <start>5</start>
      <end>7</end>
      <status>unmodified</status>
      <modifiedWord/>
      <trackRevisions>false</trackRevisions>
    </reviewItem>
    <reviewItem>
      <errorID>e06bd36e-4d4b-4b4b-87f6-243256ef1bf5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34D9E644</paraID>
      <start>0</start>
      <end>2</end>
      <status>unmodified</status>
      <modifiedWord/>
      <trackRevisions>false</trackRevisions>
    </reviewItem>
    <reviewItem>
      <errorID>69aa2923-e4e2-4d11-8f81-f327190bcf9c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5109DC1F</paraID>
      <start>0</start>
      <end>2</end>
      <status>unmodified</status>
      <modifiedWord/>
      <trackRevisions>false</trackRevisions>
    </reviewItem>
    <reviewItem>
      <errorID>acc5df9d-b445-4e22-a0d0-8181bb538b3c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69938622</paraID>
      <start>0</start>
      <end>2</end>
      <status>unmodified</status>
      <modifiedWord/>
      <trackRevisions>false</trackRevisions>
    </reviewItem>
    <reviewItem>
      <errorID>e8152c96-99d7-4d16-ad0a-c29403c7ff80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487AABB1</paraID>
      <start>0</start>
      <end>2</end>
      <status>unmodified</status>
      <modifiedWord/>
      <trackRevisions>false</trackRevisions>
    </reviewItem>
    <reviewItem>
      <errorID>343e0444-4046-4e31-9ed1-1500220483e4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6A9C927D</paraID>
      <start>0</start>
      <end>2</end>
      <status>unmodified</status>
      <modifiedWord/>
      <trackRevisions>false</trackRevisions>
    </reviewItem>
    <reviewItem>
      <errorID>d3ee46c2-c50e-4bbc-a707-4a5372a316e7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160216CA</paraID>
      <start>0</start>
      <end>2</end>
      <status>unmodified</status>
      <modifiedWord/>
      <trackRevisions>false</trackRevisions>
    </reviewItem>
    <reviewItem>
      <errorID>e84ee5ff-ffa8-4878-b464-3a1308d67f7d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4C4FAF20</paraID>
      <start>0</start>
      <end>2</end>
      <status>unmodified</status>
      <modifiedWord/>
      <trackRevisions>false</trackRevisions>
    </reviewItem>
    <reviewItem>
      <errorID>8d8cc9df-0378-42be-ac0c-be24d4a063d1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2B4FB6A</paraID>
      <start>0</start>
      <end>2</end>
      <status>unmodified</status>
      <modifiedWord/>
      <trackRevisions>false</trackRevisions>
    </reviewItem>
    <reviewItem>
      <errorID>e71f299a-9cae-4545-b21a-24c31b666e69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14376F03</paraID>
      <start>0</start>
      <end>2</end>
      <status>unmodified</status>
      <modifiedWord/>
      <trackRevisions>false</trackRevisions>
    </reviewItem>
    <reviewItem>
      <errorID>8d9470d7-5e15-47bf-84e6-444a4f420793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4BA86958</paraID>
      <start>0</start>
      <end>2</end>
      <status>unmodified</status>
      <modifiedWord/>
      <trackRevisions>false</trackRevisions>
    </reviewItem>
    <reviewItem>
      <errorID>495a9cd0-e99f-4df4-aea1-98d91a94d70b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939B40A</paraID>
      <start>0</start>
      <end>3</end>
      <status>unmodified</status>
      <modifiedWord/>
      <trackRevisions>false</trackRevisions>
    </reviewItem>
    <reviewItem>
      <errorID>1962cd71-dc5b-4b72-a79a-f2f15ea4bfeb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760AB930</paraID>
      <start>0</start>
      <end>3</end>
      <status>unmodified</status>
      <modifiedWord/>
      <trackRevisions>false</trackRevisions>
    </reviewItem>
    <reviewItem>
      <errorID>752f9a62-c29d-4b92-9a61-a19efa173268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563B32C3</paraID>
      <start>0</start>
      <end>2</end>
      <status>unmodified</status>
      <modifiedWord/>
      <trackRevisions>false</trackRevisions>
    </reviewItem>
    <reviewItem>
      <errorID>c6c60cdd-fe5b-42a8-91d2-21595b42b2bc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4D9210</paraID>
      <start>0</start>
      <end>2</end>
      <status>unmodified</status>
      <modifiedWord/>
      <trackRevisions>false</trackRevisions>
    </reviewItem>
    <reviewItem>
      <errorID>79573e51-b3e8-495d-ba3c-ed4616c01e84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6C423E3B</paraID>
      <start>0</start>
      <end>2</end>
      <status>unmodified</status>
      <modifiedWord/>
      <trackRevisions>false</trackRevisions>
    </reviewItem>
    <reviewItem>
      <errorID>83204af0-06cb-46da-8b6c-79f66020d4ea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7FBFA960</paraID>
      <start>0</start>
      <end>2</end>
      <status>unmodified</status>
      <modifiedWord/>
      <trackRevisions>false</trackRevisions>
    </reviewItem>
    <reviewItem>
      <errorID>5f43b86a-c528-4355-8933-1cc9d3439f60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3B9D3463</paraID>
      <start>0</start>
      <end>2</end>
      <status>unmodified</status>
      <modifiedWord/>
      <trackRevisions>false</trackRevisions>
    </reviewItem>
    <reviewItem>
      <errorID>7ef3844e-3bf7-41b1-8b8a-611fff11295a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3EBCA5C3</paraID>
      <start>0</start>
      <end>2</end>
      <status>unmodified</status>
      <modifiedWord/>
      <trackRevisions>false</trackRevisions>
    </reviewItem>
    <reviewItem>
      <errorID>df4ef07f-0bfb-443f-bddc-cfceed55fe50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6DA4F89E</paraID>
      <start>0</start>
      <end>2</end>
      <status>unmodified</status>
      <modifiedWord/>
      <trackRevisions>false</trackRevisions>
    </reviewItem>
    <reviewItem>
      <errorID>399d24ff-3aa8-4e11-806b-2621b84c1a17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5B1743CE</paraID>
      <start>0</start>
      <end>2</end>
      <status>unmodified</status>
      <modifiedWord/>
      <trackRevisions>false</trackRevisions>
    </reviewItem>
    <reviewItem>
      <errorID>0d9b9bee-b2a8-4652-ae99-e8d0d15bda7d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4DF4E443</paraID>
      <start>0</start>
      <end>2</end>
      <status>unmodified</status>
      <modifiedWord/>
      <trackRevisions>false</trackRevisions>
    </reviewItem>
    <reviewItem>
      <errorID>c3d7dfa3-9ea8-411b-b7ab-e0b5e3a1d0ed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50FB980D</paraID>
      <start>0</start>
      <end>2</end>
      <status>unmodified</status>
      <modifiedWord/>
      <trackRevisions>false</trackRevisions>
    </reviewItem>
    <reviewItem>
      <errorID>ead290d1-1ac1-474a-9f49-40261e5401b3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3954DF3</paraID>
      <start>0</start>
      <end>2</end>
      <status>unmodified</status>
      <modifiedWord/>
      <trackRevisions>false</trackRevisions>
    </reviewItem>
    <reviewItem>
      <errorID>e6f6b6f6-20df-4b6b-bd5c-b78ef6c8081a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41E8B2C1</paraID>
      <start>0</start>
      <end>2</end>
      <status>unmodified</status>
      <modifiedWord/>
      <trackRevisions>false</trackRevisions>
    </reviewItem>
    <reviewItem>
      <errorID>021cca65-e1ea-4096-8d87-39e62c686ac9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1A07B54B</paraID>
      <start>0</start>
      <end>2</end>
      <status>unmodified</status>
      <modifiedWord/>
      <trackRevisions>false</trackRevisions>
    </reviewItem>
    <reviewItem>
      <errorID>d398ef2c-920b-4642-966e-0cadfd9e2ab0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33785DCC</paraID>
      <start>0</start>
      <end>2</end>
      <status>unmodified</status>
      <modifiedWord/>
      <trackRevisions>false</trackRevisions>
    </reviewItem>
    <reviewItem>
      <errorID>79c9bb28-b16f-4d94-ae03-41e0fbae22db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2AC5DF2A</paraID>
      <start>0</start>
      <end>2</end>
      <status>unmodified</status>
      <modifiedWord/>
      <trackRevisions>false</trackRevisions>
    </reviewItem>
    <reviewItem>
      <errorID>229b71ca-9acb-4054-8d8f-dad24e3a9e99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40E760FA</paraID>
      <start>0</start>
      <end>2</end>
      <status>unmodified</status>
      <modifiedWord/>
      <trackRevisions>false</trackRevisions>
    </reviewItem>
    <reviewItem>
      <errorID>673bbf82-de99-43d9-81f7-80999c2376aa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6870B1B0</paraID>
      <start>0</start>
      <end>2</end>
      <status>unmodified</status>
      <modifiedWord/>
      <trackRevisions>false</trackRevisions>
    </reviewItem>
    <reviewItem>
      <errorID>7e5847e7-a6d1-481f-a0ce-ac41300df41f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30A13016</paraID>
      <start>0</start>
      <end>2</end>
      <status>unmodified</status>
      <modifiedWord/>
      <trackRevisions>false</trackRevisions>
    </reviewItem>
    <reviewItem>
      <errorID>c33125ca-522b-4e83-b6e5-6475c64ba754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FFC6703</paraID>
      <start>0</start>
      <end>2</end>
      <status>unmodified</status>
      <modifiedWord/>
      <trackRevisions>false</trackRevisions>
    </reviewItem>
    <reviewItem>
      <errorID>3e20d19a-0f62-4afa-b8da-4ee1ac8d86cb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677D3E6B</paraID>
      <start>0</start>
      <end>2</end>
      <status>unmodified</status>
      <modifiedWord/>
      <trackRevisions>false</trackRevisions>
    </reviewItem>
    <reviewItem>
      <errorID>5a6c39f2-906b-40f7-879c-8b698582317a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23A4AD58</paraID>
      <start>0</start>
      <end>2</end>
      <status>unmodified</status>
      <modifiedWord/>
      <trackRevisions>false</trackRevisions>
    </reviewItem>
    <reviewItem>
      <errorID>97ee161d-3e11-4639-b112-f912286dfdd1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33B06DAA</paraID>
      <start>0</start>
      <end>2</end>
      <status>unmodified</status>
      <modifiedWord/>
      <trackRevisions>false</trackRevisions>
    </reviewItem>
    <reviewItem>
      <errorID>fdb52889-1b5d-4344-9639-ba8d4b811360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31D02DD4</paraID>
      <start>0</start>
      <end>2</end>
      <status>unmodified</status>
      <modifiedWord/>
      <trackRevisions>false</trackRevisions>
    </reviewItem>
    <reviewItem>
      <errorID>16333fa7-c6c7-40a2-88dd-31ed747f8c18</errorID>
      <errorWord>按《中华人民共和国</errorWord>
      <group>L1_Word</group>
      <groupName>字词问题</groupName>
      <ability>L2_Typo</ability>
      <abilityName>字词错误</abilityName>
      <candidateList>
        <item>按照《中华人民共和国</item>
      </candidateList>
      <explain/>
      <paraID>6208DFDC</paraID>
      <start>24</start>
      <end>34</end>
      <status>modified</status>
      <modifiedWord>按照《中华人民共和国</modifiedWord>
      <trackRevisions>false</trackRevisions>
    </reviewItem>
    <reviewItem>
      <errorID>c6fe3975-ef1b-46d3-a8b3-bf452d090d88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230B86E5</paraID>
      <start>0</start>
      <end>2</end>
      <status>unmodified</status>
      <modifiedWord/>
      <trackRevisions>false</trackRevisions>
    </reviewItem>
    <reviewItem>
      <errorID>6b6f3f67-013d-4e9d-97f1-a2c702bd25b7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1F4BD429</paraID>
      <start>0</start>
      <end>2</end>
      <status>unmodified</status>
      <modifiedWord/>
      <trackRevisions>false</trackRevisions>
    </reviewItem>
    <reviewItem>
      <errorID>943b744c-a02f-4d96-8516-647f5dcc7a7a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4FB5ADB2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24CD3F-5D89-47CA-8E9C-06FF11E5E8D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宗玲</cp:lastModifiedBy>
  <cp:revision>4</cp:revision>
  <dcterms:created xsi:type="dcterms:W3CDTF">2023-05-22T00:29:00Z</dcterms:created>
  <dcterms:modified xsi:type="dcterms:W3CDTF">2026-06-16T03:27:12Z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eyJoZGlkIjoiOWFjOWVmMTY1M2Y5MjEzZWE0OTgzOGU4ZDliYTc3ZGUiLCJ1c2VySWQiOiIzNDc1NTQyMjAifQ==</vt:lpwstr>
  </property>
  <property fmtid="{D5CDD505-2E9C-101B-9397-08002B2CF9AE}" pid="3" name="KSOProductBuildVer">
    <vt:lpwstr>2052-12.1.0.26895</vt:lpwstr>
  </property>
  <property fmtid="{D5CDD505-2E9C-101B-9397-08002B2CF9AE}" pid="4" name="ICV">
    <vt:lpwstr>B5175553EA454849BFF1AFE13BA1156C_13</vt:lpwstr>
  </property>
</Properties>
</file>