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center"/>
        <w:spacing w:after="287"/>
        <w:rPr>
          <w:rFonts w:hint="eastAsia" w:ascii="楷体" w:hAnsi="楷体" w:eastAsia="楷体"/>
          <w:b/>
          <w:bCs/>
          <w:color w:val="000000"/>
          <w:sz w:val="36"/>
          <w:szCs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垛田街道2026年农村生活污水治理工程项目</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JSZC-321281047-HCDL-T2026-0005</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val="en-US"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兴化市人民政府垛田街道办事处</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七</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4"/>
                <w:szCs w:val="24"/>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垛田街道2026年农村生活污水治理工程项目</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JSZC-321281047-HCDL-T2026-0005</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23</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9</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2026</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23</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9</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7"/>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7246218"/>
      <w:r/>
      <w:bookmarkStart w:id="2"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7"/>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7"/>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垛田街道2026年农村生活污水治理工程项目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2026</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7</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23</w:t>
      </w:r>
      <w:r>
        <w:rPr>
          <w:rFonts w:hint="eastAsia" w:ascii="仿宋" w:hAnsi="仿宋" w:eastAsia="仿宋"/>
          <w:sz w:val="28"/>
          <w:szCs w:val="28"/>
          <w:u w:val="none"/>
        </w:rPr>
        <w:t xml:space="preserve">日</w:t>
      </w:r>
      <w:r>
        <w:rPr>
          <w:rFonts w:hint="eastAsia" w:ascii="仿宋" w:hAnsi="仿宋" w:eastAsia="仿宋"/>
          <w:sz w:val="28"/>
          <w:szCs w:val="28"/>
          <w:u w:val="none"/>
          <w:lang w:val="en-US" w:eastAsia="zh-CN"/>
        </w:rPr>
        <w:t xml:space="preserve"> 9</w:t>
      </w:r>
      <w:r>
        <w:rPr>
          <w:rFonts w:hint="eastAsia" w:ascii="仿宋" w:hAnsi="仿宋" w:eastAsia="仿宋"/>
          <w:sz w:val="28"/>
          <w:szCs w:val="28"/>
          <w:u w:val="none"/>
        </w:rPr>
        <w:t xml:space="preserve">:</w:t>
      </w:r>
      <w:r>
        <w:rPr>
          <w:rFonts w:hint="eastAsia" w:ascii="仿宋" w:hAnsi="仿宋" w:eastAsia="仿宋"/>
          <w:sz w:val="28"/>
          <w:szCs w:val="28"/>
          <w:u w:val="non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bookmarkStart w:id="25" w:name="_GoBack"/>
      <w:r/>
      <w:bookmarkEnd w:id="25"/>
      <w:r/>
      <w:r/>
    </w:p>
    <w:p>
      <w:pPr>
        <w:pStyle w:val="867"/>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JSZC-321281047-HCDL-T2026-0005</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67"/>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垛田街道2026年农村生活污水治理工程项目</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贰佰壹拾玖万肆仟柒佰柒拾贰元肆角肆分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2194772.44</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highlight w:val="none"/>
          <w:lang w:val="en-US" w:eastAsia="zh-CN"/>
        </w:rPr>
        <w:t xml:space="preserve">79</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，最后响应报价高于最高限价的，将被判定为无效响应文件。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highlight w:val="none"/>
          <w:lang w:eastAsia="zh-CN"/>
        </w:rPr>
        <w:t xml:space="preserve">公厕新建和改造、灰水截污管网</w:t>
      </w:r>
      <w:r>
        <w:rPr>
          <w:rFonts w:hint="eastAsia" w:ascii="仿宋" w:hAnsi="仿宋" w:eastAsia="仿宋"/>
          <w:color w:val="000000"/>
          <w:sz w:val="28"/>
          <w:szCs w:val="28"/>
          <w:highlight w:val="none"/>
        </w:rPr>
        <w:t xml:space="preserve">等</w:t>
      </w:r>
      <w:r>
        <w:rPr>
          <w:rFonts w:hint="eastAsia" w:ascii="仿宋" w:hAnsi="仿宋" w:eastAsia="仿宋"/>
          <w:color w:val="000000"/>
          <w:sz w:val="28"/>
          <w:szCs w:val="28"/>
        </w:rPr>
        <w:t xml:space="preserve">；详见谈判文件、工程量清单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hint="eastAsia" w:ascii="仿宋" w:hAnsi="仿宋" w:eastAsia="仿宋"/>
          <w:color w:val="000000"/>
          <w:sz w:val="28"/>
          <w:szCs w:val="28"/>
          <w:highlight w:val="yellow"/>
          <w:lang w:val="en-US" w:eastAsia="zh-CN"/>
        </w:rPr>
      </w:pPr>
      <w:r>
        <w:rPr>
          <w:rFonts w:hint="eastAsia" w:ascii="仿宋" w:hAnsi="仿宋" w:eastAsia="仿宋"/>
          <w:color w:val="000000"/>
          <w:sz w:val="28"/>
          <w:szCs w:val="28"/>
        </w:rPr>
        <w:t xml:space="preserve">合同履行期限：采购合同签订后</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rPr>
        <w:t xml:space="preserve">日</w:t>
      </w:r>
      <w:r>
        <w:rPr>
          <w:rFonts w:hint="eastAsia" w:ascii="仿宋" w:hAnsi="仿宋" w:eastAsia="仿宋"/>
          <w:color w:val="000000"/>
          <w:sz w:val="28"/>
          <w:szCs w:val="28"/>
          <w:lang w:eastAsia="zh-CN"/>
        </w:rPr>
        <w:t xml:space="preserve">内</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16</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21</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、图纸获取</w:t>
      </w:r>
      <w:r>
        <w:rPr>
          <w:rFonts w:hint="eastAsia" w:ascii="仿宋" w:hAnsi="仿宋" w:eastAsia="仿宋" w:cs="宋体"/>
          <w:color w:val="ff0000"/>
          <w:sz w:val="28"/>
          <w:szCs w:val="28"/>
        </w:rPr>
        <w:t xml:space="preserve">请:</w:t>
      </w:r>
      <w:r>
        <w:rPr>
          <w:rFonts w:hint="eastAsia" w:ascii="仿宋" w:hAnsi="仿宋" w:eastAsia="仿宋" w:cs="宋体"/>
          <w:color w:val="ff0000"/>
          <w:sz w:val="28"/>
          <w:szCs w:val="28"/>
          <w:highlight w:val="none"/>
        </w:rPr>
        <w:t xml:space="preserve">通过网盘分享的文件：图纸预算——垛田街道2026年农村生活污水治理工程项目链接: 链接: https://pan.baidu.com/s/1PSKpi2-QgXrHUHMZCLhkfQ?pwd=ecnq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7"/>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23</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5" w:name="_Toc28359093"/>
      <w:r/>
      <w:bookmarkStart w:id="6" w:name="_Toc28359016"/>
      <w:r/>
      <w:bookmarkStart w:id="7" w:name="_Toc35393802"/>
      <w:r/>
      <w:bookmarkStart w:id="8" w:name="_Toc35393633"/>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7</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23</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7"/>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7"/>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7"/>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7"/>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兴化市人民政府垛田街道办事处</w:t>
      </w:r>
      <w:r/>
    </w:p>
    <w:p>
      <w:pPr>
        <w:pStyle w:val="867"/>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泰州市兴化市垛田路 </w:t>
      </w:r>
      <w:r/>
    </w:p>
    <w:p>
      <w:pPr>
        <w:pStyle w:val="867"/>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赵先生 13952609266</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7"/>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赵</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话：13952609266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本项目招标代理服务费参照“《江苏省政府采购代理服务收费指导意见》的通知（苏政采【2024】20号）”文件收费标准收取（差额累进），由采购人在招标项目结束后支付。</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23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23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23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cs="仿宋"/>
          <w:sz w:val="28"/>
          <w:szCs w:val="28"/>
          <w:shd w:val="clear" w:color="auto" w:fill="ffffff"/>
          <w:lang w:val="en-US" w:eastAsia="zh-CN" w:bidi="ar"/>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0"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7"/>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lang w:eastAsia="zh-CN"/>
        </w:rPr>
        <w:t xml:space="preserve">垛田街道2026年农村生活污水治理工程项目</w:t>
      </w:r>
      <w:r>
        <w:rPr>
          <w:rFonts w:hint="eastAsia" w:ascii="仿宋" w:hAnsi="仿宋" w:eastAsia="仿宋"/>
          <w:color w:val="000000"/>
          <w:sz w:val="28"/>
          <w:szCs w:val="28"/>
        </w:rPr>
        <w:t xml:space="preserve">。</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贰佰壹拾玖万肆仟柒佰柒拾贰元肆角肆分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2194772.44</w:t>
      </w:r>
      <w:r>
        <w:rPr>
          <w:rFonts w:hint="eastAsia" w:ascii="仿宋" w:hAnsi="仿宋" w:eastAsia="仿宋"/>
          <w:color w:val="000000"/>
          <w:sz w:val="28"/>
          <w:szCs w:val="28"/>
        </w:rPr>
        <w:t xml:space="preserve">元），本项目最高限价为采购预算金额的</w:t>
      </w:r>
      <w:r>
        <w:rPr>
          <w:rFonts w:hint="eastAsia" w:ascii="仿宋" w:hAnsi="仿宋" w:eastAsia="仿宋"/>
          <w:color w:val="000000"/>
          <w:sz w:val="28"/>
          <w:szCs w:val="28"/>
          <w:highlight w:val="none"/>
          <w:lang w:val="en-US" w:eastAsia="zh-CN"/>
        </w:rPr>
        <w:t xml:space="preserve">79</w:t>
      </w:r>
      <w:r>
        <w:rPr>
          <w:rFonts w:hint="eastAsia" w:ascii="仿宋" w:hAnsi="仿宋" w:eastAsia="仿宋"/>
          <w:color w:val="000000"/>
          <w:sz w:val="28"/>
          <w:szCs w:val="28"/>
        </w:rPr>
        <w:t xml:space="preserve">%，最后响应报价高于最高限价的，将被判定为无效响应文件。</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0"/>
      <w:r>
        <w:rPr>
          <w:rFonts w:hint="eastAsia" w:ascii="仿宋" w:hAnsi="仿宋" w:eastAsia="仿宋"/>
          <w:b/>
          <w:bCs/>
          <w:color w:val="000000"/>
          <w:sz w:val="28"/>
        </w:rPr>
        <w:t xml:space="preserve">：</w:t>
      </w:r>
      <w:r>
        <w:rPr>
          <w:rFonts w:hint="eastAsia" w:ascii="仿宋" w:hAnsi="仿宋" w:eastAsia="仿宋"/>
          <w:color w:val="000000"/>
          <w:sz w:val="28"/>
          <w:szCs w:val="28"/>
        </w:rPr>
        <w:t xml:space="preserve">公厕新建和改造、灰水截污管网等；详见谈判文件、工程量清单、图纸及编制说明。</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建设工程工程量清单计价标准》（GB/T50500-2024）、《市政工程工程量计算标准》（GB/T50857-2024）、《房屋建筑与装饰工程工程量计算标准》（GB/T50854-2024）、《江苏省建筑与装饰工程消耗量》（2026年）、《江苏省通用安装工程消耗量》（2026年）、《江苏省市政工程消耗量》（2026年）、《江苏省建设工程费用参考》、《江苏建设工程施工机具台班费用参考表》；</w:t>
      </w:r>
      <w:r/>
    </w:p>
    <w:p>
      <w:pPr>
        <w:pStyle w:val="872"/>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）根据建设单位提供的图纸进行编制； </w:t>
      </w:r>
      <w:r/>
    </w:p>
    <w:p>
      <w:pPr>
        <w:pStyle w:val="872"/>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（3）《泰州工程造价管理》2026年第6期，信息价中部分无材料价格结合市场价考虑计入。 </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工程类别：按市政工程取费</w:t>
      </w:r>
      <w:r>
        <w:rPr>
          <w:rFonts w:hint="eastAsia" w:ascii="仿宋" w:hAnsi="仿宋" w:eastAsia="仿宋"/>
          <w:color w:val="000000"/>
          <w:sz w:val="28"/>
          <w:szCs w:val="28"/>
          <w:highlight w:val="none"/>
          <w:lang w:eastAsia="zh-CN"/>
        </w:rPr>
        <w:t xml:space="preserve">。</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）计价依据参照苏建价（2025）2号文件调整；计税方式按一般计税法计取，税金按9%计取。</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）人工工资单价按新文件执行---苏建函价〔2026〕027号。</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）临时设施费按下限计取，建筑工人实名制费用已计取；</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）安全文明施工措施费按省、市有关规定执行动态计价。</w:t>
      </w:r>
      <w:r/>
    </w:p>
    <w:p>
      <w:pPr>
        <w:pStyle w:val="872"/>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二、有关说明</w:t>
      </w:r>
      <w:r/>
    </w:p>
    <w:p>
      <w:pPr>
        <w:pStyle w:val="872"/>
        <w:ind w:firstLine="560"/>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）给水管计算至室外水表井，排水管计算至室外第一个污水井；</w:t>
      </w:r>
      <w:r/>
    </w:p>
    <w:p>
      <w:pPr>
        <w:pStyle w:val="872"/>
        <w:ind w:firstLine="560"/>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电气工程室外只考虑进户预埋管，计算至墙外1.5米，进线电缆未计</w:t>
      </w:r>
      <w:r>
        <w:rPr>
          <w:rFonts w:hint="eastAsia" w:ascii="仿宋" w:hAnsi="仿宋" w:eastAsia="仿宋"/>
          <w:color w:val="000000"/>
          <w:sz w:val="28"/>
          <w:szCs w:val="28"/>
          <w:highlight w:val="none"/>
          <w:lang w:eastAsia="zh-CN"/>
        </w:rPr>
        <w:t xml:space="preserve">；</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val="en-US" w:eastAsia="zh-CN"/>
        </w:rPr>
        <w:t xml:space="preserve">本工程二次搬运费分摊在各子目综合单价中，结算时不另行增加</w:t>
      </w:r>
      <w:r>
        <w:rPr>
          <w:rFonts w:hint="eastAsia" w:ascii="仿宋" w:hAnsi="仿宋" w:eastAsia="仿宋"/>
          <w:color w:val="000000"/>
          <w:sz w:val="28"/>
          <w:szCs w:val="28"/>
          <w:lang w:eastAsia="zh-CN"/>
        </w:rPr>
        <w:t xml:space="preserve">；</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大型机械进出场费虽然分列在各单位工程中，但应服务于整个项目，结算时不另行增加；</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本说明及清单特征未详之处请参照建设单位要求、图纸及相关规范理解；</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本预算中工程量为暂定量，结算时按实调整；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实际施工不同按规定调整；</w:t>
      </w:r>
      <w:r/>
    </w:p>
    <w:p>
      <w:pPr>
        <w:pStyle w:val="872"/>
        <w:ind w:firstLine="562"/>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olor w:val="000000"/>
          <w:sz w:val="28"/>
          <w:szCs w:val="28"/>
          <w:lang w:eastAsia="zh-CN"/>
        </w:rPr>
        <w:t xml:space="preserve">采购合同签订后</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lang w:eastAsia="zh-CN"/>
        </w:rPr>
        <w:t xml:space="preserve">日内完成全部工作。 </w:t>
      </w:r>
      <w:r/>
    </w:p>
    <w:p>
      <w:pPr>
        <w:pStyle w:val="872"/>
        <w:ind w:firstLine="562"/>
        <w:spacing w:before="0" w:beforeAutospacing="0" w:after="0" w:afterAutospacing="0" w:line="520" w:lineRule="exact"/>
        <w:rPr>
          <w:rFonts w:hint="eastAsia" w:ascii="仿宋" w:hAnsi="仿宋" w:eastAsia="仿宋" w:cs="仿宋"/>
          <w:color w:val="ff0000"/>
          <w:szCs w:val="28"/>
        </w:rPr>
      </w:pPr>
      <w:r>
        <w:rPr>
          <w:rFonts w:hint="eastAsia" w:ascii="仿宋" w:hAnsi="仿宋" w:eastAsia="仿宋" w:cs="Times New Roman"/>
          <w:b/>
          <w:bCs/>
          <w:color w:val="000000"/>
          <w:sz w:val="28"/>
          <w:szCs w:val="24"/>
          <w:lang w:val="en-US" w:eastAsia="zh-CN" w:bidi="ar-SA"/>
        </w:rPr>
        <w:t xml:space="preserve">6、付款方式：</w:t>
      </w:r>
      <w:r>
        <w:rPr>
          <w:rFonts w:hint="eastAsia" w:ascii="仿宋" w:hAnsi="仿宋" w:eastAsia="仿宋" w:cs="仿宋"/>
          <w:color w:val="ff0000"/>
          <w:sz w:val="28"/>
          <w:szCs w:val="28"/>
          <w:highlight w:val="none"/>
        </w:rPr>
        <w:t xml:space="preserve">工程竣工验收合格后付</w:t>
      </w:r>
      <w:r>
        <w:rPr>
          <w:rFonts w:hint="eastAsia" w:ascii="仿宋" w:hAnsi="仿宋" w:eastAsia="仿宋" w:cs="仿宋"/>
          <w:color w:val="ff0000"/>
          <w:sz w:val="28"/>
          <w:szCs w:val="28"/>
          <w:highlight w:val="none"/>
          <w:lang w:eastAsia="zh-CN"/>
        </w:rPr>
        <w:t xml:space="preserve">审定价</w:t>
      </w:r>
      <w:r>
        <w:rPr>
          <w:rFonts w:hint="eastAsia" w:ascii="仿宋" w:hAnsi="仿宋" w:eastAsia="仿宋" w:cs="仿宋"/>
          <w:color w:val="ff0000"/>
          <w:sz w:val="28"/>
          <w:szCs w:val="28"/>
          <w:highlight w:val="none"/>
        </w:rPr>
        <w:t xml:space="preserve">的</w:t>
      </w:r>
      <w:r>
        <w:rPr>
          <w:rFonts w:hint="eastAsia" w:ascii="仿宋" w:hAnsi="仿宋" w:eastAsia="仿宋" w:cs="仿宋"/>
          <w:color w:val="ff0000"/>
          <w:sz w:val="28"/>
          <w:szCs w:val="28"/>
          <w:highlight w:val="none"/>
          <w:lang w:val="en-US" w:eastAsia="zh-CN"/>
        </w:rPr>
        <w:t xml:space="preserve">5</w:t>
      </w:r>
      <w:r>
        <w:rPr>
          <w:rFonts w:hint="eastAsia" w:ascii="仿宋" w:hAnsi="仿宋" w:eastAsia="仿宋" w:cs="仿宋"/>
          <w:color w:val="ff0000"/>
          <w:sz w:val="28"/>
          <w:szCs w:val="28"/>
          <w:highlight w:val="none"/>
        </w:rPr>
        <w:t xml:space="preserve">0%；</w:t>
      </w:r>
      <w:r>
        <w:rPr>
          <w:rFonts w:hint="eastAsia" w:ascii="仿宋" w:hAnsi="仿宋" w:eastAsia="仿宋" w:cs="仿宋"/>
          <w:color w:val="ff0000"/>
          <w:sz w:val="28"/>
          <w:szCs w:val="28"/>
          <w:highlight w:val="none"/>
          <w:lang w:eastAsia="zh-CN"/>
        </w:rPr>
        <w:t xml:space="preserve">第二年年底</w:t>
      </w:r>
      <w:r>
        <w:rPr>
          <w:rFonts w:hint="eastAsia" w:ascii="仿宋" w:hAnsi="仿宋" w:eastAsia="仿宋" w:cs="仿宋"/>
          <w:color w:val="ff0000"/>
          <w:sz w:val="28"/>
          <w:szCs w:val="28"/>
          <w:highlight w:val="none"/>
        </w:rPr>
        <w:t xml:space="preserve">付至审</w:t>
      </w:r>
      <w:r>
        <w:rPr>
          <w:rFonts w:hint="eastAsia" w:ascii="仿宋" w:hAnsi="仿宋" w:eastAsia="仿宋" w:cs="仿宋"/>
          <w:color w:val="ff0000"/>
          <w:sz w:val="28"/>
          <w:szCs w:val="28"/>
          <w:highlight w:val="none"/>
          <w:lang w:eastAsia="zh-CN"/>
        </w:rPr>
        <w:t xml:space="preserve">定</w:t>
      </w:r>
      <w:r>
        <w:rPr>
          <w:rFonts w:hint="eastAsia" w:ascii="仿宋" w:hAnsi="仿宋" w:eastAsia="仿宋" w:cs="仿宋"/>
          <w:color w:val="ff0000"/>
          <w:sz w:val="28"/>
          <w:szCs w:val="28"/>
          <w:highlight w:val="none"/>
        </w:rPr>
        <w:t xml:space="preserve">价的</w:t>
      </w:r>
      <w:r>
        <w:rPr>
          <w:rFonts w:hint="eastAsia" w:ascii="仿宋" w:hAnsi="仿宋" w:eastAsia="仿宋" w:cs="仿宋"/>
          <w:color w:val="ff0000"/>
          <w:sz w:val="28"/>
          <w:szCs w:val="28"/>
          <w:highlight w:val="none"/>
          <w:lang w:val="en-US" w:eastAsia="zh-CN"/>
        </w:rPr>
        <w:t xml:space="preserve">8</w:t>
      </w:r>
      <w:r>
        <w:rPr>
          <w:rFonts w:hint="eastAsia" w:ascii="仿宋" w:hAnsi="仿宋" w:eastAsia="仿宋" w:cs="仿宋"/>
          <w:color w:val="ff0000"/>
          <w:sz w:val="28"/>
          <w:szCs w:val="28"/>
          <w:highlight w:val="none"/>
        </w:rPr>
        <w:t xml:space="preserve">0%；余款</w:t>
      </w:r>
      <w:r>
        <w:rPr>
          <w:rFonts w:hint="eastAsia" w:ascii="仿宋" w:hAnsi="仿宋" w:eastAsia="仿宋" w:cs="仿宋"/>
          <w:color w:val="ff0000"/>
          <w:sz w:val="28"/>
          <w:szCs w:val="28"/>
          <w:highlight w:val="none"/>
          <w:lang w:eastAsia="zh-CN"/>
        </w:rPr>
        <w:t xml:space="preserve">第三年年底</w:t>
      </w:r>
      <w:r>
        <w:rPr>
          <w:rFonts w:hint="eastAsia" w:ascii="仿宋" w:hAnsi="仿宋" w:eastAsia="仿宋" w:cs="仿宋"/>
          <w:color w:val="ff0000"/>
          <w:sz w:val="28"/>
          <w:szCs w:val="28"/>
          <w:highlight w:val="none"/>
        </w:rPr>
        <w:t xml:space="preserve">根据审</w:t>
      </w:r>
      <w:r>
        <w:rPr>
          <w:rFonts w:hint="eastAsia" w:ascii="仿宋" w:hAnsi="仿宋" w:eastAsia="仿宋" w:cs="仿宋"/>
          <w:color w:val="ff0000"/>
          <w:sz w:val="28"/>
          <w:szCs w:val="28"/>
          <w:highlight w:val="none"/>
          <w:lang w:eastAsia="zh-CN"/>
        </w:rPr>
        <w:t xml:space="preserve">定</w:t>
      </w:r>
      <w:r>
        <w:rPr>
          <w:rFonts w:hint="eastAsia" w:ascii="仿宋" w:hAnsi="仿宋" w:eastAsia="仿宋" w:cs="仿宋"/>
          <w:color w:val="ff0000"/>
          <w:sz w:val="28"/>
          <w:szCs w:val="28"/>
          <w:highlight w:val="none"/>
        </w:rPr>
        <w:t xml:space="preserve">结果结清（不计息）。每次付款均须开具正式税务发票。</w:t>
      </w:r>
      <w:r/>
    </w:p>
    <w:p>
      <w:pPr>
        <w:pStyle w:val="863"/>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w:t>
      </w:r>
      <w:r>
        <w:rPr>
          <w:rFonts w:hint="eastAsia" w:ascii="仿宋" w:hAnsi="仿宋" w:eastAsia="仿宋" w:cs="仿宋"/>
          <w:b/>
          <w:szCs w:val="28"/>
          <w:lang w:eastAsia="zh-CN"/>
        </w:rPr>
        <w:t xml:space="preserve">网盘</w:t>
      </w:r>
      <w:r>
        <w:rPr>
          <w:rFonts w:hint="eastAsia" w:ascii="仿宋" w:hAnsi="仿宋" w:eastAsia="仿宋" w:cs="仿宋"/>
          <w:b/>
          <w:szCs w:val="28"/>
        </w:rPr>
        <w:t xml:space="preserve">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4、据财库〔2026〕2号文件要求评审过程中出现下列情形之一的，</w:t>
      </w:r>
      <w:r>
        <w:rPr>
          <w:rFonts w:hint="eastAsia" w:ascii="仿宋" w:hAnsi="仿宋" w:eastAsia="仿宋" w:cs="宋体"/>
          <w:b/>
          <w:szCs w:val="28"/>
          <w:lang w:eastAsia="zh-CN"/>
        </w:rPr>
        <w:t xml:space="preserve">评审委员会应当启动异常低价投标（响应）审查程序</w:t>
      </w:r>
      <w:r>
        <w:rPr>
          <w:rFonts w:hint="eastAsia" w:ascii="仿宋" w:hAnsi="仿宋" w:eastAsia="仿宋" w:cs="宋体"/>
          <w:b/>
          <w:szCs w:val="28"/>
        </w:rPr>
        <w:t xml:space="preserve">:</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（1）投标（响应）报价低于全部通过符合性审查供应商投标（响应）报价平均值50%的，即投标（响应）报价&lt;全部通过符合性审查供应商投标（响应）报价平均值×50%;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（2）投标（响应）报价低于通过符合性审查的次低报价供应商投标（响应）报价50%的，即投标（响应）报价&lt;通过符合性审查的次低报价供应商投标（响应）报价×50%;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lang w:eastAsia="zh-CN"/>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4</w:t>
      </w:r>
      <w:r>
        <w:rPr>
          <w:rFonts w:hint="eastAsia" w:ascii="仿宋" w:hAnsi="仿宋" w:eastAsia="仿宋" w:cs="宋体"/>
          <w:b/>
          <w:szCs w:val="28"/>
          <w:lang w:eastAsia="zh-CN"/>
        </w:rPr>
        <w:t xml:space="preserve">）评审委员会基于专业判断，认为供应商报价过低，有可能影响产品质量或者不能诚信履约的其他情形。</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7"/>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6"/>
    <w:uiPriority w:val="99"/>
  </w:style>
  <w:style w:type="character" w:styleId="713">
    <w:name w:val="Footer Char"/>
    <w:basedOn w:val="860"/>
    <w:link w:val="865"/>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5"/>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正文首行缩进 21"/>
    <w:basedOn w:val="863"/>
    <w:next w:val="859"/>
    <w:uiPriority w:val="99"/>
    <w:unhideWhenUsed/>
    <w:qFormat/>
    <w:pPr>
      <w:ind w:firstLine="420"/>
    </w:pPr>
  </w:style>
  <w:style w:type="paragraph" w:styleId="863" w:customStyle="1">
    <w:name w:val="正文文本缩进1"/>
    <w:basedOn w:val="859"/>
    <w:next w:val="864"/>
    <w:uiPriority w:val="0"/>
    <w:qFormat/>
    <w:pPr>
      <w:ind w:firstLine="600"/>
    </w:pPr>
    <w:rPr>
      <w:rFonts w:eastAsia="仿宋_GB2312"/>
      <w:sz w:val="28"/>
    </w:rPr>
  </w:style>
  <w:style w:type="paragraph" w:styleId="864" w:customStyle="1">
    <w:name w:val="寄信人地址1"/>
    <w:basedOn w:val="859"/>
    <w:uiPriority w:val="99"/>
    <w:unhideWhenUsed/>
    <w:qFormat/>
    <w:rPr>
      <w:rFonts w:ascii="Arial" w:hAnsi="Arial"/>
    </w:rPr>
  </w:style>
  <w:style w:type="paragraph" w:styleId="865">
    <w:name w:val="Footer"/>
    <w:basedOn w:val="859"/>
    <w:uiPriority w:val="0"/>
    <w:qFormat/>
    <w:pPr>
      <w:jc w:val="left"/>
      <w:tabs>
        <w:tab w:val="center" w:pos="4153" w:leader="none"/>
        <w:tab w:val="right" w:pos="8306" w:leader="none"/>
      </w:tabs>
    </w:pPr>
    <w:rPr>
      <w:sz w:val="18"/>
    </w:rPr>
  </w:style>
  <w:style w:type="paragraph" w:styleId="866">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Normal (Web)"/>
    <w:basedOn w:val="859"/>
    <w:uiPriority w:val="0"/>
    <w:qFormat/>
    <w:pPr>
      <w:jc w:val="left"/>
      <w:spacing w:before="100" w:beforeAutospacing="1" w:after="100" w:afterAutospacing="1"/>
      <w:widowControl/>
    </w:pPr>
    <w:rPr>
      <w:rFonts w:ascii="宋体" w:hAnsi="宋体"/>
      <w:sz w:val="24"/>
    </w:rPr>
  </w:style>
  <w:style w:type="character" w:styleId="868">
    <w:name w:val="FollowedHyperlink"/>
    <w:basedOn w:val="860"/>
    <w:uiPriority w:val="0"/>
    <w:qFormat/>
    <w:rPr>
      <w:color w:val="333333"/>
      <w:u w:val="none"/>
    </w:rPr>
  </w:style>
  <w:style w:type="character" w:styleId="869">
    <w:name w:val="Hyperlink"/>
    <w:basedOn w:val="860"/>
    <w:uiPriority w:val="0"/>
    <w:qFormat/>
    <w:rPr>
      <w:color w:val="333333"/>
      <w:u w:val="none"/>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3</cp:revision>
  <dcterms:created xsi:type="dcterms:W3CDTF">2024-11-15T08:57:00Z</dcterms:created>
  <dcterms:modified xsi:type="dcterms:W3CDTF">2026-07-15T03:17:03Z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B6F4098ED4214DD399B3B11FA60801BE_12</vt:lpwstr>
  </property>
  <property fmtid="{D5CDD505-2E9C-101B-9397-08002B2CF9AE}" pid="4" name="KSOTemplateDocerSaveRecord">
    <vt:lpwstr>eyJoZGlkIjoiMjdiOGI0YjkyOWJiYTQ2Y2Q4OWE0NDg4OTIyYWI4NjAiLCJ1c2VySWQiOiIxMDExMDcwMzU5In0=</vt:lpwstr>
  </property>
</Properties>
</file>