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ind w:firstLine="300"/>
        <w:spacing w:line="360" w:lineRule="auto"/>
        <w:rPr>
          <w:color w:val="000000"/>
          <w:sz w:val="60"/>
          <w:szCs w:val="60"/>
          <w:highlight w:val="none"/>
        </w:rPr>
      </w:pPr>
      <w:r>
        <w:rPr>
          <w:color w:val="000000"/>
          <w:sz w:val="60"/>
          <w:szCs w:val="60"/>
          <w:highlight w:val="none"/>
        </w:rPr>
      </w:r>
      <w:r/>
    </w:p>
    <w:p>
      <w:pPr>
        <w:pStyle w:val="1144"/>
        <w:rPr>
          <w:color w:val="000000"/>
          <w:highlight w:val="none"/>
        </w:rPr>
      </w:pPr>
      <w:r>
        <w:rPr>
          <w:color w:val="000000"/>
          <w:highlight w:val="none"/>
        </w:rPr>
      </w:r>
      <w:r/>
    </w:p>
    <w:p>
      <w:pPr>
        <w:rPr>
          <w:color w:val="000000"/>
          <w:highlight w:val="none"/>
        </w:rPr>
      </w:pPr>
      <w:r>
        <w:rPr>
          <w:color w:val="000000"/>
          <w:highlight w:val="none"/>
        </w:rPr>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常州市政府采购项目</w:t>
      </w:r>
      <w:r/>
    </w:p>
    <w:p>
      <w:pPr>
        <w:pStyle w:val="973"/>
        <w:jc w:val="center"/>
        <w:rPr>
          <w:rFonts w:ascii="宋体" w:hAnsi="宋体"/>
          <w:b/>
          <w:bCs/>
          <w:color w:val="auto"/>
          <w:sz w:val="60"/>
          <w:szCs w:val="60"/>
          <w:highlight w:val="none"/>
        </w:rPr>
      </w:pPr>
      <w:r>
        <w:rPr>
          <w:b/>
          <w:bCs/>
          <w:color w:val="auto"/>
          <w:sz w:val="60"/>
          <w:szCs w:val="60"/>
          <w:highlight w:val="none"/>
        </w:rPr>
        <w:t xml:space="preserve">竞争性磋商文件</w:t>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(服务类)</w:t>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144"/>
        <w:ind w:firstLine="420"/>
        <w:rPr>
          <w:color w:val="000000"/>
          <w:highlight w:val="none"/>
        </w:rPr>
      </w:pPr>
      <w:r>
        <w:rPr>
          <w:color w:val="000000"/>
          <w:highlight w:val="none"/>
        </w:rPr>
      </w:r>
      <w:r/>
    </w:p>
    <w:p>
      <w:pPr>
        <w:ind w:left="3293" w:hanging="2100"/>
        <w:spacing w:line="480" w:lineRule="auto"/>
        <w:rPr>
          <w:rFonts w:hint="eastAsia" w:ascii="Times New Roman" w:hAnsi="Times New Roman" w:eastAsia="宋体" w:cs="Times New Roman"/>
          <w:bCs/>
          <w:color w:val="000000"/>
          <w:sz w:val="30"/>
          <w:szCs w:val="30"/>
          <w:highlight w:val="none"/>
          <w:lang w:eastAsia="zh-CN"/>
        </w:rPr>
      </w:pPr>
      <w:r>
        <w:rPr>
          <w:rFonts w:hint="eastAsia" w:ascii="Times New Roman" w:hAnsi="Times New Roman" w:eastAsia="宋体" w:cs="Times New Roman"/>
          <w:bCs/>
          <w:color w:val="000000"/>
          <w:sz w:val="30"/>
          <w:szCs w:val="30"/>
          <w:highlight w:val="none"/>
        </w:rPr>
        <w:t xml:space="preserve">项</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目</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名</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称：</w:t>
      </w:r>
      <w:bookmarkStart w:id="0" w:name="OLE_LINK3"/>
      <w:r>
        <w:rPr>
          <w:rFonts w:hint="eastAsia" w:ascii="Times New Roman" w:hAnsi="Times New Roman" w:eastAsia="宋体" w:cs="Times New Roman"/>
          <w:bCs/>
          <w:color w:val="000000"/>
          <w:sz w:val="30"/>
          <w:szCs w:val="30"/>
          <w:highlight w:val="none"/>
          <w:lang w:val="en-US" w:eastAsia="zh-CN"/>
        </w:rPr>
        <w:t xml:space="preserve">溧阳市残疾人商业补充保险</w:t>
      </w:r>
      <w:bookmarkEnd w:id="0"/>
      <w:r/>
      <w:r/>
    </w:p>
    <w:p>
      <w:pPr>
        <w:ind w:firstLine="1200"/>
        <w:spacing w:line="480" w:lineRule="auto"/>
        <w:rPr>
          <w:rFonts w:ascii="Times New Roman" w:hAnsi="Times New Roman" w:eastAsia="宋体" w:cs="Times New Roman"/>
          <w:bCs/>
          <w:color w:val="000000"/>
          <w:sz w:val="30"/>
          <w:szCs w:val="30"/>
          <w:highlight w:val="green"/>
          <w:lang w:val="en-US"/>
        </w:rPr>
      </w:pPr>
      <w:r>
        <w:rPr>
          <w:rFonts w:hint="eastAsia" w:ascii="Times New Roman" w:hAnsi="Times New Roman" w:eastAsia="宋体" w:cs="Times New Roman"/>
          <w:bCs/>
          <w:color w:val="000000"/>
          <w:sz w:val="30"/>
          <w:szCs w:val="30"/>
          <w:highlight w:val="none"/>
        </w:rPr>
        <w:t xml:space="preserve">项</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目</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编</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号</w:t>
      </w:r>
      <w:r>
        <w:rPr>
          <w:rFonts w:hint="eastAsia" w:ascii="Times New Roman" w:hAnsi="Times New Roman" w:eastAsia="宋体" w:cs="Times New Roman"/>
          <w:bCs/>
          <w:color w:val="000000"/>
          <w:sz w:val="30"/>
          <w:szCs w:val="30"/>
          <w:highlight w:val="none"/>
          <w:lang w:eastAsia="zh-CN"/>
        </w:rPr>
        <w:t xml:space="preserve">：</w:t>
      </w:r>
      <w:r>
        <w:rPr>
          <w:rFonts w:hint="eastAsia" w:cs="Times New Roman"/>
          <w:bCs/>
          <w:color w:val="000000"/>
          <w:sz w:val="30"/>
          <w:szCs w:val="30"/>
          <w:highlight w:val="none"/>
          <w:lang w:eastAsia="zh-CN"/>
        </w:rPr>
        <w:t xml:space="preserve">JSZC-320481-XYNN-G2026-000</w:t>
      </w:r>
      <w:r>
        <w:rPr>
          <w:rFonts w:hint="eastAsia" w:cs="Times New Roman"/>
          <w:bCs/>
          <w:color w:val="000000"/>
          <w:sz w:val="30"/>
          <w:szCs w:val="30"/>
          <w:highlight w:val="none"/>
          <w:lang w:val="en-US" w:eastAsia="zh-CN"/>
        </w:rPr>
        <w:t xml:space="preserve">4</w:t>
      </w:r>
      <w:r/>
    </w:p>
    <w:p>
      <w:pPr>
        <w:ind w:left="3293" w:hanging="2100"/>
        <w:spacing w:line="480" w:lineRule="auto"/>
        <w:rPr>
          <w:rFonts w:hint="eastAsia"/>
          <w:lang w:eastAsia="zh-CN"/>
        </w:rPr>
      </w:pPr>
      <w:r>
        <w:rPr>
          <w:rFonts w:hint="eastAsia" w:ascii="Times New Roman" w:hAnsi="Times New Roman" w:eastAsia="宋体" w:cs="Times New Roman"/>
          <w:bCs/>
          <w:color w:val="000000"/>
          <w:sz w:val="30"/>
          <w:szCs w:val="30"/>
          <w:highlight w:val="none"/>
        </w:rPr>
        <w:t xml:space="preserve">采购</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人名</w:t>
      </w:r>
      <w:r>
        <w:rPr>
          <w:rFonts w:hint="eastAsia" w:ascii="Times New Roman" w:hAnsi="Times New Roman" w:eastAsia="宋体" w:cs="Times New Roman"/>
          <w:bCs/>
          <w:color w:val="000000"/>
          <w:sz w:val="30"/>
          <w:szCs w:val="30"/>
          <w:highlight w:val="none"/>
          <w:lang w:val="en-US" w:eastAsia="zh-CN"/>
        </w:rPr>
        <w:t xml:space="preserve"> </w:t>
      </w:r>
      <w:r>
        <w:rPr>
          <w:rFonts w:hint="eastAsia" w:ascii="Times New Roman" w:hAnsi="Times New Roman" w:eastAsia="宋体" w:cs="Times New Roman"/>
          <w:bCs/>
          <w:color w:val="000000"/>
          <w:sz w:val="30"/>
          <w:szCs w:val="30"/>
          <w:highlight w:val="none"/>
        </w:rPr>
        <w:t xml:space="preserve">称：</w:t>
      </w:r>
      <w:r>
        <w:rPr>
          <w:rFonts w:hint="eastAsia" w:ascii="Times New Roman" w:hAnsi="Times New Roman" w:eastAsia="宋体" w:cs="Times New Roman"/>
          <w:bCs/>
          <w:color w:val="000000"/>
          <w:sz w:val="30"/>
          <w:szCs w:val="30"/>
          <w:highlight w:val="none"/>
          <w:lang w:eastAsia="zh-CN"/>
        </w:rPr>
        <w:t xml:space="preserve">溧阳市残疾人联合会（本级）</w:t>
      </w:r>
      <w:r/>
    </w:p>
    <w:p>
      <w:pPr>
        <w:ind w:firstLine="1200"/>
        <w:spacing w:line="480" w:lineRule="auto"/>
        <w:rPr>
          <w:rFonts w:hint="eastAsia" w:ascii="Times New Roman" w:hAnsi="Times New Roman" w:eastAsia="宋体" w:cs="Times New Roman"/>
          <w:bCs/>
          <w:color w:val="000000"/>
          <w:sz w:val="30"/>
          <w:szCs w:val="30"/>
          <w:highlight w:val="none"/>
        </w:rPr>
      </w:pPr>
      <w:r>
        <w:rPr>
          <w:rFonts w:hint="eastAsia" w:ascii="Times New Roman" w:hAnsi="Times New Roman" w:eastAsia="宋体" w:cs="Times New Roman"/>
          <w:bCs/>
          <w:color w:val="000000"/>
          <w:sz w:val="30"/>
          <w:szCs w:val="30"/>
          <w:highlight w:val="none"/>
        </w:rPr>
        <w:t xml:space="preserve">采购代理机构：</w:t>
      </w:r>
      <w:r>
        <w:rPr>
          <w:rFonts w:hint="eastAsia" w:ascii="Times New Roman" w:hAnsi="Times New Roman" w:eastAsia="宋体" w:cs="Times New Roman"/>
          <w:bCs/>
          <w:color w:val="000000"/>
          <w:sz w:val="30"/>
          <w:szCs w:val="30"/>
          <w:highlight w:val="none"/>
          <w:lang w:eastAsia="zh-CN"/>
        </w:rPr>
        <w:t xml:space="preserve">江苏鑫轶工程咨询有限公司</w:t>
      </w:r>
      <w:r/>
    </w:p>
    <w:p>
      <w:pPr>
        <w:spacing w:line="480" w:lineRule="auto"/>
        <w:rPr>
          <w:color w:val="000000"/>
          <w:sz w:val="24"/>
          <w:highlight w:val="none"/>
        </w:rPr>
      </w:pPr>
      <w:r>
        <w:rPr>
          <w:color w:val="000000"/>
          <w:sz w:val="24"/>
          <w:highlight w:val="none"/>
        </w:rPr>
      </w:r>
      <w:r/>
    </w:p>
    <w:p>
      <w:pPr>
        <w:pStyle w:val="1142"/>
        <w:rPr>
          <w:color w:val="000000"/>
          <w:sz w:val="24"/>
          <w:highlight w:val="none"/>
        </w:rPr>
      </w:pPr>
      <w:r>
        <w:rPr>
          <w:color w:val="000000"/>
          <w:sz w:val="24"/>
          <w:highlight w:val="none"/>
        </w:rPr>
      </w:r>
      <w:r/>
    </w:p>
    <w:p>
      <w:pPr>
        <w:pStyle w:val="1143"/>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pStyle w:val="1172"/>
      </w:pPr>
      <w:r/>
      <w:r/>
    </w:p>
    <w:p>
      <w:r/>
      <w:r/>
    </w:p>
    <w:p>
      <w:pPr>
        <w:pStyle w:val="1321"/>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spacing w:line="360" w:lineRule="auto"/>
        <w:rPr>
          <w:b/>
          <w:sz w:val="36"/>
          <w:szCs w:val="36"/>
        </w:rPr>
        <w:outlineLvl w:val="0"/>
      </w:pPr>
      <w:r/>
      <w:bookmarkStart w:id="1"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1"/>
      <w:r/>
      <w:r/>
    </w:p>
    <w:p>
      <w:pPr>
        <w:pStyle w:val="1193"/>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fldChar w:fldCharType="begin"/>
      </w:r>
      <w:r>
        <w:rPr>
          <w:rFonts w:hint="eastAsia" w:ascii="宋体" w:hAnsi="宋体" w:eastAsia="宋体" w:cs="宋体"/>
          <w:b w:val="0"/>
          <w:color w:val="000000"/>
          <w:sz w:val="24"/>
          <w:szCs w:val="24"/>
          <w:highlight w:val="none"/>
        </w:rPr>
        <w:instrText xml:space="preserve"> TOC \o "1-1" \h \z \u </w:instrText>
      </w:r>
      <w:r>
        <w:rPr>
          <w:rFonts w:hint="eastAsia" w:ascii="宋体" w:hAnsi="宋体" w:eastAsia="宋体" w:cs="宋体"/>
          <w:b w:val="0"/>
          <w:color w:val="000000"/>
          <w:sz w:val="24"/>
          <w:szCs w:val="24"/>
          <w:highlight w:val="none"/>
        </w:rPr>
        <w:fldChar w:fldCharType="separate"/>
      </w:r>
      <w:r/>
    </w:p>
    <w:p>
      <w:pPr>
        <w:pStyle w:val="980"/>
        <w:tabs>
          <w:tab w:val="left" w:pos="1050" w:leader="none"/>
          <w:tab w:val="right" w:pos="8937" w:leader="dot"/>
        </w:tabs>
        <w:rPr>
          <w:rFonts w:hint="eastAsia" w:ascii="宋体" w:hAnsi="宋体" w:eastAsia="宋体" w:cs="宋体"/>
          <w:b/>
          <w:bCs/>
          <w:sz w:val="24"/>
          <w:szCs w:val="24"/>
        </w:rPr>
      </w:pPr>
      <w:r>
        <w:rPr>
          <w:rStyle w:val="991"/>
          <w:rFonts w:hint="eastAsia" w:ascii="宋体" w:hAnsi="宋体" w:eastAsia="宋体" w:cs="宋体"/>
          <w:b/>
          <w:bCs/>
          <w:sz w:val="24"/>
          <w:szCs w:val="24"/>
        </w:rPr>
        <w:fldChar w:fldCharType="begin"/>
      </w:r>
      <w:r>
        <w:rPr>
          <w:rStyle w:val="991"/>
          <w:rFonts w:hint="eastAsia" w:ascii="宋体" w:hAnsi="宋体" w:eastAsia="宋体" w:cs="宋体"/>
          <w:b/>
          <w:bCs/>
          <w:sz w:val="24"/>
          <w:szCs w:val="24"/>
        </w:rPr>
        <w:instrText xml:space="preserve"> </w:instrText>
      </w:r>
      <w:r>
        <w:rPr>
          <w:rFonts w:hint="eastAsia" w:ascii="宋体" w:hAnsi="宋体" w:eastAsia="宋体" w:cs="宋体"/>
          <w:b/>
          <w:bCs/>
          <w:sz w:val="24"/>
          <w:szCs w:val="24"/>
        </w:rPr>
        <w:instrText xml:space="preserve">HYPERLINK \l "_Toc104818925"</w:instrText>
      </w:r>
      <w:r>
        <w:rPr>
          <w:rStyle w:val="991"/>
          <w:rFonts w:hint="eastAsia" w:ascii="宋体" w:hAnsi="宋体" w:eastAsia="宋体" w:cs="宋体"/>
          <w:b/>
          <w:bCs/>
          <w:sz w:val="24"/>
          <w:szCs w:val="24"/>
        </w:rPr>
        <w:instrText xml:space="preserve"> </w:instrText>
      </w:r>
      <w:r>
        <w:rPr>
          <w:rStyle w:val="991"/>
          <w:rFonts w:hint="eastAsia" w:ascii="宋体" w:hAnsi="宋体" w:eastAsia="宋体" w:cs="宋体"/>
          <w:b/>
          <w:bCs/>
          <w:sz w:val="24"/>
          <w:szCs w:val="24"/>
        </w:rPr>
        <w:fldChar w:fldCharType="separate"/>
      </w:r>
      <w:r>
        <w:rPr>
          <w:rStyle w:val="991"/>
          <w:rFonts w:hint="eastAsia" w:ascii="宋体" w:hAnsi="宋体" w:eastAsia="宋体" w:cs="宋体"/>
          <w:b/>
          <w:bCs/>
          <w:sz w:val="24"/>
          <w:szCs w:val="24"/>
        </w:rPr>
        <w:t xml:space="preserve">第一章   采购邀请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_Toc104818925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w:t>
      </w:r>
      <w:r>
        <w:rPr>
          <w:rFonts w:hint="eastAsia" w:ascii="宋体" w:hAnsi="宋体" w:eastAsia="宋体" w:cs="宋体"/>
          <w:b/>
          <w:bCs/>
          <w:sz w:val="24"/>
          <w:szCs w:val="24"/>
        </w:rPr>
        <w:fldChar w:fldCharType="end"/>
      </w:r>
      <w:r>
        <w:rPr>
          <w:rStyle w:val="991"/>
          <w:rFonts w:hint="eastAsia" w:ascii="宋体" w:hAnsi="宋体" w:eastAsia="宋体" w:cs="宋体"/>
          <w:b/>
          <w:bCs/>
          <w:sz w:val="24"/>
          <w:szCs w:val="24"/>
        </w:rPr>
        <w:fldChar w:fldCharType="end"/>
      </w:r>
      <w:r/>
    </w:p>
    <w:p>
      <w:pPr>
        <w:pStyle w:val="980"/>
        <w:tabs>
          <w:tab w:val="left" w:pos="1050" w:leader="none"/>
          <w:tab w:val="right" w:pos="8937" w:leader="dot"/>
        </w:tabs>
        <w:rPr>
          <w:rFonts w:hint="eastAsia" w:ascii="宋体" w:hAnsi="宋体" w:eastAsia="宋体" w:cs="宋体"/>
          <w:b/>
          <w:bCs/>
          <w:sz w:val="24"/>
          <w:szCs w:val="24"/>
        </w:rPr>
      </w:pPr>
      <w:r>
        <w:rPr>
          <w:rStyle w:val="991"/>
          <w:rFonts w:hint="eastAsia" w:ascii="宋体" w:hAnsi="宋体" w:eastAsia="宋体" w:cs="宋体"/>
          <w:b/>
          <w:bCs/>
          <w:sz w:val="24"/>
          <w:szCs w:val="24"/>
        </w:rPr>
        <w:fldChar w:fldCharType="begin"/>
      </w:r>
      <w:r>
        <w:rPr>
          <w:rStyle w:val="991"/>
          <w:rFonts w:hint="eastAsia" w:ascii="宋体" w:hAnsi="宋体" w:eastAsia="宋体" w:cs="宋体"/>
          <w:b/>
          <w:bCs/>
          <w:sz w:val="24"/>
          <w:szCs w:val="24"/>
        </w:rPr>
        <w:instrText xml:space="preserve"> </w:instrText>
      </w:r>
      <w:r>
        <w:rPr>
          <w:rFonts w:hint="eastAsia" w:ascii="宋体" w:hAnsi="宋体" w:eastAsia="宋体" w:cs="宋体"/>
          <w:b/>
          <w:bCs/>
          <w:sz w:val="24"/>
          <w:szCs w:val="24"/>
        </w:rPr>
        <w:instrText xml:space="preserve">HYPERLINK \l "_Toc104818926"</w:instrText>
      </w:r>
      <w:r>
        <w:rPr>
          <w:rStyle w:val="991"/>
          <w:rFonts w:hint="eastAsia" w:ascii="宋体" w:hAnsi="宋体" w:eastAsia="宋体" w:cs="宋体"/>
          <w:b/>
          <w:bCs/>
          <w:sz w:val="24"/>
          <w:szCs w:val="24"/>
        </w:rPr>
        <w:instrText xml:space="preserve"> </w:instrText>
      </w:r>
      <w:r>
        <w:rPr>
          <w:rStyle w:val="991"/>
          <w:rFonts w:hint="eastAsia" w:ascii="宋体" w:hAnsi="宋体" w:eastAsia="宋体" w:cs="宋体"/>
          <w:b/>
          <w:bCs/>
          <w:sz w:val="24"/>
          <w:szCs w:val="24"/>
        </w:rPr>
        <w:fldChar w:fldCharType="separate"/>
      </w:r>
      <w:r>
        <w:rPr>
          <w:rStyle w:val="991"/>
          <w:rFonts w:hint="eastAsia" w:ascii="宋体" w:hAnsi="宋体" w:eastAsia="宋体" w:cs="宋体"/>
          <w:b/>
          <w:bCs/>
          <w:sz w:val="24"/>
          <w:szCs w:val="24"/>
        </w:rPr>
        <w:t xml:space="preserve">第二章   供应商须知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_Toc104818926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6</w:t>
      </w:r>
      <w:r>
        <w:rPr>
          <w:rFonts w:hint="eastAsia" w:ascii="宋体" w:hAnsi="宋体" w:eastAsia="宋体" w:cs="宋体"/>
          <w:b/>
          <w:bCs/>
          <w:sz w:val="24"/>
          <w:szCs w:val="24"/>
        </w:rPr>
        <w:fldChar w:fldCharType="end"/>
      </w:r>
      <w:r>
        <w:rPr>
          <w:rStyle w:val="991"/>
          <w:rFonts w:hint="eastAsia" w:ascii="宋体" w:hAnsi="宋体" w:eastAsia="宋体" w:cs="宋体"/>
          <w:b/>
          <w:bCs/>
          <w:sz w:val="24"/>
          <w:szCs w:val="24"/>
        </w:rPr>
        <w:fldChar w:fldCharType="end"/>
      </w:r>
      <w:r/>
    </w:p>
    <w:p>
      <w:pPr>
        <w:pStyle w:val="980"/>
        <w:tabs>
          <w:tab w:val="left" w:pos="1050" w:leader="none"/>
          <w:tab w:val="right" w:pos="8937" w:leader="dot"/>
        </w:tabs>
        <w:rPr>
          <w:rFonts w:hint="eastAsia" w:ascii="宋体" w:hAnsi="宋体" w:eastAsia="宋体" w:cs="宋体"/>
          <w:b/>
          <w:bCs/>
          <w:sz w:val="24"/>
          <w:szCs w:val="24"/>
        </w:rPr>
      </w:pPr>
      <w:r>
        <w:rPr>
          <w:rStyle w:val="991"/>
          <w:rFonts w:hint="eastAsia" w:ascii="宋体" w:hAnsi="宋体" w:eastAsia="宋体" w:cs="宋体"/>
          <w:b/>
          <w:bCs/>
          <w:sz w:val="24"/>
          <w:szCs w:val="24"/>
        </w:rPr>
        <w:fldChar w:fldCharType="begin"/>
      </w:r>
      <w:r>
        <w:rPr>
          <w:rStyle w:val="991"/>
          <w:rFonts w:hint="eastAsia" w:ascii="宋体" w:hAnsi="宋体" w:eastAsia="宋体" w:cs="宋体"/>
          <w:b/>
          <w:bCs/>
          <w:sz w:val="24"/>
          <w:szCs w:val="24"/>
        </w:rPr>
        <w:instrText xml:space="preserve"> </w:instrText>
      </w:r>
      <w:r>
        <w:rPr>
          <w:rFonts w:hint="eastAsia" w:ascii="宋体" w:hAnsi="宋体" w:eastAsia="宋体" w:cs="宋体"/>
          <w:b/>
          <w:bCs/>
          <w:sz w:val="24"/>
          <w:szCs w:val="24"/>
        </w:rPr>
        <w:instrText xml:space="preserve">HYPERLINK \l "_Toc104818927"</w:instrText>
      </w:r>
      <w:r>
        <w:rPr>
          <w:rStyle w:val="991"/>
          <w:rFonts w:hint="eastAsia" w:ascii="宋体" w:hAnsi="宋体" w:eastAsia="宋体" w:cs="宋体"/>
          <w:b/>
          <w:bCs/>
          <w:sz w:val="24"/>
          <w:szCs w:val="24"/>
        </w:rPr>
        <w:instrText xml:space="preserve"> </w:instrText>
      </w:r>
      <w:r>
        <w:rPr>
          <w:rStyle w:val="991"/>
          <w:rFonts w:hint="eastAsia" w:ascii="宋体" w:hAnsi="宋体" w:eastAsia="宋体" w:cs="宋体"/>
          <w:b/>
          <w:bCs/>
          <w:sz w:val="24"/>
          <w:szCs w:val="24"/>
        </w:rPr>
        <w:fldChar w:fldCharType="separate"/>
      </w:r>
      <w:r>
        <w:rPr>
          <w:rStyle w:val="991"/>
          <w:rFonts w:hint="eastAsia" w:ascii="宋体" w:hAnsi="宋体" w:eastAsia="宋体" w:cs="宋体"/>
          <w:b/>
          <w:bCs/>
          <w:sz w:val="24"/>
          <w:szCs w:val="24"/>
        </w:rPr>
        <w:t xml:space="preserve">第三章   评审程序、评审方法和评审标准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_Toc104818927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18</w:t>
      </w:r>
      <w:r>
        <w:rPr>
          <w:rFonts w:hint="eastAsia" w:ascii="宋体" w:hAnsi="宋体" w:eastAsia="宋体" w:cs="宋体"/>
          <w:b/>
          <w:bCs/>
          <w:sz w:val="24"/>
          <w:szCs w:val="24"/>
        </w:rPr>
        <w:fldChar w:fldCharType="end"/>
      </w:r>
      <w:r>
        <w:rPr>
          <w:rStyle w:val="991"/>
          <w:rFonts w:hint="eastAsia" w:ascii="宋体" w:hAnsi="宋体" w:eastAsia="宋体" w:cs="宋体"/>
          <w:b/>
          <w:bCs/>
          <w:sz w:val="24"/>
          <w:szCs w:val="24"/>
        </w:rPr>
        <w:fldChar w:fldCharType="end"/>
      </w:r>
      <w:r/>
    </w:p>
    <w:p>
      <w:pPr>
        <w:pStyle w:val="980"/>
        <w:tabs>
          <w:tab w:val="left" w:pos="1050" w:leader="none"/>
          <w:tab w:val="right" w:pos="8937" w:leader="dot"/>
        </w:tabs>
        <w:rPr>
          <w:rFonts w:hint="eastAsia" w:ascii="宋体" w:hAnsi="宋体" w:eastAsia="宋体" w:cs="宋体"/>
          <w:b/>
          <w:bCs/>
          <w:sz w:val="24"/>
          <w:szCs w:val="24"/>
        </w:rPr>
      </w:pPr>
      <w:r>
        <w:rPr>
          <w:rStyle w:val="991"/>
          <w:rFonts w:hint="eastAsia" w:ascii="宋体" w:hAnsi="宋体" w:eastAsia="宋体" w:cs="宋体"/>
          <w:b/>
          <w:bCs/>
          <w:sz w:val="24"/>
          <w:szCs w:val="24"/>
        </w:rPr>
        <w:fldChar w:fldCharType="begin"/>
      </w:r>
      <w:r>
        <w:rPr>
          <w:rStyle w:val="991"/>
          <w:rFonts w:hint="eastAsia" w:ascii="宋体" w:hAnsi="宋体" w:eastAsia="宋体" w:cs="宋体"/>
          <w:b/>
          <w:bCs/>
          <w:sz w:val="24"/>
          <w:szCs w:val="24"/>
        </w:rPr>
        <w:instrText xml:space="preserve"> </w:instrText>
      </w:r>
      <w:r>
        <w:rPr>
          <w:rFonts w:hint="eastAsia" w:ascii="宋体" w:hAnsi="宋体" w:eastAsia="宋体" w:cs="宋体"/>
          <w:b/>
          <w:bCs/>
          <w:sz w:val="24"/>
          <w:szCs w:val="24"/>
        </w:rPr>
        <w:instrText xml:space="preserve">HYPERLINK \l "_Toc104818928"</w:instrText>
      </w:r>
      <w:r>
        <w:rPr>
          <w:rStyle w:val="991"/>
          <w:rFonts w:hint="eastAsia" w:ascii="宋体" w:hAnsi="宋体" w:eastAsia="宋体" w:cs="宋体"/>
          <w:b/>
          <w:bCs/>
          <w:sz w:val="24"/>
          <w:szCs w:val="24"/>
        </w:rPr>
        <w:instrText xml:space="preserve"> </w:instrText>
      </w:r>
      <w:r>
        <w:rPr>
          <w:rStyle w:val="991"/>
          <w:rFonts w:hint="eastAsia" w:ascii="宋体" w:hAnsi="宋体" w:eastAsia="宋体" w:cs="宋体"/>
          <w:b/>
          <w:bCs/>
          <w:sz w:val="24"/>
          <w:szCs w:val="24"/>
        </w:rPr>
        <w:fldChar w:fldCharType="separate"/>
      </w:r>
      <w:r>
        <w:rPr>
          <w:rStyle w:val="991"/>
          <w:rFonts w:hint="eastAsia" w:ascii="宋体" w:hAnsi="宋体" w:eastAsia="宋体" w:cs="宋体"/>
          <w:b/>
          <w:bCs/>
          <w:sz w:val="24"/>
          <w:szCs w:val="24"/>
        </w:rPr>
        <w:t xml:space="preserve">第四章   采购需求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_Toc104818928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27</w:t>
      </w:r>
      <w:r>
        <w:rPr>
          <w:rFonts w:hint="eastAsia" w:ascii="宋体" w:hAnsi="宋体" w:eastAsia="宋体" w:cs="宋体"/>
          <w:b/>
          <w:bCs/>
          <w:sz w:val="24"/>
          <w:szCs w:val="24"/>
        </w:rPr>
        <w:fldChar w:fldCharType="end"/>
      </w:r>
      <w:r>
        <w:rPr>
          <w:rStyle w:val="991"/>
          <w:rFonts w:hint="eastAsia" w:ascii="宋体" w:hAnsi="宋体" w:eastAsia="宋体" w:cs="宋体"/>
          <w:b/>
          <w:bCs/>
          <w:sz w:val="24"/>
          <w:szCs w:val="24"/>
        </w:rPr>
        <w:fldChar w:fldCharType="end"/>
      </w:r>
      <w:r/>
    </w:p>
    <w:p>
      <w:pPr>
        <w:pStyle w:val="980"/>
        <w:tabs>
          <w:tab w:val="left" w:pos="1050" w:leader="none"/>
          <w:tab w:val="right" w:pos="8937" w:leader="dot"/>
        </w:tabs>
        <w:rPr>
          <w:rFonts w:hint="eastAsia" w:ascii="宋体" w:hAnsi="宋体" w:eastAsia="宋体" w:cs="宋体"/>
          <w:b/>
          <w:bCs/>
          <w:sz w:val="24"/>
          <w:szCs w:val="24"/>
        </w:rPr>
      </w:pPr>
      <w:r>
        <w:rPr>
          <w:rStyle w:val="991"/>
          <w:rFonts w:hint="eastAsia" w:ascii="宋体" w:hAnsi="宋体" w:eastAsia="宋体" w:cs="宋体"/>
          <w:b/>
          <w:bCs/>
          <w:sz w:val="24"/>
          <w:szCs w:val="24"/>
        </w:rPr>
        <w:fldChar w:fldCharType="begin"/>
      </w:r>
      <w:r>
        <w:rPr>
          <w:rStyle w:val="991"/>
          <w:rFonts w:hint="eastAsia" w:ascii="宋体" w:hAnsi="宋体" w:eastAsia="宋体" w:cs="宋体"/>
          <w:b/>
          <w:bCs/>
          <w:sz w:val="24"/>
          <w:szCs w:val="24"/>
        </w:rPr>
        <w:instrText xml:space="preserve"> </w:instrText>
      </w:r>
      <w:r>
        <w:rPr>
          <w:rFonts w:hint="eastAsia" w:ascii="宋体" w:hAnsi="宋体" w:eastAsia="宋体" w:cs="宋体"/>
          <w:b/>
          <w:bCs/>
          <w:sz w:val="24"/>
          <w:szCs w:val="24"/>
        </w:rPr>
        <w:instrText xml:space="preserve">HYPERLINK \l "_Toc104818929"</w:instrText>
      </w:r>
      <w:r>
        <w:rPr>
          <w:rStyle w:val="991"/>
          <w:rFonts w:hint="eastAsia" w:ascii="宋体" w:hAnsi="宋体" w:eastAsia="宋体" w:cs="宋体"/>
          <w:b/>
          <w:bCs/>
          <w:sz w:val="24"/>
          <w:szCs w:val="24"/>
        </w:rPr>
        <w:instrText xml:space="preserve"> </w:instrText>
      </w:r>
      <w:r>
        <w:rPr>
          <w:rStyle w:val="991"/>
          <w:rFonts w:hint="eastAsia" w:ascii="宋体" w:hAnsi="宋体" w:eastAsia="宋体" w:cs="宋体"/>
          <w:b/>
          <w:bCs/>
          <w:sz w:val="24"/>
          <w:szCs w:val="24"/>
        </w:rPr>
        <w:fldChar w:fldCharType="separate"/>
      </w:r>
      <w:r>
        <w:rPr>
          <w:rStyle w:val="991"/>
          <w:rFonts w:hint="eastAsia" w:ascii="宋体" w:hAnsi="宋体" w:eastAsia="宋体" w:cs="宋体"/>
          <w:b/>
          <w:bCs/>
          <w:sz w:val="24"/>
          <w:szCs w:val="24"/>
        </w:rPr>
        <w:t xml:space="preserve">第五章   合同草案条款</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_Toc104818929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27</w:t>
      </w:r>
      <w:r>
        <w:rPr>
          <w:rFonts w:hint="eastAsia" w:ascii="宋体" w:hAnsi="宋体" w:eastAsia="宋体" w:cs="宋体"/>
          <w:b/>
          <w:bCs/>
          <w:sz w:val="24"/>
          <w:szCs w:val="24"/>
        </w:rPr>
        <w:fldChar w:fldCharType="end"/>
      </w:r>
      <w:r>
        <w:rPr>
          <w:rStyle w:val="991"/>
          <w:rFonts w:hint="eastAsia" w:ascii="宋体" w:hAnsi="宋体" w:eastAsia="宋体" w:cs="宋体"/>
          <w:b/>
          <w:bCs/>
          <w:sz w:val="24"/>
          <w:szCs w:val="24"/>
        </w:rPr>
        <w:fldChar w:fldCharType="end"/>
      </w:r>
      <w:r/>
    </w:p>
    <w:p>
      <w:pPr>
        <w:pStyle w:val="980"/>
        <w:tabs>
          <w:tab w:val="left" w:pos="1050" w:leader="none"/>
          <w:tab w:val="right" w:pos="8937" w:leader="dot"/>
        </w:tabs>
        <w:rPr>
          <w:rFonts w:hint="eastAsia" w:ascii="宋体" w:hAnsi="宋体" w:eastAsia="宋体" w:cs="宋体"/>
          <w:b/>
          <w:bCs/>
          <w:sz w:val="24"/>
          <w:szCs w:val="24"/>
        </w:rPr>
      </w:pPr>
      <w:r>
        <w:rPr>
          <w:rStyle w:val="991"/>
          <w:rFonts w:hint="eastAsia" w:ascii="宋体" w:hAnsi="宋体" w:eastAsia="宋体" w:cs="宋体"/>
          <w:b/>
          <w:bCs/>
          <w:sz w:val="24"/>
          <w:szCs w:val="24"/>
        </w:rPr>
        <w:fldChar w:fldCharType="begin"/>
      </w:r>
      <w:r>
        <w:rPr>
          <w:rStyle w:val="991"/>
          <w:rFonts w:hint="eastAsia" w:ascii="宋体" w:hAnsi="宋体" w:eastAsia="宋体" w:cs="宋体"/>
          <w:b/>
          <w:bCs/>
          <w:sz w:val="24"/>
          <w:szCs w:val="24"/>
        </w:rPr>
        <w:instrText xml:space="preserve"> </w:instrText>
      </w:r>
      <w:r>
        <w:rPr>
          <w:rFonts w:hint="eastAsia" w:ascii="宋体" w:hAnsi="宋体" w:eastAsia="宋体" w:cs="宋体"/>
          <w:b/>
          <w:bCs/>
          <w:sz w:val="24"/>
          <w:szCs w:val="24"/>
        </w:rPr>
        <w:instrText xml:space="preserve">HYPERLINK \l "_Toc104818930"</w:instrText>
      </w:r>
      <w:r>
        <w:rPr>
          <w:rStyle w:val="991"/>
          <w:rFonts w:hint="eastAsia" w:ascii="宋体" w:hAnsi="宋体" w:eastAsia="宋体" w:cs="宋体"/>
          <w:b/>
          <w:bCs/>
          <w:sz w:val="24"/>
          <w:szCs w:val="24"/>
        </w:rPr>
        <w:instrText xml:space="preserve"> </w:instrText>
      </w:r>
      <w:r>
        <w:rPr>
          <w:rStyle w:val="991"/>
          <w:rFonts w:hint="eastAsia" w:ascii="宋体" w:hAnsi="宋体" w:eastAsia="宋体" w:cs="宋体"/>
          <w:b/>
          <w:bCs/>
          <w:sz w:val="24"/>
          <w:szCs w:val="24"/>
        </w:rPr>
        <w:fldChar w:fldCharType="separate"/>
      </w:r>
      <w:r>
        <w:rPr>
          <w:rStyle w:val="991"/>
          <w:rFonts w:hint="eastAsia" w:ascii="宋体" w:hAnsi="宋体" w:eastAsia="宋体" w:cs="宋体"/>
          <w:b/>
          <w:bCs/>
          <w:sz w:val="24"/>
          <w:szCs w:val="24"/>
        </w:rPr>
        <w:t xml:space="preserve">第六章   响应文件格式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_Toc104818930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44</w:t>
      </w:r>
      <w:r>
        <w:rPr>
          <w:rFonts w:hint="eastAsia" w:ascii="宋体" w:hAnsi="宋体" w:eastAsia="宋体" w:cs="宋体"/>
          <w:b/>
          <w:bCs/>
          <w:sz w:val="24"/>
          <w:szCs w:val="24"/>
        </w:rPr>
        <w:fldChar w:fldCharType="end"/>
      </w:r>
      <w:r>
        <w:rPr>
          <w:rStyle w:val="991"/>
          <w:rFonts w:hint="eastAsia" w:ascii="宋体" w:hAnsi="宋体" w:eastAsia="宋体" w:cs="宋体"/>
          <w:b/>
          <w:bCs/>
          <w:sz w:val="24"/>
          <w:szCs w:val="24"/>
        </w:rPr>
        <w:fldChar w:fldCharType="end"/>
      </w:r>
      <w:r/>
    </w:p>
    <w:p>
      <w:pPr>
        <w:pStyle w:val="1193"/>
        <w:spacing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fldChar w:fldCharType="end"/>
      </w:r>
      <w:r/>
    </w:p>
    <w:p>
      <w:pPr>
        <w:pStyle w:val="1193"/>
        <w:spacing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sectPr>
          <w:footerReference w:type="default" r:id="rId9"/>
          <w:footerReference w:type="even" r:id="rId10"/>
          <w:footerReference w:type="first" r:id="rId11"/>
          <w:footnotePr/>
          <w:endnotePr/>
          <w:type w:val="nextColumn"/>
          <w:pgSz w:w="11907" w:h="16840" w:orient="portrait"/>
          <w:pgMar w:top="1418" w:right="1134" w:bottom="1418" w:left="1701" w:header="851" w:footer="851" w:gutter="0"/>
          <w:pgNumType w:start="1"/>
          <w:cols w:num="1" w:sep="0" w:space="1701" w:equalWidth="1"/>
          <w:docGrid w:linePitch="360"/>
        </w:sectPr>
        <w:outlineLvl w:val="0"/>
      </w:pPr>
      <w:r>
        <w:rPr>
          <w:rFonts w:hint="eastAsia" w:ascii="宋体" w:hAnsi="宋体" w:eastAsia="宋体" w:cs="宋体"/>
          <w:b/>
          <w:color w:val="000000"/>
          <w:sz w:val="24"/>
          <w:szCs w:val="24"/>
          <w:highlight w:val="none"/>
        </w:rPr>
        <w:br w:type="page" w:clear="all"/>
      </w:r>
      <w:r/>
    </w:p>
    <w:p>
      <w:pPr>
        <w:jc w:val="center"/>
        <w:spacing w:line="360" w:lineRule="auto"/>
        <w:rPr>
          <w:rFonts w:hint="eastAsia" w:ascii="宋体" w:hAnsi="宋体" w:eastAsia="宋体" w:cs="宋体"/>
          <w:b/>
          <w:color w:val="000000"/>
          <w:sz w:val="24"/>
          <w:szCs w:val="24"/>
          <w:highlight w:val="none"/>
        </w:rPr>
        <w:outlineLvl w:val="0"/>
      </w:pPr>
      <w:r/>
      <w:bookmarkStart w:id="2" w:name="_Toc104818925"/>
      <w:r>
        <w:rPr>
          <w:rFonts w:hint="eastAsia" w:ascii="宋体" w:hAnsi="宋体" w:eastAsia="宋体" w:cs="宋体"/>
          <w:b/>
          <w:color w:val="000000"/>
          <w:sz w:val="24"/>
          <w:szCs w:val="24"/>
          <w:highlight w:val="none"/>
        </w:rPr>
        <w:t xml:space="preserve">第一章   采购邀请</w:t>
      </w:r>
      <w:bookmarkEnd w:id="2"/>
      <w:r/>
      <w:bookmarkStart w:id="3" w:name="_Toc28359002"/>
      <w:r/>
      <w:bookmarkStart w:id="4" w:name="_Toc35393621"/>
      <w:r/>
      <w:bookmarkStart w:id="5" w:name="_Toc28359079"/>
      <w:r/>
      <w:bookmarkStart w:id="6" w:name="_Toc35393790"/>
      <w:r/>
      <w:bookmarkStart w:id="7" w:name="_Hlk24379207"/>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2"/>
        <w:jc w:val="left"/>
        <w:pageBreakBefore w:val="0"/>
        <w:spacing w:before="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3"/>
      <w:r/>
      <w:bookmarkEnd w:id="4"/>
      <w:r/>
      <w:bookmarkEnd w:id="5"/>
      <w:r/>
      <w:bookmarkEnd w:id="6"/>
      <w:r/>
      <w:r/>
    </w:p>
    <w:p>
      <w:pPr>
        <w:ind w:firstLine="48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JSZC-320481-XYNN-G2026-000</w:t>
      </w:r>
      <w:r>
        <w:rPr>
          <w:rFonts w:hint="eastAsia" w:ascii="宋体" w:hAnsi="宋体" w:cs="宋体"/>
          <w:color w:val="000000"/>
          <w:sz w:val="24"/>
          <w:szCs w:val="24"/>
          <w:highlight w:val="none"/>
          <w:lang w:val="en-US" w:eastAsia="zh-CN"/>
        </w:rPr>
        <w:t xml:space="preserve">4</w:t>
      </w:r>
      <w:r/>
    </w:p>
    <w:p>
      <w:pPr>
        <w:ind w:firstLine="480"/>
        <w:pageBreakBefore w:val="0"/>
        <w:spacing w:line="460" w:lineRule="exact"/>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eastAsia="zh-CN"/>
        </w:rPr>
        <w:t xml:space="preserve">溧阳市残疾人商业补充保险</w:t>
      </w:r>
      <w:r/>
    </w:p>
    <w:p>
      <w:pPr>
        <w:ind w:firstLine="480"/>
        <w:pageBreakBefore w:val="0"/>
        <w:spacing w:line="460" w:lineRule="exact"/>
        <w:rPr>
          <w:rFonts w:hint="default"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u w:val="none"/>
          <w:lang w:val="en-US" w:eastAsia="zh-CN"/>
        </w:rPr>
        <w:t xml:space="preserve">3.采购方式：竞争性磋商</w:t>
      </w:r>
      <w:bookmarkEnd w:id="7"/>
      <w:r/>
      <w:r/>
    </w:p>
    <w:p>
      <w:pPr>
        <w:ind w:firstLine="48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.项目预算金额：</w:t>
      </w:r>
      <w:r>
        <w:rPr>
          <w:rFonts w:hint="eastAsia" w:ascii="宋体" w:hAnsi="宋体" w:cs="宋体"/>
          <w:color w:val="000000"/>
          <w:sz w:val="24"/>
          <w:szCs w:val="24"/>
          <w:highlight w:val="none"/>
          <w:lang w:val="en-US" w:eastAsia="zh-CN"/>
        </w:rPr>
        <w:t xml:space="preserve">260</w:t>
      </w:r>
      <w:r>
        <w:rPr>
          <w:rFonts w:hint="eastAsia" w:ascii="宋体" w:hAnsi="宋体" w:eastAsia="宋体" w:cs="宋体"/>
          <w:color w:val="000000"/>
          <w:sz w:val="24"/>
          <w:szCs w:val="24"/>
          <w:highlight w:val="none"/>
          <w:lang w:val="en-US" w:eastAsia="zh-CN"/>
        </w:rPr>
        <w:t xml:space="preserve">万元，固定价格，投标报价不得发生偏离</w:t>
      </w:r>
      <w:r>
        <w:rPr>
          <w:rFonts w:hint="eastAsia" w:ascii="宋体" w:hAnsi="宋体" w:eastAsia="宋体" w:cs="宋体"/>
          <w:color w:val="000000"/>
          <w:sz w:val="24"/>
          <w:szCs w:val="24"/>
          <w:highlight w:val="none"/>
          <w:lang w:eastAsia="zh-CN"/>
        </w:rPr>
        <w:t xml:space="preserve">。</w:t>
      </w:r>
      <w:r/>
    </w:p>
    <w:p>
      <w:pPr>
        <w:ind w:firstLine="48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.采购需求：残疾人意外伤害险、残疾人大病补充保险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详见采购需求</w:t>
      </w:r>
      <w:r>
        <w:rPr>
          <w:rFonts w:hint="eastAsia" w:ascii="宋体" w:hAnsi="宋体" w:eastAsia="宋体" w:cs="宋体"/>
          <w:color w:val="000000"/>
          <w:sz w:val="24"/>
          <w:szCs w:val="24"/>
          <w:highlight w:val="none"/>
          <w:lang w:eastAsia="zh-CN"/>
        </w:rPr>
        <w:t xml:space="preserve">。</w:t>
      </w:r>
      <w:r/>
    </w:p>
    <w:p>
      <w:pPr>
        <w:ind w:firstLine="48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年。</w:t>
      </w:r>
      <w:r/>
    </w:p>
    <w:p>
      <w:pPr>
        <w:numPr>
          <w:ilvl w:val="0"/>
          <w:numId w:val="0"/>
        </w:numPr>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.本项目是否接受联合体：否。</w:t>
      </w:r>
      <w:r/>
    </w:p>
    <w:p>
      <w:pPr>
        <w:ind w:firstLine="480"/>
        <w:pageBreakBefore w:val="0"/>
        <w:spacing w:line="460" w:lineRule="exact"/>
        <w:rPr>
          <w:rFonts w:hint="eastAsia" w:ascii="宋体" w:hAnsi="宋体" w:eastAsia="宋体" w:cs="宋体"/>
          <w:color w:val="000000"/>
          <w:sz w:val="24"/>
          <w:szCs w:val="24"/>
          <w:highlight w:val="none"/>
        </w:rPr>
      </w:pPr>
      <w:r/>
      <w:bookmarkStart w:id="8" w:name="_Toc28359003"/>
      <w:r/>
      <w:bookmarkStart w:id="9" w:name="_Toc35393622"/>
      <w:r/>
      <w:bookmarkStart w:id="10" w:name="_Toc28359080"/>
      <w:r/>
      <w:bookmarkStart w:id="11" w:name="_Toc35393791"/>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.本项目是否接受进口产品响应：否。</w:t>
      </w:r>
      <w:r/>
    </w:p>
    <w:p>
      <w:pPr>
        <w:pStyle w:val="1142"/>
        <w:jc w:val="left"/>
        <w:pageBreakBefore w:val="0"/>
        <w:spacing w:before="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w:t>
      </w:r>
      <w:bookmarkEnd w:id="8"/>
      <w:r/>
      <w:bookmarkEnd w:id="9"/>
      <w:r/>
      <w:bookmarkEnd w:id="10"/>
      <w:r/>
      <w:bookmarkEnd w:id="11"/>
      <w:r/>
      <w:r/>
    </w:p>
    <w:p>
      <w:pPr>
        <w:ind w:firstLine="480"/>
        <w:pageBreakBefore w:val="0"/>
        <w:spacing w:line="460" w:lineRule="exact"/>
        <w:rPr>
          <w:rFonts w:hint="eastAsia" w:ascii="宋体" w:hAnsi="宋体" w:eastAsia="宋体" w:cs="宋体"/>
          <w:color w:val="000000"/>
          <w:sz w:val="24"/>
          <w:szCs w:val="24"/>
          <w:highlight w:val="none"/>
        </w:rPr>
      </w:pPr>
      <w:r/>
      <w:bookmarkStart w:id="12" w:name="_Toc28359081"/>
      <w:r/>
      <w:bookmarkStart w:id="13" w:name="_Toc28359004"/>
      <w:r>
        <w:rPr>
          <w:rFonts w:hint="eastAsia" w:ascii="宋体" w:hAnsi="宋体" w:eastAsia="宋体" w:cs="宋体"/>
          <w:color w:val="000000"/>
          <w:sz w:val="24"/>
          <w:szCs w:val="24"/>
          <w:highlight w:val="none"/>
        </w:rPr>
        <w:t xml:space="preserve">1.满足《中华人民共和国政府采购法》第二十二条规定以及下列情形：</w:t>
      </w:r>
      <w:r/>
    </w:p>
    <w:p>
      <w:pPr>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bookmarkEnd w:id="12"/>
      <w:r/>
      <w:bookmarkEnd w:id="13"/>
      <w:r/>
      <w:r/>
    </w:p>
    <w:p>
      <w:pPr>
        <w:ind w:firstLine="480"/>
        <w:spacing w:line="360" w:lineRule="auto"/>
        <w:rPr>
          <w:rFonts w:hint="eastAsia" w:eastAsia="宋体"/>
          <w:sz w:val="24"/>
          <w:lang w:eastAsia="zh-CN"/>
        </w:rPr>
      </w:pPr>
      <w:r/>
      <w:bookmarkStart w:id="14" w:name="_Toc35393792"/>
      <w:r/>
      <w:bookmarkStart w:id="15" w:name="_Toc35393623"/>
      <w:r>
        <w:rPr>
          <w:sz w:val="24"/>
        </w:rPr>
        <w:t xml:space="preserve">2.落实政府采购政策需满足的资格要求：</w:t>
      </w:r>
      <w:r>
        <w:rPr>
          <w:rFonts w:hint="eastAsia"/>
          <w:b/>
          <w:bCs/>
          <w:sz w:val="24"/>
        </w:rPr>
        <w:t xml:space="preserve">本项目</w:t>
      </w:r>
      <w:r>
        <w:rPr>
          <w:rFonts w:hint="eastAsia"/>
          <w:b/>
          <w:bCs/>
          <w:sz w:val="24"/>
          <w:lang w:val="en-US" w:eastAsia="zh-CN"/>
        </w:rPr>
        <w:t xml:space="preserve">不</w:t>
      </w:r>
      <w:r>
        <w:rPr>
          <w:rFonts w:hint="eastAsia"/>
          <w:b/>
          <w:bCs/>
          <w:sz w:val="24"/>
        </w:rPr>
        <w:t xml:space="preserve">专门面向中小企业</w:t>
      </w:r>
      <w:r>
        <w:rPr>
          <w:rFonts w:hint="eastAsia"/>
          <w:b/>
          <w:bCs/>
          <w:sz w:val="24"/>
          <w:lang w:val="en-US" w:eastAsia="zh-CN"/>
        </w:rPr>
        <w:t xml:space="preserve">预留</w:t>
      </w:r>
      <w:r>
        <w:rPr>
          <w:rFonts w:hint="eastAsia"/>
          <w:b/>
          <w:bCs/>
          <w:sz w:val="24"/>
        </w:rPr>
        <w:t xml:space="preserve">采购</w:t>
      </w:r>
      <w:r>
        <w:rPr>
          <w:rFonts w:hint="eastAsia"/>
          <w:b/>
          <w:bCs/>
          <w:sz w:val="24"/>
          <w:lang w:val="en-US" w:eastAsia="zh-CN"/>
        </w:rPr>
        <w:t xml:space="preserve">份额</w:t>
      </w:r>
      <w:r>
        <w:rPr>
          <w:rFonts w:hint="eastAsia"/>
          <w:b/>
          <w:bCs/>
          <w:sz w:val="24"/>
          <w:lang w:eastAsia="zh-CN"/>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rPr>
          <w:rFonts w:hint="eastAsia"/>
          <w:sz w:val="24"/>
          <w:lang w:val="en-US" w:eastAsia="zh-CN"/>
        </w:rPr>
        <w:t xml:space="preserve">是</w:t>
      </w:r>
      <w:r>
        <w:rPr>
          <w:sz w:val="24"/>
        </w:rPr>
        <w:t xml:space="preserve">；</w:t>
      </w:r>
      <w:r/>
    </w:p>
    <w:p>
      <w:pPr>
        <w:ind w:firstLine="480"/>
        <w:spacing w:line="360" w:lineRule="auto"/>
        <w:tabs>
          <w:tab w:val="left" w:pos="900" w:leader="none"/>
          <w:tab w:val="left" w:pos="1134" w:leader="none"/>
          <w:tab w:val="left" w:pos="1589" w:leader="none"/>
          <w:tab w:val="left" w:pos="5521" w:leader="none"/>
        </w:tabs>
        <w:rPr>
          <w:rFonts w:eastAsia="宋体"/>
          <w:sz w:val="24"/>
          <w:lang w:val="en-US" w:eastAsia="zh-CN"/>
        </w:rPr>
      </w:pPr>
      <w:r>
        <w:rPr>
          <w:sz w:val="24"/>
        </w:rPr>
        <w:t xml:space="preserve">3.2 本项目是否属于政府购买服务：</w:t>
      </w:r>
      <w:r>
        <w:rPr>
          <w:rFonts w:hint="eastAsia"/>
          <w:sz w:val="24"/>
          <w:lang w:val="en-US" w:eastAsia="zh-CN"/>
        </w:rPr>
        <w:t xml:space="preserve">否，</w:t>
      </w:r>
      <w:r>
        <w:rPr>
          <w:rFonts w:hint="eastAsia" w:ascii="宋体" w:hAnsi="宋体" w:eastAsia="宋体" w:cs="宋体"/>
          <w:color w:val="000000"/>
          <w:sz w:val="24"/>
          <w:highlight w:val="none"/>
        </w:rPr>
        <w:t xml:space="preserve">公益一类事业单位、使用事业编制且由财政拨款保障的群团组织，不得作为承接主体。</w:t>
      </w:r>
      <w:r>
        <w:rPr>
          <w:rFonts w:hint="eastAsia"/>
          <w:sz w:val="24"/>
          <w:lang w:val="en-US" w:eastAsia="zh-CN"/>
        </w:rPr>
        <w:t xml:space="preserve">  </w:t>
      </w:r>
      <w:r/>
    </w:p>
    <w:p>
      <w:pPr>
        <w:ind w:firstLine="480"/>
        <w:spacing w:line="360" w:lineRule="auto"/>
        <w:tabs>
          <w:tab w:val="left" w:pos="900" w:leader="none"/>
          <w:tab w:val="left" w:pos="1134" w:leader="none"/>
          <w:tab w:val="left" w:pos="1589" w:leader="none"/>
          <w:tab w:val="left" w:pos="5521" w:leader="none"/>
        </w:tabs>
        <w:rPr>
          <w:rFonts w:hint="eastAsia" w:eastAsia="宋体"/>
          <w:highlight w:val="none"/>
          <w:lang w:val="en-US" w:eastAsia="zh-CN"/>
        </w:rPr>
      </w:pPr>
      <w:r>
        <w:rPr>
          <w:rFonts w:ascii="Times New Roman" w:hAnsi="Times New Roman" w:eastAsia="宋体" w:cs="Times New Roman"/>
          <w:sz w:val="24"/>
          <w:highlight w:val="none"/>
        </w:rPr>
        <w:t xml:space="preserve">3.3其他特定资格要求：</w:t>
      </w:r>
      <w:r>
        <w:rPr>
          <w:rFonts w:hint="eastAsia" w:ascii="宋体" w:hAnsi="宋体" w:eastAsia="宋体" w:cs="仿宋"/>
          <w:b/>
          <w:bCs/>
          <w:color w:val="000000"/>
          <w:sz w:val="24"/>
          <w:highlight w:val="none"/>
          <w:lang w:val="en-US" w:eastAsia="zh-CN" w:bidi="ar"/>
        </w:rPr>
        <w:t xml:space="preserve">具有</w:t>
      </w:r>
      <w:r>
        <w:rPr>
          <w:rFonts w:hint="eastAsia" w:ascii="宋体" w:hAnsi="宋体" w:eastAsia="宋体" w:cs="宋体"/>
          <w:b/>
          <w:bCs/>
          <w:color w:val="000000"/>
          <w:sz w:val="24"/>
          <w:highlight w:val="none"/>
        </w:rPr>
        <w:t xml:space="preserve">国家</w:t>
      </w:r>
      <w:r>
        <w:rPr>
          <w:rFonts w:hint="eastAsia"/>
          <w:b/>
          <w:bCs/>
          <w:sz w:val="24"/>
        </w:rPr>
        <w:t xml:space="preserve">保险监督管理委员会颁发的《保险许可证》，且有该项目所有保险责任经营的相关许可</w:t>
      </w:r>
      <w:r>
        <w:rPr>
          <w:rFonts w:hint="eastAsia"/>
          <w:sz w:val="24"/>
        </w:rPr>
        <w:t xml:space="preserve">。</w:t>
      </w:r>
      <w:r/>
    </w:p>
    <w:p>
      <w:pPr>
        <w:pStyle w:val="1142"/>
        <w:jc w:val="left"/>
        <w:pageBreakBefore w:val="0"/>
        <w:spacing w:before="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三、获取采购文件</w:t>
      </w:r>
      <w:bookmarkEnd w:id="14"/>
      <w:r/>
      <w:bookmarkEnd w:id="15"/>
      <w:r/>
      <w:r/>
    </w:p>
    <w:p>
      <w:pPr>
        <w:numPr>
          <w:ilvl w:val="0"/>
          <w:numId w:val="0"/>
        </w:numPr>
        <w:ind w:firstLine="480"/>
        <w:pageBreakBefore w:val="0"/>
        <w:spacing w:line="46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1.时间：自本公告发布之日起五个工作日 。</w:t>
      </w:r>
      <w:r/>
    </w:p>
    <w:p>
      <w:pPr>
        <w:numPr>
          <w:ilvl w:val="0"/>
          <w:numId w:val="0"/>
        </w:numPr>
        <w:ind w:firstLine="480"/>
        <w:pageBreakBefore w:val="0"/>
        <w:spacing w:line="460" w:lineRule="exact"/>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2.方式：</w:t>
      </w:r>
      <w:bookmarkStart w:id="16" w:name="_Toc28359012"/>
      <w:r/>
      <w:bookmarkStart w:id="17" w:name="_Toc35393798"/>
      <w:r/>
      <w:bookmarkStart w:id="18" w:name="_Toc28359089"/>
      <w:r/>
      <w:bookmarkStart w:id="19" w:name="_Toc35393629"/>
      <w:r>
        <w:rPr>
          <w:rFonts w:hint="eastAsia" w:ascii="宋体" w:hAnsi="宋体" w:eastAsia="宋体" w:cs="宋体"/>
          <w:b w:val="0"/>
          <w:color w:val="000000"/>
          <w:sz w:val="24"/>
          <w:szCs w:val="24"/>
          <w:highlight w:val="none"/>
          <w:lang w:val="en-US" w:eastAsia="zh-CN" w:bidi="ar-SA"/>
        </w:rPr>
        <w:t xml:space="preserve">供应商持CA数字认证证书登录“苏采云”系统</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http://jszfcg.jsczt.cn/jszc/login</w:t>
      </w:r>
      <w:r>
        <w:rPr>
          <w:rFonts w:ascii="宋体" w:hAnsi="宋体" w:eastAsia="宋体" w:cs="宋体"/>
          <w:color w:val="000000"/>
          <w:sz w:val="24"/>
        </w:rPr>
        <w:t xml:space="preserve">）</w:t>
      </w:r>
      <w:r>
        <w:rPr>
          <w:rFonts w:hint="eastAsia" w:ascii="宋体" w:hAnsi="宋体" w:eastAsia="宋体" w:cs="宋体"/>
          <w:b w:val="0"/>
          <w:color w:val="000000"/>
          <w:sz w:val="24"/>
          <w:szCs w:val="24"/>
          <w:highlight w:val="none"/>
          <w:lang w:val="en-US" w:eastAsia="zh-CN" w:bidi="ar-SA"/>
        </w:rPr>
        <w:t xml:space="preserve">获取电子版招标文件</w:t>
      </w:r>
      <w:bookmarkEnd w:id="16"/>
      <w:r/>
      <w:bookmarkEnd w:id="17"/>
      <w:r/>
      <w:bookmarkEnd w:id="18"/>
      <w:r/>
      <w:bookmarkEnd w:id="19"/>
      <w:r>
        <w:rPr>
          <w:rFonts w:hint="eastAsia" w:ascii="宋体" w:hAnsi="宋体" w:eastAsia="宋体" w:cs="宋体"/>
          <w:b w:val="0"/>
          <w:color w:val="000000"/>
          <w:sz w:val="24"/>
          <w:szCs w:val="24"/>
          <w:highlight w:val="none"/>
          <w:lang w:val="en-US" w:eastAsia="zh-CN" w:bidi="ar-SA"/>
        </w:rPr>
        <w:t xml:space="preserve">。</w:t>
      </w:r>
      <w:r/>
    </w:p>
    <w:p>
      <w:pPr>
        <w:numPr>
          <w:ilvl w:val="0"/>
          <w:numId w:val="0"/>
        </w:numPr>
        <w:ind w:firstLine="480"/>
        <w:pageBreakBefore w:val="0"/>
        <w:spacing w:line="460" w:lineRule="exact"/>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3.售价：0元。</w:t>
      </w:r>
      <w:r/>
    </w:p>
    <w:p>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p>
    <w:p>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截止时间：</w:t>
      </w:r>
      <w:r>
        <w:rPr>
          <w:rFonts w:hint="eastAsia" w:ascii="宋体" w:hAnsi="宋体" w:eastAsia="宋体" w:cs="宋体"/>
          <w:color w:val="000000"/>
          <w:sz w:val="24"/>
          <w:szCs w:val="24"/>
          <w:highlight w:val="none"/>
          <w:lang w:val="en-US" w:eastAsia="zh-CN"/>
        </w:rPr>
        <w:t xml:space="preserve">2026年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日9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w:t>
      </w:r>
      <w:r/>
    </w:p>
    <w:p>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b w:val="0"/>
          <w:color w:val="000000"/>
          <w:sz w:val="24"/>
          <w:szCs w:val="24"/>
          <w:highlight w:val="none"/>
          <w:lang w:val="en-US" w:eastAsia="zh-CN" w:bidi="ar-SA"/>
        </w:rPr>
        <w:t xml:space="preserve">：本项目采用不见面交易方式，无需到现场提交，供应商登录“苏采云”系统供应商端，通过系统在线提交电子响应文件</w:t>
      </w:r>
      <w:r>
        <w:rPr>
          <w:rFonts w:hint="eastAsia" w:ascii="宋体" w:hAnsi="宋体" w:eastAsia="宋体" w:cs="宋体"/>
          <w:b w:val="0"/>
          <w:color w:val="000000"/>
          <w:sz w:val="24"/>
          <w:szCs w:val="24"/>
          <w:highlight w:val="none"/>
          <w:lang w:val="zh-TW" w:eastAsia="zh-CN" w:bidi="ar-SA"/>
        </w:rPr>
        <w:t xml:space="preserve">。</w:t>
      </w:r>
      <w:r/>
    </w:p>
    <w:p>
      <w:pPr>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五、开启</w:t>
      </w:r>
      <w:r/>
    </w:p>
    <w:p>
      <w:pPr>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日9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w:t>
      </w:r>
      <w:r/>
    </w:p>
    <w:p>
      <w:pPr>
        <w:pageBreakBefore w:val="0"/>
        <w:spacing w:line="46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地点：本项目采用不见面交易方式，供应商登录</w:t>
      </w:r>
      <w:r>
        <w:rPr>
          <w:rFonts w:hint="eastAsia" w:ascii="宋体" w:hAnsi="宋体" w:eastAsia="宋体" w:cs="宋体"/>
          <w:b w:val="0"/>
          <w:color w:val="000000"/>
          <w:sz w:val="24"/>
          <w:szCs w:val="24"/>
          <w:highlight w:val="none"/>
          <w:lang w:val="en-US" w:eastAsia="zh-CN" w:bidi="ar-SA"/>
        </w:rPr>
        <w:t xml:space="preserve">“苏采云”系统</w:t>
      </w:r>
      <w:r>
        <w:rPr>
          <w:rFonts w:hint="eastAsia" w:ascii="宋体" w:hAnsi="宋体" w:eastAsia="宋体" w:cs="宋体"/>
          <w:color w:val="000000"/>
          <w:sz w:val="24"/>
          <w:szCs w:val="24"/>
          <w:highlight w:val="none"/>
        </w:rPr>
        <w:t xml:space="preserve">供应商端，通过系统在线解密电子响应文件</w:t>
      </w:r>
      <w:r>
        <w:rPr>
          <w:rFonts w:hint="eastAsia" w:ascii="宋体" w:hAnsi="宋体" w:eastAsia="宋体" w:cs="宋体"/>
          <w:color w:val="000000"/>
          <w:sz w:val="24"/>
          <w:szCs w:val="24"/>
          <w:highlight w:val="none"/>
          <w:lang w:val="zh-TW"/>
        </w:rPr>
        <w:t xml:space="preserve">。</w:t>
      </w:r>
      <w:r/>
    </w:p>
    <w:p>
      <w:pPr>
        <w:pStyle w:val="1142"/>
        <w:jc w:val="left"/>
        <w:pageBreakBefore w:val="0"/>
        <w:spacing w:before="0" w:line="460" w:lineRule="exact"/>
        <w:rPr>
          <w:rFonts w:hint="eastAsia" w:ascii="宋体" w:hAnsi="宋体" w:eastAsia="宋体" w:cs="宋体"/>
          <w:color w:val="000000"/>
          <w:sz w:val="24"/>
          <w:szCs w:val="24"/>
          <w:highlight w:val="none"/>
        </w:rPr>
      </w:pPr>
      <w:r/>
      <w:bookmarkStart w:id="20" w:name="_Toc35393625"/>
      <w:r/>
      <w:bookmarkStart w:id="21" w:name="_Toc28359007"/>
      <w:r/>
      <w:bookmarkStart w:id="22" w:name="_Toc28359084"/>
      <w:r/>
      <w:bookmarkStart w:id="23" w:name="_Toc35393794"/>
      <w:r>
        <w:rPr>
          <w:rFonts w:hint="eastAsia" w:ascii="宋体" w:hAnsi="宋体" w:eastAsia="宋体" w:cs="宋体"/>
          <w:color w:val="000000"/>
          <w:sz w:val="24"/>
          <w:szCs w:val="24"/>
          <w:highlight w:val="none"/>
        </w:rPr>
        <w:t xml:space="preserve">六、公告期限</w:t>
      </w:r>
      <w:bookmarkEnd w:id="20"/>
      <w:r/>
      <w:bookmarkEnd w:id="21"/>
      <w:r/>
      <w:bookmarkEnd w:id="22"/>
      <w:r/>
      <w:bookmarkEnd w:id="23"/>
      <w:r/>
      <w:r/>
    </w:p>
    <w:p>
      <w:pPr>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p>
    <w:p>
      <w:pPr>
        <w:pStyle w:val="1142"/>
        <w:jc w:val="left"/>
        <w:pageBreakBefore w:val="0"/>
        <w:spacing w:before="0" w:line="460" w:lineRule="exact"/>
        <w:rPr>
          <w:rFonts w:hint="eastAsia" w:ascii="宋体" w:hAnsi="宋体" w:eastAsia="宋体" w:cs="宋体"/>
          <w:color w:val="000000"/>
          <w:sz w:val="24"/>
          <w:szCs w:val="24"/>
          <w:highlight w:val="none"/>
        </w:rPr>
      </w:pPr>
      <w:r/>
      <w:bookmarkStart w:id="24" w:name="_Toc35393626"/>
      <w:r/>
      <w:bookmarkStart w:id="25" w:name="_Toc35393795"/>
      <w:r>
        <w:rPr>
          <w:rFonts w:hint="eastAsia" w:ascii="宋体" w:hAnsi="宋体" w:eastAsia="宋体" w:cs="宋体"/>
          <w:color w:val="000000"/>
          <w:sz w:val="24"/>
          <w:szCs w:val="24"/>
          <w:highlight w:val="none"/>
        </w:rPr>
        <w:t xml:space="preserve">七、其他补充事宜</w:t>
      </w:r>
      <w:bookmarkEnd w:id="24"/>
      <w:r/>
      <w:bookmarkEnd w:id="25"/>
      <w:r/>
      <w:r/>
    </w:p>
    <w:p>
      <w:pPr>
        <w:ind w:firstLine="480"/>
        <w:spacing w:line="360" w:lineRule="auto"/>
        <w:rPr>
          <w:color w:val="000000"/>
          <w:sz w:val="24"/>
          <w:highlight w:val="none"/>
        </w:rPr>
      </w:pPr>
      <w:r/>
      <w:bookmarkStart w:id="26" w:name="OLE_LINK5"/>
      <w:r/>
      <w:bookmarkStart w:id="27" w:name="_Toc35393796"/>
      <w:r/>
      <w:bookmarkStart w:id="28" w:name="_Toc35393627"/>
      <w:r/>
      <w:bookmarkStart w:id="29" w:name="_Toc28359085"/>
      <w:r/>
      <w:bookmarkStart w:id="30" w:name="_Toc28359008"/>
      <w:r>
        <w:rPr>
          <w:color w:val="000000"/>
          <w:sz w:val="24"/>
          <w:highlight w:val="none"/>
        </w:rPr>
        <w:t xml:space="preserve">1.本项目需要落实的政府采购政策：</w:t>
      </w:r>
      <w:r>
        <w:rPr>
          <w:rFonts w:hint="eastAsia"/>
          <w:b/>
          <w:bCs/>
          <w:color w:val="000000"/>
          <w:sz w:val="24"/>
          <w:highlight w:val="none"/>
        </w:rPr>
        <w:t xml:space="preserve">本项目</w:t>
      </w:r>
      <w:r>
        <w:rPr>
          <w:rFonts w:hint="eastAsia"/>
          <w:b/>
          <w:bCs/>
          <w:color w:val="000000"/>
          <w:sz w:val="24"/>
          <w:highlight w:val="none"/>
          <w:lang w:val="en-US" w:eastAsia="zh-CN"/>
        </w:rPr>
        <w:t xml:space="preserve">不</w:t>
      </w:r>
      <w:r>
        <w:rPr>
          <w:rFonts w:hint="eastAsia"/>
          <w:b/>
          <w:bCs/>
          <w:color w:val="000000"/>
          <w:sz w:val="24"/>
          <w:highlight w:val="none"/>
        </w:rPr>
        <w:t xml:space="preserve">专门面向中小企业采购</w:t>
      </w:r>
      <w:r>
        <w:rPr>
          <w:color w:val="000000"/>
          <w:sz w:val="24"/>
          <w:highlight w:val="none"/>
          <w:lang w:bidi="ar"/>
        </w:rPr>
        <w:t xml:space="preserve">。</w:t>
      </w:r>
      <w:bookmarkEnd w:id="26"/>
      <w:r/>
      <w:r/>
    </w:p>
    <w:p>
      <w:pPr>
        <w:ind w:firstLine="480"/>
        <w:jc w:val="left"/>
        <w:spacing w:line="360" w:lineRule="auto"/>
        <w:widowControl/>
        <w:rPr>
          <w:bCs/>
          <w:sz w:val="24"/>
          <w:lang w:bidi="ar"/>
        </w:rPr>
      </w:pPr>
      <w:r>
        <w:rPr>
          <w:rFonts w:hint="eastAsia"/>
          <w:sz w:val="24"/>
          <w:lang w:val="en-US" w:eastAsia="zh-CN" w:bidi="ar"/>
        </w:rPr>
        <w:t xml:space="preserve">2</w:t>
      </w:r>
      <w:r>
        <w:rPr>
          <w:sz w:val="24"/>
          <w:lang w:bidi="ar"/>
        </w:rPr>
        <w:t xml:space="preserve">.本项目采用</w:t>
      </w:r>
      <w:r>
        <w:rPr>
          <w:rFonts w:hint="eastAsia"/>
          <w:sz w:val="24"/>
          <w:lang w:bidi="ar"/>
        </w:rPr>
        <w:t xml:space="preserve">不见面交易</w:t>
      </w:r>
      <w:r>
        <w:rPr>
          <w:sz w:val="24"/>
          <w:lang w:bidi="ar"/>
        </w:rPr>
        <w:t xml:space="preserve">方式，请供应商认真学习常州市政府采购</w:t>
      </w:r>
      <w:r>
        <w:rPr>
          <w:rFonts w:hint="eastAsia"/>
          <w:sz w:val="24"/>
          <w:lang w:bidi="ar"/>
        </w:rPr>
        <w:t xml:space="preserve">网</w:t>
      </w:r>
      <w:r>
        <w:rPr>
          <w:sz w:val="24"/>
          <w:lang w:bidi="ar"/>
        </w:rPr>
        <w:t xml:space="preserve">发布的相关操作手册，办理CA认证证书、进行常州市政府采购业务管理平台注册绑定，并认真核实</w:t>
      </w:r>
      <w:r>
        <w:rPr>
          <w:bCs/>
          <w:sz w:val="24"/>
          <w:lang w:bidi="ar"/>
        </w:rPr>
        <w:t xml:space="preserve">数字认证证书情况确认是否符合本项目电子化采购流程要求。</w:t>
      </w:r>
      <w:r/>
    </w:p>
    <w:p>
      <w:pPr>
        <w:ind w:firstLine="480"/>
        <w:spacing w:line="360" w:lineRule="auto"/>
        <w:rPr>
          <w:sz w:val="24"/>
        </w:rPr>
      </w:pPr>
      <w:r>
        <w:rPr>
          <w:sz w:val="24"/>
          <w:lang w:bidi="ar"/>
        </w:rPr>
        <w:t xml:space="preserve">技术支持服务热线    </w:t>
      </w:r>
      <w:r>
        <w:rPr>
          <w:rFonts w:hint="eastAsia"/>
          <w:sz w:val="24"/>
          <w:lang w:bidi="ar"/>
        </w:rPr>
        <w:t xml:space="preserve">0519-85588210</w:t>
      </w:r>
      <w:r/>
    </w:p>
    <w:p>
      <w:pPr>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0519  85588120</w:t>
      </w:r>
      <w:r/>
    </w:p>
    <w:p>
      <w:pPr>
        <w:ind w:firstLine="480"/>
        <w:jc w:val="left"/>
        <w:spacing w:line="360" w:lineRule="auto"/>
        <w:widowControl/>
        <w:rPr>
          <w:sz w:val="24"/>
          <w:lang w:bidi="ar"/>
        </w:rPr>
      </w:pPr>
      <w:r>
        <w:rPr>
          <w:rFonts w:hint="eastAsia"/>
          <w:sz w:val="24"/>
          <w:lang w:val="en-US" w:eastAsia="zh-CN" w:bidi="ar"/>
        </w:rPr>
        <w:t xml:space="preserve">2</w:t>
      </w:r>
      <w:r>
        <w:rPr>
          <w:sz w:val="24"/>
          <w:lang w:bidi="ar"/>
        </w:rPr>
        <w:t xml:space="preserve">.1办理CA认证证书</w:t>
      </w:r>
      <w:r/>
    </w:p>
    <w:p>
      <w:pPr>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网“下载中心”下载并查阅</w:t>
      </w:r>
      <w:r>
        <w:rPr>
          <w:sz w:val="24"/>
          <w:lang w:bidi="ar"/>
        </w:rPr>
        <w:t xml:space="preserve"> “</w:t>
      </w:r>
      <w:r>
        <w:rPr>
          <w:rFonts w:hint="eastAsia" w:ascii="宋体" w:hAnsi="宋体"/>
          <w:sz w:val="24"/>
        </w:rPr>
        <w:t xml:space="preserve">常州市政府采购业务管理平台</w:t>
      </w:r>
      <w:r>
        <w:rPr>
          <w:sz w:val="24"/>
          <w:lang w:bidi="ar"/>
        </w:rPr>
        <w:t xml:space="preserve">（供应商）国信CA证书办理指南”，按照程序要求办理。</w:t>
      </w:r>
      <w:r/>
    </w:p>
    <w:p>
      <w:pPr>
        <w:ind w:firstLine="480"/>
        <w:spacing w:line="360" w:lineRule="auto"/>
        <w:rPr>
          <w:sz w:val="24"/>
          <w:lang w:bidi="ar"/>
        </w:rPr>
      </w:pPr>
      <w:r>
        <w:rPr>
          <w:rFonts w:hint="eastAsia"/>
          <w:sz w:val="24"/>
          <w:lang w:val="en-US" w:eastAsia="zh-CN" w:bidi="ar"/>
        </w:rPr>
        <w:t xml:space="preserve">2</w:t>
      </w:r>
      <w:r>
        <w:rPr>
          <w:sz w:val="24"/>
          <w:lang w:bidi="ar"/>
        </w:rPr>
        <w:t xml:space="preserve">.2注册</w:t>
      </w:r>
      <w:r/>
    </w:p>
    <w:p>
      <w:pPr>
        <w:ind w:firstLine="480"/>
        <w:spacing w:line="360" w:lineRule="auto"/>
        <w:rPr>
          <w:sz w:val="24"/>
        </w:rPr>
      </w:pPr>
      <w:r>
        <w:rPr>
          <w:sz w:val="24"/>
          <w:lang w:bidi="ar"/>
        </w:rPr>
        <w:t xml:space="preserve">供应商登录常州市政府采购</w:t>
      </w:r>
      <w:r>
        <w:rPr>
          <w:rFonts w:hint="eastAsia"/>
          <w:sz w:val="24"/>
          <w:lang w:bidi="ar"/>
        </w:rPr>
        <w:t xml:space="preserve">网“下载中心”-“</w:t>
      </w:r>
      <w:r>
        <w:rPr>
          <w:rFonts w:hint="eastAsia" w:ascii="宋体" w:hAnsi="宋体"/>
          <w:sz w:val="24"/>
        </w:rPr>
        <w:t xml:space="preserve">常州市政府采购业务管理平台</w:t>
      </w:r>
      <w:r>
        <w:rPr>
          <w:sz w:val="24"/>
          <w:lang w:bidi="ar"/>
        </w:rPr>
        <w:t xml:space="preserve">供应商操作指南</w:t>
      </w:r>
      <w:r>
        <w:rPr>
          <w:rFonts w:hint="eastAsia"/>
          <w:sz w:val="24"/>
          <w:lang w:bidi="ar"/>
        </w:rPr>
        <w:t xml:space="preserve">”下载相关操作手册、操作视频等，查阅后</w:t>
      </w:r>
      <w:r>
        <w:rPr>
          <w:sz w:val="24"/>
          <w:lang w:bidi="ar"/>
        </w:rPr>
        <w:t xml:space="preserve">进行自助注册。</w:t>
      </w:r>
      <w:r/>
    </w:p>
    <w:p>
      <w:pPr>
        <w:ind w:firstLine="480"/>
        <w:jc w:val="left"/>
        <w:spacing w:line="360" w:lineRule="auto"/>
        <w:widowControl/>
        <w:rPr>
          <w:sz w:val="24"/>
          <w:lang w:bidi="ar"/>
        </w:rPr>
      </w:pPr>
      <w:r>
        <w:rPr>
          <w:rFonts w:hint="eastAsia"/>
          <w:sz w:val="24"/>
          <w:lang w:val="en-US" w:eastAsia="zh-CN" w:bidi="ar"/>
        </w:rPr>
        <w:t xml:space="preserve">2</w:t>
      </w:r>
      <w:r>
        <w:rPr>
          <w:sz w:val="24"/>
          <w:lang w:bidi="ar"/>
        </w:rPr>
        <w:t xml:space="preserve">.3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w:t>
      </w:r>
      <w:r>
        <w:rPr>
          <w:rFonts w:hint="eastAsia" w:ascii="宋体" w:hAnsi="宋体"/>
          <w:sz w:val="24"/>
        </w:rPr>
        <w:t xml:space="preserve">常州市政府采购业务管理平台</w:t>
      </w:r>
      <w:r>
        <w:rPr>
          <w:sz w:val="24"/>
          <w:lang w:bidi="ar"/>
        </w:rPr>
        <w:t xml:space="preserve">供应商客户端下载下载</w:t>
      </w:r>
      <w:r>
        <w:rPr>
          <w:rFonts w:hint="eastAsia"/>
          <w:sz w:val="24"/>
          <w:lang w:bidi="ar"/>
        </w:rPr>
        <w:t xml:space="preserve">”下载</w:t>
      </w:r>
      <w:r>
        <w:rPr>
          <w:sz w:val="24"/>
          <w:lang w:bidi="ar"/>
        </w:rPr>
        <w:t xml:space="preserve">相关</w:t>
      </w:r>
      <w:r>
        <w:rPr>
          <w:rFonts w:hint="eastAsia"/>
          <w:sz w:val="24"/>
          <w:lang w:bidi="ar"/>
        </w:rPr>
        <w:t xml:space="preserve">控件和客户端</w:t>
      </w:r>
      <w:r>
        <w:rPr>
          <w:sz w:val="24"/>
          <w:lang w:bidi="ar"/>
        </w:rPr>
        <w:t xml:space="preserve">。</w:t>
      </w:r>
      <w:r/>
    </w:p>
    <w:p>
      <w:pPr>
        <w:ind w:firstLine="480"/>
        <w:spacing w:line="360" w:lineRule="auto"/>
        <w:rPr>
          <w:sz w:val="24"/>
          <w:lang w:bidi="ar"/>
        </w:rPr>
      </w:pPr>
      <w:r>
        <w:rPr>
          <w:rFonts w:hint="eastAsia"/>
          <w:sz w:val="24"/>
          <w:lang w:val="en-US" w:eastAsia="zh-CN" w:bidi="ar"/>
        </w:rPr>
        <w:t xml:space="preserve">2</w:t>
      </w:r>
      <w:r>
        <w:rPr>
          <w:sz w:val="24"/>
          <w:lang w:bidi="ar"/>
        </w:rPr>
        <w:t xml:space="preserve">.4 获取电子</w:t>
      </w:r>
      <w:r>
        <w:rPr>
          <w:rFonts w:hint="eastAsia"/>
          <w:sz w:val="24"/>
          <w:lang w:val="en-US" w:eastAsia="zh-CN" w:bidi="ar"/>
        </w:rPr>
        <w:t xml:space="preserve">磋商</w:t>
      </w:r>
      <w:r>
        <w:rPr>
          <w:sz w:val="24"/>
          <w:lang w:bidi="ar"/>
        </w:rPr>
        <w:t xml:space="preserve">文件</w:t>
      </w:r>
      <w:r/>
    </w:p>
    <w:p>
      <w:pPr>
        <w:ind w:firstLine="480"/>
        <w:spacing w:line="360" w:lineRule="auto"/>
        <w:rPr>
          <w:sz w:val="24"/>
          <w:lang w:bidi="ar"/>
        </w:rPr>
      </w:pPr>
      <w:r>
        <w:rPr>
          <w:sz w:val="24"/>
          <w:lang w:bidi="ar"/>
        </w:rPr>
        <w:t xml:space="preserve">供应商持CA数字认证证书登录常州市政府采购业务管理平台获取电子</w:t>
      </w:r>
      <w:r>
        <w:rPr>
          <w:rFonts w:hint="eastAsia"/>
          <w:sz w:val="24"/>
          <w:lang w:val="en-US" w:eastAsia="zh-CN" w:bidi="ar"/>
        </w:rPr>
        <w:t xml:space="preserve">磋商</w:t>
      </w:r>
      <w:r>
        <w:rPr>
          <w:sz w:val="24"/>
          <w:lang w:bidi="ar"/>
        </w:rPr>
        <w:t xml:space="preserve">文件。未在规定期限内通过常州市政府采购业务管理平台获取</w:t>
      </w:r>
      <w:r>
        <w:rPr>
          <w:rFonts w:hint="eastAsia"/>
          <w:sz w:val="24"/>
          <w:lang w:val="en-US" w:eastAsia="zh-CN" w:bidi="ar"/>
        </w:rPr>
        <w:t xml:space="preserve">磋商</w:t>
      </w:r>
      <w:r>
        <w:rPr>
          <w:sz w:val="24"/>
          <w:lang w:bidi="ar"/>
        </w:rPr>
        <w:t xml:space="preserve">文件的</w:t>
      </w:r>
      <w:r>
        <w:rPr>
          <w:b/>
          <w:sz w:val="24"/>
          <w:lang w:bidi="ar"/>
        </w:rPr>
        <w:t xml:space="preserve">投标无效</w:t>
      </w:r>
      <w:r>
        <w:rPr>
          <w:sz w:val="24"/>
          <w:lang w:bidi="ar"/>
        </w:rPr>
        <w:t xml:space="preserve">。</w:t>
      </w:r>
      <w:r/>
    </w:p>
    <w:p>
      <w:pPr>
        <w:ind w:firstLine="480"/>
        <w:spacing w:line="360" w:lineRule="auto"/>
        <w:rPr>
          <w:sz w:val="24"/>
          <w:lang w:bidi="ar"/>
        </w:rPr>
      </w:pPr>
      <w:r>
        <w:rPr>
          <w:rFonts w:hint="eastAsia"/>
          <w:sz w:val="24"/>
          <w:lang w:val="en-US" w:eastAsia="zh-CN" w:bidi="ar"/>
        </w:rPr>
        <w:t xml:space="preserve">2</w:t>
      </w:r>
      <w:r>
        <w:rPr>
          <w:sz w:val="24"/>
          <w:lang w:bidi="ar"/>
        </w:rPr>
        <w:t xml:space="preserve">.5编制电子</w:t>
      </w:r>
      <w:r>
        <w:rPr>
          <w:rFonts w:hint="eastAsia"/>
          <w:sz w:val="24"/>
          <w:lang w:val="en-US" w:eastAsia="zh-CN" w:bidi="ar"/>
        </w:rPr>
        <w:t xml:space="preserve">响应</w:t>
      </w:r>
      <w:r>
        <w:rPr>
          <w:sz w:val="24"/>
          <w:lang w:bidi="ar"/>
        </w:rPr>
        <w:t xml:space="preserve">文件</w:t>
      </w:r>
      <w:r/>
    </w:p>
    <w:p>
      <w:pPr>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w:t>
      </w:r>
      <w:r>
        <w:rPr>
          <w:rFonts w:hint="eastAsia"/>
          <w:sz w:val="24"/>
          <w:lang w:val="en-US" w:eastAsia="zh-CN" w:bidi="ar"/>
        </w:rPr>
        <w:t xml:space="preserve">响应</w:t>
      </w:r>
      <w:r>
        <w:rPr>
          <w:sz w:val="24"/>
          <w:lang w:bidi="ar"/>
        </w:rPr>
        <w:t xml:space="preserve">文件并进行线上投标，供应商电子</w:t>
      </w:r>
      <w:r>
        <w:rPr>
          <w:rFonts w:hint="eastAsia"/>
          <w:sz w:val="24"/>
          <w:lang w:val="en-US" w:eastAsia="zh-CN" w:bidi="ar"/>
        </w:rPr>
        <w:t xml:space="preserve">响应</w:t>
      </w:r>
      <w:r>
        <w:rPr>
          <w:sz w:val="24"/>
          <w:lang w:bidi="ar"/>
        </w:rPr>
        <w:t xml:space="preserve">文件需要加密并加盖电子签章</w:t>
      </w:r>
      <w:r>
        <w:rPr>
          <w:bCs/>
          <w:sz w:val="24"/>
          <w:lang w:bidi="ar"/>
        </w:rPr>
        <w:t xml:space="preserve">，如无法按照要求在电子</w:t>
      </w:r>
      <w:r>
        <w:rPr>
          <w:rFonts w:hint="eastAsia"/>
          <w:bCs/>
          <w:sz w:val="24"/>
          <w:lang w:val="en-US" w:eastAsia="zh-CN" w:bidi="ar"/>
        </w:rPr>
        <w:t xml:space="preserve">响应</w:t>
      </w:r>
      <w:r>
        <w:rPr>
          <w:bCs/>
          <w:sz w:val="24"/>
          <w:lang w:bidi="ar"/>
        </w:rPr>
        <w:t xml:space="preserve">文件中加盖电子签章和加密，请及时通过技术支持服务热线联系技术人员</w:t>
      </w:r>
      <w:r>
        <w:rPr>
          <w:sz w:val="24"/>
          <w:lang w:bidi="ar"/>
        </w:rPr>
        <w:t xml:space="preserve">。</w:t>
      </w:r>
      <w:r/>
    </w:p>
    <w:p>
      <w:pPr>
        <w:ind w:firstLine="480"/>
        <w:jc w:val="left"/>
        <w:spacing w:line="360" w:lineRule="auto"/>
        <w:widowControl/>
        <w:rPr>
          <w:sz w:val="24"/>
          <w:lang w:val="zh-TW" w:bidi="ar"/>
        </w:rPr>
      </w:pPr>
      <w:r>
        <w:rPr>
          <w:rFonts w:hint="eastAsia"/>
          <w:sz w:val="24"/>
          <w:lang w:val="en-US" w:eastAsia="zh-CN" w:bidi="ar"/>
        </w:rPr>
        <w:t xml:space="preserve">2</w:t>
      </w:r>
      <w:r>
        <w:rPr>
          <w:sz w:val="24"/>
          <w:lang w:val="zh-TW" w:eastAsia="zh-TW" w:bidi="ar"/>
        </w:rPr>
        <w:t xml:space="preserve">.6</w:t>
      </w:r>
      <w:r>
        <w:rPr>
          <w:sz w:val="24"/>
          <w:lang w:val="zh-TW" w:bidi="ar"/>
        </w:rPr>
        <w:t xml:space="preserve">提交电子</w:t>
      </w:r>
      <w:r>
        <w:rPr>
          <w:rFonts w:hint="eastAsia"/>
          <w:sz w:val="24"/>
          <w:lang w:val="en-US" w:eastAsia="zh-CN" w:bidi="ar"/>
        </w:rPr>
        <w:t xml:space="preserve">响应</w:t>
      </w:r>
      <w:r>
        <w:rPr>
          <w:sz w:val="24"/>
          <w:lang w:bidi="ar"/>
        </w:rPr>
        <w:t xml:space="preserve">文件</w:t>
      </w:r>
      <w:r/>
    </w:p>
    <w:p>
      <w:pPr>
        <w:ind w:firstLine="480"/>
        <w:jc w:val="left"/>
        <w:spacing w:line="360" w:lineRule="auto"/>
        <w:widowControl/>
        <w:rPr>
          <w:sz w:val="24"/>
          <w:lang w:bidi="ar"/>
        </w:rPr>
      </w:pPr>
      <w:r>
        <w:rPr>
          <w:sz w:val="24"/>
          <w:lang w:bidi="ar"/>
        </w:rPr>
        <w:t xml:space="preserve">供应商应于投标截止时间前在常州市政府采购业务管理平台提交</w:t>
      </w:r>
      <w:r>
        <w:rPr>
          <w:rFonts w:hint="eastAsia"/>
          <w:sz w:val="24"/>
          <w:lang w:val="en-US" w:eastAsia="zh-CN" w:bidi="ar"/>
        </w:rPr>
        <w:t xml:space="preserve">响应</w:t>
      </w:r>
      <w:r>
        <w:rPr>
          <w:sz w:val="24"/>
          <w:lang w:bidi="ar"/>
        </w:rPr>
        <w:t xml:space="preserve">文件文件，上传电子</w:t>
      </w:r>
      <w:r>
        <w:rPr>
          <w:rFonts w:hint="eastAsia"/>
          <w:sz w:val="24"/>
          <w:lang w:val="en-US" w:eastAsia="zh-CN" w:bidi="ar"/>
        </w:rPr>
        <w:t xml:space="preserve">响应</w:t>
      </w:r>
      <w:r>
        <w:rPr>
          <w:sz w:val="24"/>
          <w:lang w:bidi="ar"/>
        </w:rPr>
        <w:t xml:space="preserve">文件过程中请保持与互联网的连接畅通。</w:t>
      </w:r>
      <w:r/>
    </w:p>
    <w:p>
      <w:pPr>
        <w:ind w:firstLine="480"/>
        <w:jc w:val="left"/>
        <w:spacing w:line="360" w:lineRule="auto"/>
        <w:widowControl/>
        <w:rPr>
          <w:sz w:val="24"/>
          <w:lang w:eastAsia="zh-TW" w:bidi="ar"/>
        </w:rPr>
      </w:pPr>
      <w:r>
        <w:rPr>
          <w:rFonts w:hint="eastAsia"/>
          <w:sz w:val="24"/>
          <w:lang w:val="en-US" w:eastAsia="zh-CN"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sz w:val="24"/>
          <w:lang w:bidi="ar"/>
        </w:rPr>
        <w:t xml:space="preserve">常州市政府采购业务管理平台进行电子</w:t>
      </w:r>
      <w:r>
        <w:rPr>
          <w:rFonts w:hint="eastAsia"/>
          <w:sz w:val="24"/>
          <w:lang w:bidi="ar"/>
        </w:rPr>
        <w:t xml:space="preserve">化不见面</w:t>
      </w:r>
      <w:r>
        <w:rPr>
          <w:sz w:val="24"/>
          <w:lang w:bidi="ar"/>
        </w:rPr>
        <w:t xml:space="preserve">开标</w:t>
      </w:r>
      <w:r>
        <w:rPr>
          <w:sz w:val="24"/>
          <w:lang w:val="zh-TW" w:bidi="ar"/>
        </w:rPr>
        <w:t xml:space="preserve">。</w:t>
      </w:r>
      <w:r/>
    </w:p>
    <w:p>
      <w:pPr>
        <w:ind w:firstLine="480"/>
        <w:spacing w:line="360" w:lineRule="auto"/>
        <w:rPr>
          <w:rFonts w:hint="eastAsia"/>
          <w:sz w:val="24"/>
          <w:lang w:val="zh-TW" w:bidi="ar"/>
        </w:rPr>
      </w:pPr>
      <w:r>
        <w:rPr>
          <w:rFonts w:hint="eastAsia"/>
          <w:sz w:val="24"/>
          <w:lang w:val="en-US" w:eastAsia="zh-CN" w:bidi="ar"/>
        </w:rPr>
        <w:t xml:space="preserve">2</w:t>
      </w:r>
      <w:r>
        <w:rPr>
          <w:rFonts w:hint="eastAsia"/>
          <w:sz w:val="24"/>
          <w:lang w:val="zh-TW" w:bidi="ar"/>
        </w:rPr>
        <w:t xml:space="preserve">.8注意事项</w:t>
      </w:r>
      <w:r/>
    </w:p>
    <w:p>
      <w:pPr>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pStyle w:val="1142"/>
        <w:jc w:val="left"/>
        <w:pageBreakBefore w:val="0"/>
        <w:spacing w:before="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八、对本项目提出询问，请按以下方式联系。</w:t>
      </w:r>
      <w:bookmarkEnd w:id="27"/>
      <w:r/>
      <w:bookmarkEnd w:id="28"/>
      <w:r/>
      <w:bookmarkEnd w:id="29"/>
      <w:r/>
      <w:bookmarkEnd w:id="30"/>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1．采购人信息 </w:t>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lang w:eastAsia="zh-CN"/>
        </w:rPr>
      </w:pPr>
      <w:r>
        <w:rPr>
          <w:rFonts w:hint="eastAsia" w:ascii="宋体" w:hAnsi="宋体" w:eastAsia="宋体" w:cs="宋体"/>
          <w:color w:val="000000"/>
          <w:spacing w:val="9"/>
          <w:sz w:val="24"/>
          <w:szCs w:val="24"/>
          <w:highlight w:val="none"/>
        </w:rPr>
        <w:t xml:space="preserve">名称：</w:t>
      </w:r>
      <w:r>
        <w:rPr>
          <w:rFonts w:hint="eastAsia" w:ascii="宋体" w:hAnsi="宋体" w:eastAsia="宋体" w:cs="宋体"/>
          <w:color w:val="000000"/>
          <w:spacing w:val="9"/>
          <w:sz w:val="24"/>
          <w:szCs w:val="24"/>
          <w:highlight w:val="none"/>
          <w:lang w:eastAsia="zh-CN"/>
        </w:rPr>
        <w:t xml:space="preserve">溧阳市残疾人联合会（本级）</w:t>
      </w:r>
      <w:r/>
    </w:p>
    <w:p>
      <w:pPr>
        <w:ind w:left="6" w:right="40" w:firstLine="482"/>
        <w:keepLines w:val="0"/>
        <w:keepNext w:val="0"/>
        <w:pageBreakBefore w:val="0"/>
        <w:spacing w:line="460" w:lineRule="exact"/>
        <w:widowControl w:val="off"/>
        <w:rPr>
          <w:rFonts w:ascii="宋体" w:hAnsi="宋体" w:eastAsia="宋体" w:cs="宋体"/>
          <w:color w:val="000000"/>
          <w:spacing w:val="9"/>
          <w:sz w:val="24"/>
          <w:szCs w:val="24"/>
          <w:highlight w:val="none"/>
          <w:lang w:val="en-US" w:eastAsia="zh-CN"/>
        </w:rPr>
      </w:pPr>
      <w:r>
        <w:rPr>
          <w:rFonts w:hint="eastAsia" w:ascii="宋体" w:hAnsi="宋体" w:eastAsia="宋体" w:cs="宋体"/>
          <w:color w:val="000000"/>
          <w:spacing w:val="9"/>
          <w:sz w:val="24"/>
          <w:szCs w:val="24"/>
          <w:highlight w:val="none"/>
        </w:rPr>
        <w:t xml:space="preserve">地址：江苏省常州市溧阳市</w:t>
      </w:r>
      <w:r>
        <w:rPr>
          <w:rFonts w:hint="eastAsia" w:ascii="宋体" w:hAnsi="宋体" w:eastAsia="宋体" w:cs="宋体"/>
          <w:color w:val="000000"/>
          <w:spacing w:val="9"/>
          <w:sz w:val="24"/>
          <w:szCs w:val="24"/>
          <w:highlight w:val="none"/>
          <w:lang w:val="en-US" w:eastAsia="zh-CN"/>
        </w:rPr>
        <w:t xml:space="preserve">南大街137</w:t>
      </w:r>
      <w:r>
        <w:rPr>
          <w:rFonts w:hint="eastAsia" w:ascii="宋体" w:hAnsi="宋体" w:eastAsia="宋体" w:cs="宋体"/>
          <w:color w:val="000000"/>
          <w:spacing w:val="9"/>
          <w:sz w:val="24"/>
          <w:szCs w:val="24"/>
          <w:highlight w:val="none"/>
        </w:rPr>
        <w:t xml:space="preserve">号</w:t>
      </w:r>
      <w:r/>
    </w:p>
    <w:p>
      <w:pPr>
        <w:ind w:left="6" w:right="40" w:firstLine="482"/>
        <w:keepLines w:val="0"/>
        <w:keepNext w:val="0"/>
        <w:pageBreakBefore w:val="0"/>
        <w:spacing w:line="460" w:lineRule="exact"/>
        <w:widowControl w:val="off"/>
        <w:rPr>
          <w:rFonts w:ascii="宋体" w:hAnsi="宋体" w:eastAsia="宋体" w:cs="宋体"/>
          <w:color w:val="000000"/>
          <w:spacing w:val="9"/>
          <w:sz w:val="24"/>
          <w:szCs w:val="24"/>
          <w:highlight w:val="green"/>
          <w:lang w:val="en-US" w:eastAsia="zh-CN"/>
        </w:rPr>
      </w:pPr>
      <w:r>
        <w:rPr>
          <w:rFonts w:hint="eastAsia" w:ascii="宋体" w:hAnsi="宋体" w:eastAsia="宋体" w:cs="宋体"/>
          <w:color w:val="000000"/>
          <w:spacing w:val="9"/>
          <w:sz w:val="24"/>
          <w:szCs w:val="24"/>
          <w:highlight w:val="none"/>
        </w:rPr>
        <w:t xml:space="preserve">联系方式：</w:t>
      </w:r>
      <w:r>
        <w:rPr>
          <w:rFonts w:hint="eastAsia" w:ascii="宋体" w:hAnsi="宋体" w:eastAsia="宋体" w:cs="宋体"/>
          <w:color w:val="000000"/>
          <w:spacing w:val="9"/>
          <w:sz w:val="24"/>
          <w:szCs w:val="24"/>
          <w:highlight w:val="none"/>
          <w:lang w:val="en-US" w:eastAsia="zh-CN"/>
        </w:rPr>
        <w:t xml:space="preserve">强先生  051987289198</w:t>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2．采购</w:t>
      </w:r>
      <w:r>
        <w:rPr>
          <w:rFonts w:hint="eastAsia" w:ascii="宋体" w:hAnsi="宋体" w:eastAsia="宋体" w:cs="宋体"/>
          <w:color w:val="000000"/>
          <w:spacing w:val="9"/>
          <w:sz w:val="24"/>
          <w:szCs w:val="24"/>
          <w:highlight w:val="none"/>
          <w:lang w:eastAsia="zh-CN"/>
        </w:rPr>
        <w:t xml:space="preserve">代理</w:t>
      </w:r>
      <w:r>
        <w:rPr>
          <w:rFonts w:hint="eastAsia" w:ascii="宋体" w:hAnsi="宋体" w:eastAsia="宋体" w:cs="宋体"/>
          <w:color w:val="000000"/>
          <w:spacing w:val="9"/>
          <w:sz w:val="24"/>
          <w:szCs w:val="24"/>
          <w:highlight w:val="none"/>
        </w:rPr>
        <w:t xml:space="preserve">机构信息 </w:t>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名 称：</w:t>
      </w:r>
      <w:r>
        <w:rPr>
          <w:rFonts w:hint="eastAsia" w:ascii="宋体" w:hAnsi="宋体" w:eastAsia="宋体" w:cs="宋体"/>
          <w:color w:val="000000"/>
          <w:spacing w:val="9"/>
          <w:sz w:val="24"/>
          <w:szCs w:val="24"/>
          <w:highlight w:val="none"/>
          <w:lang w:eastAsia="zh-CN"/>
        </w:rPr>
        <w:t xml:space="preserve">江苏鑫轶工程咨询有限公司</w:t>
      </w:r>
      <w:r>
        <w:rPr>
          <w:rFonts w:hint="eastAsia" w:ascii="宋体" w:hAnsi="宋体" w:eastAsia="宋体" w:cs="宋体"/>
          <w:color w:val="000000"/>
          <w:spacing w:val="9"/>
          <w:sz w:val="24"/>
          <w:szCs w:val="24"/>
          <w:highlight w:val="none"/>
        </w:rPr>
        <w:t xml:space="preserve">   </w:t>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地 址：</w:t>
      </w:r>
      <w:bookmarkStart w:id="31" w:name="OLE_LINK2"/>
      <w:r>
        <w:rPr>
          <w:rFonts w:hint="eastAsia" w:ascii="宋体" w:hAnsi="宋体" w:eastAsia="宋体" w:cs="宋体"/>
          <w:color w:val="000000"/>
          <w:spacing w:val="9"/>
          <w:sz w:val="24"/>
          <w:szCs w:val="24"/>
          <w:highlight w:val="none"/>
          <w:lang w:eastAsia="zh-CN"/>
        </w:rPr>
        <w:t xml:space="preserve">溧阳市</w:t>
      </w:r>
      <w:bookmarkEnd w:id="31"/>
      <w:r>
        <w:rPr>
          <w:rFonts w:hint="eastAsia" w:ascii="宋体" w:hAnsi="宋体" w:eastAsia="宋体" w:cs="宋体"/>
          <w:color w:val="000000"/>
          <w:spacing w:val="9"/>
          <w:sz w:val="24"/>
          <w:szCs w:val="24"/>
          <w:highlight w:val="none"/>
          <w:lang w:val="en-US" w:eastAsia="zh-CN"/>
        </w:rPr>
        <w:t xml:space="preserve">昆仑南路281号</w:t>
      </w:r>
      <w:r>
        <w:rPr>
          <w:rFonts w:hint="eastAsia" w:ascii="宋体" w:hAnsi="宋体" w:eastAsia="宋体" w:cs="宋体"/>
          <w:color w:val="000000"/>
          <w:spacing w:val="9"/>
          <w:sz w:val="24"/>
          <w:szCs w:val="24"/>
          <w:highlight w:val="none"/>
        </w:rPr>
        <w:t xml:space="preserve">     </w:t>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lang w:val="en-US" w:eastAsia="zh-CN"/>
        </w:rPr>
        <w:t xml:space="preserve">3.</w:t>
      </w:r>
      <w:r>
        <w:rPr>
          <w:rFonts w:hint="eastAsia" w:ascii="宋体" w:hAnsi="宋体" w:eastAsia="宋体" w:cs="宋体"/>
          <w:color w:val="000000"/>
          <w:spacing w:val="9"/>
          <w:sz w:val="24"/>
          <w:szCs w:val="24"/>
          <w:highlight w:val="none"/>
        </w:rPr>
        <w:t xml:space="preserve">项目联系方式： 　 </w:t>
      </w:r>
      <w:r/>
    </w:p>
    <w:p>
      <w:pPr>
        <w:ind w:left="6" w:right="40" w:firstLine="482"/>
        <w:keepLines w:val="0"/>
        <w:keepNext w:val="0"/>
        <w:pageBreakBefore w:val="0"/>
        <w:spacing w:line="460" w:lineRule="exact"/>
        <w:widowControl w:val="off"/>
        <w:rPr>
          <w:rFonts w:hint="eastAsia" w:ascii="宋体" w:hAnsi="宋体" w:eastAsia="宋体" w:cs="宋体"/>
          <w:color w:val="000000"/>
          <w:spacing w:val="9"/>
          <w:sz w:val="24"/>
          <w:szCs w:val="24"/>
          <w:highlight w:val="none"/>
          <w:lang w:val="en-US" w:eastAsia="zh-CN"/>
        </w:rPr>
      </w:pPr>
      <w:r>
        <w:rPr>
          <w:rFonts w:hint="eastAsia" w:ascii="宋体" w:hAnsi="宋体" w:eastAsia="宋体" w:cs="宋体"/>
          <w:color w:val="000000"/>
          <w:spacing w:val="9"/>
          <w:sz w:val="24"/>
          <w:szCs w:val="24"/>
          <w:highlight w:val="none"/>
        </w:rPr>
        <w:t xml:space="preserve">项目经办人及电话：</w:t>
      </w:r>
      <w:r>
        <w:rPr>
          <w:rFonts w:hint="eastAsia" w:ascii="宋体" w:hAnsi="宋体" w:eastAsia="宋体" w:cs="宋体"/>
          <w:color w:val="000000"/>
          <w:spacing w:val="9"/>
          <w:sz w:val="24"/>
          <w:szCs w:val="24"/>
          <w:highlight w:val="none"/>
          <w:lang w:val="en-US" w:eastAsia="zh-CN"/>
        </w:rPr>
        <w:t xml:space="preserve">蒋</w:t>
      </w:r>
      <w:r>
        <w:rPr>
          <w:rFonts w:hint="eastAsia" w:ascii="宋体" w:hAnsi="宋体" w:eastAsia="宋体" w:cs="宋体"/>
          <w:color w:val="000000"/>
          <w:spacing w:val="9"/>
          <w:sz w:val="24"/>
          <w:szCs w:val="24"/>
          <w:highlight w:val="none"/>
        </w:rPr>
        <w:t xml:space="preserve">女士</w:t>
      </w:r>
      <w:r>
        <w:rPr>
          <w:rFonts w:hint="eastAsia" w:ascii="宋体" w:hAnsi="宋体" w:eastAsia="宋体" w:cs="宋体"/>
          <w:color w:val="000000"/>
          <w:spacing w:val="9"/>
          <w:sz w:val="24"/>
          <w:szCs w:val="24"/>
          <w:highlight w:val="none"/>
          <w:lang w:val="en-US" w:eastAsia="zh-CN"/>
        </w:rPr>
        <w:t xml:space="preserve"> </w:t>
      </w:r>
      <w:r>
        <w:rPr>
          <w:rFonts w:hint="eastAsia" w:ascii="宋体" w:hAnsi="宋体" w:eastAsia="宋体" w:cs="宋体"/>
          <w:color w:val="000000"/>
          <w:spacing w:val="9"/>
          <w:sz w:val="24"/>
          <w:szCs w:val="24"/>
          <w:highlight w:val="none"/>
        </w:rPr>
        <w:t xml:space="preserve"> </w:t>
      </w:r>
      <w:r>
        <w:rPr>
          <w:rFonts w:hint="eastAsia" w:ascii="宋体" w:hAnsi="宋体" w:eastAsia="宋体" w:cs="宋体"/>
          <w:color w:val="000000"/>
          <w:spacing w:val="9"/>
          <w:sz w:val="24"/>
          <w:szCs w:val="24"/>
          <w:highlight w:val="none"/>
          <w:lang w:val="en-US" w:eastAsia="zh-CN"/>
        </w:rPr>
        <w:t xml:space="preserve">0519-80990060</w:t>
      </w:r>
      <w:r/>
    </w:p>
    <w:p>
      <w:pPr>
        <w:jc w:val="center"/>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color w:val="000000"/>
          <w:sz w:val="24"/>
          <w:szCs w:val="24"/>
          <w:highlight w:val="none"/>
        </w:rPr>
        <w:br w:type="page" w:clear="all"/>
      </w:r>
      <w:bookmarkStart w:id="32" w:name="_Toc512937850"/>
      <w:r/>
      <w:bookmarkStart w:id="33" w:name="_Toc195842950"/>
      <w:r/>
      <w:bookmarkStart w:id="34" w:name="_Toc127161488"/>
      <w:r/>
      <w:bookmarkStart w:id="35" w:name="_Toc353825548"/>
      <w:r/>
      <w:bookmarkStart w:id="36" w:name="_Toc226965856"/>
      <w:r/>
      <w:bookmarkStart w:id="37" w:name="_Toc104818926"/>
      <w:r/>
      <w:bookmarkStart w:id="38" w:name="_Toc305158854"/>
      <w:r/>
      <w:bookmarkStart w:id="39" w:name="_Toc150774783"/>
      <w:r/>
      <w:bookmarkStart w:id="40" w:name="_Toc264969275"/>
      <w:r/>
      <w:bookmarkStart w:id="41" w:name="_Toc265228423"/>
      <w:r/>
      <w:bookmarkStart w:id="42" w:name="_Toc353873938"/>
      <w:r/>
      <w:bookmarkStart w:id="43" w:name="_Toc127151777"/>
      <w:r/>
      <w:bookmarkStart w:id="44" w:name="_Toc305158928"/>
      <w:r>
        <w:rPr>
          <w:rFonts w:hint="eastAsia" w:ascii="宋体" w:hAnsi="宋体" w:eastAsia="宋体" w:cs="宋体"/>
          <w:b/>
          <w:color w:val="000000"/>
          <w:sz w:val="24"/>
          <w:szCs w:val="24"/>
          <w:highlight w:val="none"/>
        </w:rPr>
        <w:t xml:space="preserve">第二章   供应商须知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1142"/>
        <w:spacing w:before="0" w:line="360" w:lineRule="auto"/>
        <w:tabs>
          <w:tab w:val="center" w:pos="4592" w:leader="none"/>
          <w:tab w:val="left" w:pos="7860" w:leader="none"/>
        </w:tabs>
        <w:rPr>
          <w:rFonts w:hint="eastAsia" w:ascii="宋体" w:hAnsi="宋体" w:eastAsia="宋体" w:cs="宋体"/>
          <w:b w:val="0"/>
          <w:color w:val="000000"/>
          <w:sz w:val="24"/>
          <w:szCs w:val="24"/>
          <w:highlight w:val="none"/>
        </w:rPr>
      </w:pPr>
      <w:r/>
      <w:bookmarkStart w:id="45" w:name="_Toc226965709"/>
      <w:r/>
      <w:bookmarkStart w:id="46" w:name="_Toc149720812"/>
      <w:r/>
      <w:bookmarkStart w:id="47" w:name="_Toc150774724"/>
      <w:r/>
      <w:bookmarkStart w:id="48" w:name="_Toc151193761"/>
      <w:r/>
      <w:bookmarkStart w:id="49" w:name="_Toc164351613"/>
      <w:r/>
      <w:bookmarkStart w:id="50" w:name="_Toc151193689"/>
      <w:r/>
      <w:bookmarkStart w:id="51" w:name="_Toc226309763"/>
      <w:r/>
      <w:bookmarkStart w:id="52" w:name="_Toc520356144"/>
      <w:r/>
      <w:bookmarkStart w:id="53" w:name="_Toc226965792"/>
      <w:r/>
      <w:bookmarkStart w:id="54" w:name="_Toc151193833"/>
      <w:r/>
      <w:bookmarkStart w:id="55" w:name="_Toc127161433"/>
      <w:r/>
      <w:bookmarkStart w:id="56" w:name="_Toc151193617"/>
      <w:r/>
      <w:bookmarkStart w:id="57" w:name="_Toc195842884"/>
      <w:r/>
      <w:bookmarkStart w:id="58" w:name="_Toc164608788"/>
      <w:r/>
      <w:bookmarkStart w:id="59" w:name="_Toc142311021"/>
      <w:r/>
      <w:bookmarkStart w:id="60" w:name="_Toc150509270"/>
      <w:r/>
      <w:bookmarkStart w:id="61" w:name="_Toc151193907"/>
      <w:r/>
      <w:bookmarkStart w:id="62" w:name="_Toc127151720"/>
      <w:r/>
      <w:bookmarkStart w:id="63" w:name="_Toc164229214"/>
      <w:r/>
      <w:bookmarkStart w:id="64" w:name="_Toc150480757"/>
      <w:r/>
      <w:bookmarkStart w:id="65" w:name="_Toc164608633"/>
      <w:r/>
      <w:bookmarkStart w:id="66" w:name="_Toc151190146"/>
      <w:r/>
      <w:bookmarkStart w:id="67" w:name="_Toc164229360"/>
      <w:r/>
      <w:bookmarkStart w:id="68" w:name="_Toc150774619"/>
      <w:r/>
      <w:bookmarkStart w:id="69" w:name="_Toc226337215"/>
      <w:r/>
      <w:bookmarkStart w:id="70" w:name="_Toc127151519"/>
      <w:r>
        <w:rPr>
          <w:rFonts w:hint="eastAsia" w:ascii="宋体" w:hAnsi="宋体" w:eastAsia="宋体" w:cs="宋体"/>
          <w:color w:val="000000"/>
          <w:sz w:val="24"/>
          <w:szCs w:val="24"/>
          <w:highlight w:val="none"/>
        </w:rPr>
        <w:t xml:space="preserve">供应商须知资料表</w:t>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本表是对供应商须知的具体补充和修改，如有矛盾，均以本资料表为准。</w:t>
      </w: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w:t>
      </w:r>
      <w:r>
        <w:rPr>
          <w:color w:val="000000"/>
          <w:highlight w:val="none"/>
        </w:rPr>
        <w:t xml:space="preserve">□</w:t>
      </w:r>
      <w:r>
        <w:rPr>
          <w:color w:val="000000"/>
          <w:sz w:val="24"/>
          <w:highlight w:val="none"/>
        </w:rPr>
        <w:t xml:space="preserve">”的选项意为不适用于本项目</w:t>
      </w:r>
      <w:r/>
    </w:p>
    <w:tbl>
      <w:tblPr>
        <w:tblStyle w:val="966"/>
        <w:tblW w:w="10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453"/>
      </w:tblGrid>
      <w:tr>
        <w:trPr>
          <w:jc w:val="center"/>
          <w:trHeight w:val="397"/>
          <w:tblHeader/>
        </w:trPr>
        <w:tc>
          <w:tcPr>
            <w:tcW w:w="988"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条目</w:t>
            </w:r>
            <w:r/>
          </w:p>
        </w:tc>
        <w:tc>
          <w:tcPr>
            <w:tcW w:w="7453"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p>
        </w:tc>
      </w:tr>
      <w:tr>
        <w:trPr>
          <w:jc w:val="center"/>
          <w:trHeight w:val="536"/>
        </w:trPr>
        <w:tc>
          <w:tcPr>
            <w:tcW w:w="988" w:type="dxa"/>
            <w:vAlign w:val="center"/>
            <w:textDirection w:val="lrTb"/>
            <w:noWrap w:val="false"/>
          </w:tcPr>
          <w:p>
            <w:pPr>
              <w:pStyle w:val="1180"/>
              <w:jc w:val="center"/>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2.2</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w:t>
            </w:r>
            <w:r/>
          </w:p>
        </w:tc>
        <w:tc>
          <w:tcPr>
            <w:tcW w:w="7453" w:type="dxa"/>
            <w:vAlign w:val="center"/>
            <w:textDirection w:val="lrTb"/>
            <w:noWrap w:val="false"/>
          </w:tcPr>
          <w:p>
            <w:pPr>
              <w:jc w:val="lef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lang w:val="en-US" w:eastAsia="zh-CN"/>
              </w:rPr>
              <w:t xml:space="preserve">服务</w:t>
            </w:r>
            <w:r/>
          </w:p>
        </w:tc>
      </w:tr>
      <w:tr>
        <w:trPr>
          <w:jc w:val="center"/>
          <w:trHeight w:val="526"/>
        </w:trPr>
        <w:tc>
          <w:tcPr>
            <w:tcW w:w="988" w:type="dxa"/>
            <w:vAlign w:val="center"/>
            <w:textDirection w:val="lrTb"/>
            <w:noWrap w:val="false"/>
          </w:tcPr>
          <w:p>
            <w:pPr>
              <w:pStyle w:val="118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hAnsi="宋体" w:eastAsia="宋体" w:cs="宋体"/>
                <w:color w:val="000000"/>
                <w:sz w:val="24"/>
                <w:szCs w:val="24"/>
                <w:highlight w:val="none"/>
                <w:lang w:val="en-US" w:eastAsia="zh-CN"/>
              </w:rPr>
              <w:t xml:space="preserve">.3</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科研仪器设备</w:t>
            </w:r>
            <w:r/>
          </w:p>
        </w:tc>
        <w:tc>
          <w:tcPr>
            <w:tcW w:w="7453" w:type="dxa"/>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是否属于科研仪器设备采购项目：</w:t>
            </w:r>
            <w:r>
              <w:rPr>
                <w:rFonts w:hint="eastAsia" w:ascii="宋体" w:hAnsi="宋体" w:eastAsia="宋体" w:cs="宋体"/>
                <w:color w:val="000000"/>
                <w:sz w:val="24"/>
                <w:szCs w:val="24"/>
                <w:highlight w:val="none"/>
                <w:lang w:val="en-US" w:eastAsia="zh-CN"/>
              </w:rPr>
              <w:t xml:space="preserve">否</w:t>
            </w:r>
            <w:r/>
          </w:p>
        </w:tc>
      </w:tr>
      <w:tr>
        <w:trPr>
          <w:jc w:val="center"/>
          <w:trHeight w:val="452"/>
        </w:trPr>
        <w:tc>
          <w:tcPr>
            <w:tcW w:w="988" w:type="dxa"/>
            <w:vAlign w:val="center"/>
            <w:vMerge w:val="restart"/>
            <w:textDirection w:val="lrTb"/>
            <w:noWrap w:val="false"/>
          </w:tcPr>
          <w:p>
            <w:pPr>
              <w:pStyle w:val="118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hAnsi="宋体" w:eastAsia="宋体" w:cs="宋体"/>
                <w:color w:val="000000"/>
                <w:sz w:val="24"/>
                <w:szCs w:val="24"/>
                <w:highlight w:val="none"/>
                <w:lang w:val="en-US" w:eastAsia="zh-CN"/>
              </w:rPr>
              <w:t xml:space="preserve">.1</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现场考察</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不组织</w:t>
            </w:r>
            <w:r/>
          </w:p>
        </w:tc>
      </w:tr>
      <w:tr>
        <w:trPr>
          <w:jc w:val="center"/>
          <w:trHeight w:val="487"/>
        </w:trPr>
        <w:tc>
          <w:tcPr>
            <w:tcW w:w="988" w:type="dxa"/>
            <w:vAlign w:val="center"/>
            <w:vMerge w:val="continue"/>
            <w:textDirection w:val="lrTb"/>
            <w:noWrap w:val="false"/>
          </w:tcPr>
          <w:p>
            <w:pPr>
              <w:pStyle w:val="11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开标</w:t>
            </w:r>
            <w:r>
              <w:rPr>
                <w:rFonts w:hint="eastAsia" w:ascii="宋体" w:hAnsi="宋体" w:eastAsia="宋体" w:cs="宋体"/>
                <w:color w:val="000000"/>
                <w:sz w:val="24"/>
                <w:szCs w:val="24"/>
                <w:highlight w:val="none"/>
              </w:rPr>
              <w:t xml:space="preserve">前答疑会</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不召开</w:t>
            </w:r>
            <w:r/>
          </w:p>
        </w:tc>
      </w:tr>
      <w:tr>
        <w:trPr>
          <w:jc w:val="center"/>
          <w:trHeight w:val="535"/>
        </w:trPr>
        <w:tc>
          <w:tcPr>
            <w:tcW w:w="988" w:type="dxa"/>
            <w:vAlign w:val="center"/>
            <w:textDirection w:val="lrTb"/>
            <w:noWrap w:val="false"/>
          </w:tcPr>
          <w:p>
            <w:pPr>
              <w:pStyle w:val="118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hAnsi="宋体" w:eastAsia="宋体" w:cs="宋体"/>
                <w:color w:val="000000"/>
                <w:sz w:val="24"/>
                <w:szCs w:val="24"/>
                <w:highlight w:val="none"/>
                <w:lang w:val="en-US" w:eastAsia="zh-CN"/>
              </w:rPr>
              <w:t xml:space="preserve">.2.5</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标的所属行业</w:t>
            </w:r>
            <w:r/>
          </w:p>
        </w:tc>
        <w:tc>
          <w:tcPr>
            <w:tcW w:w="7453" w:type="dxa"/>
            <w:vAlign w:val="center"/>
            <w:textDirection w:val="lrTb"/>
            <w:noWrap w:val="false"/>
          </w:tcPr>
          <w:p>
            <w:pPr>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本项目属于</w:t>
            </w:r>
            <w:r>
              <w:rPr>
                <w:rFonts w:hint="eastAsia" w:ascii="宋体" w:hAnsi="宋体" w:eastAsia="宋体" w:cs="宋体"/>
                <w:color w:val="000000"/>
                <w:sz w:val="24"/>
                <w:szCs w:val="24"/>
                <w:highlight w:val="none"/>
                <w:u w:val="single"/>
                <w:lang w:eastAsia="zh-CN"/>
              </w:rPr>
              <w:t xml:space="preserve">服务类 </w:t>
            </w:r>
            <w:r>
              <w:rPr>
                <w:rFonts w:hint="eastAsia" w:ascii="宋体" w:hAnsi="宋体" w:cs="宋体"/>
                <w:color w:val="000000"/>
                <w:sz w:val="24"/>
                <w:szCs w:val="24"/>
                <w:highlight w:val="none"/>
                <w:lang w:eastAsia="zh-CN"/>
              </w:rPr>
              <w:t xml:space="preserve">。</w:t>
            </w:r>
            <w:r/>
          </w:p>
        </w:tc>
      </w:tr>
      <w:tr>
        <w:trPr>
          <w:jc w:val="center"/>
          <w:trHeight w:val="90"/>
        </w:trPr>
        <w:tc>
          <w:tcPr>
            <w:tcW w:w="988" w:type="dxa"/>
            <w:vAlign w:val="center"/>
            <w:textDirection w:val="lrTb"/>
            <w:noWrap w:val="false"/>
          </w:tcPr>
          <w:p>
            <w:pPr>
              <w:pStyle w:val="1180"/>
              <w:jc w:val="center"/>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10.2</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报价的特殊规定：</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w:t>
            </w:r>
            <w:r/>
          </w:p>
          <w:p>
            <w:pPr>
              <w:jc w:val="left"/>
              <w:keepLines w:val="0"/>
              <w:keepNext w:val="0"/>
              <w:widowControl/>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固定价格，</w:t>
            </w:r>
            <w:r>
              <w:rPr>
                <w:rFonts w:hint="eastAsia" w:ascii="宋体" w:hAnsi="宋体" w:cs="宋体"/>
                <w:color w:val="000000"/>
                <w:sz w:val="24"/>
                <w:highlight w:val="none"/>
                <w:lang w:val="en-US" w:eastAsia="zh-CN"/>
              </w:rPr>
              <w:t xml:space="preserve">260万元</w:t>
            </w:r>
            <w:r/>
          </w:p>
        </w:tc>
      </w:tr>
      <w:tr>
        <w:trPr>
          <w:jc w:val="center"/>
          <w:trHeight w:val="540"/>
        </w:trPr>
        <w:tc>
          <w:tcPr>
            <w:tcW w:w="988" w:type="dxa"/>
            <w:vAlign w:val="center"/>
            <w:textDirection w:val="lrTb"/>
            <w:noWrap w:val="false"/>
          </w:tcPr>
          <w:p>
            <w:pPr>
              <w:pStyle w:val="1180"/>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11.1</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保证金</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免收</w:t>
            </w:r>
            <w:r/>
          </w:p>
        </w:tc>
      </w:tr>
      <w:tr>
        <w:trPr>
          <w:jc w:val="center"/>
          <w:trHeight w:val="537"/>
        </w:trPr>
        <w:tc>
          <w:tcPr>
            <w:tcW w:w="988" w:type="dxa"/>
            <w:vAlign w:val="center"/>
            <w:textDirection w:val="lrTb"/>
            <w:noWrap w:val="false"/>
          </w:tcPr>
          <w:p>
            <w:pPr>
              <w:pStyle w:val="1180"/>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12.4</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响应有效期</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自提交响应文件的截止之日起</w:t>
            </w:r>
            <w:r>
              <w:rPr>
                <w:rFonts w:hint="eastAsia" w:ascii="宋体" w:hAnsi="宋体" w:eastAsia="宋体" w:cs="宋体"/>
                <w:color w:val="000000"/>
                <w:sz w:val="24"/>
                <w:szCs w:val="24"/>
                <w:highlight w:val="none"/>
                <w:lang w:val="en-US" w:eastAsia="zh-CN"/>
              </w:rPr>
              <w:t xml:space="preserve">算60</w:t>
            </w:r>
            <w:r>
              <w:rPr>
                <w:rFonts w:hint="eastAsia" w:ascii="宋体" w:hAnsi="宋体" w:eastAsia="宋体" w:cs="宋体"/>
                <w:color w:val="000000"/>
                <w:sz w:val="24"/>
                <w:szCs w:val="24"/>
                <w:highlight w:val="none"/>
              </w:rPr>
              <w:t xml:space="preserve">日历天。</w:t>
            </w:r>
            <w:r/>
          </w:p>
        </w:tc>
      </w:tr>
      <w:tr>
        <w:trPr>
          <w:jc w:val="center"/>
          <w:trHeight w:val="650"/>
        </w:trPr>
        <w:tc>
          <w:tcPr>
            <w:tcW w:w="988" w:type="dxa"/>
            <w:vAlign w:val="center"/>
            <w:textDirection w:val="lrTb"/>
            <w:noWrap w:val="false"/>
          </w:tcPr>
          <w:p>
            <w:pPr>
              <w:pStyle w:val="1180"/>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23.5</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w:t>
            </w:r>
            <w:r/>
          </w:p>
        </w:tc>
        <w:tc>
          <w:tcPr>
            <w:tcW w:w="7453" w:type="dxa"/>
            <w:vAlign w:val="center"/>
            <w:textDirection w:val="lrTb"/>
            <w:noWrap w:val="false"/>
          </w:tcPr>
          <w:p>
            <w:pPr>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本项目是否允许分包： </w:t>
            </w:r>
            <w:r>
              <w:rPr>
                <w:rFonts w:hint="eastAsia" w:ascii="宋体" w:hAnsi="宋体" w:eastAsia="宋体" w:cs="宋体"/>
                <w:color w:val="000000"/>
                <w:sz w:val="24"/>
                <w:szCs w:val="24"/>
                <w:highlight w:val="none"/>
                <w:lang w:eastAsia="zh-CN"/>
              </w:rPr>
              <w:t xml:space="preserve">不分包</w:t>
            </w:r>
            <w:r/>
          </w:p>
        </w:tc>
      </w:tr>
      <w:tr>
        <w:trPr>
          <w:jc w:val="center"/>
          <w:trHeight w:val="501"/>
        </w:trPr>
        <w:tc>
          <w:tcPr>
            <w:tcW w:w="988" w:type="dxa"/>
            <w:vAlign w:val="center"/>
            <w:textDirection w:val="lrTb"/>
            <w:noWrap w:val="false"/>
          </w:tcPr>
          <w:p>
            <w:pPr>
              <w:pStyle w:val="1180"/>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24.1.1</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询问</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询问送达形式：</w:t>
            </w:r>
            <w:r>
              <w:rPr>
                <w:rFonts w:hint="eastAsia" w:ascii="宋体" w:hAnsi="宋体" w:eastAsia="宋体" w:cs="宋体"/>
                <w:i w:val="0"/>
                <w:iCs w:val="0"/>
                <w:color w:val="000000"/>
                <w:sz w:val="24"/>
                <w:szCs w:val="24"/>
                <w:highlight w:val="none"/>
                <w:u w:val="none"/>
                <w:lang w:val="en-US" w:eastAsia="zh-CN"/>
              </w:rPr>
              <w:t xml:space="preserve"> 书面形式</w:t>
            </w:r>
            <w:r>
              <w:rPr>
                <w:rFonts w:hint="eastAsia" w:ascii="宋体" w:hAnsi="宋体" w:eastAsia="宋体" w:cs="宋体"/>
                <w:color w:val="000000"/>
                <w:sz w:val="24"/>
                <w:szCs w:val="24"/>
                <w:highlight w:val="none"/>
              </w:rPr>
              <w:t xml:space="preserve">。</w:t>
            </w:r>
            <w:r/>
          </w:p>
        </w:tc>
      </w:tr>
      <w:tr>
        <w:trPr>
          <w:jc w:val="center"/>
          <w:trHeight w:val="1340"/>
        </w:trPr>
        <w:tc>
          <w:tcPr>
            <w:tcW w:w="988" w:type="dxa"/>
            <w:vAlign w:val="center"/>
            <w:textDirection w:val="lrTb"/>
            <w:noWrap w:val="false"/>
          </w:tcPr>
          <w:p>
            <w:pPr>
              <w:pStyle w:val="1180"/>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24.3</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接收询问和质疑的联系方式</w:t>
            </w:r>
            <w:r/>
          </w:p>
          <w:p>
            <w:pPr>
              <w:numPr>
                <w:ilvl w:val="0"/>
                <w:numId w:val="0"/>
              </w:numPr>
              <w:jc w:val="lef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联系部门：</w:t>
            </w:r>
            <w:r>
              <w:rPr>
                <w:rFonts w:hint="eastAsia" w:ascii="宋体" w:hAnsi="宋体" w:eastAsia="宋体" w:cs="宋体"/>
                <w:color w:val="000000"/>
                <w:sz w:val="24"/>
                <w:szCs w:val="24"/>
                <w:highlight w:val="none"/>
                <w:u w:val="none"/>
                <w:lang w:val="en-US" w:eastAsia="zh-CN"/>
              </w:rPr>
              <w:t xml:space="preserve">江苏鑫轶工程咨询有限公司 </w:t>
            </w:r>
            <w:r/>
          </w:p>
          <w:p>
            <w:pPr>
              <w:numPr>
                <w:ilvl w:val="0"/>
                <w:numId w:val="0"/>
              </w:numPr>
              <w:jc w:val="lef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联系电话：蒋女士  0519-80990060</w:t>
            </w:r>
            <w:r/>
          </w:p>
          <w:p>
            <w:pPr>
              <w:numPr>
                <w:ilvl w:val="0"/>
                <w:numId w:val="0"/>
              </w:numPr>
              <w:jc w:val="lef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u w:val="none"/>
                <w:lang w:val="en-US" w:eastAsia="zh-CN"/>
              </w:rPr>
              <w:t xml:space="preserve">通讯地址：溧阳市昆仑南路281号</w:t>
            </w:r>
            <w:r/>
          </w:p>
        </w:tc>
      </w:tr>
      <w:tr>
        <w:trPr>
          <w:jc w:val="center"/>
          <w:trHeight w:val="1093"/>
        </w:trPr>
        <w:tc>
          <w:tcPr>
            <w:tcW w:w="988" w:type="dxa"/>
            <w:vAlign w:val="center"/>
            <w:textDirection w:val="lrTb"/>
            <w:noWrap w:val="false"/>
          </w:tcPr>
          <w:p>
            <w:pPr>
              <w:pStyle w:val="1180"/>
              <w:jc w:val="center"/>
              <w:rPr>
                <w:rFonts w:ascii="宋体" w:hAnsi="宋体" w:eastAsia="宋体" w:cs="宋体"/>
                <w:color w:val="000000"/>
                <w:sz w:val="24"/>
                <w:szCs w:val="24"/>
                <w:highlight w:val="none"/>
                <w:lang w:val="en-US"/>
              </w:rPr>
            </w:pPr>
            <w:r>
              <w:rPr>
                <w:rFonts w:hint="eastAsia" w:hAnsi="宋体" w:eastAsia="宋体" w:cs="宋体"/>
                <w:color w:val="000000"/>
                <w:sz w:val="24"/>
                <w:szCs w:val="24"/>
                <w:highlight w:val="none"/>
                <w:lang w:val="en-US" w:eastAsia="zh-CN"/>
              </w:rPr>
              <w:t xml:space="preserve">25</w:t>
            </w:r>
            <w:r/>
          </w:p>
        </w:tc>
        <w:tc>
          <w:tcPr>
            <w:tcW w:w="1701" w:type="dxa"/>
            <w:vAlign w:val="center"/>
            <w:textDirection w:val="lrTb"/>
            <w:noWrap w:val="false"/>
          </w:tcPr>
          <w:p>
            <w:pPr>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代理费</w:t>
            </w:r>
            <w:r/>
          </w:p>
        </w:tc>
        <w:tc>
          <w:tcPr>
            <w:tcW w:w="7453"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收费对象：成交供应商</w:t>
            </w:r>
            <w:r/>
          </w:p>
          <w:p>
            <w:pPr>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lang w:val="en-US" w:eastAsia="zh-CN"/>
              </w:rPr>
              <w:t xml:space="preserve">参照苏政采协[2024]20 号文件要求计取；</w:t>
            </w:r>
            <w:r/>
          </w:p>
          <w:p>
            <w:pPr>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lang w:eastAsia="zh-CN"/>
              </w:rPr>
              <w:t xml:space="preserve">领取成交通知书的同时。</w:t>
            </w:r>
            <w:r/>
          </w:p>
        </w:tc>
      </w:tr>
      <w:tr>
        <w:trPr>
          <w:jc w:val="center"/>
          <w:trHeight w:val="905"/>
        </w:trPr>
        <w:tc>
          <w:tcPr>
            <w:tcW w:w="988" w:type="dxa"/>
            <w:vAlign w:val="center"/>
            <w:textDirection w:val="lrTb"/>
            <w:noWrap w:val="false"/>
          </w:tcPr>
          <w:p>
            <w:pPr>
              <w:pStyle w:val="1180"/>
              <w:jc w:val="center"/>
              <w:rPr>
                <w:rFonts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26</w:t>
            </w:r>
            <w:r/>
          </w:p>
        </w:tc>
        <w:tc>
          <w:tcPr>
            <w:tcW w:w="17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纸质响应文件</w:t>
            </w:r>
            <w:r/>
          </w:p>
        </w:tc>
        <w:tc>
          <w:tcPr>
            <w:tcW w:w="7453" w:type="dxa"/>
            <w:vAlign w:val="center"/>
            <w:textDirection w:val="lrTb"/>
            <w:noWrap w:val="false"/>
          </w:tcPr>
          <w:p>
            <w:pPr>
              <w:jc w:val="left"/>
              <w:keepLines w:val="0"/>
              <w:keepNext w:val="0"/>
              <w:widowControl/>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成交供应商在</w:t>
            </w:r>
            <w:r>
              <w:rPr>
                <w:rFonts w:hint="eastAsia" w:ascii="宋体" w:hAnsi="宋体" w:eastAsia="宋体" w:cs="宋体"/>
                <w:color w:val="000000"/>
                <w:sz w:val="24"/>
                <w:szCs w:val="24"/>
                <w:highlight w:val="none"/>
                <w:lang w:val="en-US" w:eastAsia="zh-CN"/>
              </w:rPr>
              <w:t xml:space="preserve">合同签订前</w:t>
            </w:r>
            <w:r>
              <w:rPr>
                <w:rFonts w:hint="eastAsia" w:ascii="宋体" w:hAnsi="宋体" w:eastAsia="宋体" w:cs="宋体"/>
                <w:color w:val="000000"/>
                <w:sz w:val="24"/>
                <w:szCs w:val="24"/>
                <w:highlight w:val="none"/>
              </w:rPr>
              <w:t xml:space="preserve">向代理机构提供正本1套、副本2套纸质响应文件，在每一份纸质响应文件上要明确注明“正本” 或“副本”字样。</w:t>
            </w:r>
            <w:r>
              <w:rPr>
                <w:rFonts w:hint="eastAsia" w:ascii="宋体" w:hAnsi="宋体" w:eastAsia="宋体" w:cs="宋体"/>
                <w:color w:val="000000"/>
                <w:sz w:val="24"/>
                <w:szCs w:val="24"/>
                <w:highlight w:val="none"/>
                <w:lang w:val="en-US" w:eastAsia="zh-CN"/>
              </w:rPr>
              <w:t xml:space="preserve">         </w:t>
            </w:r>
            <w:r/>
          </w:p>
        </w:tc>
      </w:tr>
    </w:tbl>
    <w:p>
      <w:pPr>
        <w:jc w:val="both"/>
        <w:spacing w:line="360" w:lineRule="auto"/>
        <w:tabs>
          <w:tab w:val="left" w:pos="5580" w:leader="none"/>
        </w:tabs>
        <w:rPr>
          <w:rFonts w:hint="eastAsia" w:ascii="宋体" w:hAnsi="宋体" w:eastAsia="宋体" w:cs="宋体"/>
          <w:color w:val="000000"/>
          <w:sz w:val="24"/>
          <w:szCs w:val="24"/>
          <w:highlight w:val="none"/>
        </w:rPr>
        <w:sectPr>
          <w:footerReference w:type="default" r:id="rId12"/>
          <w:footerReference w:type="first" r:id="rId13"/>
          <w:footnotePr/>
          <w:endnotePr/>
          <w:type w:val="nextPage"/>
          <w:pgSz w:w="11907" w:h="16840" w:orient="portrait"/>
          <w:pgMar w:top="1418" w:right="1134" w:bottom="1418" w:left="1134" w:header="851" w:footer="851" w:gutter="0"/>
          <w:cols w:num="1" w:sep="0" w:space="1701" w:equalWidth="1"/>
          <w:docGrid w:linePitch="360"/>
          <w:titlePg/>
        </w:sectPr>
      </w:pPr>
      <w:r>
        <w:rPr>
          <w:rFonts w:hint="eastAsia" w:ascii="宋体" w:hAnsi="宋体" w:eastAsia="宋体" w:cs="宋体"/>
          <w:color w:val="000000"/>
          <w:sz w:val="24"/>
          <w:szCs w:val="24"/>
          <w:highlight w:val="none"/>
        </w:r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jc w:val="center"/>
        <w:spacing w:before="240" w:after="240"/>
        <w:rPr>
          <w:rFonts w:hint="eastAsia" w:ascii="宋体" w:hAnsi="宋体" w:eastAsia="宋体" w:cs="宋体"/>
          <w:b/>
          <w:color w:val="auto"/>
          <w:sz w:val="24"/>
          <w:szCs w:val="24"/>
          <w:highlight w:val="none"/>
        </w:rPr>
      </w:pPr>
      <w:r/>
      <w:bookmarkStart w:id="71" w:name="_Toc150480793"/>
      <w:r/>
      <w:bookmarkStart w:id="72" w:name="_Toc195842920"/>
      <w:r/>
      <w:bookmarkStart w:id="73" w:name="_Toc353873665"/>
      <w:r/>
      <w:bookmarkStart w:id="74" w:name="_Toc226337251"/>
      <w:r/>
      <w:bookmarkStart w:id="75" w:name="_Toc353825545"/>
      <w:r/>
      <w:bookmarkStart w:id="76" w:name="_Toc264969245"/>
      <w:r/>
      <w:bookmarkStart w:id="77" w:name="_Toc226965828"/>
      <w:r/>
      <w:bookmarkStart w:id="78" w:name="_Toc127151555"/>
      <w:r/>
      <w:bookmarkStart w:id="79" w:name="_Toc265228393"/>
      <w:r/>
      <w:bookmarkStart w:id="80" w:name="_Toc305158897"/>
      <w:r/>
      <w:bookmarkStart w:id="81" w:name="_Toc150774760"/>
      <w:r/>
      <w:bookmarkStart w:id="82" w:name="_Toc305158823"/>
      <w:r/>
      <w:bookmarkStart w:id="83" w:name="_Toc353873935"/>
      <w:r/>
      <w:bookmarkStart w:id="84" w:name="_Toc142311057"/>
      <w:r>
        <w:rPr>
          <w:rFonts w:hint="eastAsia" w:ascii="宋体" w:hAnsi="宋体" w:eastAsia="宋体" w:cs="宋体"/>
          <w:b/>
          <w:color w:val="auto"/>
          <w:sz w:val="24"/>
          <w:szCs w:val="24"/>
          <w:highlight w:val="none"/>
        </w:rPr>
        <w:t xml:space="preserve">供应商须知</w:t>
      </w:r>
      <w:r/>
    </w:p>
    <w:p>
      <w:pPr>
        <w:pStyle w:val="957"/>
        <w:jc w:val="left"/>
        <w:spacing w:before="0" w:line="360" w:lineRule="auto"/>
        <w:tabs>
          <w:tab w:val="center" w:pos="4592" w:leader="none"/>
          <w:tab w:val="left" w:pos="7860" w:leader="none"/>
        </w:tabs>
        <w:rPr>
          <w:rFonts w:hint="eastAsia" w:ascii="宋体" w:hAnsi="宋体" w:eastAsia="宋体" w:cs="宋体"/>
          <w:color w:val="auto"/>
          <w:sz w:val="24"/>
          <w:szCs w:val="24"/>
          <w:highlight w:val="none"/>
        </w:rPr>
      </w:pPr>
      <w:r/>
      <w:bookmarkStart w:id="85" w:name="_Toc520356143"/>
      <w:r/>
      <w:bookmarkStart w:id="86" w:name="_Toc127151518"/>
      <w:r>
        <w:rPr>
          <w:rFonts w:hint="eastAsia" w:ascii="宋体" w:hAnsi="宋体" w:eastAsia="宋体" w:cs="宋体"/>
          <w:color w:val="auto"/>
          <w:sz w:val="24"/>
          <w:szCs w:val="24"/>
          <w:highlight w:val="none"/>
        </w:rPr>
        <w:tab/>
      </w:r>
      <w:bookmarkStart w:id="87" w:name="_Toc226965708"/>
      <w:r/>
      <w:bookmarkStart w:id="88" w:name="_Toc305158860"/>
      <w:r/>
      <w:bookmarkStart w:id="89" w:name="_Toc265228356"/>
      <w:r/>
      <w:bookmarkStart w:id="90" w:name="_Toc150480756"/>
      <w:r/>
      <w:bookmarkStart w:id="91" w:name="_Toc150774618"/>
      <w:r/>
      <w:bookmarkStart w:id="92" w:name="_Toc150774723"/>
      <w:r/>
      <w:bookmarkStart w:id="93" w:name="_Toc305158786"/>
      <w:r/>
      <w:bookmarkStart w:id="94" w:name="_Toc151193616"/>
      <w:r/>
      <w:bookmarkStart w:id="95" w:name="_Toc151190145"/>
      <w:r/>
      <w:bookmarkStart w:id="96" w:name="_Toc151193906"/>
      <w:r/>
      <w:bookmarkStart w:id="97" w:name="_Toc264969208"/>
      <w:r/>
      <w:bookmarkStart w:id="98" w:name="_Toc226965791"/>
      <w:r/>
      <w:bookmarkStart w:id="99" w:name="_Toc226309762"/>
      <w:r/>
      <w:bookmarkStart w:id="100" w:name="_Toc142311020"/>
      <w:r/>
      <w:bookmarkStart w:id="101" w:name="_Toc226337214"/>
      <w:r/>
      <w:bookmarkStart w:id="102" w:name="_Toc151193760"/>
      <w:r/>
      <w:bookmarkStart w:id="103" w:name="_Toc195842883"/>
      <w:r/>
      <w:bookmarkStart w:id="104" w:name="_Toc151193832"/>
      <w:r/>
      <w:bookmarkStart w:id="105" w:name="_Toc151193688"/>
      <w:r/>
      <w:bookmarkStart w:id="106" w:name="_Toc150509269"/>
      <w:r>
        <w:rPr>
          <w:rFonts w:hint="eastAsia" w:ascii="宋体" w:hAnsi="宋体" w:eastAsia="宋体" w:cs="宋体"/>
          <w:color w:val="auto"/>
          <w:sz w:val="24"/>
          <w:szCs w:val="24"/>
          <w:highlight w:val="none"/>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eastAsia="宋体" w:cs="宋体"/>
          <w:color w:val="auto"/>
          <w:sz w:val="24"/>
          <w:szCs w:val="24"/>
          <w:highlight w:val="none"/>
        </w:rPr>
        <w:tab/>
      </w:r>
      <w:r/>
    </w:p>
    <w:p>
      <w:pPr>
        <w:numPr>
          <w:ilvl w:val="0"/>
          <w:numId w:val="8"/>
        </w:numPr>
        <w:ind w:left="357" w:hanging="357"/>
        <w:spacing w:line="360" w:lineRule="auto"/>
        <w:tabs>
          <w:tab w:val="left" w:pos="360" w:leader="none"/>
          <w:tab w:val="clear" w:pos="900" w:leader="none"/>
        </w:tabs>
        <w:rPr>
          <w:rFonts w:hint="eastAsia" w:ascii="宋体" w:hAnsi="宋体" w:eastAsia="宋体" w:cs="宋体"/>
          <w:color w:val="auto"/>
          <w:sz w:val="24"/>
          <w:szCs w:val="24"/>
          <w:highlight w:val="none"/>
        </w:rPr>
        <w:outlineLvl w:val="1"/>
      </w:pPr>
      <w:r/>
      <w:bookmarkStart w:id="107" w:name="_Toc265228357"/>
      <w:r/>
      <w:bookmarkStart w:id="108" w:name="_Toc305158787"/>
      <w:r/>
      <w:bookmarkStart w:id="109" w:name="_Toc305158861"/>
      <w:r/>
      <w:bookmarkStart w:id="110" w:name="_Toc264969209"/>
      <w:r>
        <w:rPr>
          <w:rFonts w:hint="eastAsia" w:ascii="宋体" w:hAnsi="宋体" w:eastAsia="宋体" w:cs="宋体"/>
          <w:color w:val="auto"/>
          <w:sz w:val="24"/>
          <w:szCs w:val="24"/>
          <w:highlight w:val="none"/>
        </w:rPr>
        <w:t xml:space="preserve">采购人、采购代理机构、供应商</w:t>
      </w:r>
      <w:bookmarkEnd w:id="107"/>
      <w:r/>
      <w:bookmarkEnd w:id="108"/>
      <w:r/>
      <w:bookmarkEnd w:id="109"/>
      <w:r/>
      <w:bookmarkEnd w:id="110"/>
      <w:r>
        <w:rPr>
          <w:rFonts w:hint="eastAsia" w:ascii="宋体" w:hAnsi="宋体" w:eastAsia="宋体" w:cs="宋体"/>
          <w:color w:val="auto"/>
          <w:sz w:val="24"/>
          <w:szCs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rFonts w:hint="eastAsia" w:ascii="宋体" w:hAnsi="宋体" w:eastAsia="宋体" w:cs="宋体"/>
          <w:color w:val="auto"/>
          <w:sz w:val="24"/>
          <w:szCs w:val="24"/>
          <w:highlight w:val="none"/>
        </w:rPr>
        <w:outlineLvl w:val="1"/>
      </w:pPr>
      <w:r/>
      <w:bookmarkStart w:id="111" w:name="_Toc151193618"/>
      <w:r/>
      <w:bookmarkStart w:id="112" w:name="_Toc151193762"/>
      <w:r/>
      <w:bookmarkStart w:id="113" w:name="_Toc127151520"/>
      <w:r/>
      <w:bookmarkStart w:id="114" w:name="_Toc226337216"/>
      <w:r/>
      <w:bookmarkStart w:id="115" w:name="_Toc150774620"/>
      <w:r/>
      <w:bookmarkStart w:id="116" w:name="_Toc305158862"/>
      <w:r/>
      <w:bookmarkStart w:id="117" w:name="_Toc150480758"/>
      <w:r/>
      <w:bookmarkStart w:id="118" w:name="_Toc127161434"/>
      <w:r/>
      <w:bookmarkStart w:id="119" w:name="_Toc151193834"/>
      <w:r/>
      <w:bookmarkStart w:id="120" w:name="_Toc149720813"/>
      <w:r/>
      <w:bookmarkStart w:id="121" w:name="_Toc164229361"/>
      <w:r/>
      <w:bookmarkStart w:id="122" w:name="_Toc151193690"/>
      <w:r/>
      <w:bookmarkStart w:id="123" w:name="_Toc150774725"/>
      <w:r/>
      <w:bookmarkStart w:id="124" w:name="_Toc150509271"/>
      <w:r/>
      <w:bookmarkStart w:id="125" w:name="_Toc142311022"/>
      <w:r/>
      <w:bookmarkStart w:id="126" w:name="_Toc264969210"/>
      <w:r/>
      <w:bookmarkStart w:id="127" w:name="_Toc164608634"/>
      <w:r/>
      <w:bookmarkStart w:id="128" w:name="_Toc305158788"/>
      <w:r/>
      <w:bookmarkStart w:id="129" w:name="_Toc265228358"/>
      <w:r/>
      <w:bookmarkStart w:id="130" w:name="_Toc226965793"/>
      <w:r/>
      <w:bookmarkStart w:id="131" w:name="_Toc127151721"/>
      <w:r/>
      <w:bookmarkStart w:id="132" w:name="_Toc226309764"/>
      <w:r/>
      <w:bookmarkStart w:id="133" w:name="_Toc164608789"/>
      <w:r/>
      <w:bookmarkStart w:id="134" w:name="_Toc164351614"/>
      <w:r/>
      <w:bookmarkStart w:id="135" w:name="_Toc195842885"/>
      <w:r/>
      <w:bookmarkStart w:id="136" w:name="_Toc226965710"/>
      <w:r/>
      <w:bookmarkStart w:id="137" w:name="_Toc164229215"/>
      <w:r/>
      <w:bookmarkStart w:id="138" w:name="_Toc151190147"/>
      <w:r/>
      <w:bookmarkStart w:id="139" w:name="_Toc151193908"/>
      <w:r>
        <w:rPr>
          <w:rFonts w:hint="eastAsia" w:ascii="宋体" w:hAnsi="宋体" w:eastAsia="宋体" w:cs="宋体"/>
          <w:color w:val="auto"/>
          <w:sz w:val="24"/>
          <w:szCs w:val="24"/>
          <w:highlight w:val="none"/>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eastAsia="宋体" w:cs="宋体"/>
          <w:color w:val="auto"/>
          <w:sz w:val="24"/>
          <w:szCs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若《供应商须知资料表》中规定了组织现场考察、召开磋商前答疑会，则供应商应按要求在规定的时间和地点参加。</w:t>
      </w:r>
      <w:bookmarkStart w:id="140" w:name="_Toc226309766"/>
      <w:r/>
      <w:bookmarkStart w:id="141" w:name="_Toc150774622"/>
      <w:r/>
      <w:bookmarkStart w:id="142" w:name="_Toc142311024"/>
      <w:r/>
      <w:bookmarkStart w:id="143" w:name="_Toc520356146"/>
      <w:r/>
      <w:bookmarkStart w:id="144" w:name="_Toc265228360"/>
      <w:r/>
      <w:bookmarkStart w:id="145" w:name="_Toc127151522"/>
      <w:r/>
      <w:bookmarkStart w:id="146" w:name="_Toc150509273"/>
      <w:r/>
      <w:bookmarkStart w:id="147" w:name="_Toc151193764"/>
      <w:r/>
      <w:bookmarkStart w:id="148" w:name="_Toc151193836"/>
      <w:r/>
      <w:bookmarkStart w:id="149" w:name="_Toc264969212"/>
      <w:r/>
      <w:bookmarkStart w:id="150" w:name="_Toc226965795"/>
      <w:r/>
      <w:bookmarkStart w:id="151" w:name="_Toc150774727"/>
      <w:r/>
      <w:bookmarkStart w:id="152" w:name="_Toc305158864"/>
      <w:r/>
      <w:bookmarkStart w:id="153" w:name="_Toc226965712"/>
      <w:r/>
      <w:bookmarkStart w:id="154" w:name="_Toc150480760"/>
      <w:r/>
      <w:bookmarkStart w:id="155" w:name="_Toc151193620"/>
      <w:r/>
      <w:bookmarkStart w:id="156" w:name="_Toc305158790"/>
      <w:r/>
      <w:bookmarkStart w:id="157" w:name="_Toc151190149"/>
      <w:r/>
      <w:bookmarkStart w:id="158" w:name="_Toc151193910"/>
      <w:r/>
      <w:bookmarkStart w:id="159" w:name="_Toc151193692"/>
      <w:r/>
      <w:bookmarkStart w:id="160" w:name="_Toc195842887"/>
      <w:r/>
      <w:bookmarkStart w:id="161" w:name="_Toc226337218"/>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 w:val="clear" w:pos="90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p>
      <w:pPr>
        <w:numPr>
          <w:ilvl w:val="0"/>
          <w:numId w:val="0"/>
        </w:numPr>
        <w:ind w:left="360" w:firstLine="720"/>
        <w:spacing w:line="360" w:lineRule="auto"/>
        <w:tabs>
          <w:tab w:val="left" w:pos="1080" w:leader="none"/>
          <w:tab w:val="left" w:pos="2014"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本项目不适用。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中小企业、监狱企业及残疾人福利性单位</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中小企业定义：</w:t>
      </w:r>
      <w:r/>
    </w:p>
    <w:p>
      <w:pPr>
        <w:pStyle w:val="1002"/>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002"/>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002"/>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002"/>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002"/>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002"/>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002"/>
        <w:numPr>
          <w:ilvl w:val="2"/>
          <w:numId w:val="9"/>
        </w:numPr>
        <w:spacing w:line="360" w:lineRule="auto"/>
        <w:tabs>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残疾人福利单位定义：享受政府采购支持政策的残疾人</w:t>
      </w:r>
      <w:r>
        <w:rPr>
          <w:rFonts w:hint="eastAsia" w:ascii="宋体" w:hAnsi="宋体" w:eastAsia="宋体" w:cs="宋体"/>
          <w:color w:val="auto"/>
          <w:sz w:val="24"/>
          <w:szCs w:val="24"/>
          <w:highlight w:val="none"/>
          <w:lang w:eastAsia="zh-CN"/>
        </w:rPr>
        <w:t xml:space="preserve">福利</w:t>
      </w:r>
      <w:r>
        <w:rPr>
          <w:rFonts w:hint="eastAsia" w:ascii="宋体" w:hAnsi="宋体" w:eastAsia="宋体" w:cs="宋体"/>
          <w:color w:val="auto"/>
          <w:sz w:val="24"/>
          <w:szCs w:val="24"/>
          <w:highlight w:val="none"/>
        </w:rPr>
        <w:t xml:space="preserve">单位应当同时满足以下条件：</w:t>
      </w:r>
      <w:r/>
    </w:p>
    <w:p>
      <w:pPr>
        <w:pStyle w:val="1002"/>
        <w:numPr>
          <w:ilvl w:val="2"/>
          <w:numId w:val="9"/>
        </w:numPr>
        <w:spacing w:line="360" w:lineRule="auto"/>
        <w:tabs>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002"/>
        <w:numPr>
          <w:ilvl w:val="2"/>
          <w:numId w:val="9"/>
        </w:numPr>
        <w:spacing w:line="360" w:lineRule="auto"/>
        <w:tabs>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本项目是否专门面向中小企业预留采购份额见第一章《采购邀请》。</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采购标的对应的中小企业划分标准所属行业见《供应商须知资料表》。</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政府采购节能产品、环境标志产品</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auto"/>
          <w:sz w:val="24"/>
          <w:szCs w:val="24"/>
          <w:highlight w:val="none"/>
        </w:rPr>
        <w:t xml:space="preserve">否则</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支持乡村产业振兴管理</w:t>
      </w:r>
      <w:r/>
    </w:p>
    <w:p>
      <w:pPr>
        <w:numPr>
          <w:ilvl w:val="2"/>
          <w:numId w:val="8"/>
        </w:numPr>
        <w:spacing w:line="360" w:lineRule="auto"/>
        <w:tabs>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正版软件</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auto"/>
          <w:sz w:val="24"/>
          <w:szCs w:val="24"/>
          <w:highlight w:val="none"/>
        </w:rPr>
        <w:t xml:space="preserve">否则</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sz w:val="24"/>
        </w:rPr>
      </w:pPr>
      <w:r/>
      <w:bookmarkStart w:id="162" w:name="_1.8_计量单位"/>
      <w:r/>
      <w:bookmarkEnd w:id="162"/>
      <w:r>
        <w:rPr>
          <w:rFonts w:hint="eastAsia"/>
          <w:sz w:val="24"/>
        </w:rPr>
        <w:t xml:space="preserve">政府采购创新产品政策</w:t>
      </w:r>
      <w:r/>
    </w:p>
    <w:p>
      <w:pPr>
        <w:numPr>
          <w:ilvl w:val="2"/>
          <w:numId w:val="8"/>
        </w:numPr>
        <w:spacing w:line="360" w:lineRule="auto"/>
        <w:tabs>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sz w:val="24"/>
        </w:rPr>
      </w:pPr>
      <w:r>
        <w:rPr>
          <w:rFonts w:hint="eastAsia"/>
          <w:sz w:val="24"/>
        </w:rPr>
        <w:t xml:space="preserve">4.7 绿色采购政策</w:t>
      </w:r>
      <w:r/>
    </w:p>
    <w:p>
      <w:pPr>
        <w:ind w:left="900"/>
        <w:spacing w:line="480" w:lineRule="exact"/>
        <w:rPr>
          <w:rFonts w:ascii="宋体" w:hAnsi="宋体"/>
          <w:b/>
          <w:sz w:val="24"/>
        </w:rPr>
      </w:pPr>
      <w:r>
        <w:rPr>
          <w:rFonts w:hint="eastAsia"/>
          <w:sz w:val="24"/>
        </w:rPr>
        <w:t xml:space="preserve">4.7.1  </w:t>
      </w:r>
      <w:r>
        <w:rPr>
          <w:rFonts w:hint="eastAsia" w:ascii="宋体" w:hAnsi="宋体"/>
          <w:b w:val="0"/>
          <w:bCs/>
          <w:sz w:val="24"/>
        </w:rPr>
        <w:t xml:space="preserve">绿色数据中心政策</w:t>
      </w:r>
      <w:r>
        <w:rPr>
          <w:rFonts w:hint="eastAsia" w:ascii="宋体" w:hAnsi="宋体"/>
          <w:b/>
          <w:sz w:val="24"/>
        </w:rPr>
        <w:t xml:space="preserve"> </w:t>
      </w:r>
      <w:r/>
    </w:p>
    <w:p>
      <w:pPr>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4.7.2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 4.7.3 优先使用低挥发性有机化合物产品</w:t>
      </w:r>
      <w:r/>
    </w:p>
    <w:p>
      <w:pPr>
        <w:ind w:left="900"/>
        <w:spacing w:line="360" w:lineRule="auto"/>
        <w:tabs>
          <w:tab w:val="left" w:pos="2014" w:leader="none"/>
        </w:tabs>
        <w:rPr>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响应费用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7"/>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   竞争性磋商文件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bookmarkStart w:id="163" w:name="_Toc150480761"/>
      <w:r/>
      <w:bookmarkStart w:id="164" w:name="_Toc164608792"/>
      <w:r/>
      <w:bookmarkStart w:id="165" w:name="_Toc265228361"/>
      <w:r/>
      <w:bookmarkStart w:id="166" w:name="_Toc226309767"/>
      <w:r/>
      <w:bookmarkStart w:id="167" w:name="_Toc151193693"/>
      <w:r/>
      <w:bookmarkStart w:id="168" w:name="_Toc127151523"/>
      <w:r/>
      <w:bookmarkStart w:id="169" w:name="_Toc142311025"/>
      <w:r/>
      <w:bookmarkStart w:id="170" w:name="_Toc264969213"/>
      <w:r/>
      <w:bookmarkStart w:id="171" w:name="_Toc151190150"/>
      <w:r/>
      <w:bookmarkStart w:id="172" w:name="_Toc226965713"/>
      <w:r/>
      <w:bookmarkStart w:id="173" w:name="_Toc164351617"/>
      <w:r/>
      <w:bookmarkStart w:id="174" w:name="_Toc226337219"/>
      <w:r/>
      <w:bookmarkStart w:id="175" w:name="_Toc226965796"/>
      <w:r/>
      <w:bookmarkStart w:id="176" w:name="_Toc305158791"/>
      <w:r/>
      <w:bookmarkStart w:id="177" w:name="_Toc164608637"/>
      <w:r/>
      <w:bookmarkStart w:id="178" w:name="_Toc127161437"/>
      <w:r/>
      <w:bookmarkStart w:id="179" w:name="_Toc520356147"/>
      <w:r/>
      <w:bookmarkStart w:id="180" w:name="_Toc164229218"/>
      <w:r/>
      <w:bookmarkStart w:id="181" w:name="_Toc151193765"/>
      <w:r/>
      <w:bookmarkStart w:id="182" w:name="_Toc150774728"/>
      <w:r/>
      <w:bookmarkStart w:id="183" w:name="_Toc149720816"/>
      <w:r/>
      <w:bookmarkStart w:id="184" w:name="_Toc151193911"/>
      <w:r/>
      <w:bookmarkStart w:id="185" w:name="_Toc164229364"/>
      <w:r/>
      <w:bookmarkStart w:id="186" w:name="_Toc305158865"/>
      <w:r/>
      <w:bookmarkStart w:id="187" w:name="_Toc151193837"/>
      <w:r/>
      <w:bookmarkStart w:id="188" w:name="_Toc195842888"/>
      <w:r/>
      <w:bookmarkStart w:id="189" w:name="_Toc150509274"/>
      <w:r/>
      <w:bookmarkStart w:id="190" w:name="_Toc151193621"/>
      <w:r/>
      <w:bookmarkStart w:id="191" w:name="_Toc127151724"/>
      <w:r/>
      <w:bookmarkStart w:id="192" w:name="_Toc150774623"/>
      <w:r>
        <w:rPr>
          <w:rFonts w:hint="eastAsia" w:ascii="宋体" w:hAnsi="宋体" w:eastAsia="宋体" w:cs="宋体"/>
          <w:color w:val="auto"/>
          <w:sz w:val="24"/>
          <w:szCs w:val="24"/>
          <w:highlight w:val="none"/>
        </w:rPr>
        <w:t xml:space="preserve">竞争性磋商文件构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eastAsia="宋体" w:cs="宋体"/>
          <w:color w:val="auto"/>
          <w:sz w:val="24"/>
          <w:szCs w:val="24"/>
          <w:highlight w:val="none"/>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竞争性磋商文件包括以下部分：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采购邀请</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供应商须知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评审程序、评审方法和评审标准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合同草案条款</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响应文件格式</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供应商应认真阅读竞争性磋商文件的全部内容。供应商应按照竞争性磋商文件要求提交响应文件并保证所提供的全部资料的真实性，并对竞争性磋商文件</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0"/>
          <w:numId w:val="8"/>
        </w:numPr>
        <w:ind w:left="357" w:hanging="357"/>
        <w:spacing w:line="360" w:lineRule="auto"/>
        <w:tabs>
          <w:tab w:val="left" w:pos="1080" w:leader="none"/>
          <w:tab w:val="left" w:pos="2014"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hint="eastAsia" w:ascii="宋体" w:hAnsi="宋体" w:eastAsia="宋体" w:cs="宋体"/>
          <w:color w:val="auto"/>
          <w:sz w:val="24"/>
          <w:szCs w:val="24"/>
          <w:highlight w:val="none"/>
        </w:rPr>
      </w:pPr>
      <w:r/>
      <w:bookmarkStart w:id="193" w:name="_Toc516367020"/>
      <w:r/>
      <w:bookmarkStart w:id="194" w:name="_Toc520356150"/>
      <w:r/>
      <w:bookmarkStart w:id="195" w:name="_Toc226965799"/>
      <w:r/>
      <w:bookmarkStart w:id="196" w:name="_Toc150774626"/>
      <w:r/>
      <w:bookmarkStart w:id="197" w:name="_Toc305158794"/>
      <w:r/>
      <w:bookmarkStart w:id="198" w:name="_Toc151193696"/>
      <w:r/>
      <w:bookmarkStart w:id="199" w:name="_Toc264969216"/>
      <w:r/>
      <w:bookmarkStart w:id="200" w:name="_Toc151193840"/>
      <w:r/>
      <w:bookmarkStart w:id="201" w:name="_Toc226965716"/>
      <w:r/>
      <w:bookmarkStart w:id="202" w:name="_Toc127151526"/>
      <w:r/>
      <w:bookmarkStart w:id="203" w:name="_Toc195842891"/>
      <w:r/>
      <w:bookmarkStart w:id="204" w:name="_Toc142311028"/>
      <w:r/>
      <w:bookmarkStart w:id="205" w:name="_Toc151193624"/>
      <w:r/>
      <w:bookmarkStart w:id="206" w:name="_Toc226337222"/>
      <w:r/>
      <w:bookmarkStart w:id="207" w:name="_Toc150774731"/>
      <w:r/>
      <w:bookmarkStart w:id="208" w:name="_Toc151190153"/>
      <w:r/>
      <w:bookmarkStart w:id="209" w:name="_Toc265228364"/>
      <w:r/>
      <w:bookmarkStart w:id="210" w:name="_Toc305158868"/>
      <w:r/>
      <w:bookmarkStart w:id="211" w:name="_Toc150480764"/>
      <w:r/>
      <w:bookmarkStart w:id="212" w:name="_Toc151193768"/>
      <w:r/>
      <w:bookmarkStart w:id="213" w:name="_Toc150509277"/>
      <w:r/>
      <w:bookmarkStart w:id="214" w:name="_Toc226309770"/>
      <w:r/>
      <w:bookmarkStart w:id="215" w:name="_Toc151193914"/>
      <w:r/>
      <w:r/>
    </w:p>
    <w:p>
      <w:pPr>
        <w:pStyle w:val="957"/>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   响应文件</w:t>
      </w:r>
      <w:bookmarkEnd w:id="193"/>
      <w:r>
        <w:rPr>
          <w:rFonts w:hint="eastAsia" w:ascii="宋体" w:hAnsi="宋体" w:eastAsia="宋体" w:cs="宋体"/>
          <w:color w:val="auto"/>
          <w:sz w:val="24"/>
          <w:szCs w:val="24"/>
          <w:highlight w:val="none"/>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bookmarkStart w:id="216" w:name="_Toc520356151"/>
      <w:r/>
      <w:bookmarkStart w:id="217" w:name="_Toc264969217"/>
      <w:r/>
      <w:bookmarkStart w:id="218" w:name="_Toc305158795"/>
      <w:r/>
      <w:bookmarkStart w:id="219" w:name="_Toc164608641"/>
      <w:r/>
      <w:bookmarkStart w:id="220" w:name="_Toc164351621"/>
      <w:r/>
      <w:bookmarkStart w:id="221" w:name="_Toc151193697"/>
      <w:r/>
      <w:bookmarkStart w:id="222" w:name="_Toc150509278"/>
      <w:r/>
      <w:bookmarkStart w:id="223" w:name="_Toc195842892"/>
      <w:r/>
      <w:bookmarkStart w:id="224" w:name="_Toc142311029"/>
      <w:r/>
      <w:bookmarkStart w:id="225" w:name="_Toc127151527"/>
      <w:r/>
      <w:bookmarkStart w:id="226" w:name="_Toc164229368"/>
      <w:r/>
      <w:bookmarkStart w:id="227" w:name="_Toc127151728"/>
      <w:r/>
      <w:bookmarkStart w:id="228" w:name="_Toc226965800"/>
      <w:r/>
      <w:bookmarkStart w:id="229" w:name="_Toc164608796"/>
      <w:r/>
      <w:bookmarkStart w:id="230" w:name="_Toc150774732"/>
      <w:r/>
      <w:bookmarkStart w:id="231" w:name="_Toc226965717"/>
      <w:r/>
      <w:bookmarkStart w:id="232" w:name="_Toc164229222"/>
      <w:r/>
      <w:bookmarkStart w:id="233" w:name="_Toc265228365"/>
      <w:r/>
      <w:bookmarkStart w:id="234" w:name="_Toc127161441"/>
      <w:r/>
      <w:bookmarkStart w:id="235" w:name="_Toc149720820"/>
      <w:r/>
      <w:bookmarkStart w:id="236" w:name="_Toc151190154"/>
      <w:r/>
      <w:bookmarkStart w:id="237" w:name="_Toc151193915"/>
      <w:r/>
      <w:bookmarkStart w:id="238" w:name="_Toc150480765"/>
      <w:r/>
      <w:bookmarkStart w:id="239" w:name="_Toc151193625"/>
      <w:r/>
      <w:bookmarkStart w:id="240" w:name="_Toc151193769"/>
      <w:r/>
      <w:bookmarkStart w:id="241" w:name="_Toc516367021"/>
      <w:r/>
      <w:bookmarkStart w:id="242" w:name="_Toc150774627"/>
      <w:r/>
      <w:bookmarkStart w:id="243" w:name="_Toc305158869"/>
      <w:r/>
      <w:bookmarkStart w:id="244" w:name="_Toc226309771"/>
      <w:r/>
      <w:bookmarkStart w:id="245" w:name="_Toc151193841"/>
      <w:r/>
      <w:bookmarkStart w:id="246" w:name="_Toc226337223"/>
      <w:r>
        <w:rPr>
          <w:rFonts w:hint="eastAsia" w:ascii="宋体" w:hAnsi="宋体" w:eastAsia="宋体" w:cs="宋体"/>
          <w:color w:val="auto"/>
          <w:sz w:val="24"/>
          <w:szCs w:val="24"/>
          <w:highlight w:val="none"/>
        </w:rPr>
        <w:t xml:space="preserve">响应范围、竞争性磋商文件中计量单位的使用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eastAsia="宋体" w:cs="宋体"/>
          <w:color w:val="auto"/>
          <w:sz w:val="24"/>
          <w:szCs w:val="24"/>
          <w:highlight w:val="none"/>
        </w:rPr>
        <w:t xml:space="preserve">及磋商语言</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bookmarkStart w:id="247" w:name="_Ref467306676"/>
      <w:r/>
      <w:bookmarkStart w:id="248" w:name="_Toc516367022"/>
      <w:r/>
      <w:bookmarkStart w:id="249" w:name="_Ref467306195"/>
      <w:r/>
      <w:bookmarkStart w:id="250" w:name="_Toc226965801"/>
      <w:r/>
      <w:bookmarkStart w:id="251" w:name="_Toc164351622"/>
      <w:r/>
      <w:bookmarkStart w:id="252" w:name="_Toc305158870"/>
      <w:r/>
      <w:bookmarkStart w:id="253" w:name="_Toc164229369"/>
      <w:r/>
      <w:bookmarkStart w:id="254" w:name="_Toc226965718"/>
      <w:r/>
      <w:bookmarkStart w:id="255" w:name="_Toc151193916"/>
      <w:r/>
      <w:bookmarkStart w:id="256" w:name="_Toc151193626"/>
      <w:r/>
      <w:bookmarkStart w:id="257" w:name="_Toc226337224"/>
      <w:r/>
      <w:bookmarkStart w:id="258" w:name="_Toc226309772"/>
      <w:r/>
      <w:bookmarkStart w:id="259" w:name="_Toc195842893"/>
      <w:r/>
      <w:bookmarkStart w:id="260" w:name="_Toc150480766"/>
      <w:r/>
      <w:bookmarkStart w:id="261" w:name="_Toc265228366"/>
      <w:r/>
      <w:bookmarkStart w:id="262" w:name="_Toc151193698"/>
      <w:r/>
      <w:bookmarkStart w:id="263" w:name="_Toc150509279"/>
      <w:r/>
      <w:bookmarkStart w:id="264" w:name="_Toc142311030"/>
      <w:r/>
      <w:bookmarkStart w:id="265" w:name="_Toc164608642"/>
      <w:r/>
      <w:bookmarkStart w:id="266" w:name="_Toc127151729"/>
      <w:r/>
      <w:bookmarkStart w:id="267" w:name="_Toc164229223"/>
      <w:r/>
      <w:bookmarkStart w:id="268" w:name="_Toc520356152"/>
      <w:r/>
      <w:bookmarkStart w:id="269" w:name="_Toc127161442"/>
      <w:r/>
      <w:bookmarkStart w:id="270" w:name="_Toc150774628"/>
      <w:r/>
      <w:bookmarkStart w:id="271" w:name="_Toc149720821"/>
      <w:r/>
      <w:bookmarkStart w:id="272" w:name="_Toc264969218"/>
      <w:r/>
      <w:bookmarkStart w:id="273" w:name="_Toc164608797"/>
      <w:r/>
      <w:bookmarkStart w:id="274" w:name="_Toc305158796"/>
      <w:r/>
      <w:bookmarkStart w:id="275" w:name="_Toc127151528"/>
      <w:r/>
      <w:bookmarkStart w:id="276" w:name="_Toc151190155"/>
      <w:r/>
      <w:bookmarkStart w:id="277" w:name="_Toc151193842"/>
      <w:r/>
      <w:bookmarkStart w:id="278" w:name="_Toc151193770"/>
      <w:r/>
      <w:bookmarkStart w:id="279" w:name="_Toc150774733"/>
      <w:r>
        <w:rPr>
          <w:rFonts w:hint="eastAsia" w:ascii="宋体" w:hAnsi="宋体" w:eastAsia="宋体" w:cs="宋体"/>
          <w:color w:val="auto"/>
          <w:sz w:val="24"/>
          <w:szCs w:val="24"/>
          <w:highlight w:val="none"/>
        </w:rPr>
        <w:t xml:space="preserve">响应文件</w:t>
      </w:r>
      <w:bookmarkEnd w:id="247"/>
      <w:r/>
      <w:bookmarkEnd w:id="248"/>
      <w:r/>
      <w:bookmarkEnd w:id="249"/>
      <w:r>
        <w:rPr>
          <w:rFonts w:hint="eastAsia" w:ascii="宋体" w:hAnsi="宋体" w:eastAsia="宋体" w:cs="宋体"/>
          <w:color w:val="auto"/>
          <w:sz w:val="24"/>
          <w:szCs w:val="24"/>
          <w:highlight w:val="none"/>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bookmarkStart w:id="280" w:name="_Ref467052588"/>
      <w:r>
        <w:rPr>
          <w:rFonts w:hint="eastAsia" w:ascii="宋体" w:hAnsi="宋体" w:eastAsia="宋体" w:cs="宋体"/>
          <w:color w:val="auto"/>
          <w:sz w:val="24"/>
          <w:szCs w:val="24"/>
          <w:highlight w:val="none"/>
        </w:rPr>
        <w:t xml:space="preserve">供应商应当按照竞争性磋商文件的要求编制响应文件，</w:t>
      </w:r>
      <w:r>
        <w:rPr>
          <w:rFonts w:hint="eastAsia" w:ascii="宋体" w:hAnsi="宋体" w:eastAsia="宋体" w:cs="宋体"/>
          <w:color w:val="auto"/>
          <w:sz w:val="24"/>
          <w:szCs w:val="24"/>
          <w:highlight w:val="none"/>
        </w:rPr>
        <w:t xml:space="preserve">并对其提交的响应文件的真实性、合法性承担法律责任</w:t>
      </w:r>
      <w:r>
        <w:rPr>
          <w:rFonts w:hint="eastAsia" w:ascii="宋体" w:hAnsi="宋体" w:eastAsia="宋体" w:cs="宋体"/>
          <w:color w:val="auto"/>
          <w:sz w:val="24"/>
          <w:szCs w:val="24"/>
          <w:highlight w:val="none"/>
        </w:rPr>
        <w:t xml:space="preserve">。响应文件的部分格式要求，见第六章《响应文件格式》。</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对于竞争性磋商文件中标记了“实质性格式”文件的，</w:t>
      </w:r>
      <w:r>
        <w:rPr>
          <w:rFonts w:hint="eastAsia" w:ascii="宋体" w:hAnsi="宋体" w:eastAsia="宋体" w:cs="宋体"/>
          <w:color w:val="auto"/>
          <w:sz w:val="24"/>
          <w:szCs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szCs w:val="24"/>
          <w:highlight w:val="none"/>
        </w:rPr>
        <w:t xml:space="preserve">否则响应无效</w:t>
      </w:r>
      <w:r>
        <w:rPr>
          <w:rFonts w:hint="eastAsia" w:ascii="宋体" w:hAnsi="宋体" w:eastAsia="宋体" w:cs="宋体"/>
          <w:color w:val="auto"/>
          <w:sz w:val="24"/>
          <w:szCs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供应商认为应附的其他材料。</w:t>
      </w:r>
      <w:bookmarkEnd w:id="280"/>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bookmarkStart w:id="281" w:name="_Toc520356155"/>
      <w:r/>
      <w:bookmarkStart w:id="282" w:name="_Toc150480768"/>
      <w:r/>
      <w:bookmarkStart w:id="283" w:name="_Toc150509281"/>
      <w:r/>
      <w:bookmarkStart w:id="284" w:name="_Toc127151530"/>
      <w:r/>
      <w:bookmarkStart w:id="285" w:name="_Toc151193918"/>
      <w:r/>
      <w:bookmarkStart w:id="286" w:name="_Toc151193700"/>
      <w:r/>
      <w:bookmarkStart w:id="287" w:name="_Toc151193628"/>
      <w:r/>
      <w:bookmarkStart w:id="288" w:name="_Toc150774735"/>
      <w:r/>
      <w:bookmarkStart w:id="289" w:name="_Toc164351624"/>
      <w:r/>
      <w:bookmarkStart w:id="290" w:name="_Toc149720823"/>
      <w:r/>
      <w:bookmarkStart w:id="291" w:name="_Toc164229371"/>
      <w:r/>
      <w:bookmarkStart w:id="292" w:name="_Toc164608644"/>
      <w:r/>
      <w:bookmarkStart w:id="293" w:name="_Toc127161444"/>
      <w:r/>
      <w:bookmarkStart w:id="294" w:name="_Toc127151731"/>
      <w:r/>
      <w:bookmarkStart w:id="295" w:name="_Toc164229225"/>
      <w:r/>
      <w:bookmarkStart w:id="296" w:name="_Toc195842895"/>
      <w:r/>
      <w:bookmarkStart w:id="297" w:name="_Toc164608799"/>
      <w:r/>
      <w:bookmarkStart w:id="298" w:name="_Toc151190157"/>
      <w:r/>
      <w:bookmarkStart w:id="299" w:name="_Toc150774630"/>
      <w:r/>
      <w:bookmarkStart w:id="300" w:name="_Toc151193772"/>
      <w:r/>
      <w:bookmarkStart w:id="301" w:name="_Toc151193844"/>
      <w:r/>
      <w:bookmarkStart w:id="302" w:name="_Toc142311032"/>
      <w:r>
        <w:rPr>
          <w:rFonts w:hint="eastAsia" w:ascii="宋体" w:hAnsi="宋体" w:eastAsia="宋体" w:cs="宋体"/>
          <w:color w:val="auto"/>
          <w:sz w:val="24"/>
          <w:szCs w:val="24"/>
          <w:highlight w:val="none"/>
        </w:rPr>
        <w:t xml:space="preserve">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所有响应均以人民币报价。</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按照竞争性磋商文件要求完成本项目的全部相关工程或服务费用。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供应商不能提供任何有选择性或可调整的最终报价（</w:t>
      </w:r>
      <w:r>
        <w:rPr>
          <w:rFonts w:hint="eastAsia" w:ascii="宋体" w:hAnsi="宋体" w:eastAsia="宋体" w:cs="宋体"/>
          <w:color w:val="auto"/>
          <w:sz w:val="24"/>
          <w:szCs w:val="24"/>
          <w:highlight w:val="none"/>
        </w:rPr>
        <w:t xml:space="preserve">竞争性磋商文件</w:t>
      </w:r>
      <w:r>
        <w:rPr>
          <w:rFonts w:hint="eastAsia" w:ascii="宋体" w:hAnsi="宋体" w:eastAsia="宋体" w:cs="宋体"/>
          <w:color w:val="auto"/>
          <w:sz w:val="24"/>
          <w:szCs w:val="24"/>
          <w:highlight w:val="none"/>
        </w:rPr>
        <w:t xml:space="preserve">另有规定的除外），否则其</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磋商保证金</w:t>
      </w:r>
      <w:r/>
    </w:p>
    <w:p>
      <w:pPr>
        <w:ind w:firstLine="360"/>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响应有效期</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 w:val="24"/>
          <w:szCs w:val="24"/>
          <w:highlight w:val="none"/>
        </w:rPr>
        <w:outlineLvl w:val="1"/>
      </w:pPr>
      <w:r/>
      <w:bookmarkStart w:id="303" w:name="_Toc151193847"/>
      <w:r/>
      <w:bookmarkStart w:id="304" w:name="_Toc195842898"/>
      <w:r/>
      <w:bookmarkStart w:id="305" w:name="_Toc127161447"/>
      <w:r/>
      <w:bookmarkStart w:id="306" w:name="_Toc226309777"/>
      <w:r/>
      <w:bookmarkStart w:id="307" w:name="_Toc150774633"/>
      <w:r/>
      <w:bookmarkStart w:id="308" w:name="_Toc226965723"/>
      <w:r/>
      <w:bookmarkStart w:id="309" w:name="_Toc164229228"/>
      <w:r/>
      <w:bookmarkStart w:id="310" w:name="_Toc151193921"/>
      <w:r/>
      <w:bookmarkStart w:id="311" w:name="_Toc150509284"/>
      <w:r/>
      <w:bookmarkStart w:id="312" w:name="_Toc305158801"/>
      <w:r/>
      <w:bookmarkStart w:id="313" w:name="_Toc520356158"/>
      <w:r/>
      <w:bookmarkStart w:id="314" w:name="_Toc264969223"/>
      <w:r/>
      <w:bookmarkStart w:id="315" w:name="_Toc164351627"/>
      <w:r/>
      <w:bookmarkStart w:id="316" w:name="_Toc149720826"/>
      <w:r/>
      <w:bookmarkStart w:id="317" w:name="_Toc226337229"/>
      <w:r/>
      <w:bookmarkStart w:id="318" w:name="_Toc151193631"/>
      <w:r/>
      <w:bookmarkStart w:id="319" w:name="_Toc142311035"/>
      <w:r/>
      <w:bookmarkStart w:id="320" w:name="_Toc164608802"/>
      <w:r/>
      <w:bookmarkStart w:id="321" w:name="_Toc150480771"/>
      <w:r/>
      <w:bookmarkStart w:id="322" w:name="_Toc151190160"/>
      <w:r/>
      <w:bookmarkStart w:id="323" w:name="_Toc226965806"/>
      <w:r/>
      <w:bookmarkStart w:id="324" w:name="_Toc164229374"/>
      <w:r/>
      <w:bookmarkStart w:id="325" w:name="_Toc150774738"/>
      <w:r/>
      <w:bookmarkStart w:id="326" w:name="_Toc127151533"/>
      <w:r/>
      <w:bookmarkStart w:id="327" w:name="_Toc164608647"/>
      <w:r/>
      <w:bookmarkStart w:id="328" w:name="_Toc305158875"/>
      <w:r/>
      <w:bookmarkStart w:id="329" w:name="_Toc265228371"/>
      <w:r/>
      <w:bookmarkStart w:id="330" w:name="_Toc127151734"/>
      <w:r/>
      <w:bookmarkStart w:id="331" w:name="_Toc151193775"/>
      <w:r/>
      <w:bookmarkStart w:id="332" w:name="_Toc151193703"/>
      <w:r>
        <w:rPr>
          <w:rFonts w:hint="eastAsia" w:ascii="宋体" w:hAnsi="宋体" w:eastAsia="宋体" w:cs="宋体"/>
          <w:color w:val="auto"/>
          <w:sz w:val="24"/>
          <w:szCs w:val="24"/>
          <w:highlight w:val="none"/>
        </w:rPr>
        <w:t xml:space="preserve">响应文件的签署</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hint="eastAsia" w:ascii="宋体" w:hAnsi="宋体" w:eastAsia="宋体" w:cs="宋体"/>
          <w:color w:val="auto"/>
          <w:sz w:val="24"/>
          <w:szCs w:val="24"/>
          <w:highlight w:val="none"/>
        </w:rPr>
        <w:t xml:space="preserve">、盖章</w:t>
      </w:r>
      <w:r/>
    </w:p>
    <w:p>
      <w:pPr>
        <w:numPr>
          <w:ilvl w:val="0"/>
          <w:numId w:val="0"/>
        </w:numPr>
        <w:ind w:firstLine="240"/>
        <w:spacing w:line="360" w:lineRule="auto"/>
        <w:tabs>
          <w:tab w:val="left" w:pos="1080" w:leader="none"/>
          <w:tab w:val="left" w:pos="2014" w:leader="none"/>
        </w:tabs>
        <w:rPr>
          <w:color w:val="auto"/>
          <w:sz w:val="24"/>
          <w:highlight w:val="none"/>
        </w:rPr>
      </w:pPr>
      <w:r/>
      <w:bookmarkStart w:id="333" w:name="_Toc151193704"/>
      <w:r/>
      <w:bookmarkStart w:id="334" w:name="_Toc264969224"/>
      <w:r/>
      <w:bookmarkStart w:id="335" w:name="_Toc226337230"/>
      <w:r/>
      <w:bookmarkStart w:id="336" w:name="_Toc151193776"/>
      <w:r/>
      <w:bookmarkStart w:id="337" w:name="_Toc520356159"/>
      <w:r/>
      <w:bookmarkStart w:id="338" w:name="_Toc150774739"/>
      <w:r/>
      <w:bookmarkStart w:id="339" w:name="_Toc305158802"/>
      <w:r/>
      <w:bookmarkStart w:id="340" w:name="_Toc151190161"/>
      <w:r/>
      <w:bookmarkStart w:id="341" w:name="_Toc226965724"/>
      <w:r/>
      <w:bookmarkStart w:id="342" w:name="_Toc265228372"/>
      <w:r/>
      <w:bookmarkStart w:id="343" w:name="_Toc150774634"/>
      <w:r/>
      <w:bookmarkStart w:id="344" w:name="_Toc150480772"/>
      <w:r/>
      <w:bookmarkStart w:id="345" w:name="_Toc142311036"/>
      <w:r/>
      <w:bookmarkStart w:id="346" w:name="_Toc226965807"/>
      <w:r/>
      <w:bookmarkStart w:id="347" w:name="_Toc151193848"/>
      <w:r/>
      <w:bookmarkStart w:id="348" w:name="_Toc127151534"/>
      <w:r/>
      <w:bookmarkStart w:id="349" w:name="_Toc150509285"/>
      <w:r/>
      <w:bookmarkStart w:id="350" w:name="_Toc226309778"/>
      <w:r/>
      <w:bookmarkStart w:id="351" w:name="_Toc195842899"/>
      <w:r/>
      <w:bookmarkStart w:id="352" w:name="_Toc305158876"/>
      <w:r/>
      <w:bookmarkStart w:id="353" w:name="_Toc151193632"/>
      <w:r/>
      <w:bookmarkStart w:id="354" w:name="_Toc151193922"/>
      <w:r>
        <w:rPr>
          <w:rFonts w:hint="eastAsia" w:ascii="Times New Roman" w:hAnsi="Times New Roman" w:eastAsia="宋体" w:cs="Times New Roman"/>
          <w:color w:val="auto"/>
          <w:sz w:val="24"/>
          <w:highlight w:val="none"/>
          <w:lang w:val="en-US" w:eastAsia="zh-CN"/>
        </w:rPr>
        <w:t xml:space="preserve">13.1</w:t>
      </w:r>
      <w:r>
        <w:rPr>
          <w:rFonts w:hint="eastAsia" w:ascii="Times New Roman" w:hAnsi="Times New Roman" w:eastAsia="宋体" w:cs="Times New Roman"/>
          <w:color w:val="auto"/>
          <w:sz w:val="24"/>
          <w:highlight w:val="none"/>
          <w:lang w:eastAsia="zh-CN"/>
        </w:rPr>
        <w:t xml:space="preserve">响应</w:t>
      </w:r>
      <w:r>
        <w:rPr>
          <w:rFonts w:hint="eastAsia" w:ascii="Times New Roman" w:hAnsi="Times New Roman" w:eastAsia="宋体" w:cs="Times New Roman"/>
          <w:color w:val="auto"/>
          <w:sz w:val="24"/>
          <w:highlight w:val="none"/>
        </w:rPr>
        <w:t xml:space="preserve">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0"/>
          <w:numId w:val="0"/>
        </w:numPr>
        <w:ind w:firstLine="240"/>
        <w:spacing w:line="360" w:lineRule="auto"/>
        <w:tabs>
          <w:tab w:val="left" w:pos="1080" w:leader="none"/>
          <w:tab w:val="left" w:pos="2014" w:leader="none"/>
        </w:tabs>
        <w:rPr>
          <w:rFonts w:hint="eastAsia"/>
        </w:rPr>
      </w:pPr>
      <w:r>
        <w:rPr>
          <w:rFonts w:hint="eastAsia"/>
          <w:color w:val="auto"/>
          <w:sz w:val="24"/>
          <w:highlight w:val="none"/>
          <w:lang w:val="en-US" w:eastAsia="zh-CN"/>
        </w:rPr>
        <w:t xml:space="preserve">13</w:t>
      </w:r>
      <w:r>
        <w:rPr>
          <w:rFonts w:hint="eastAsia"/>
          <w:color w:val="auto"/>
          <w:sz w:val="24"/>
          <w:highlight w:val="none"/>
        </w:rPr>
        <w:t xml:space="preserve">.2</w:t>
      </w:r>
      <w:r>
        <w:rPr>
          <w:rFonts w:hint="eastAsia"/>
          <w:color w:val="000000"/>
          <w:sz w:val="24"/>
          <w:lang w:eastAsia="zh-CN"/>
        </w:rPr>
        <w:t xml:space="preserve">响应</w:t>
      </w:r>
      <w:r>
        <w:rPr>
          <w:color w:val="000000"/>
          <w:sz w:val="24"/>
        </w:rPr>
        <w:t xml:space="preserve">文件要求盖章的内容，</w:t>
      </w:r>
      <w:r>
        <w:rPr>
          <w:rFonts w:hint="eastAsia"/>
          <w:color w:val="000000"/>
          <w:sz w:val="24"/>
        </w:rPr>
        <w:t xml:space="preserve">一般</w:t>
      </w:r>
      <w:r>
        <w:rPr>
          <w:color w:val="000000"/>
          <w:sz w:val="24"/>
        </w:rPr>
        <w:t xml:space="preserve">通过投标文件编制工具加盖电子签章。</w:t>
      </w:r>
      <w:r/>
    </w:p>
    <w:p>
      <w:pPr>
        <w:pStyle w:val="957"/>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   响应文件的提交</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numPr>
          <w:ilvl w:val="0"/>
          <w:numId w:val="8"/>
        </w:numPr>
        <w:ind w:left="357" w:hanging="357"/>
        <w:spacing w:line="360" w:lineRule="auto"/>
        <w:tabs>
          <w:tab w:val="left" w:pos="360" w:leader="none"/>
        </w:tabs>
        <w:rPr>
          <w:rFonts w:ascii="Times New Roman" w:hAnsi="Times New Roman" w:eastAsia="宋体" w:cs="Times New Roman"/>
          <w:color w:val="auto"/>
          <w:sz w:val="24"/>
          <w:highlight w:val="none"/>
        </w:rPr>
        <w:outlineLvl w:val="1"/>
      </w:pPr>
      <w:r/>
      <w:bookmarkStart w:id="355" w:name="_Toc142311037"/>
      <w:r/>
      <w:bookmarkStart w:id="356" w:name="_Toc149720828"/>
      <w:r/>
      <w:bookmarkStart w:id="357" w:name="_Toc151193849"/>
      <w:r/>
      <w:bookmarkStart w:id="358" w:name="_Toc150480773"/>
      <w:r/>
      <w:bookmarkStart w:id="359" w:name="_Toc151193777"/>
      <w:r/>
      <w:bookmarkStart w:id="360" w:name="_Toc150774740"/>
      <w:r/>
      <w:bookmarkStart w:id="361" w:name="_Toc164229230"/>
      <w:r/>
      <w:bookmarkStart w:id="362" w:name="_Toc150774635"/>
      <w:r/>
      <w:bookmarkStart w:id="363" w:name="_Toc264969225"/>
      <w:r/>
      <w:bookmarkStart w:id="364" w:name="_Toc305158803"/>
      <w:r/>
      <w:bookmarkStart w:id="365" w:name="_Toc226965725"/>
      <w:r/>
      <w:bookmarkStart w:id="366" w:name="_Toc226309779"/>
      <w:r/>
      <w:bookmarkStart w:id="367" w:name="_Toc226337231"/>
      <w:r/>
      <w:bookmarkStart w:id="368" w:name="_Toc265228373"/>
      <w:r/>
      <w:bookmarkStart w:id="369" w:name="_Toc151190162"/>
      <w:r/>
      <w:bookmarkStart w:id="370" w:name="_Toc520356160"/>
      <w:r/>
      <w:bookmarkStart w:id="371" w:name="_Toc164351629"/>
      <w:r/>
      <w:bookmarkStart w:id="372" w:name="_Toc127151736"/>
      <w:r/>
      <w:bookmarkStart w:id="373" w:name="_Toc195842900"/>
      <w:r/>
      <w:bookmarkStart w:id="374" w:name="_Toc305158877"/>
      <w:r/>
      <w:bookmarkStart w:id="375" w:name="_Toc164608804"/>
      <w:r/>
      <w:bookmarkStart w:id="376" w:name="_Toc127151535"/>
      <w:r/>
      <w:bookmarkStart w:id="377" w:name="_Toc127161449"/>
      <w:r/>
      <w:bookmarkStart w:id="378" w:name="_Toc151193705"/>
      <w:r/>
      <w:bookmarkStart w:id="379" w:name="_Toc151193633"/>
      <w:r/>
      <w:bookmarkStart w:id="380" w:name="_Toc164608649"/>
      <w:r/>
      <w:bookmarkStart w:id="381" w:name="_Toc164229376"/>
      <w:r/>
      <w:bookmarkStart w:id="382" w:name="_Toc151193923"/>
      <w:r/>
      <w:bookmarkStart w:id="383" w:name="_Toc150509286"/>
      <w:r/>
      <w:bookmarkStart w:id="384" w:name="_Toc226965808"/>
      <w:r>
        <w:rPr>
          <w:rFonts w:ascii="Times New Roman" w:hAnsi="Times New Roman" w:eastAsia="宋体" w:cs="Times New Roman"/>
          <w:color w:val="auto"/>
          <w:sz w:val="24"/>
          <w:highlight w:val="none"/>
        </w:rPr>
        <w:t xml:space="preserve">响应文件的</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rFonts w:ascii="Times New Roman" w:hAnsi="Times New Roman" w:eastAsia="宋体" w:cs="Times New Roman"/>
          <w:color w:val="auto"/>
          <w:sz w:val="24"/>
          <w:highlight w:val="none"/>
        </w:rPr>
        <w:t xml:space="preserve">提交</w:t>
      </w:r>
      <w:r/>
    </w:p>
    <w:p>
      <w:pPr>
        <w:numPr>
          <w:ilvl w:val="0"/>
          <w:numId w:val="0"/>
        </w:numPr>
        <w:ind w:left="357"/>
        <w:spacing w:line="360" w:lineRule="auto"/>
        <w:tabs>
          <w:tab w:val="left" w:pos="1080" w:leader="none"/>
          <w:tab w:val="left" w:pos="2014"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14.1</w:t>
      </w:r>
      <w:r>
        <w:rPr>
          <w:rFonts w:hint="eastAsia" w:ascii="Times New Roman" w:hAnsi="Times New Roman" w:eastAsia="宋体" w:cs="Times New Roman"/>
          <w:color w:val="auto"/>
          <w:sz w:val="24"/>
          <w:highlight w:val="none"/>
        </w:rPr>
        <w:t xml:space="preserve">响应人须在采购公告规定的响应文件提交截止时间之前</w:t>
      </w:r>
      <w:r>
        <w:rPr>
          <w:sz w:val="24"/>
        </w:rPr>
        <w:t xml:space="preserve">根据竞争性磋商文件及</w:t>
      </w:r>
      <w:r>
        <w:rPr>
          <w:rFonts w:hint="eastAsia"/>
          <w:sz w:val="24"/>
          <w:lang w:eastAsia="zh-CN"/>
        </w:rPr>
        <w:t xml:space="preserve">“苏采云”系统</w:t>
      </w:r>
      <w:r>
        <w:rPr>
          <w:sz w:val="24"/>
        </w:rPr>
        <w:t xml:space="preserve">供应商操作手册要求编制、生成并提交电子响应文件。采购人及采购代理机构拒绝接受通过电子交易平台以外任何形式提交的响应文件，磋商保证金除外</w:t>
      </w:r>
      <w:r>
        <w:rPr>
          <w:rFonts w:hint="eastAsia"/>
          <w:sz w:val="24"/>
          <w:lang w:eastAsia="zh-CN"/>
        </w:rPr>
        <w:t xml:space="preserve">（如有）</w:t>
      </w:r>
      <w:r>
        <w:rPr>
          <w:sz w:val="24"/>
        </w:rPr>
        <w:t xml:space="preserve">。</w:t>
      </w:r>
      <w:r/>
    </w:p>
    <w:p>
      <w:pPr>
        <w:numPr>
          <w:ilvl w:val="0"/>
          <w:numId w:val="8"/>
        </w:numPr>
        <w:ind w:left="357" w:hanging="357"/>
        <w:spacing w:line="360" w:lineRule="auto"/>
        <w:tabs>
          <w:tab w:val="left" w:pos="360" w:leader="none"/>
        </w:tabs>
        <w:rPr>
          <w:rFonts w:ascii="Times New Roman" w:hAnsi="Times New Roman" w:eastAsia="宋体" w:cs="Times New Roman"/>
          <w:color w:val="auto"/>
          <w:sz w:val="24"/>
          <w:highlight w:val="none"/>
        </w:rPr>
        <w:outlineLvl w:val="1"/>
      </w:pPr>
      <w:r/>
      <w:bookmarkStart w:id="385" w:name="_Toc151193924"/>
      <w:r/>
      <w:bookmarkStart w:id="386" w:name="_Toc305158804"/>
      <w:r/>
      <w:bookmarkStart w:id="387" w:name="_Toc164229377"/>
      <w:r/>
      <w:bookmarkStart w:id="388" w:name="_Toc151193778"/>
      <w:r/>
      <w:bookmarkStart w:id="389" w:name="_Toc150774636"/>
      <w:r/>
      <w:bookmarkStart w:id="390" w:name="_Toc226965726"/>
      <w:r/>
      <w:bookmarkStart w:id="391" w:name="_Toc164229231"/>
      <w:r/>
      <w:bookmarkStart w:id="392" w:name="_Toc151190163"/>
      <w:r/>
      <w:bookmarkStart w:id="393" w:name="_Toc164608650"/>
      <w:r/>
      <w:bookmarkStart w:id="394" w:name="_Toc226965809"/>
      <w:r/>
      <w:bookmarkStart w:id="395" w:name="_Toc305158878"/>
      <w:r/>
      <w:bookmarkStart w:id="396" w:name="_Toc127151536"/>
      <w:r/>
      <w:bookmarkStart w:id="397" w:name="_Toc151193850"/>
      <w:r/>
      <w:bookmarkStart w:id="398" w:name="_Toc127151737"/>
      <w:r/>
      <w:bookmarkStart w:id="399" w:name="_Toc264969226"/>
      <w:r/>
      <w:bookmarkStart w:id="400" w:name="_Toc150509287"/>
      <w:r/>
      <w:bookmarkStart w:id="401" w:name="_Toc164608805"/>
      <w:r/>
      <w:bookmarkStart w:id="402" w:name="_Toc150480774"/>
      <w:r/>
      <w:bookmarkStart w:id="403" w:name="_Toc265228374"/>
      <w:r/>
      <w:bookmarkStart w:id="404" w:name="_Toc520356161"/>
      <w:r/>
      <w:bookmarkStart w:id="405" w:name="_Toc164351630"/>
      <w:r/>
      <w:bookmarkStart w:id="406" w:name="_Toc226337232"/>
      <w:r/>
      <w:bookmarkStart w:id="407" w:name="_Toc149720829"/>
      <w:r/>
      <w:bookmarkStart w:id="408" w:name="_Toc151193706"/>
      <w:r/>
      <w:bookmarkStart w:id="409" w:name="_Toc226309780"/>
      <w:r/>
      <w:bookmarkStart w:id="410" w:name="_Toc142311038"/>
      <w:r/>
      <w:bookmarkStart w:id="411" w:name="_Toc150774741"/>
      <w:r/>
      <w:bookmarkStart w:id="412" w:name="_Toc127161450"/>
      <w:r/>
      <w:bookmarkStart w:id="413" w:name="_Toc195842901"/>
      <w:r/>
      <w:bookmarkStart w:id="414" w:name="_Toc151193634"/>
      <w:r>
        <w:rPr>
          <w:rFonts w:ascii="Times New Roman" w:hAnsi="Times New Roman" w:eastAsia="宋体" w:cs="Times New Roman"/>
          <w:color w:val="auto"/>
          <w:sz w:val="24"/>
          <w:highlight w:val="none"/>
        </w:rPr>
        <w:t xml:space="preserve">响应文件截止</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ascii="Times New Roman" w:hAnsi="Times New Roman" w:eastAsia="宋体" w:cs="Times New Roman"/>
          <w:color w:val="auto"/>
          <w:sz w:val="24"/>
          <w:highlight w:val="none"/>
        </w:rPr>
        <w:t xml:space="preserve">时间</w:t>
      </w:r>
      <w:r/>
    </w:p>
    <w:p>
      <w:pPr>
        <w:numPr>
          <w:ilvl w:val="0"/>
          <w:numId w:val="0"/>
        </w:numPr>
        <w:ind w:firstLine="240"/>
        <w:spacing w:line="360" w:lineRule="auto"/>
        <w:tabs>
          <w:tab w:val="left" w:pos="360" w:leader="none"/>
        </w:tabs>
        <w:rPr>
          <w:rFonts w:hint="default" w:ascii="Times New Roman" w:hAnsi="Times New Roman" w:eastAsia="宋体" w:cs="Times New Roman"/>
          <w:color w:val="auto"/>
          <w:sz w:val="24"/>
          <w:highlight w:val="none"/>
          <w:lang w:val="en-US" w:eastAsia="zh-CN"/>
        </w:rPr>
        <w:outlineLvl w:val="1"/>
      </w:pPr>
      <w:r>
        <w:rPr>
          <w:rFonts w:hint="eastAsia" w:ascii="Times New Roman" w:hAnsi="Times New Roman" w:eastAsia="宋体" w:cs="Times New Roman"/>
          <w:color w:val="auto"/>
          <w:sz w:val="24"/>
          <w:highlight w:val="none"/>
          <w:lang w:val="en-US" w:eastAsia="zh-CN"/>
        </w:rPr>
        <w:t xml:space="preserve">15.1详见采购公告。</w:t>
      </w:r>
      <w:r/>
    </w:p>
    <w:p>
      <w:pPr>
        <w:numPr>
          <w:ilvl w:val="0"/>
          <w:numId w:val="8"/>
        </w:numPr>
        <w:ind w:left="357" w:hanging="357"/>
        <w:spacing w:line="360" w:lineRule="auto"/>
        <w:tabs>
          <w:tab w:val="left" w:pos="360" w:leader="none"/>
        </w:tabs>
        <w:rPr>
          <w:rFonts w:ascii="Times New Roman" w:hAnsi="Times New Roman" w:eastAsia="宋体" w:cs="Times New Roman"/>
          <w:color w:val="auto"/>
          <w:sz w:val="24"/>
          <w:highlight w:val="none"/>
        </w:rPr>
        <w:outlineLvl w:val="1"/>
      </w:pPr>
      <w:r/>
      <w:bookmarkStart w:id="415" w:name="_Toc195842902"/>
      <w:r/>
      <w:bookmarkStart w:id="416" w:name="_Toc226309781"/>
      <w:r/>
      <w:bookmarkStart w:id="417" w:name="_Toc226965810"/>
      <w:r/>
      <w:bookmarkStart w:id="418" w:name="_Toc150509288"/>
      <w:r/>
      <w:bookmarkStart w:id="419" w:name="_Toc305158879"/>
      <w:r/>
      <w:bookmarkStart w:id="420" w:name="_Toc150774637"/>
      <w:r/>
      <w:bookmarkStart w:id="421" w:name="_Toc151193925"/>
      <w:r/>
      <w:bookmarkStart w:id="422" w:name="_Toc226337233"/>
      <w:r/>
      <w:bookmarkStart w:id="423" w:name="_Toc226965727"/>
      <w:r/>
      <w:bookmarkStart w:id="424" w:name="_Toc164229232"/>
      <w:r/>
      <w:bookmarkStart w:id="425" w:name="_Toc127151738"/>
      <w:r/>
      <w:bookmarkStart w:id="426" w:name="_Toc149720830"/>
      <w:r/>
      <w:bookmarkStart w:id="427" w:name="_Toc142311039"/>
      <w:r/>
      <w:bookmarkStart w:id="428" w:name="_Toc150774742"/>
      <w:r/>
      <w:bookmarkStart w:id="429" w:name="_Toc150480775"/>
      <w:r/>
      <w:bookmarkStart w:id="430" w:name="_Toc127151537"/>
      <w:r/>
      <w:bookmarkStart w:id="431" w:name="_Toc164229378"/>
      <w:r/>
      <w:bookmarkStart w:id="432" w:name="_Toc151193851"/>
      <w:r/>
      <w:bookmarkStart w:id="433" w:name="_Toc264969227"/>
      <w:r/>
      <w:bookmarkStart w:id="434" w:name="_Toc151193635"/>
      <w:r/>
      <w:bookmarkStart w:id="435" w:name="_Toc164351631"/>
      <w:r/>
      <w:bookmarkStart w:id="436" w:name="_Toc151193707"/>
      <w:r/>
      <w:bookmarkStart w:id="437" w:name="_Toc164608806"/>
      <w:r/>
      <w:bookmarkStart w:id="438" w:name="_Toc265228375"/>
      <w:r/>
      <w:bookmarkStart w:id="439" w:name="_Toc151193779"/>
      <w:r/>
      <w:bookmarkStart w:id="440" w:name="_Toc305158805"/>
      <w:r/>
      <w:bookmarkStart w:id="441" w:name="_Toc127161451"/>
      <w:r/>
      <w:bookmarkStart w:id="442" w:name="_Toc151190164"/>
      <w:r/>
      <w:bookmarkStart w:id="443" w:name="_Toc520356162"/>
      <w:r/>
      <w:bookmarkStart w:id="444" w:name="_Toc164608651"/>
      <w:r>
        <w:rPr>
          <w:rFonts w:ascii="Times New Roman" w:hAnsi="Times New Roman" w:eastAsia="宋体" w:cs="Times New Roman"/>
          <w:color w:val="auto"/>
          <w:sz w:val="24"/>
          <w:highlight w:val="none"/>
        </w:rPr>
        <w:t xml:space="preserve">响应文件的修改与撤回</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numPr>
          <w:ilvl w:val="0"/>
          <w:numId w:val="0"/>
        </w:numPr>
        <w:ind w:firstLine="240"/>
        <w:spacing w:line="360" w:lineRule="auto"/>
        <w:tabs>
          <w:tab w:val="left" w:pos="360" w:leader="none"/>
        </w:tabs>
        <w:rPr>
          <w:rFonts w:hint="eastAsia" w:ascii="Times New Roman" w:hAnsi="Times New Roman" w:eastAsia="宋体"/>
          <w:color w:val="auto"/>
          <w:sz w:val="28"/>
          <w:highlight w:val="none"/>
          <w:lang w:eastAsia="zh-CN"/>
        </w:rPr>
        <w:outlineLvl w:val="1"/>
      </w:pPr>
      <w:r>
        <w:rPr>
          <w:rFonts w:hint="eastAsia" w:ascii="Times New Roman" w:hAnsi="Times New Roman" w:eastAsia="宋体" w:cs="Times New Roman"/>
          <w:color w:val="auto"/>
          <w:sz w:val="24"/>
          <w:highlight w:val="none"/>
          <w:lang w:val="en-US" w:eastAsia="zh-CN"/>
        </w:rPr>
        <w:t xml:space="preserve">16.1</w:t>
      </w: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rFonts w:hint="eastAsia"/>
          <w:sz w:val="24"/>
          <w:lang w:eastAsia="zh-CN"/>
        </w:rPr>
        <w:t xml:space="preserve">。</w:t>
      </w:r>
      <w:r/>
    </w:p>
    <w:p>
      <w:pPr>
        <w:numPr>
          <w:ilvl w:val="0"/>
          <w:numId w:val="0"/>
        </w:numPr>
        <w:ind w:firstLine="24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sz w:val="24"/>
          <w:lang w:val="en-US" w:eastAsia="zh-CN"/>
        </w:rPr>
        <w:t xml:space="preserve">16.2</w:t>
      </w: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p>
    <w:p>
      <w:pPr>
        <w:pStyle w:val="957"/>
        <w:keepLines/>
        <w:keepNext/>
        <w:pageBreakBefore w:val="0"/>
        <w:spacing w:before="0" w:after="0" w:line="360" w:lineRule="auto"/>
        <w:widowControl w:val="off"/>
        <w:rPr>
          <w:rFonts w:hint="eastAsia" w:ascii="宋体" w:hAnsi="宋体" w:eastAsia="宋体" w:cs="宋体"/>
          <w:color w:val="auto"/>
          <w:sz w:val="24"/>
          <w:szCs w:val="24"/>
          <w:highlight w:val="none"/>
        </w:rPr>
      </w:pPr>
      <w:r/>
      <w:bookmarkStart w:id="445" w:name="_Toc151193852"/>
      <w:r/>
      <w:bookmarkStart w:id="446" w:name="_Toc142311040"/>
      <w:r/>
      <w:bookmarkStart w:id="447" w:name="_Toc265228376"/>
      <w:r/>
      <w:bookmarkStart w:id="448" w:name="_Toc151193926"/>
      <w:r/>
      <w:bookmarkStart w:id="449" w:name="_Toc150509289"/>
      <w:r/>
      <w:bookmarkStart w:id="450" w:name="_Toc151193708"/>
      <w:r/>
      <w:bookmarkStart w:id="451" w:name="_Toc127151538"/>
      <w:r/>
      <w:bookmarkStart w:id="452" w:name="_Toc226337234"/>
      <w:r/>
      <w:bookmarkStart w:id="453" w:name="_Toc305158880"/>
      <w:r/>
      <w:bookmarkStart w:id="454" w:name="_Toc150774743"/>
      <w:r/>
      <w:bookmarkStart w:id="455" w:name="_Toc151193636"/>
      <w:r/>
      <w:bookmarkStart w:id="456" w:name="_Toc195842903"/>
      <w:r/>
      <w:bookmarkStart w:id="457" w:name="_Toc226965728"/>
      <w:r/>
      <w:bookmarkStart w:id="458" w:name="_Toc226965811"/>
      <w:r/>
      <w:bookmarkStart w:id="459" w:name="_Toc150774638"/>
      <w:r/>
      <w:bookmarkStart w:id="460" w:name="_Toc151193780"/>
      <w:r/>
      <w:bookmarkStart w:id="461" w:name="_Toc264969228"/>
      <w:r/>
      <w:bookmarkStart w:id="462" w:name="_Toc150480776"/>
      <w:r/>
      <w:bookmarkStart w:id="463" w:name="_Toc151190165"/>
      <w:r/>
      <w:bookmarkStart w:id="464" w:name="_Toc226309782"/>
      <w:r/>
      <w:bookmarkStart w:id="465" w:name="_Toc305158806"/>
      <w:r/>
      <w:bookmarkStart w:id="466" w:name="_Toc520356163"/>
      <w:r>
        <w:rPr>
          <w:rFonts w:hint="eastAsia" w:ascii="宋体" w:hAnsi="宋体" w:eastAsia="宋体" w:cs="宋体"/>
          <w:color w:val="auto"/>
          <w:sz w:val="24"/>
          <w:szCs w:val="24"/>
          <w:highlight w:val="none"/>
        </w:rPr>
        <w:t xml:space="preserve">五   </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hint="eastAsia" w:ascii="宋体" w:hAnsi="宋体" w:eastAsia="宋体" w:cs="宋体"/>
          <w:color w:val="auto"/>
          <w:sz w:val="24"/>
          <w:szCs w:val="24"/>
          <w:highlight w:val="none"/>
        </w:rPr>
        <w:t xml:space="preserve">评审</w:t>
      </w:r>
      <w:r/>
    </w:p>
    <w:p>
      <w:pPr>
        <w:numPr>
          <w:ilvl w:val="0"/>
          <w:numId w:val="8"/>
        </w:numPr>
        <w:ind w:left="357" w:hanging="357"/>
        <w:spacing w:line="360" w:lineRule="auto"/>
        <w:tabs>
          <w:tab w:val="left" w:pos="360" w:leader="none"/>
        </w:tabs>
        <w:rPr>
          <w:sz w:val="24"/>
        </w:rPr>
        <w:outlineLvl w:val="1"/>
      </w:pPr>
      <w:r/>
      <w:bookmarkStart w:id="467" w:name="_Toc520356169"/>
      <w:r>
        <w:rPr>
          <w:sz w:val="24"/>
        </w:rPr>
        <w:t xml:space="preserve">响应文件的</w:t>
      </w:r>
      <w:r>
        <w:rPr>
          <w:rFonts w:hint="eastAsia"/>
          <w:sz w:val="24"/>
        </w:rPr>
        <w:t xml:space="preserve">解密与</w:t>
      </w:r>
      <w:r>
        <w:rPr>
          <w:sz w:val="24"/>
        </w:rPr>
        <w:t xml:space="preserve">开启</w:t>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000000"/>
          <w:sz w:val="24"/>
        </w:rPr>
      </w:pPr>
      <w:r>
        <w:rPr>
          <w:sz w:val="24"/>
        </w:rPr>
        <w:t xml:space="preserve">本项目</w:t>
      </w:r>
      <w:r>
        <w:rPr>
          <w:rFonts w:ascii="宋体" w:hAnsi="宋体"/>
          <w:sz w:val="24"/>
        </w:rPr>
        <w:t xml:space="preserve">采用不见面</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lang w:eastAsia="zh-CN"/>
        </w:rPr>
        <w:t xml:space="preserve">“苏采云”系统</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w:t>
      </w:r>
      <w:r>
        <w:rPr>
          <w:color w:val="000000"/>
          <w:sz w:val="24"/>
        </w:rPr>
        <w:t xml:space="preserve">统原因导致的解密失败，视为</w:t>
      </w:r>
      <w:r>
        <w:rPr>
          <w:b/>
          <w:color w:val="000000"/>
          <w:sz w:val="24"/>
        </w:rPr>
        <w:t xml:space="preserve">响应无效</w:t>
      </w:r>
      <w:r>
        <w:rPr>
          <w:color w:val="000000"/>
          <w:sz w:val="24"/>
        </w:rPr>
        <w:t xml:space="preserve">。</w:t>
      </w:r>
      <w:r/>
    </w:p>
    <w:p>
      <w:pPr>
        <w:numPr>
          <w:ilvl w:val="1"/>
          <w:numId w:val="8"/>
        </w:numPr>
        <w:ind w:left="1077" w:hanging="720"/>
        <w:spacing w:line="360" w:lineRule="auto"/>
        <w:tabs>
          <w:tab w:val="left" w:pos="1080" w:leader="none"/>
          <w:tab w:val="left" w:pos="2014" w:leader="none"/>
        </w:tabs>
        <w:rPr>
          <w:color w:val="000000"/>
          <w:sz w:val="24"/>
        </w:rPr>
      </w:pPr>
      <w:r>
        <w:rPr>
          <w:color w:val="000000"/>
          <w:sz w:val="24"/>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000000"/>
          <w:sz w:val="24"/>
        </w:rPr>
      </w:pPr>
      <w:r/>
      <w:bookmarkStart w:id="468" w:name="_Toc520356165"/>
      <w:r>
        <w:rPr>
          <w:color w:val="000000"/>
          <w:sz w:val="24"/>
        </w:rPr>
        <w:t xml:space="preserve">本项目不公开报价。</w:t>
      </w:r>
      <w:r/>
    </w:p>
    <w:p>
      <w:pPr>
        <w:numPr>
          <w:ilvl w:val="1"/>
          <w:numId w:val="8"/>
        </w:numPr>
        <w:ind w:left="1077" w:hanging="720"/>
        <w:spacing w:line="360" w:lineRule="auto"/>
        <w:tabs>
          <w:tab w:val="left" w:pos="1080"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“苏采云”系统</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bookmarkEnd w:id="468"/>
      <w:r/>
      <w:r/>
    </w:p>
    <w:p>
      <w:pPr>
        <w:numPr>
          <w:ilvl w:val="0"/>
          <w:numId w:val="8"/>
        </w:numPr>
        <w:ind w:left="357" w:hanging="357"/>
        <w:spacing w:line="360" w:lineRule="auto"/>
        <w:tabs>
          <w:tab w:val="left" w:pos="360" w:leader="none"/>
        </w:tabs>
        <w:rPr>
          <w:sz w:val="24"/>
        </w:rPr>
        <w:outlineLvl w:val="1"/>
      </w:pPr>
      <w:r>
        <w:rPr>
          <w:sz w:val="24"/>
        </w:rPr>
        <w:t xml:space="preserve">磋商小组</w:t>
      </w:r>
      <w:r/>
    </w:p>
    <w:p>
      <w:pPr>
        <w:numPr>
          <w:ilvl w:val="1"/>
          <w:numId w:val="8"/>
        </w:numPr>
        <w:ind w:left="1077" w:hanging="720"/>
        <w:spacing w:line="360" w:lineRule="auto"/>
        <w:tabs>
          <w:tab w:val="left" w:pos="1080" w:leader="none"/>
          <w:tab w:val="left" w:pos="2014" w:leader="none"/>
        </w:tabs>
        <w:rPr>
          <w:sz w:val="24"/>
        </w:rPr>
      </w:pPr>
      <w:r>
        <w:rPr>
          <w:sz w:val="24"/>
        </w:rPr>
        <w:t xml:space="preserve">磋商小组根据政府采购有关规定和本次采购项目的特点进行组建，并负责具体评审事务，独立履行职责。</w:t>
      </w:r>
      <w:bookmarkStart w:id="469"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69"/>
      <w:r/>
      <w:r/>
    </w:p>
    <w:p>
      <w:pPr>
        <w:numPr>
          <w:ilvl w:val="0"/>
          <w:numId w:val="8"/>
        </w:numPr>
        <w:spacing w:line="360" w:lineRule="auto"/>
        <w:tabs>
          <w:tab w:val="left" w:pos="360" w:leader="none"/>
        </w:tabs>
        <w:rPr>
          <w:sz w:val="24"/>
        </w:rPr>
        <w:outlineLvl w:val="1"/>
      </w:pPr>
      <w:r>
        <w:rPr>
          <w:sz w:val="24"/>
        </w:rPr>
        <w:t xml:space="preserve">评审方法和评审标准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pPr>
      <w:r>
        <w:rPr>
          <w:sz w:val="24"/>
        </w:rPr>
        <w:t xml:space="preserve">见第三章《评审方法和评审标准》。</w:t>
      </w:r>
      <w:r/>
    </w:p>
    <w:p>
      <w:pPr>
        <w:pStyle w:val="957"/>
        <w:keepLines/>
        <w:keepNext/>
        <w:pageBreakBefore w:val="0"/>
        <w:spacing w:before="0" w:after="0" w:line="360" w:lineRule="auto"/>
        <w:widowControl w:val="off"/>
        <w:rPr>
          <w:rFonts w:hint="eastAsia" w:ascii="宋体" w:hAnsi="宋体" w:eastAsia="宋体" w:cs="宋体"/>
          <w:color w:val="auto"/>
          <w:sz w:val="24"/>
          <w:szCs w:val="24"/>
          <w:highlight w:val="none"/>
        </w:rPr>
      </w:pPr>
      <w:r/>
      <w:bookmarkStart w:id="470" w:name="_Toc195842910"/>
      <w:r/>
      <w:bookmarkStart w:id="471" w:name="_Toc151193859"/>
      <w:r/>
      <w:bookmarkStart w:id="472" w:name="_Toc127151545"/>
      <w:r/>
      <w:bookmarkStart w:id="473" w:name="_Toc264969235"/>
      <w:r/>
      <w:bookmarkStart w:id="474" w:name="_Toc226965735"/>
      <w:r/>
      <w:bookmarkStart w:id="475" w:name="_Toc150509296"/>
      <w:r/>
      <w:bookmarkStart w:id="476" w:name="_Toc226337241"/>
      <w:r/>
      <w:bookmarkStart w:id="477" w:name="_Toc265228383"/>
      <w:r/>
      <w:bookmarkStart w:id="478" w:name="_Toc150774645"/>
      <w:r/>
      <w:bookmarkStart w:id="479" w:name="_Toc305158887"/>
      <w:r/>
      <w:bookmarkStart w:id="480" w:name="_Toc226309789"/>
      <w:r/>
      <w:bookmarkStart w:id="481" w:name="_Toc151193715"/>
      <w:r/>
      <w:bookmarkStart w:id="482" w:name="_Toc305158813"/>
      <w:r/>
      <w:bookmarkStart w:id="483" w:name="_Toc142311047"/>
      <w:r/>
      <w:bookmarkStart w:id="484" w:name="_Toc151190172"/>
      <w:r/>
      <w:bookmarkStart w:id="485" w:name="_Toc151193933"/>
      <w:r/>
      <w:bookmarkStart w:id="486" w:name="_Toc226965818"/>
      <w:r/>
      <w:bookmarkStart w:id="487" w:name="_Toc150774750"/>
      <w:r/>
      <w:bookmarkStart w:id="488" w:name="_Toc151193643"/>
      <w:r/>
      <w:bookmarkStart w:id="489" w:name="_Toc150480783"/>
      <w:r/>
      <w:bookmarkStart w:id="490" w:name="_Toc151193787"/>
      <w:r>
        <w:rPr>
          <w:rFonts w:hint="eastAsia" w:ascii="宋体" w:hAnsi="宋体" w:eastAsia="宋体" w:cs="宋体"/>
          <w:color w:val="auto"/>
          <w:sz w:val="24"/>
          <w:szCs w:val="24"/>
          <w:highlight w:val="none"/>
        </w:rPr>
        <w:t xml:space="preserve">六   </w:t>
      </w:r>
      <w:bookmarkEnd w:id="467"/>
      <w:r>
        <w:rPr>
          <w:rFonts w:hint="eastAsia" w:ascii="宋体" w:hAnsi="宋体" w:eastAsia="宋体" w:cs="宋体"/>
          <w:color w:val="auto"/>
          <w:sz w:val="24"/>
          <w:szCs w:val="24"/>
          <w:highlight w:val="none"/>
        </w:rPr>
        <w:t xml:space="preserve">确定</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hint="eastAsia" w:ascii="宋体" w:hAnsi="宋体" w:eastAsia="宋体" w:cs="宋体"/>
          <w:color w:val="auto"/>
          <w:sz w:val="24"/>
          <w:szCs w:val="24"/>
          <w:highlight w:val="none"/>
        </w:rPr>
        <w:t xml:space="preserve">成交</w:t>
      </w:r>
      <w:r/>
    </w:p>
    <w:p>
      <w:pPr>
        <w:numPr>
          <w:ilvl w:val="0"/>
          <w:numId w:val="0"/>
        </w:numPr>
        <w:spacing w:line="360" w:lineRule="auto"/>
        <w:tabs>
          <w:tab w:val="left" w:pos="360" w:leader="none"/>
        </w:tabs>
        <w:rPr>
          <w:rFonts w:hint="eastAsia" w:ascii="宋体" w:hAnsi="宋体" w:eastAsia="宋体" w:cs="宋体"/>
          <w:color w:val="auto"/>
          <w:sz w:val="24"/>
          <w:szCs w:val="24"/>
          <w:highlight w:val="none"/>
        </w:rPr>
        <w:outlineLvl w:val="1"/>
      </w:pPr>
      <w:r/>
      <w:bookmarkStart w:id="491" w:name="_Toc127151547"/>
      <w:r/>
      <w:bookmarkStart w:id="492" w:name="_Toc142311049"/>
      <w:r/>
      <w:bookmarkStart w:id="493" w:name="_Toc226337243"/>
      <w:r/>
      <w:bookmarkStart w:id="494" w:name="_Toc164351641"/>
      <w:r/>
      <w:bookmarkStart w:id="495" w:name="_Toc164229388"/>
      <w:r/>
      <w:bookmarkStart w:id="496" w:name="_Toc149720840"/>
      <w:r/>
      <w:bookmarkStart w:id="497" w:name="_Toc226965737"/>
      <w:r/>
      <w:bookmarkStart w:id="498" w:name="_Toc150774752"/>
      <w:r/>
      <w:bookmarkStart w:id="499" w:name="_Toc265228385"/>
      <w:r/>
      <w:bookmarkStart w:id="500" w:name="_Toc164608661"/>
      <w:r/>
      <w:bookmarkStart w:id="501" w:name="_Toc151193935"/>
      <w:r/>
      <w:bookmarkStart w:id="502" w:name="_Toc151193717"/>
      <w:r/>
      <w:bookmarkStart w:id="503" w:name="_Toc151190174"/>
      <w:r/>
      <w:bookmarkStart w:id="504" w:name="_Toc127151748"/>
      <w:r/>
      <w:bookmarkStart w:id="505" w:name="_Toc226309791"/>
      <w:r/>
      <w:bookmarkStart w:id="506" w:name="_Toc305158815"/>
      <w:r/>
      <w:bookmarkStart w:id="507" w:name="_Toc151193645"/>
      <w:r/>
      <w:bookmarkStart w:id="508" w:name="_Toc264969237"/>
      <w:r/>
      <w:bookmarkStart w:id="509" w:name="_Toc226965820"/>
      <w:r/>
      <w:bookmarkStart w:id="510" w:name="_Toc164229242"/>
      <w:r/>
      <w:bookmarkStart w:id="511" w:name="_Toc151193861"/>
      <w:r/>
      <w:bookmarkStart w:id="512" w:name="_Toc150774647"/>
      <w:r/>
      <w:bookmarkStart w:id="513" w:name="_Toc150480785"/>
      <w:r/>
      <w:bookmarkStart w:id="514" w:name="_Toc195842912"/>
      <w:r/>
      <w:bookmarkStart w:id="515" w:name="_Toc305158889"/>
      <w:r/>
      <w:bookmarkStart w:id="516" w:name="_Toc164608816"/>
      <w:r/>
      <w:bookmarkStart w:id="517" w:name="_Toc127161461"/>
      <w:r/>
      <w:bookmarkStart w:id="518" w:name="_Toc150509298"/>
      <w:r/>
      <w:bookmarkStart w:id="519" w:name="_Toc151193789"/>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确定成交供应商</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numPr>
          <w:ilvl w:val="0"/>
          <w:numId w:val="0"/>
        </w:numPr>
        <w:ind w:left="357"/>
        <w:spacing w:line="360" w:lineRule="auto"/>
        <w:tabs>
          <w:tab w:val="left" w:pos="1080" w:leader="none"/>
          <w:tab w:val="left" w:pos="2014" w:leader="none"/>
        </w:tabs>
        <w:rPr>
          <w:rFonts w:hint="eastAsia"/>
          <w:color w:val="auto"/>
          <w:highlight w:val="none"/>
        </w:rPr>
      </w:pPr>
      <w:r>
        <w:rPr>
          <w:rFonts w:hint="eastAsia" w:ascii="宋体" w:hAnsi="宋体" w:eastAsia="宋体" w:cs="宋体"/>
          <w:color w:val="auto"/>
          <w:sz w:val="24"/>
          <w:szCs w:val="24"/>
          <w:highlight w:val="none"/>
          <w:lang w:val="en-US" w:eastAsia="zh-CN"/>
        </w:rPr>
        <w:t xml:space="preserve">20.1</w:t>
      </w:r>
      <w:r>
        <w:rPr>
          <w:color w:val="auto"/>
          <w:sz w:val="24"/>
          <w:highlight w:val="none"/>
        </w:rPr>
        <w:t xml:space="preserve">采购人将在收到评审报告后，从评审报告提出的成交候选供应商中，按照排序由高到低的原则确定成交供应商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p>
    <w:p>
      <w:pPr>
        <w:numPr>
          <w:ilvl w:val="0"/>
          <w:numId w:val="0"/>
        </w:numPr>
        <w:spacing w:line="360" w:lineRule="auto"/>
        <w:tabs>
          <w:tab w:val="left" w:pos="360" w:leader="none"/>
        </w:tabs>
        <w:rPr>
          <w:rFonts w:hint="eastAsia" w:ascii="宋体" w:hAnsi="宋体" w:eastAsia="宋体" w:cs="宋体"/>
          <w:color w:val="auto"/>
          <w:sz w:val="24"/>
          <w:szCs w:val="24"/>
          <w:highlight w:val="none"/>
        </w:rPr>
        <w:outlineLvl w:val="1"/>
      </w:pPr>
      <w:r/>
      <w:bookmarkStart w:id="520" w:name="_Toc305158817"/>
      <w:r/>
      <w:bookmarkStart w:id="521" w:name="_Toc305158891"/>
      <w:r/>
      <w:bookmarkStart w:id="522" w:name="_Toc150480787"/>
      <w:r/>
      <w:bookmarkStart w:id="523" w:name="_Toc226965822"/>
      <w:r/>
      <w:bookmarkStart w:id="524" w:name="_Toc164351643"/>
      <w:r/>
      <w:bookmarkStart w:id="525" w:name="_Toc142311051"/>
      <w:r/>
      <w:bookmarkStart w:id="526" w:name="_Toc151193937"/>
      <w:r/>
      <w:bookmarkStart w:id="527" w:name="_Toc127151549"/>
      <w:r/>
      <w:bookmarkStart w:id="528" w:name="_Toc151193719"/>
      <w:r/>
      <w:bookmarkStart w:id="529" w:name="_Toc164608663"/>
      <w:r/>
      <w:bookmarkStart w:id="530" w:name="_Toc226337245"/>
      <w:r/>
      <w:bookmarkStart w:id="531" w:name="_Toc164229244"/>
      <w:r/>
      <w:bookmarkStart w:id="532" w:name="_Toc127161463"/>
      <w:r/>
      <w:bookmarkStart w:id="533" w:name="_Toc226965739"/>
      <w:r/>
      <w:bookmarkStart w:id="534" w:name="_Toc151193863"/>
      <w:r/>
      <w:bookmarkStart w:id="535" w:name="_Toc151193791"/>
      <w:r/>
      <w:bookmarkStart w:id="536" w:name="_Toc264969239"/>
      <w:r/>
      <w:bookmarkStart w:id="537" w:name="_Toc164229390"/>
      <w:r/>
      <w:bookmarkStart w:id="538" w:name="_Toc151190176"/>
      <w:r/>
      <w:bookmarkStart w:id="539" w:name="_Toc226309793"/>
      <w:r/>
      <w:bookmarkStart w:id="540" w:name="_Toc265228387"/>
      <w:r/>
      <w:bookmarkStart w:id="541" w:name="_Toc150774649"/>
      <w:r/>
      <w:bookmarkStart w:id="542" w:name="_Toc195842914"/>
      <w:r/>
      <w:bookmarkStart w:id="543" w:name="_Toc150774754"/>
      <w:r/>
      <w:bookmarkStart w:id="544" w:name="_Toc150509300"/>
      <w:r/>
      <w:bookmarkStart w:id="545" w:name="_Toc127151750"/>
      <w:r/>
      <w:bookmarkStart w:id="546" w:name="_Toc164608818"/>
      <w:r/>
      <w:bookmarkStart w:id="547" w:name="_Toc149720842"/>
      <w:r/>
      <w:bookmarkStart w:id="548" w:name="_Toc151193647"/>
      <w:r/>
      <w:bookmarkStart w:id="549" w:name="_Ref467306425"/>
      <w:r/>
      <w:bookmarkStart w:id="550" w:name="_Ref467307090"/>
      <w:r/>
      <w:bookmarkStart w:id="551" w:name="_Toc520356176"/>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成交公告与成交通知书</w:t>
      </w:r>
      <w:bookmarkEnd w:id="520"/>
      <w:r/>
      <w:bookmarkEnd w:id="521"/>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采购人或采购代理机构将</w:t>
      </w:r>
      <w:r>
        <w:rPr>
          <w:rFonts w:hint="eastAsia" w:ascii="宋体" w:hAnsi="宋体" w:eastAsia="宋体" w:cs="宋体"/>
          <w:color w:val="auto"/>
          <w:sz w:val="24"/>
          <w:szCs w:val="24"/>
          <w:highlight w:val="none"/>
        </w:rPr>
        <w:t xml:space="preserve">在成交供应商确定后2个工作日内，在</w:t>
      </w:r>
      <w:r>
        <w:rPr>
          <w:rFonts w:hint="eastAsia" w:ascii="宋体" w:hAnsi="宋体" w:eastAsia="宋体" w:cs="宋体"/>
          <w:color w:val="auto"/>
          <w:sz w:val="24"/>
          <w:szCs w:val="24"/>
          <w:highlight w:val="none"/>
        </w:rPr>
        <w:t xml:space="preserve">常州市政府采购网</w:t>
      </w:r>
      <w:r>
        <w:rPr>
          <w:rFonts w:hint="eastAsia" w:ascii="宋体" w:hAnsi="宋体" w:eastAsia="宋体" w:cs="宋体"/>
          <w:color w:val="auto"/>
          <w:sz w:val="24"/>
          <w:szCs w:val="24"/>
          <w:highlight w:val="none"/>
        </w:rPr>
        <w:t xml:space="preserve">公告成交结果，同时向成交供应商发出成交通知书，</w:t>
      </w:r>
      <w:r>
        <w:rPr>
          <w:rFonts w:hint="eastAsia" w:ascii="宋体" w:hAnsi="宋体" w:eastAsia="宋体" w:cs="宋体"/>
          <w:color w:val="auto"/>
          <w:sz w:val="24"/>
          <w:szCs w:val="24"/>
          <w:highlight w:val="none"/>
        </w:rPr>
        <w:t xml:space="preserve">成交公告期限为1个工作日。</w:t>
      </w:r>
      <w:r/>
    </w:p>
    <w:p>
      <w:pPr>
        <w:numPr>
          <w:ilvl w:val="0"/>
          <w:numId w:val="0"/>
        </w:numPr>
        <w:ind w:left="36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0"/>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终止</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rPr>
        <w:t xml:space="preserve">在采购中，出现下列情形之一的，采购人或采购代理机构将终止竞争性磋商采购活动，发布项目终止公告并说明原因，重新开展采购活动：</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eastAsia="宋体" w:cs="宋体"/>
          <w:color w:val="auto"/>
          <w:sz w:val="24"/>
          <w:szCs w:val="24"/>
          <w:highlight w:val="none"/>
        </w:rPr>
        <w:t xml:space="preserve">因情况变化，不再符合规定的竞争性磋商采购方式适用情形的；</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w:t>
      </w:r>
      <w:r>
        <w:rPr>
          <w:rFonts w:hint="eastAsia" w:ascii="宋体" w:hAnsi="宋体" w:eastAsia="宋体" w:cs="宋体"/>
          <w:color w:val="auto"/>
          <w:sz w:val="24"/>
          <w:szCs w:val="24"/>
          <w:highlight w:val="none"/>
        </w:rPr>
        <w:t xml:space="preserve">出现影响采购公正的违法、违规行为的；</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22.1.3</w:t>
      </w:r>
      <w:r>
        <w:rPr>
          <w:rFonts w:hint="eastAsia" w:ascii="宋体" w:hAnsi="宋体" w:eastAsia="宋体" w:cs="宋体"/>
          <w:color w:val="auto"/>
          <w:sz w:val="24"/>
          <w:szCs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0"/>
          <w:numId w:val="0"/>
        </w:numPr>
        <w:ind w:left="1080"/>
        <w:spacing w:line="360" w:lineRule="auto"/>
        <w:rPr>
          <w:rFonts w:hint="default" w:eastAsia="宋体"/>
          <w:lang w:val="en-US" w:eastAsia="zh-CN"/>
        </w:rPr>
      </w:pPr>
      <w:r>
        <w:rPr>
          <w:rFonts w:hint="eastAsia" w:ascii="宋体" w:hAnsi="宋体" w:eastAsia="宋体" w:cs="宋体"/>
          <w:color w:val="auto"/>
          <w:sz w:val="24"/>
          <w:szCs w:val="24"/>
          <w:highlight w:val="none"/>
          <w:lang w:val="en-US" w:eastAsia="zh-CN"/>
        </w:rPr>
        <w:t xml:space="preserve">22.1.4</w:t>
      </w:r>
      <w:r>
        <w:rPr>
          <w:rFonts w:hint="eastAsia" w:ascii="宋体" w:hAnsi="宋体" w:eastAsia="宋体" w:cs="宋体"/>
          <w:color w:val="auto"/>
          <w:sz w:val="24"/>
          <w:szCs w:val="24"/>
          <w:highlight w:val="none"/>
        </w:rPr>
        <w:t xml:space="preserve">平台系统出现序号17.7的所述情形，情况严重且影响采购活动公平、公正性的。</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
    </w:p>
    <w:p>
      <w:pPr>
        <w:numPr>
          <w:ilvl w:val="0"/>
          <w:numId w:val="0"/>
        </w:numPr>
        <w:spacing w:line="360" w:lineRule="auto"/>
        <w:tabs>
          <w:tab w:val="left" w:pos="360" w:leader="none"/>
        </w:tabs>
        <w:rPr>
          <w:rFonts w:hint="eastAsia" w:ascii="宋体" w:hAnsi="宋体" w:eastAsia="宋体" w:cs="宋体"/>
          <w:color w:val="auto"/>
          <w:sz w:val="24"/>
          <w:szCs w:val="24"/>
          <w:highlight w:val="none"/>
        </w:rPr>
        <w:outlineLvl w:val="1"/>
      </w:pPr>
      <w:r/>
      <w:bookmarkStart w:id="552" w:name="_Toc150774650"/>
      <w:r/>
      <w:bookmarkStart w:id="553" w:name="_Toc151190177"/>
      <w:r/>
      <w:bookmarkStart w:id="554" w:name="_Toc151193720"/>
      <w:r/>
      <w:bookmarkStart w:id="555" w:name="_Toc151193648"/>
      <w:r/>
      <w:bookmarkStart w:id="556" w:name="_Toc127161464"/>
      <w:r/>
      <w:bookmarkStart w:id="557" w:name="_Toc195842915"/>
      <w:r/>
      <w:bookmarkStart w:id="558" w:name="_Toc164229245"/>
      <w:r/>
      <w:bookmarkStart w:id="559" w:name="_Toc164229391"/>
      <w:r/>
      <w:bookmarkStart w:id="560" w:name="_Toc150774755"/>
      <w:r/>
      <w:bookmarkStart w:id="561" w:name="_Ref467307062"/>
      <w:r/>
      <w:bookmarkStart w:id="562" w:name="_Toc127151550"/>
      <w:r/>
      <w:bookmarkStart w:id="563" w:name="_Ref467307204"/>
      <w:r/>
      <w:bookmarkStart w:id="564" w:name="_Ref467306978"/>
      <w:r/>
      <w:bookmarkStart w:id="565" w:name="_Toc226309794"/>
      <w:r/>
      <w:bookmarkStart w:id="566" w:name="_Toc226965740"/>
      <w:r/>
      <w:bookmarkStart w:id="567" w:name="_Toc149720843"/>
      <w:r/>
      <w:bookmarkStart w:id="568" w:name="_Toc127151751"/>
      <w:r/>
      <w:bookmarkStart w:id="569" w:name="_Toc164608664"/>
      <w:r/>
      <w:bookmarkStart w:id="570" w:name="_Toc150509301"/>
      <w:r/>
      <w:bookmarkStart w:id="571" w:name="_Toc164351644"/>
      <w:r/>
      <w:bookmarkStart w:id="572" w:name="_Toc264969240"/>
      <w:r/>
      <w:bookmarkStart w:id="573" w:name="_Toc151193864"/>
      <w:r/>
      <w:bookmarkStart w:id="574" w:name="_Toc150480788"/>
      <w:r/>
      <w:bookmarkStart w:id="575" w:name="_Toc305158892"/>
      <w:r/>
      <w:bookmarkStart w:id="576" w:name="_Toc151193938"/>
      <w:r/>
      <w:bookmarkStart w:id="577" w:name="_Toc151193792"/>
      <w:r/>
      <w:bookmarkStart w:id="578" w:name="_Toc520356175"/>
      <w:r/>
      <w:bookmarkStart w:id="579" w:name="_Toc164608819"/>
      <w:r/>
      <w:bookmarkStart w:id="580" w:name="_Toc226965823"/>
      <w:r/>
      <w:bookmarkStart w:id="581" w:name="_Toc265228388"/>
      <w:r/>
      <w:bookmarkStart w:id="582" w:name="_Toc142311052"/>
      <w:r/>
      <w:bookmarkStart w:id="583" w:name="_Toc226337246"/>
      <w:r/>
      <w:bookmarkStart w:id="584" w:name="_Toc305158818"/>
      <w:r/>
      <w:bookmarkStart w:id="585" w:name="_Ref467306377"/>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签订合同</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23.1</w:t>
      </w:r>
      <w:r>
        <w:rPr>
          <w:rFonts w:hint="eastAsia" w:ascii="宋体" w:hAnsi="宋体" w:eastAsia="宋体" w:cs="宋体"/>
          <w:color w:val="auto"/>
          <w:sz w:val="24"/>
          <w:szCs w:val="24"/>
          <w:highlight w:val="none"/>
        </w:rPr>
        <w:t xml:space="preserve">采购人与成交供应商将在成交通知书发出之日起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日内，按照磋商文件确定的合同文本以及采购标的、规格型号、采购金额、采购数量、技术和服务要求等事项签订政府采购合同。</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23.2</w:t>
      </w:r>
      <w:r>
        <w:rPr>
          <w:rFonts w:hint="eastAsia" w:ascii="宋体" w:hAnsi="宋体" w:eastAsia="宋体" w:cs="宋体"/>
          <w:color w:val="auto"/>
          <w:sz w:val="24"/>
          <w:szCs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23.3</w:t>
      </w:r>
      <w:r>
        <w:rPr>
          <w:rFonts w:hint="eastAsia" w:ascii="宋体" w:hAnsi="宋体" w:eastAsia="宋体" w:cs="宋体"/>
          <w:color w:val="auto"/>
          <w:sz w:val="24"/>
          <w:szCs w:val="24"/>
          <w:highlight w:val="none"/>
        </w:rPr>
        <w:t xml:space="preserve">联合体获得成交资格的，联合体各方应当共同与采购人签订合同，就成交项目向采购人承担连带责任。</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23.4</w:t>
      </w:r>
      <w:r>
        <w:rPr>
          <w:rFonts w:hint="eastAsia" w:ascii="宋体" w:hAnsi="宋体" w:eastAsia="宋体" w:cs="宋体"/>
          <w:color w:val="auto"/>
          <w:sz w:val="24"/>
          <w:szCs w:val="24"/>
          <w:highlight w:val="none"/>
        </w:rPr>
        <w:t xml:space="preserve">政府采购合同不能转包。</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23.5</w:t>
      </w:r>
      <w:r>
        <w:rPr>
          <w:rFonts w:hint="eastAsia" w:ascii="宋体" w:hAnsi="宋体" w:eastAsia="宋体" w:cs="宋体"/>
          <w:color w:val="auto"/>
          <w:sz w:val="24"/>
          <w:szCs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auto"/>
          <w:sz w:val="24"/>
          <w:szCs w:val="24"/>
          <w:highlight w:val="none"/>
        </w:rPr>
        <w:t xml:space="preserve">否则响应无效</w:t>
      </w:r>
      <w:r>
        <w:rPr>
          <w:rFonts w:hint="eastAsia" w:ascii="宋体" w:hAnsi="宋体" w:eastAsia="宋体" w:cs="宋体"/>
          <w:color w:val="auto"/>
          <w:sz w:val="24"/>
          <w:szCs w:val="24"/>
          <w:highlight w:val="none"/>
        </w:rPr>
        <w:t xml:space="preserve">。成交供应商就采购项目和分包项目向采购人负责，分包供应商就分包项目承担责任。</w:t>
      </w:r>
      <w:bookmarkEnd w:id="549"/>
      <w:r/>
      <w:bookmarkEnd w:id="550"/>
      <w:r/>
      <w:bookmarkEnd w:id="551"/>
      <w:r/>
      <w:r/>
    </w:p>
    <w:p>
      <w:pPr>
        <w:numPr>
          <w:ilvl w:val="0"/>
          <w:numId w:val="0"/>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询问与质疑</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w:t>
      </w:r>
      <w:r>
        <w:rPr>
          <w:rFonts w:hint="eastAsia" w:ascii="宋体" w:hAnsi="宋体" w:eastAsia="宋体" w:cs="宋体"/>
          <w:color w:val="auto"/>
          <w:sz w:val="24"/>
          <w:szCs w:val="24"/>
          <w:highlight w:val="none"/>
        </w:rPr>
        <w:t xml:space="preserve">询问</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24.1.1</w:t>
      </w:r>
      <w:r>
        <w:rPr>
          <w:rFonts w:hint="eastAsia" w:ascii="宋体" w:hAnsi="宋体" w:eastAsia="宋体" w:cs="宋体"/>
          <w:color w:val="auto"/>
          <w:sz w:val="24"/>
          <w:szCs w:val="24"/>
          <w:highlight w:val="none"/>
        </w:rPr>
        <w:t xml:space="preserve">供应商对政府采购活动事项有疑问的，可依法提出询问，并按《供应商须知资料表》载明的形式送达采购人或采购代理机构。</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24.1.2</w:t>
      </w:r>
      <w:r>
        <w:rPr>
          <w:rFonts w:hint="eastAsia" w:ascii="宋体" w:hAnsi="宋体" w:eastAsia="宋体" w:cs="宋体"/>
          <w:color w:val="auto"/>
          <w:sz w:val="24"/>
          <w:szCs w:val="24"/>
          <w:highlight w:val="none"/>
        </w:rPr>
        <w:t xml:space="preserve">采购人或采购代理机构对供应商依法提出的询问，在3个工作日内作出答复，但答复的内容不得涉及商业秘密。</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w:t>
      </w:r>
      <w:r>
        <w:rPr>
          <w:rFonts w:hint="eastAsia" w:ascii="宋体" w:hAnsi="宋体" w:eastAsia="宋体" w:cs="宋体"/>
          <w:color w:val="auto"/>
          <w:sz w:val="24"/>
          <w:szCs w:val="24"/>
          <w:highlight w:val="none"/>
        </w:rPr>
        <w:t xml:space="preserve">质疑</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24.2.1</w:t>
      </w:r>
      <w:r>
        <w:rPr>
          <w:rFonts w:hint="eastAsia" w:ascii="宋体" w:hAnsi="宋体" w:eastAsia="宋体" w:cs="宋体"/>
          <w:color w:val="auto"/>
          <w:sz w:val="24"/>
          <w:szCs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24.2.2</w:t>
      </w:r>
      <w:r>
        <w:rPr>
          <w:rFonts w:hint="eastAsia" w:ascii="宋体" w:hAnsi="宋体" w:eastAsia="宋体" w:cs="宋体"/>
          <w:b/>
          <w:color w:val="auto"/>
          <w:sz w:val="24"/>
          <w:szCs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24.2.3</w:t>
      </w:r>
      <w:r>
        <w:rPr>
          <w:rFonts w:hint="eastAsia" w:ascii="宋体" w:hAnsi="宋体" w:eastAsia="宋体" w:cs="宋体"/>
          <w:color w:val="auto"/>
          <w:sz w:val="24"/>
          <w:szCs w:val="24"/>
          <w:highlight w:val="none"/>
        </w:rPr>
        <w:t xml:space="preserve">质疑函须使用财政部制定的范本文件。（下载网址：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"http://gks.mof.gov.cn/ztztz/zhengfucaigouguanli/201802/t20180201_2804589.htm" </w:instrText>
      </w:r>
      <w:r>
        <w:rPr>
          <w:rFonts w:hint="eastAsia" w:ascii="宋体" w:hAnsi="宋体" w:eastAsia="宋体" w:cs="宋体"/>
          <w:color w:val="auto"/>
          <w:sz w:val="24"/>
          <w:szCs w:val="24"/>
          <w:highlight w:val="none"/>
        </w:rPr>
        <w:fldChar w:fldCharType="separate"/>
      </w:r>
      <w:r>
        <w:rPr>
          <w:rStyle w:val="991"/>
          <w:rFonts w:hint="eastAsia" w:ascii="宋体" w:hAnsi="宋体" w:eastAsia="宋体" w:cs="宋体"/>
          <w:color w:val="auto"/>
          <w:sz w:val="24"/>
          <w:szCs w:val="24"/>
          <w:highlight w:val="none"/>
        </w:rPr>
        <w:t xml:space="preserve">http://gk</w:t>
      </w:r>
      <w:bookmarkStart w:id="586" w:name="_Hlt100654014"/>
      <w:r>
        <w:rPr>
          <w:rStyle w:val="991"/>
          <w:rFonts w:hint="eastAsia" w:ascii="宋体" w:hAnsi="宋体" w:eastAsia="宋体" w:cs="宋体"/>
          <w:color w:val="auto"/>
          <w:sz w:val="24"/>
          <w:szCs w:val="24"/>
          <w:highlight w:val="none"/>
        </w:rPr>
        <w:t xml:space="preserve">s</w:t>
      </w:r>
      <w:bookmarkEnd w:id="586"/>
      <w:r>
        <w:rPr>
          <w:rStyle w:val="991"/>
          <w:rFonts w:hint="eastAsia" w:ascii="宋体" w:hAnsi="宋体" w:eastAsia="宋体" w:cs="宋体"/>
          <w:color w:val="auto"/>
          <w:sz w:val="24"/>
          <w:szCs w:val="24"/>
          <w:highlight w:val="none"/>
        </w:rPr>
        <w:t xml:space="preserve">.m</w:t>
      </w:r>
      <w:bookmarkStart w:id="587" w:name="_Hlt100653993"/>
      <w:r/>
      <w:bookmarkStart w:id="588" w:name="_Hlt100653994"/>
      <w:r>
        <w:rPr>
          <w:rStyle w:val="991"/>
          <w:rFonts w:hint="eastAsia" w:ascii="宋体" w:hAnsi="宋体" w:eastAsia="宋体" w:cs="宋体"/>
          <w:color w:val="auto"/>
          <w:sz w:val="24"/>
          <w:szCs w:val="24"/>
          <w:highlight w:val="none"/>
        </w:rPr>
        <w:t xml:space="preserve">o</w:t>
      </w:r>
      <w:bookmarkEnd w:id="587"/>
      <w:r/>
      <w:bookmarkEnd w:id="588"/>
      <w:r/>
      <w:bookmarkStart w:id="589" w:name="_Hlt101169156"/>
      <w:r>
        <w:rPr>
          <w:rStyle w:val="991"/>
          <w:rFonts w:hint="eastAsia" w:ascii="宋体" w:hAnsi="宋体" w:eastAsia="宋体" w:cs="宋体"/>
          <w:color w:val="auto"/>
          <w:sz w:val="24"/>
          <w:szCs w:val="24"/>
          <w:highlight w:val="none"/>
        </w:rPr>
        <w:t xml:space="preserve">f</w:t>
      </w:r>
      <w:bookmarkEnd w:id="589"/>
      <w:r>
        <w:rPr>
          <w:rStyle w:val="991"/>
          <w:rFonts w:hint="eastAsia" w:ascii="宋体" w:hAnsi="宋体" w:eastAsia="宋体" w:cs="宋体"/>
          <w:color w:val="auto"/>
          <w:sz w:val="24"/>
          <w:szCs w:val="24"/>
          <w:highlight w:val="none"/>
        </w:rPr>
        <w:t xml:space="preserve">.gov.cn/ztztz/zhengfucaigouguanli/201802/t20180201_2804589.htm</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24.2.4</w:t>
      </w: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w:t>
      </w:r>
      <w:r/>
    </w:p>
    <w:p>
      <w:pPr>
        <w:numPr>
          <w:ilvl w:val="0"/>
          <w:numId w:val="0"/>
        </w:numPr>
        <w:ind w:left="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24.2.5</w:t>
      </w:r>
      <w:r>
        <w:rPr>
          <w:rFonts w:hint="eastAsia" w:ascii="宋体" w:hAnsi="宋体" w:eastAsia="宋体" w:cs="宋体"/>
          <w:color w:val="auto"/>
          <w:sz w:val="24"/>
          <w:szCs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0"/>
          <w:numId w:val="0"/>
        </w:numPr>
        <w:ind w:left="357" w:firstLine="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24.2.6</w:t>
      </w:r>
      <w:r>
        <w:rPr>
          <w:rFonts w:hint="eastAsia" w:ascii="宋体" w:hAnsi="宋体" w:eastAsia="宋体" w:cs="宋体"/>
          <w:color w:val="auto"/>
          <w:sz w:val="24"/>
          <w:szCs w:val="24"/>
          <w:highlight w:val="none"/>
        </w:rPr>
        <w:t xml:space="preserve">接收询问和质疑的联系部门、联系电话和通讯地址见《供应商须知资料表》。</w:t>
      </w:r>
      <w:r/>
    </w:p>
    <w:p>
      <w:pPr>
        <w:numPr>
          <w:ilvl w:val="0"/>
          <w:numId w:val="0"/>
        </w:numPr>
        <w:ind w:left="357" w:firstLine="720"/>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代理费</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25.1</w:t>
      </w:r>
      <w:r>
        <w:rPr>
          <w:rFonts w:hint="eastAsia" w:ascii="宋体" w:hAnsi="宋体" w:eastAsia="宋体" w:cs="宋体"/>
          <w:color w:val="auto"/>
          <w:sz w:val="24"/>
          <w:szCs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szCs w:val="24"/>
          <w:highlight w:val="none"/>
        </w:rPr>
        <w:sectPr>
          <w:footerReference w:type="even" r:id="rId14"/>
          <w:footnotePr/>
          <w:endnotePr/>
          <w:type w:val="nextPage"/>
          <w:pgSz w:w="11907" w:h="16840" w:orient="portrait"/>
          <w:pgMar w:top="1134" w:right="1134" w:bottom="1134" w:left="1134" w:header="851" w:footer="851" w:gutter="0"/>
          <w:cols w:num="1" w:sep="0" w:space="720" w:equalWidth="1"/>
          <w:docGrid w:linePitch="360"/>
        </w:sectPr>
      </w:pPr>
      <w:r/>
      <w:bookmarkStart w:id="590" w:name="_Toc150480792"/>
      <w:r/>
      <w:bookmarkStart w:id="591" w:name="_Toc353873664"/>
      <w:r/>
      <w:bookmarkStart w:id="592" w:name="_Toc353825544"/>
      <w:r/>
      <w:bookmarkStart w:id="593" w:name="_Toc127151554"/>
      <w:r/>
      <w:bookmarkStart w:id="594" w:name="_Toc305158822"/>
      <w:r/>
      <w:bookmarkStart w:id="595" w:name="_Toc226965827"/>
      <w:r/>
      <w:bookmarkStart w:id="596" w:name="_Toc226337250"/>
      <w:r/>
      <w:bookmarkStart w:id="597" w:name="_Toc265228392"/>
      <w:r/>
      <w:bookmarkStart w:id="598" w:name="_Toc305158896"/>
      <w:r/>
      <w:bookmarkStart w:id="599" w:name="_Toc142311056"/>
      <w:r/>
      <w:bookmarkStart w:id="600" w:name="_Toc353873934"/>
      <w:r/>
      <w:bookmarkStart w:id="601" w:name="_Toc264969244"/>
      <w:r/>
      <w:bookmarkStart w:id="602" w:name="_Toc150774759"/>
      <w:r/>
      <w:r/>
    </w:p>
    <w:p>
      <w:pPr>
        <w:jc w:val="center"/>
        <w:spacing w:line="360" w:lineRule="auto"/>
        <w:rPr>
          <w:rFonts w:hint="eastAsia" w:ascii="宋体" w:hAnsi="宋体" w:eastAsia="宋体" w:cs="宋体"/>
          <w:b/>
          <w:color w:val="auto"/>
          <w:sz w:val="24"/>
          <w:szCs w:val="24"/>
          <w:highlight w:val="none"/>
        </w:rPr>
        <w:outlineLvl w:val="0"/>
      </w:pPr>
      <w:r/>
      <w:bookmarkStart w:id="603" w:name="_Toc104818927"/>
      <w:r>
        <w:rPr>
          <w:rFonts w:hint="eastAsia" w:ascii="宋体" w:hAnsi="宋体" w:eastAsia="宋体" w:cs="宋体"/>
          <w:b/>
          <w:color w:val="auto"/>
          <w:sz w:val="24"/>
          <w:szCs w:val="24"/>
          <w:highlight w:val="none"/>
        </w:rPr>
        <w:t xml:space="preserve">第三章   </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Pr>
          <w:rFonts w:hint="eastAsia" w:ascii="宋体" w:hAnsi="宋体" w:eastAsia="宋体" w:cs="宋体"/>
          <w:b/>
          <w:color w:val="auto"/>
          <w:sz w:val="24"/>
          <w:szCs w:val="24"/>
          <w:highlight w:val="none"/>
        </w:rPr>
        <w:t xml:space="preserve">评审程序、评审方法和评审标准</w:t>
      </w:r>
      <w:bookmarkEnd w:id="603"/>
      <w:r/>
      <w:bookmarkStart w:id="604" w:name="_Toc487900382"/>
      <w:r/>
      <w:r/>
    </w:p>
    <w:p>
      <w:pPr>
        <w:pStyle w:val="957"/>
        <w:spacing w:before="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一、评审程序</w:t>
      </w:r>
      <w:bookmarkEnd w:id="604"/>
      <w:r/>
      <w:r/>
    </w:p>
    <w:p>
      <w:pPr>
        <w:numPr>
          <w:ilvl w:val="0"/>
          <w:numId w:val="11"/>
        </w:numPr>
        <w:keepLines w:val="0"/>
        <w:keepNext w:val="0"/>
        <w:pageBreakBefore w:val="0"/>
        <w:spacing w:line="400" w:lineRule="exact"/>
        <w:widowControl w:val="off"/>
        <w:tabs>
          <w:tab w:val="left" w:pos="360" w:leader="none"/>
        </w:tabs>
        <w:rPr>
          <w:rFonts w:hint="eastAsia" w:ascii="宋体" w:hAnsi="宋体" w:eastAsia="宋体" w:cs="宋体"/>
          <w:color w:val="auto"/>
          <w:sz w:val="24"/>
          <w:szCs w:val="24"/>
          <w:highlight w:val="none"/>
        </w:rPr>
        <w:outlineLvl w:val="1"/>
      </w:pPr>
      <w:r/>
      <w:bookmarkStart w:id="605" w:name="_Toc151193855"/>
      <w:r/>
      <w:bookmarkStart w:id="606" w:name="_Toc150509292"/>
      <w:r/>
      <w:bookmarkStart w:id="607" w:name="_Toc127151541"/>
      <w:r/>
      <w:bookmarkStart w:id="608" w:name="_Toc164608655"/>
      <w:r/>
      <w:bookmarkStart w:id="609" w:name="_Toc226337237"/>
      <w:r/>
      <w:bookmarkStart w:id="610" w:name="_Toc305158809"/>
      <w:r/>
      <w:bookmarkStart w:id="611" w:name="_Toc265228379"/>
      <w:r/>
      <w:bookmarkStart w:id="612" w:name="_Toc226309785"/>
      <w:r/>
      <w:bookmarkStart w:id="613" w:name="_Toc164229236"/>
      <w:r/>
      <w:bookmarkStart w:id="614" w:name="_Toc164608810"/>
      <w:r/>
      <w:bookmarkStart w:id="615" w:name="_Toc150774746"/>
      <w:r/>
      <w:bookmarkStart w:id="616" w:name="_Toc150774641"/>
      <w:r/>
      <w:bookmarkStart w:id="617" w:name="_Toc226965731"/>
      <w:r/>
      <w:bookmarkStart w:id="618" w:name="_Toc151193639"/>
      <w:r/>
      <w:bookmarkStart w:id="619" w:name="_Toc164351635"/>
      <w:r/>
      <w:bookmarkStart w:id="620" w:name="_Toc151193783"/>
      <w:r/>
      <w:bookmarkStart w:id="621" w:name="_Toc164229382"/>
      <w:r/>
      <w:bookmarkStart w:id="622" w:name="_Toc151193929"/>
      <w:r/>
      <w:bookmarkStart w:id="623" w:name="_Toc127151742"/>
      <w:r/>
      <w:bookmarkStart w:id="624" w:name="_Toc142311043"/>
      <w:r/>
      <w:bookmarkStart w:id="625" w:name="_Toc149720834"/>
      <w:r/>
      <w:bookmarkStart w:id="626" w:name="_Toc127161455"/>
      <w:r/>
      <w:bookmarkStart w:id="627" w:name="_Toc151193711"/>
      <w:r/>
      <w:bookmarkStart w:id="628" w:name="_Toc151190168"/>
      <w:r/>
      <w:bookmarkStart w:id="629" w:name="_Toc195842906"/>
      <w:r/>
      <w:bookmarkStart w:id="630" w:name="_Toc305158883"/>
      <w:r/>
      <w:bookmarkStart w:id="631" w:name="_Toc264969231"/>
      <w:r/>
      <w:bookmarkStart w:id="632" w:name="_Toc150480779"/>
      <w:r/>
      <w:bookmarkStart w:id="633" w:name="_Toc226965814"/>
      <w:r/>
      <w:bookmarkStart w:id="634" w:name="_Toc353825551"/>
      <w:r/>
      <w:bookmarkStart w:id="635" w:name="_Toc353873941"/>
      <w:r>
        <w:rPr>
          <w:rFonts w:hint="eastAsia" w:ascii="宋体" w:hAnsi="宋体" w:eastAsia="宋体" w:cs="宋体"/>
          <w:color w:val="auto"/>
          <w:sz w:val="24"/>
          <w:szCs w:val="24"/>
          <w:highlight w:val="none"/>
        </w:rPr>
        <w:t xml:space="preserve">响应文件的</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rFonts w:hint="eastAsia" w:ascii="宋体" w:hAnsi="宋体" w:eastAsia="宋体" w:cs="宋体"/>
          <w:color w:val="auto"/>
          <w:sz w:val="24"/>
          <w:szCs w:val="24"/>
          <w:highlight w:val="none"/>
        </w:rPr>
        <w:t xml:space="preserve">资格性检查和符合性审查</w:t>
      </w:r>
      <w:r/>
    </w:p>
    <w:p>
      <w:pPr>
        <w:numPr>
          <w:ilvl w:val="1"/>
          <w:numId w:val="11"/>
        </w:numPr>
        <w:ind w:left="1077" w:hanging="720"/>
        <w:keepLines w:val="0"/>
        <w:keepNext w:val="0"/>
        <w:pageBreakBefore w:val="0"/>
        <w:spacing w:line="40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szCs w:val="24"/>
          <w:highlight w:val="none"/>
        </w:rPr>
        <w:t xml:space="preserve">无效响应</w:t>
      </w:r>
      <w:r>
        <w:rPr>
          <w:rFonts w:hint="eastAsia" w:ascii="宋体" w:hAnsi="宋体" w:eastAsia="宋体" w:cs="宋体"/>
          <w:color w:val="auto"/>
          <w:sz w:val="24"/>
          <w:szCs w:val="24"/>
          <w:highlight w:val="none"/>
        </w:rPr>
        <w:t xml:space="preserve">处理，磋商小组应当告知提交响应文件的供应商。</w:t>
      </w:r>
      <w:r/>
    </w:p>
    <w:p>
      <w:pPr>
        <w:numPr>
          <w:ilvl w:val="1"/>
          <w:numId w:val="11"/>
        </w:numPr>
        <w:ind w:left="1077" w:hanging="720"/>
        <w:keepLines w:val="0"/>
        <w:keepNext w:val="0"/>
        <w:pageBreakBefore w:val="0"/>
        <w:spacing w:line="40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《资格性检查要求》中对格式有要求的，除竞争性磋商文件另有规定外，均为“实质性格式”文件。</w:t>
      </w:r>
      <w:r/>
    </w:p>
    <w:p>
      <w:pPr>
        <w:numPr>
          <w:ilvl w:val="1"/>
          <w:numId w:val="11"/>
        </w:numPr>
        <w:ind w:left="1077" w:hanging="720"/>
        <w:keepLines w:val="0"/>
        <w:keepNext w:val="0"/>
        <w:pageBreakBefore w:val="0"/>
        <w:spacing w:line="40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《资格性检查要求》见下表：</w:t>
      </w:r>
      <w:r/>
    </w:p>
    <w:p>
      <w:pPr>
        <w:ind w:left="1077" w:firstLine="2650"/>
        <w:spacing w:line="360" w:lineRule="auto"/>
        <w:tabs>
          <w:tab w:val="left" w:pos="900" w:leader="none"/>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资格性检查要求</w:t>
      </w:r>
      <w:r/>
    </w:p>
    <w:tbl>
      <w:tblPr>
        <w:tblStyle w:val="966"/>
        <w:tblW w:w="5059" w:type="pct"/>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675"/>
        <w:gridCol w:w="4712"/>
        <w:gridCol w:w="2197"/>
      </w:tblGrid>
      <w:tr>
        <w:trPr>
          <w:cantSplit/>
          <w:trHeight w:val="510"/>
          <w:tblHeader/>
        </w:trPr>
        <w:tc>
          <w:tcPr>
            <w:tcW w:w="433" w:type="pct"/>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bookmarkStart w:id="636" w:name="_Hlt487972895"/>
            <w:r/>
            <w:bookmarkEnd w:id="636"/>
            <w:r>
              <w:rPr>
                <w:rFonts w:hint="eastAsia" w:ascii="宋体" w:hAnsi="宋体" w:eastAsia="宋体" w:cs="宋体"/>
                <w:b/>
                <w:color w:val="auto"/>
                <w:sz w:val="24"/>
                <w:szCs w:val="24"/>
                <w:highlight w:val="none"/>
              </w:rPr>
              <w:t xml:space="preserve">序号</w:t>
            </w:r>
            <w:r/>
          </w:p>
        </w:tc>
        <w:tc>
          <w:tcPr>
            <w:tcW w:w="891" w:type="pct"/>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2506" w:type="pct"/>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1168" w:type="pct"/>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cantSplit/>
          <w:trHeight w:val="1322"/>
        </w:trPr>
        <w:tc>
          <w:tcPr>
            <w:tcW w:w="433" w:type="pct"/>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91"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满足《中华人民共和国政府采购法》第二十二条规定及法律法规的其他规定</w:t>
            </w:r>
            <w:r/>
          </w:p>
        </w:tc>
        <w:tc>
          <w:tcPr>
            <w:tcW w:w="2506"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具体规定见第一章《采购邀请》</w:t>
            </w:r>
            <w:r/>
          </w:p>
        </w:tc>
        <w:tc>
          <w:tcPr>
            <w:tcW w:w="1168"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2"/>
        </w:trPr>
        <w:tc>
          <w:tcPr>
            <w:tcW w:w="433" w:type="pct"/>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91"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供应商资格声明函</w:t>
            </w:r>
            <w:r/>
          </w:p>
        </w:tc>
        <w:tc>
          <w:tcPr>
            <w:tcW w:w="2506"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提供了符合采购文件要求的《供应商资格声明函》。</w:t>
            </w:r>
            <w:r/>
          </w:p>
        </w:tc>
        <w:tc>
          <w:tcPr>
            <w:tcW w:w="1168"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格式见《响应文件格式》</w:t>
            </w:r>
            <w:r/>
          </w:p>
        </w:tc>
      </w:tr>
      <w:tr>
        <w:trPr>
          <w:cantSplit/>
          <w:trHeight w:val="4963"/>
        </w:trPr>
        <w:tc>
          <w:tcPr>
            <w:tcW w:w="433" w:type="pct"/>
            <w:vAlign w:val="center"/>
            <w:textDirection w:val="lrTb"/>
            <w:noWrap w:val="false"/>
          </w:tcPr>
          <w:p>
            <w:pPr>
              <w:jc w:val="cente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91"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供应商信用记录</w:t>
            </w:r>
            <w:r/>
          </w:p>
        </w:tc>
        <w:tc>
          <w:tcPr>
            <w:tcW w:w="2506" w:type="pct"/>
            <w:vAlign w:val="center"/>
            <w:textDirection w:val="lrTb"/>
            <w:noWrap w:val="false"/>
          </w:tcPr>
          <w:p>
            <w:pPr>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查询渠道：信用中国网站和</w:t>
            </w:r>
            <w:r>
              <w:rPr>
                <w:rFonts w:hint="eastAsia" w:ascii="宋体" w:hAnsi="宋体" w:eastAsia="宋体" w:cs="宋体"/>
                <w:color w:val="auto"/>
                <w:sz w:val="24"/>
                <w:szCs w:val="24"/>
                <w:highlight w:val="none"/>
                <w:lang w:eastAsia="zh-CN"/>
              </w:rPr>
              <w:t xml:space="preserve">中国政府采购网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www.creditchina.gov.cn、www.ccgp.gov.cn）；</w:t>
            </w:r>
            <w:r/>
          </w:p>
          <w:p>
            <w:pPr>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。联合体形式响应的，联合体成员存在不良信用记录，视同联合体存在不良信用记录。</w:t>
            </w:r>
            <w:r/>
          </w:p>
        </w:tc>
        <w:tc>
          <w:tcPr>
            <w:tcW w:w="1168" w:type="pct"/>
            <w:vAlign w:val="center"/>
            <w:textDirection w:val="lrTb"/>
            <w:noWrap w:val="false"/>
          </w:tcPr>
          <w:p>
            <w:pPr>
              <w:tabs>
                <w:tab w:val="left" w:pos="1080" w:leader="none"/>
              </w:tabs>
              <w:rPr>
                <w:rFonts w:hint="eastAsia" w:ascii="宋体" w:hAnsi="宋体" w:eastAsia="宋体" w:cs="宋体"/>
                <w:color w:val="auto"/>
                <w:sz w:val="24"/>
                <w:szCs w:val="24"/>
                <w:highlight w:val="none"/>
              </w:rPr>
            </w:pPr>
            <w:r>
              <w:rPr>
                <w:sz w:val="24"/>
              </w:rPr>
              <w:t xml:space="preserve">无须供应商提供，由采购人查询。</w:t>
            </w:r>
            <w:r/>
          </w:p>
        </w:tc>
      </w:tr>
      <w:tr>
        <w:trPr>
          <w:cantSplit/>
          <w:trHeight w:val="1078"/>
        </w:trPr>
        <w:tc>
          <w:tcPr>
            <w:tcW w:w="433" w:type="pct"/>
            <w:vAlign w:val="top"/>
            <w:textDirection w:val="lrTb"/>
            <w:noWrap w:val="false"/>
          </w:tcPr>
          <w:p>
            <w:pPr>
              <w:spacing w:line="321" w:lineRule="auto"/>
              <w:rPr>
                <w:rFonts w:ascii="Arial"/>
                <w:color w:val="auto"/>
                <w:sz w:val="21"/>
                <w:highlight w:val="none"/>
              </w:rPr>
            </w:pPr>
            <w:r>
              <w:rPr>
                <w:rFonts w:ascii="Arial"/>
                <w:color w:val="auto"/>
                <w:sz w:val="21"/>
                <w:highlight w:val="none"/>
              </w:rPr>
            </w:r>
            <w:r/>
          </w:p>
          <w:p>
            <w:pPr>
              <w:ind w:left="301"/>
              <w:spacing w:before="67" w:line="195" w:lineRule="auto"/>
              <w:rPr>
                <w:rFonts w:hint="eastAsia" w:ascii="宋体" w:hAnsi="宋体" w:eastAsia="宋体" w:cs="宋体"/>
                <w:color w:val="auto"/>
                <w:sz w:val="24"/>
                <w:szCs w:val="24"/>
                <w:highlight w:val="none"/>
              </w:rPr>
            </w:pPr>
            <w:r>
              <w:rPr>
                <w:rFonts w:ascii="Times New Roman" w:hAnsi="Times New Roman" w:eastAsia="Times New Roman" w:cs="Times New Roman"/>
                <w:color w:val="auto"/>
                <w:sz w:val="23"/>
                <w:szCs w:val="23"/>
                <w:highlight w:val="none"/>
              </w:rPr>
              <w:t xml:space="preserve">2</w:t>
            </w:r>
            <w:r/>
          </w:p>
        </w:tc>
        <w:tc>
          <w:tcPr>
            <w:tcW w:w="891" w:type="pct"/>
            <w:vAlign w:val="top"/>
            <w:textDirection w:val="lrTb"/>
            <w:noWrap w:val="false"/>
          </w:tcPr>
          <w:p>
            <w:pPr>
              <w:ind w:left="113" w:right="107"/>
              <w:spacing w:before="38" w:line="241" w:lineRule="auto"/>
              <w:rPr>
                <w:rFonts w:hint="eastAsia" w:ascii="宋体" w:hAnsi="宋体" w:eastAsia="宋体" w:cs="宋体"/>
                <w:color w:val="auto"/>
                <w:sz w:val="24"/>
                <w:szCs w:val="24"/>
                <w:highlight w:val="none"/>
              </w:rPr>
            </w:pPr>
            <w:r>
              <w:rPr>
                <w:rFonts w:ascii="宋体" w:hAnsi="宋体" w:eastAsia="宋体" w:cs="宋体"/>
                <w:color w:val="auto"/>
                <w:spacing w:val="14"/>
                <w:sz w:val="24"/>
                <w:szCs w:val="24"/>
                <w:highlight w:val="none"/>
              </w:rPr>
              <w:t xml:space="preserve">落</w:t>
            </w:r>
            <w:r>
              <w:rPr>
                <w:rFonts w:ascii="宋体" w:hAnsi="宋体" w:eastAsia="宋体" w:cs="宋体"/>
                <w:color w:val="auto"/>
                <w:spacing w:val="13"/>
                <w:sz w:val="24"/>
                <w:szCs w:val="24"/>
                <w:highlight w:val="none"/>
              </w:rPr>
              <w:t xml:space="preserve">实政府采购政</w:t>
            </w:r>
            <w:r>
              <w:rPr>
                <w:rFonts w:ascii="宋体" w:hAnsi="宋体" w:eastAsia="宋体" w:cs="宋体"/>
                <w:color w:val="auto"/>
                <w:sz w:val="24"/>
                <w:szCs w:val="24"/>
                <w:highlight w:val="none"/>
              </w:rPr>
              <w:t xml:space="preserve"> </w:t>
            </w:r>
            <w:r>
              <w:rPr>
                <w:rFonts w:ascii="宋体" w:hAnsi="宋体" w:eastAsia="宋体" w:cs="宋体"/>
                <w:color w:val="auto"/>
                <w:spacing w:val="15"/>
                <w:sz w:val="24"/>
                <w:szCs w:val="24"/>
                <w:highlight w:val="none"/>
              </w:rPr>
              <w:t xml:space="preserve">策</w:t>
            </w:r>
            <w:r>
              <w:rPr>
                <w:rFonts w:ascii="宋体" w:hAnsi="宋体" w:eastAsia="宋体" w:cs="宋体"/>
                <w:color w:val="auto"/>
                <w:spacing w:val="13"/>
                <w:sz w:val="24"/>
                <w:szCs w:val="24"/>
                <w:highlight w:val="none"/>
              </w:rPr>
              <w:t xml:space="preserve">需满足的资格</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 xml:space="preserve">要</w:t>
            </w:r>
            <w:r>
              <w:rPr>
                <w:rFonts w:ascii="宋体" w:hAnsi="宋体" w:eastAsia="宋体" w:cs="宋体"/>
                <w:color w:val="auto"/>
                <w:spacing w:val="4"/>
                <w:sz w:val="24"/>
                <w:szCs w:val="24"/>
                <w:highlight w:val="none"/>
              </w:rPr>
              <w:t xml:space="preserve">求</w:t>
            </w:r>
            <w:r/>
          </w:p>
        </w:tc>
        <w:tc>
          <w:tcPr>
            <w:tcW w:w="2506" w:type="pct"/>
            <w:vAlign w:val="center"/>
            <w:textDirection w:val="lrTb"/>
            <w:noWrap w:val="false"/>
          </w:tcPr>
          <w:p>
            <w:pPr>
              <w:ind w:firstLine="524"/>
              <w:jc w:val="both"/>
              <w:spacing w:before="75" w:line="225" w:lineRule="auto"/>
              <w:rPr>
                <w:rFonts w:hint="eastAsia" w:ascii="宋体" w:hAnsi="宋体" w:eastAsia="宋体" w:cs="宋体"/>
                <w:color w:val="auto"/>
                <w:sz w:val="24"/>
                <w:szCs w:val="24"/>
                <w:highlight w:val="none"/>
              </w:rPr>
            </w:pPr>
            <w:r>
              <w:rPr>
                <w:rFonts w:ascii="宋体" w:hAnsi="宋体" w:eastAsia="宋体" w:cs="宋体"/>
                <w:color w:val="auto"/>
                <w:spacing w:val="11"/>
                <w:sz w:val="24"/>
                <w:szCs w:val="24"/>
                <w:highlight w:val="none"/>
              </w:rPr>
              <w:t xml:space="preserve">具</w:t>
            </w:r>
            <w:r>
              <w:rPr>
                <w:rFonts w:ascii="宋体" w:hAnsi="宋体" w:eastAsia="宋体" w:cs="宋体"/>
                <w:color w:val="auto"/>
                <w:spacing w:val="8"/>
                <w:sz w:val="24"/>
                <w:szCs w:val="24"/>
                <w:highlight w:val="none"/>
              </w:rPr>
              <w:t xml:space="preserve">体要求见第一章《采购邀请》</w:t>
            </w:r>
            <w:r/>
          </w:p>
        </w:tc>
        <w:tc>
          <w:tcPr>
            <w:tcW w:w="1168" w:type="pct"/>
            <w:vAlign w:val="top"/>
            <w:textDirection w:val="lrTb"/>
            <w:noWrap w:val="false"/>
          </w:tcPr>
          <w:p>
            <w:pPr>
              <w:spacing w:line="321" w:lineRule="auto"/>
              <w:rPr>
                <w:rFonts w:ascii="Arial"/>
                <w:color w:val="auto"/>
                <w:sz w:val="21"/>
                <w:highlight w:val="none"/>
              </w:rPr>
            </w:pPr>
            <w:r>
              <w:rPr>
                <w:rFonts w:ascii="Arial"/>
                <w:color w:val="auto"/>
                <w:sz w:val="21"/>
                <w:highlight w:val="none"/>
              </w:rPr>
            </w:r>
            <w:r/>
          </w:p>
          <w:p>
            <w:pPr>
              <w:ind w:left="301"/>
              <w:spacing w:before="67" w:line="19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743"/>
        </w:trPr>
        <w:tc>
          <w:tcPr>
            <w:tcW w:w="433" w:type="pct"/>
            <w:vAlign w:val="top"/>
            <w:textDirection w:val="lrTb"/>
            <w:noWrap w:val="false"/>
          </w:tcPr>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line="242" w:lineRule="auto"/>
              <w:rPr>
                <w:rFonts w:ascii="Arial"/>
                <w:color w:val="auto"/>
                <w:sz w:val="21"/>
                <w:highlight w:val="none"/>
              </w:rPr>
            </w:pPr>
            <w:r>
              <w:rPr>
                <w:rFonts w:ascii="Arial"/>
                <w:color w:val="auto"/>
                <w:sz w:val="21"/>
                <w:highlight w:val="none"/>
              </w:rPr>
            </w:r>
            <w:r/>
          </w:p>
          <w:p>
            <w:pPr>
              <w:spacing w:before="66" w:line="195" w:lineRule="auto"/>
              <w:rPr>
                <w:rFonts w:ascii="Times New Roman" w:hAnsi="Times New Roman" w:eastAsia="Times New Roman" w:cs="Times New Roman"/>
                <w:color w:val="auto"/>
                <w:spacing w:val="-9"/>
                <w:sz w:val="23"/>
                <w:szCs w:val="23"/>
                <w:highlight w:val="none"/>
              </w:rPr>
            </w:pPr>
            <w:r>
              <w:rPr>
                <w:rFonts w:ascii="Times New Roman" w:hAnsi="Times New Roman" w:eastAsia="Times New Roman" w:cs="Times New Roman"/>
                <w:color w:val="auto"/>
                <w:spacing w:val="-9"/>
                <w:sz w:val="23"/>
                <w:szCs w:val="23"/>
                <w:highlight w:val="none"/>
              </w:rPr>
            </w:r>
            <w:r/>
          </w:p>
          <w:p>
            <w:pPr>
              <w:spacing w:before="66" w:line="195" w:lineRule="auto"/>
              <w:rPr>
                <w:rFonts w:ascii="Times New Roman" w:hAnsi="Times New Roman" w:eastAsia="Times New Roman" w:cs="Times New Roman"/>
                <w:color w:val="auto"/>
                <w:spacing w:val="-9"/>
                <w:sz w:val="23"/>
                <w:szCs w:val="23"/>
                <w:highlight w:val="none"/>
              </w:rPr>
            </w:pPr>
            <w:r>
              <w:rPr>
                <w:rFonts w:ascii="Times New Roman" w:hAnsi="Times New Roman" w:eastAsia="Times New Roman" w:cs="Times New Roman"/>
                <w:color w:val="auto"/>
                <w:spacing w:val="-9"/>
                <w:sz w:val="23"/>
                <w:szCs w:val="23"/>
                <w:highlight w:val="none"/>
              </w:rPr>
            </w:r>
            <w:r/>
          </w:p>
          <w:p>
            <w:pPr>
              <w:ind w:firstLine="212"/>
              <w:spacing w:before="66" w:line="195" w:lineRule="auto"/>
              <w:rPr>
                <w:rFonts w:ascii="Times New Roman" w:hAnsi="Times New Roman" w:eastAsia="Times New Roman" w:cs="Times New Roman"/>
                <w:color w:val="auto"/>
                <w:sz w:val="23"/>
                <w:szCs w:val="23"/>
                <w:highlight w:val="none"/>
              </w:rPr>
            </w:pPr>
            <w:r>
              <w:rPr>
                <w:rFonts w:ascii="Times New Roman" w:hAnsi="Times New Roman" w:eastAsia="Times New Roman" w:cs="Times New Roman"/>
                <w:color w:val="auto"/>
                <w:spacing w:val="-9"/>
                <w:sz w:val="23"/>
                <w:szCs w:val="23"/>
                <w:highlight w:val="none"/>
              </w:rPr>
              <w:t xml:space="preserve">2</w:t>
            </w:r>
            <w:r>
              <w:rPr>
                <w:rFonts w:hint="eastAsia" w:ascii="Times New Roman" w:hAnsi="Times New Roman" w:eastAsia="宋体" w:cs="Times New Roman"/>
                <w:color w:val="auto"/>
                <w:spacing w:val="-9"/>
                <w:sz w:val="23"/>
                <w:szCs w:val="23"/>
                <w:highlight w:val="none"/>
                <w:lang w:val="en-US" w:eastAsia="zh-CN"/>
              </w:rPr>
              <w:t xml:space="preserve">-</w:t>
            </w:r>
            <w:r>
              <w:rPr>
                <w:rFonts w:ascii="Times New Roman" w:hAnsi="Times New Roman" w:eastAsia="Times New Roman" w:cs="Times New Roman"/>
                <w:color w:val="auto"/>
                <w:spacing w:val="-6"/>
                <w:sz w:val="23"/>
                <w:szCs w:val="23"/>
                <w:highlight w:val="none"/>
              </w:rPr>
              <w:t xml:space="preserve">1</w:t>
            </w:r>
            <w:r/>
          </w:p>
        </w:tc>
        <w:tc>
          <w:tcPr>
            <w:tcW w:w="891" w:type="pct"/>
            <w:vAlign w:val="center"/>
            <w:textDirection w:val="lrTb"/>
            <w:noWrap w:val="false"/>
          </w:tcPr>
          <w:p>
            <w:pPr>
              <w:jc w:val="both"/>
              <w:spacing w:line="267" w:lineRule="auto"/>
              <w:rPr>
                <w:rFonts w:ascii="Arial"/>
                <w:color w:val="auto"/>
                <w:sz w:val="21"/>
                <w:highlight w:val="none"/>
              </w:rPr>
            </w:pPr>
            <w:r>
              <w:rPr>
                <w:rFonts w:ascii="Arial"/>
                <w:color w:val="auto"/>
                <w:sz w:val="21"/>
                <w:highlight w:val="none"/>
              </w:rPr>
            </w:r>
            <w:r/>
          </w:p>
          <w:p>
            <w:pPr>
              <w:ind w:left="134"/>
              <w:jc w:val="center"/>
              <w:spacing w:before="75" w:line="227" w:lineRule="auto"/>
              <w:rPr>
                <w:rFonts w:ascii="宋体" w:hAnsi="宋体" w:eastAsia="宋体" w:cs="宋体"/>
                <w:color w:val="auto"/>
                <w:spacing w:val="14"/>
                <w:sz w:val="24"/>
                <w:szCs w:val="24"/>
                <w:highlight w:val="none"/>
              </w:rPr>
            </w:pPr>
            <w:r>
              <w:rPr>
                <w:rFonts w:ascii="宋体" w:hAnsi="宋体" w:eastAsia="宋体" w:cs="宋体"/>
                <w:color w:val="auto"/>
                <w:spacing w:val="8"/>
                <w:sz w:val="23"/>
                <w:szCs w:val="23"/>
                <w:highlight w:val="none"/>
              </w:rPr>
              <w:t xml:space="preserve">中</w:t>
            </w:r>
            <w:r>
              <w:rPr>
                <w:rFonts w:ascii="宋体" w:hAnsi="宋体" w:eastAsia="宋体" w:cs="宋体"/>
                <w:color w:val="auto"/>
                <w:spacing w:val="5"/>
                <w:sz w:val="23"/>
                <w:szCs w:val="23"/>
                <w:highlight w:val="none"/>
              </w:rPr>
              <w:t xml:space="preserve">小企业声明函</w:t>
            </w:r>
            <w:r/>
          </w:p>
        </w:tc>
        <w:tc>
          <w:tcPr>
            <w:tcW w:w="2506" w:type="pct"/>
            <w:vAlign w:val="center"/>
            <w:textDirection w:val="lrTb"/>
            <w:noWrap w:val="false"/>
          </w:tcPr>
          <w:p>
            <w:pPr>
              <w:tabs>
                <w:tab w:val="left" w:pos="1080" w:leader="none"/>
              </w:tabs>
              <w:rPr>
                <w:b w:val="0"/>
                <w:bCs/>
                <w:sz w:val="24"/>
              </w:rPr>
            </w:pPr>
            <w:r>
              <w:rPr>
                <w:b w:val="0"/>
                <w:bCs/>
                <w:sz w:val="24"/>
              </w:rPr>
            </w:r>
            <w:r/>
          </w:p>
          <w:p>
            <w:pPr>
              <w:tabs>
                <w:tab w:val="left" w:pos="1080" w:leader="none"/>
              </w:tabs>
              <w:rPr>
                <w:b w:val="0"/>
                <w:bCs/>
                <w:sz w:val="24"/>
              </w:rPr>
            </w:pPr>
            <w:r>
              <w:rPr>
                <w:b w:val="0"/>
                <w:bCs/>
                <w:sz w:val="24"/>
              </w:rPr>
            </w:r>
            <w:r/>
          </w:p>
          <w:p>
            <w:pPr>
              <w:tabs>
                <w:tab w:val="left" w:pos="1080" w:leader="none"/>
              </w:tabs>
              <w:rPr>
                <w:rFonts w:hint="eastAsia" w:ascii="宋体" w:hAnsi="宋体" w:eastAsia="宋体" w:cs="宋体"/>
                <w:b w:val="0"/>
                <w:bCs/>
                <w:color w:val="auto"/>
                <w:spacing w:val="8"/>
                <w:sz w:val="22"/>
                <w:szCs w:val="22"/>
                <w:highlight w:val="none"/>
              </w:rPr>
            </w:pPr>
            <w:r>
              <w:rPr>
                <w:b w:val="0"/>
                <w:bCs/>
                <w:sz w:val="24"/>
              </w:rPr>
              <w:t xml:space="preserve">本项目（包）</w:t>
            </w:r>
            <w:r>
              <w:rPr>
                <w:rFonts w:hint="eastAsia"/>
                <w:b w:val="0"/>
                <w:bCs/>
                <w:sz w:val="24"/>
              </w:rPr>
              <w:t xml:space="preserve">是</w:t>
            </w:r>
            <w:r>
              <w:rPr>
                <w:rFonts w:hint="eastAsia"/>
                <w:b w:val="0"/>
                <w:bCs/>
                <w:sz w:val="24"/>
                <w:lang w:val="en-US" w:eastAsia="zh-CN"/>
              </w:rPr>
              <w:t xml:space="preserve">不</w:t>
            </w:r>
            <w:r>
              <w:rPr>
                <w:b w:val="0"/>
                <w:bCs/>
                <w:sz w:val="24"/>
              </w:rPr>
              <w:t xml:space="preserve">专门面向中小企业采购</w:t>
            </w:r>
            <w:r/>
          </w:p>
          <w:p>
            <w:pPr>
              <w:ind w:left="119" w:firstLine="524"/>
              <w:jc w:val="both"/>
              <w:spacing w:before="39" w:line="225" w:lineRule="auto"/>
              <w:rPr>
                <w:rFonts w:ascii="宋体" w:hAnsi="宋体" w:eastAsia="宋体" w:cs="宋体"/>
                <w:b w:val="0"/>
                <w:bCs/>
                <w:color w:val="auto"/>
                <w:spacing w:val="11"/>
                <w:sz w:val="24"/>
                <w:szCs w:val="24"/>
                <w:highlight w:val="none"/>
              </w:rPr>
            </w:pPr>
            <w:r>
              <w:rPr>
                <w:rFonts w:ascii="宋体" w:hAnsi="宋体" w:eastAsia="宋体" w:cs="宋体"/>
                <w:b w:val="0"/>
                <w:bCs/>
                <w:color w:val="auto"/>
                <w:spacing w:val="11"/>
                <w:sz w:val="24"/>
                <w:szCs w:val="24"/>
                <w:highlight w:val="none"/>
              </w:rPr>
            </w:r>
            <w:r/>
          </w:p>
        </w:tc>
        <w:tc>
          <w:tcPr>
            <w:tcW w:w="1168" w:type="pct"/>
            <w:vAlign w:val="top"/>
            <w:textDirection w:val="lrTb"/>
            <w:noWrap w:val="false"/>
          </w:tcPr>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ind w:right="107"/>
              <w:spacing w:before="75" w:line="26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220"/>
        </w:trPr>
        <w:tc>
          <w:tcPr>
            <w:tcW w:w="433" w:type="pct"/>
            <w:vAlign w:val="top"/>
            <w:textDirection w:val="lrTb"/>
            <w:noWrap w:val="false"/>
          </w:tcPr>
          <w:p>
            <w:pPr>
              <w:ind w:left="306"/>
              <w:spacing w:before="237" w:line="194" w:lineRule="auto"/>
              <w:rPr>
                <w:rFonts w:hint="eastAsia" w:ascii="宋体" w:hAnsi="宋体" w:eastAsia="宋体" w:cs="宋体"/>
                <w:color w:val="auto"/>
                <w:sz w:val="24"/>
                <w:szCs w:val="24"/>
                <w:highlight w:val="none"/>
              </w:rPr>
            </w:pPr>
            <w:r>
              <w:rPr>
                <w:rFonts w:ascii="Times New Roman" w:hAnsi="Times New Roman" w:eastAsia="Times New Roman" w:cs="Times New Roman"/>
                <w:color w:val="auto"/>
                <w:sz w:val="23"/>
                <w:szCs w:val="23"/>
                <w:highlight w:val="none"/>
              </w:rPr>
              <w:t xml:space="preserve">3</w:t>
            </w:r>
            <w:r/>
          </w:p>
        </w:tc>
        <w:tc>
          <w:tcPr>
            <w:tcW w:w="891" w:type="pct"/>
            <w:vAlign w:val="center"/>
            <w:textDirection w:val="lrTb"/>
            <w:noWrap w:val="false"/>
          </w:tcPr>
          <w:p>
            <w:pPr>
              <w:ind w:left="111" w:right="107" w:firstLine="1"/>
              <w:jc w:val="both"/>
              <w:spacing w:before="38" w:line="237" w:lineRule="auto"/>
              <w:rPr>
                <w:rFonts w:hint="eastAsia" w:ascii="宋体" w:hAnsi="宋体" w:eastAsia="宋体" w:cs="宋体"/>
                <w:color w:val="auto"/>
                <w:sz w:val="24"/>
                <w:szCs w:val="24"/>
                <w:highlight w:val="none"/>
              </w:rPr>
            </w:pPr>
            <w:r>
              <w:rPr>
                <w:rFonts w:ascii="宋体" w:hAnsi="宋体" w:eastAsia="宋体" w:cs="宋体"/>
                <w:color w:val="auto"/>
                <w:spacing w:val="15"/>
                <w:sz w:val="24"/>
                <w:szCs w:val="24"/>
                <w:highlight w:val="none"/>
              </w:rPr>
              <w:t xml:space="preserve">本</w:t>
            </w:r>
            <w:r>
              <w:rPr>
                <w:rFonts w:ascii="宋体" w:hAnsi="宋体" w:eastAsia="宋体" w:cs="宋体"/>
                <w:color w:val="auto"/>
                <w:spacing w:val="13"/>
                <w:sz w:val="24"/>
                <w:szCs w:val="24"/>
                <w:highlight w:val="none"/>
              </w:rPr>
              <w:t xml:space="preserve">项目的特定条</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 xml:space="preserve">件</w:t>
            </w:r>
            <w:r/>
          </w:p>
        </w:tc>
        <w:tc>
          <w:tcPr>
            <w:tcW w:w="2506" w:type="pct"/>
            <w:vAlign w:val="center"/>
            <w:textDirection w:val="lrTb"/>
            <w:noWrap w:val="false"/>
          </w:tcPr>
          <w:p>
            <w:pPr>
              <w:ind w:left="119"/>
              <w:jc w:val="both"/>
              <w:spacing w:before="39" w:line="225" w:lineRule="auto"/>
              <w:rPr>
                <w:rFonts w:hint="eastAsia" w:ascii="宋体" w:hAnsi="宋体" w:eastAsia="宋体" w:cs="宋体"/>
                <w:color w:val="auto"/>
                <w:sz w:val="24"/>
                <w:szCs w:val="24"/>
                <w:highlight w:val="none"/>
              </w:rPr>
            </w:pPr>
            <w:r>
              <w:rPr>
                <w:rFonts w:ascii="宋体" w:hAnsi="宋体" w:eastAsia="宋体" w:cs="宋体"/>
                <w:color w:val="auto"/>
                <w:spacing w:val="11"/>
                <w:sz w:val="24"/>
                <w:szCs w:val="24"/>
                <w:highlight w:val="none"/>
              </w:rPr>
              <w:t xml:space="preserve">具</w:t>
            </w:r>
            <w:r>
              <w:rPr>
                <w:rFonts w:ascii="宋体" w:hAnsi="宋体" w:eastAsia="宋体" w:cs="宋体"/>
                <w:color w:val="auto"/>
                <w:spacing w:val="8"/>
                <w:sz w:val="24"/>
                <w:szCs w:val="24"/>
                <w:highlight w:val="none"/>
              </w:rPr>
              <w:t xml:space="preserve">体要求见第一章《采购邀请》</w:t>
            </w:r>
            <w:r/>
          </w:p>
        </w:tc>
        <w:tc>
          <w:tcPr>
            <w:tcW w:w="1168" w:type="pct"/>
            <w:vAlign w:val="center"/>
            <w:textDirection w:val="lrTb"/>
            <w:noWrap w:val="false"/>
          </w:tcPr>
          <w:p>
            <w:pPr>
              <w:tabs>
                <w:tab w:val="left" w:pos="108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cantSplit/>
          <w:trHeight w:val="1220"/>
        </w:trPr>
        <w:tc>
          <w:tcPr>
            <w:tcW w:w="433" w:type="pct"/>
            <w:vAlign w:val="center"/>
            <w:textDirection w:val="lrTb"/>
            <w:noWrap w:val="false"/>
          </w:tcPr>
          <w:p>
            <w:pPr>
              <w:jc w:val="center"/>
              <w:spacing w:before="237" w:line="194" w:lineRule="auto"/>
              <w:rPr>
                <w:rFonts w:hint="default" w:ascii="Times New Roman" w:hAnsi="Times New Roman" w:eastAsia="宋体" w:cs="Times New Roman"/>
                <w:color w:val="auto"/>
                <w:sz w:val="23"/>
                <w:szCs w:val="23"/>
                <w:highlight w:val="none"/>
                <w:lang w:val="en-US" w:eastAsia="zh-CN"/>
              </w:rPr>
            </w:pPr>
            <w:r>
              <w:rPr>
                <w:rFonts w:hint="eastAsia" w:ascii="Times New Roman" w:hAnsi="Times New Roman" w:eastAsia="宋体" w:cs="Times New Roman"/>
                <w:color w:val="auto"/>
                <w:sz w:val="23"/>
                <w:szCs w:val="23"/>
                <w:highlight w:val="none"/>
                <w:lang w:val="en-US" w:eastAsia="zh-CN"/>
              </w:rPr>
              <w:t xml:space="preserve">3-1</w:t>
            </w:r>
            <w:r/>
          </w:p>
        </w:tc>
        <w:tc>
          <w:tcPr>
            <w:tcW w:w="891" w:type="pct"/>
            <w:vAlign w:val="center"/>
            <w:textDirection w:val="lrTb"/>
            <w:noWrap w:val="false"/>
          </w:tcPr>
          <w:p>
            <w:pPr>
              <w:ind w:left="111" w:right="107" w:firstLine="1"/>
              <w:jc w:val="both"/>
              <w:spacing w:before="38" w:line="237" w:lineRule="auto"/>
              <w:rPr>
                <w:rFonts w:ascii="宋体" w:hAnsi="宋体" w:eastAsia="宋体" w:cs="宋体"/>
                <w:color w:val="auto"/>
                <w:spacing w:val="15"/>
                <w:sz w:val="24"/>
                <w:szCs w:val="24"/>
                <w:highlight w:val="none"/>
              </w:rPr>
            </w:pPr>
            <w:r>
              <w:rPr>
                <w:sz w:val="24"/>
              </w:rPr>
              <w:t xml:space="preserve">其他特定资格要求</w:t>
            </w:r>
            <w:r/>
          </w:p>
        </w:tc>
        <w:tc>
          <w:tcPr>
            <w:tcW w:w="4712" w:type="dxa"/>
            <w:vAlign w:val="center"/>
            <w:textDirection w:val="lrTb"/>
            <w:noWrap w:val="false"/>
          </w:tcPr>
          <w:p>
            <w:pPr>
              <w:rPr>
                <w:rFonts w:hint="eastAsia" w:ascii="宋体" w:hAnsi="宋体" w:eastAsia="宋体" w:cs="宋体"/>
                <w:color w:val="auto"/>
                <w:spacing w:val="11"/>
                <w:sz w:val="24"/>
                <w:szCs w:val="24"/>
                <w:highlight w:val="none"/>
                <w:lang w:eastAsia="zh-CN"/>
              </w:rPr>
            </w:pPr>
            <w:r>
              <w:rPr>
                <w:rFonts w:ascii="宋体" w:hAnsi="宋体" w:eastAsia="宋体" w:cs="宋体"/>
                <w:color w:val="000000"/>
                <w:spacing w:val="11"/>
                <w:sz w:val="24"/>
                <w:szCs w:val="24"/>
                <w:highlight w:val="none"/>
              </w:rPr>
              <w:t xml:space="preserve">具</w:t>
            </w:r>
            <w:r>
              <w:rPr>
                <w:rFonts w:ascii="宋体" w:hAnsi="宋体" w:eastAsia="宋体" w:cs="宋体"/>
                <w:color w:val="000000"/>
                <w:spacing w:val="8"/>
                <w:sz w:val="24"/>
                <w:szCs w:val="24"/>
                <w:highlight w:val="none"/>
              </w:rPr>
              <w:t xml:space="preserve">体要求见第一章《采购邀请》</w:t>
            </w:r>
            <w:r/>
          </w:p>
        </w:tc>
        <w:tc>
          <w:tcPr>
            <w:tcW w:w="2197"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rPr>
            </w:pPr>
            <w:r>
              <w:rPr>
                <w:sz w:val="24"/>
              </w:rPr>
              <w:t xml:space="preserve">提供证明文件的电子件或电子证照，供应商若为分支机构，提供总公司授权委托书。</w:t>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《符合性审查要求》见下表：</w:t>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符合性审查要求</w:t>
      </w:r>
      <w:r/>
    </w:p>
    <w:tbl>
      <w:tblPr>
        <w:tblStyle w:val="9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812"/>
        <w:gridCol w:w="6733"/>
      </w:tblGrid>
      <w:tr>
        <w:trPr>
          <w:jc w:val="center"/>
          <w:trHeight w:val="300"/>
        </w:trPr>
        <w:tc>
          <w:tcPr>
            <w:tcW w:w="400" w:type="pct"/>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75" w:type="pct"/>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3624" w:type="pct"/>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响应函、</w:t>
            </w:r>
            <w:r>
              <w:rPr>
                <w:rFonts w:hint="eastAsia" w:ascii="宋体" w:hAnsi="宋体" w:eastAsia="宋体" w:cs="宋体"/>
                <w:color w:val="auto"/>
                <w:sz w:val="24"/>
                <w:szCs w:val="24"/>
                <w:highlight w:val="none"/>
              </w:rPr>
              <w:t xml:space="preserve">法定代表人资格证明书和</w:t>
            </w:r>
            <w:bookmarkStart w:id="637" w:name="OLE_LINK6"/>
            <w:r>
              <w:rPr>
                <w:rFonts w:hint="eastAsia" w:ascii="宋体" w:hAnsi="宋体" w:eastAsia="宋体" w:cs="宋体"/>
                <w:color w:val="auto"/>
                <w:sz w:val="24"/>
                <w:szCs w:val="24"/>
                <w:highlight w:val="none"/>
              </w:rPr>
              <w:t xml:space="preserve">政府采购供应商信用承诺书</w:t>
            </w:r>
            <w:bookmarkEnd w:id="637"/>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按磋商文件要求提供响应函、</w:t>
            </w:r>
            <w:r>
              <w:rPr>
                <w:rFonts w:hint="eastAsia" w:ascii="宋体" w:hAnsi="宋体" w:eastAsia="宋体" w:cs="宋体"/>
                <w:color w:val="auto"/>
                <w:sz w:val="24"/>
                <w:szCs w:val="24"/>
                <w:highlight w:val="none"/>
              </w:rPr>
              <w:t xml:space="preserve">法定代表人资格证明书和政府采购供应商信用承诺书</w:t>
            </w:r>
            <w:r>
              <w:rPr>
                <w:rFonts w:hint="eastAsia" w:ascii="宋体" w:hAnsi="宋体" w:eastAsia="宋体" w:cs="宋体"/>
                <w:color w:val="auto"/>
                <w:sz w:val="24"/>
                <w:szCs w:val="24"/>
                <w:highlight w:val="none"/>
              </w:rPr>
              <w:t xml:space="preserve">；</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响应完整性</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未将一个采购包中的内容拆开响应；</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响应报价</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响应报价未</w:t>
            </w:r>
            <w:r>
              <w:rPr>
                <w:rFonts w:hint="eastAsia" w:ascii="宋体" w:hAnsi="宋体" w:eastAsia="宋体" w:cs="宋体"/>
                <w:color w:val="auto"/>
                <w:sz w:val="24"/>
                <w:szCs w:val="24"/>
                <w:highlight w:val="none"/>
              </w:rPr>
              <w:t xml:space="preserve">超过磋商文件中规定的项目/采购包预算金额或者项目/采购包最高限价</w:t>
            </w:r>
            <w:r>
              <w:rPr>
                <w:rFonts w:hint="eastAsia" w:ascii="宋体" w:hAnsi="宋体" w:eastAsia="宋体" w:cs="宋体"/>
                <w:color w:val="auto"/>
                <w:sz w:val="24"/>
                <w:szCs w:val="24"/>
                <w:highlight w:val="none"/>
              </w:rPr>
              <w:t xml:space="preserve">；</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报价唯一性</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响应文件未</w:t>
            </w:r>
            <w:r>
              <w:rPr>
                <w:rFonts w:hint="eastAsia" w:ascii="宋体" w:hAnsi="宋体" w:eastAsia="宋体" w:cs="宋体"/>
                <w:color w:val="auto"/>
                <w:sz w:val="24"/>
                <w:szCs w:val="24"/>
                <w:highlight w:val="none"/>
              </w:rPr>
              <w:t xml:space="preserve">出现可选择性或可调整的报价（磋商文件另有规定的除外）</w:t>
            </w:r>
            <w:r>
              <w:rPr>
                <w:rFonts w:hint="eastAsia" w:ascii="宋体" w:hAnsi="宋体" w:eastAsia="宋体" w:cs="宋体"/>
                <w:color w:val="auto"/>
                <w:sz w:val="24"/>
                <w:szCs w:val="24"/>
                <w:highlight w:val="none"/>
              </w:rPr>
              <w:t xml:space="preserve">；</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响应有效期</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响应文件中承诺的响应有效期满足磋商文件中载明的响应有效期的；</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签署、加盖公章</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按照磋商文件要求签署、加盖公章的；</w:t>
            </w:r>
            <w:r/>
          </w:p>
        </w:tc>
      </w:tr>
      <w:tr>
        <w:trPr>
          <w:jc w:val="center"/>
          <w:trHeight w:val="548"/>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实质性格式</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标记为“实质性格式”的文件均按磋商文件要求提供；</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★号条款响应</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响应文件满足磋商文件</w:t>
            </w:r>
            <w:r>
              <w:rPr>
                <w:rFonts w:hint="eastAsia" w:ascii="宋体" w:hAnsi="宋体" w:eastAsia="宋体" w:cs="宋体"/>
                <w:color w:val="auto"/>
                <w:sz w:val="24"/>
                <w:szCs w:val="24"/>
                <w:highlight w:val="none"/>
              </w:rPr>
              <w:t xml:space="preserve">第五章《采购需求》</w:t>
            </w:r>
            <w:r>
              <w:rPr>
                <w:rFonts w:hint="eastAsia" w:ascii="宋体" w:hAnsi="宋体" w:eastAsia="宋体" w:cs="宋体"/>
                <w:color w:val="auto"/>
                <w:sz w:val="24"/>
                <w:szCs w:val="24"/>
                <w:highlight w:val="none"/>
              </w:rPr>
              <w:t xml:space="preserve">中★号条款要求的；</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sz w:val="24"/>
              </w:rPr>
              <w:t xml:space="preserve">9</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sz w:val="24"/>
              </w:rPr>
              <w:t xml:space="preserve">报价合理性</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sz w:val="24"/>
              </w:rPr>
              <w:t xml:space="preserve">10</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sz w:val="24"/>
              </w:rPr>
              <w:t xml:space="preserve">报价的修正（如有）</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r>
      <w:tr>
        <w:trPr>
          <w:jc w:val="center"/>
          <w:trHeight w:val="685"/>
        </w:trPr>
        <w:tc>
          <w:tcPr>
            <w:tcW w:w="400"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公平竞争</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串通响应</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85"/>
        </w:trPr>
        <w:tc>
          <w:tcPr>
            <w:tcW w:w="400"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附加条件</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响应文件未含有采购人不能接受的附加条件的；</w:t>
            </w:r>
            <w:r/>
          </w:p>
        </w:tc>
      </w:tr>
      <w:tr>
        <w:trPr>
          <w:jc w:val="center"/>
          <w:trHeight w:val="685"/>
        </w:trPr>
        <w:tc>
          <w:tcPr>
            <w:tcW w:w="400"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p>
        </w:tc>
        <w:tc>
          <w:tcPr>
            <w:tcW w:w="97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其他无效情形</w:t>
            </w:r>
            <w:r/>
          </w:p>
        </w:tc>
        <w:tc>
          <w:tcPr>
            <w:tcW w:w="362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供应商、响应文件不存在不符合法律、法规和磋商文件规定的其他无效情形。</w:t>
            </w:r>
            <w:r/>
          </w:p>
        </w:tc>
      </w:tr>
    </w:tbl>
    <w:p>
      <w:pPr>
        <w:numPr>
          <w:ilvl w:val="0"/>
          <w:numId w:val="11"/>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磋商、响应文件有关事项的澄清、说明或者更正和最终报价</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对磋商文件作出的实质性变动是磋商文件的有效组成部分，磋商小组应当及时</w:t>
      </w:r>
      <w:r>
        <w:rPr>
          <w:rFonts w:hint="eastAsia" w:ascii="宋体" w:hAnsi="宋体" w:eastAsia="宋体" w:cs="宋体"/>
          <w:color w:val="auto"/>
          <w:sz w:val="24"/>
          <w:szCs w:val="24"/>
          <w:highlight w:val="none"/>
        </w:rPr>
        <w:t xml:space="preserve">通过</w:t>
      </w:r>
      <w:r>
        <w:rPr>
          <w:rFonts w:hint="eastAsia" w:ascii="宋体" w:hAnsi="宋体" w:eastAsia="宋体" w:cs="宋体"/>
          <w:color w:val="auto"/>
          <w:sz w:val="24"/>
          <w:szCs w:val="24"/>
          <w:highlight w:val="none"/>
          <w:lang w:eastAsia="zh-CN"/>
        </w:rPr>
        <w:t xml:space="preserve">“苏采云”系统</w:t>
      </w:r>
      <w:r>
        <w:rPr>
          <w:rFonts w:hint="eastAsia" w:ascii="宋体" w:hAnsi="宋体" w:eastAsia="宋体" w:cs="宋体"/>
          <w:color w:val="auto"/>
          <w:sz w:val="24"/>
          <w:szCs w:val="24"/>
          <w:highlight w:val="none"/>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响应文件的澄清、说明或者更正：</w:t>
      </w:r>
      <w:r/>
    </w:p>
    <w:p>
      <w:pPr>
        <w:ind w:left="1080"/>
        <w:spacing w:line="360" w:lineRule="auto"/>
        <w:tabs>
          <w:tab w:val="left" w:pos="1980" w:leader="none"/>
        </w:tabs>
        <w:rPr>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w:t>
      </w:r>
      <w:r>
        <w:rPr>
          <w:rFonts w:hint="eastAsia"/>
          <w:color w:val="auto"/>
          <w:sz w:val="24"/>
          <w:highlight w:val="none"/>
          <w:lang w:val="en-US" w:eastAsia="zh-CN"/>
        </w:rPr>
        <w:t xml:space="preserve">将</w:t>
      </w:r>
      <w:r>
        <w:rPr>
          <w:color w:val="auto"/>
          <w:sz w:val="24"/>
          <w:highlight w:val="none"/>
        </w:rPr>
        <w:t xml:space="preserve">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b/>
          <w:color w:val="auto"/>
          <w:sz w:val="24"/>
          <w:highlight w:val="none"/>
        </w:rPr>
        <w:t xml:space="preserve">磋商结束后，磋商小组将要求所有实质性响应的供应商在规定时间内</w:t>
      </w:r>
      <w:r>
        <w:rPr>
          <w:rFonts w:hint="eastAsia"/>
          <w:b/>
          <w:color w:val="auto"/>
          <w:sz w:val="24"/>
          <w:highlight w:val="none"/>
          <w:lang w:eastAsia="zh-CN"/>
        </w:rPr>
        <w:t xml:space="preserve">通过</w:t>
      </w:r>
      <w:r>
        <w:rPr>
          <w:rFonts w:hint="eastAsia"/>
          <w:b/>
          <w:sz w:val="24"/>
          <w:lang w:eastAsia="zh-CN"/>
        </w:rPr>
        <w:t xml:space="preserve">“苏采云”系统</w:t>
      </w:r>
      <w:r>
        <w:rPr>
          <w:b/>
          <w:sz w:val="24"/>
        </w:rPr>
        <w:t xml:space="preserve">提交最</w:t>
      </w:r>
      <w:r>
        <w:rPr>
          <w:rFonts w:hint="eastAsia"/>
          <w:b/>
          <w:sz w:val="24"/>
        </w:rPr>
        <w:t xml:space="preserve">终</w:t>
      </w:r>
      <w:r>
        <w:rPr>
          <w:b/>
          <w:sz w:val="24"/>
        </w:rPr>
        <w:t xml:space="preserve">报价</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color w:val="auto"/>
          <w:sz w:val="24"/>
          <w:szCs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磋商报价次数：本项目采用</w:t>
      </w:r>
      <w:r>
        <w:rPr>
          <w:rFonts w:hint="eastAsia" w:ascii="宋体" w:hAnsi="宋体" w:eastAsia="宋体" w:cs="宋体"/>
          <w:b/>
          <w:bCs/>
          <w:color w:val="auto"/>
          <w:sz w:val="24"/>
          <w:szCs w:val="24"/>
          <w:highlight w:val="none"/>
          <w:lang w:eastAsia="zh-CN"/>
        </w:rPr>
        <w:t xml:space="preserve">二次报价</w:t>
      </w:r>
      <w:r>
        <w:rPr>
          <w:rFonts w:hint="eastAsia" w:ascii="宋体" w:hAnsi="宋体" w:eastAsia="宋体" w:cs="宋体"/>
          <w:color w:val="auto"/>
          <w:sz w:val="24"/>
          <w:szCs w:val="24"/>
          <w:highlight w:val="none"/>
          <w:lang w:eastAsia="zh-CN"/>
        </w:rPr>
        <w:t xml:space="preserve">，磋商响应文件报价一览表的报价作为首次报价，在磋商结束后，磋商小组应当要求所有实质性响应的供应商在规定时间内提交最后报价，最后报价作为评分依据。</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已提交响应文件的供应商，在提交最终报价之前，可以根据磋商情况退出磋商。</w:t>
      </w:r>
      <w:r/>
    </w:p>
    <w:p>
      <w:pPr>
        <w:numPr>
          <w:ilvl w:val="0"/>
          <w:numId w:val="11"/>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最终报价的算术修正及政策调整</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eastAsia="宋体" w:cs="宋体"/>
          <w:color w:val="auto"/>
          <w:sz w:val="24"/>
          <w:szCs w:val="24"/>
          <w:highlight w:val="none"/>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szCs w:val="24"/>
          <w:highlight w:val="none"/>
        </w:rPr>
        <w:t xml:space="preserve">其响应无效</w:t>
      </w:r>
      <w:r>
        <w:rPr>
          <w:rFonts w:hint="eastAsia" w:ascii="宋体" w:hAnsi="宋体" w:eastAsia="宋体" w:cs="宋体"/>
          <w:color w:val="auto"/>
          <w:sz w:val="24"/>
          <w:szCs w:val="24"/>
          <w:highlight w:val="none"/>
        </w:rPr>
        <w:t xml:space="preserve">。</w:t>
      </w:r>
      <w:r/>
    </w:p>
    <w:p>
      <w:pPr>
        <w:numPr>
          <w:ilvl w:val="2"/>
          <w:numId w:val="11"/>
        </w:numPr>
        <w:ind w:left="2035"/>
        <w:spacing w:line="360" w:lineRule="auto"/>
        <w:tabs>
          <w:tab w:val="left" w:pos="1080" w:leader="none"/>
          <w:tab w:val="left" w:pos="1589"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落实政府采购政策的价格调整：</w:t>
      </w:r>
      <w:r>
        <w:rPr>
          <w:rFonts w:hint="eastAsia" w:ascii="宋体" w:hAnsi="宋体" w:eastAsia="宋体" w:cs="宋体"/>
          <w:color w:val="auto"/>
          <w:sz w:val="24"/>
          <w:szCs w:val="24"/>
          <w:highlight w:val="none"/>
          <w:lang w:eastAsia="zh-CN"/>
        </w:rPr>
        <w:t xml:space="preserve">本项目</w:t>
      </w:r>
      <w:r>
        <w:rPr>
          <w:rFonts w:hint="eastAsia" w:ascii="宋体" w:hAnsi="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专门面向中小企业采购</w:t>
      </w:r>
      <w:r>
        <w:rPr>
          <w:rFonts w:hint="eastAsia" w:ascii="宋体" w:hAnsi="宋体" w:cs="宋体"/>
          <w:color w:val="auto"/>
          <w:sz w:val="24"/>
          <w:szCs w:val="24"/>
          <w:highlight w:val="none"/>
          <w:lang w:eastAsia="zh-CN"/>
        </w:rPr>
        <w:t xml:space="preserve">。</w:t>
      </w:r>
      <w:r/>
    </w:p>
    <w:p>
      <w:pPr>
        <w:numPr>
          <w:ilvl w:val="0"/>
          <w:numId w:val="11"/>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磋商环节及提交最终报价后如出现以下情况的，供应商的</w:t>
      </w:r>
      <w:r>
        <w:rPr>
          <w:rFonts w:hint="eastAsia" w:ascii="宋体" w:hAnsi="宋体" w:eastAsia="宋体" w:cs="宋体"/>
          <w:b/>
          <w:color w:val="auto"/>
          <w:sz w:val="24"/>
          <w:szCs w:val="24"/>
          <w:highlight w:val="none"/>
        </w:rPr>
        <w:t xml:space="preserve">响应文件无效</w:t>
      </w:r>
      <w:r>
        <w:rPr>
          <w:rFonts w:hint="eastAsia" w:ascii="宋体" w:hAnsi="宋体" w:eastAsia="宋体" w:cs="宋体"/>
          <w:color w:val="auto"/>
          <w:sz w:val="24"/>
          <w:szCs w:val="24"/>
          <w:highlight w:val="none"/>
        </w:rPr>
        <w:t xml:space="preserve">：</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供应商对实质性变动不予确认的；</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不满足磋商文件★号条款或磋商文件技术指标超出磋商文件《采购需求》中主要技术参数允许偏差的最大范围的（如有）；</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未按照磋商小组规定的时间、逾期提交最终报价的；</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最终报价出现前后不一致，供应商对修正后的报价不予确认的；</w:t>
      </w:r>
      <w:bookmarkEnd w:id="634"/>
      <w:r/>
      <w:bookmarkEnd w:id="635"/>
      <w:r/>
      <w:r/>
    </w:p>
    <w:p>
      <w:pPr>
        <w:numPr>
          <w:ilvl w:val="0"/>
          <w:numId w:val="11"/>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评审方法和评审标准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本项目采用的评审方法为：本项目的评审采用综合评分法。综合评分法，是指响应文件满足磋商文件全部实质性要求且按评审因素的量化指标评审得分最高的供应商为成交</w:t>
      </w:r>
      <w:r>
        <w:rPr>
          <w:rFonts w:hint="eastAsia" w:ascii="宋体" w:hAnsi="宋体" w:eastAsia="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rPr>
        <w:t xml:space="preserve">选供应商的评审方法。  </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关于无线局域网认证产品政府采购清单中的产品，优先采购的具体规定（如涉及）</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numPr>
          <w:ilvl w:val="0"/>
          <w:numId w:val="11"/>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确定</w:t>
      </w:r>
      <w:bookmarkStart w:id="638" w:name="_Toc150774646"/>
      <w:r/>
      <w:bookmarkStart w:id="639" w:name="_Toc150509297"/>
      <w:r/>
      <w:bookmarkStart w:id="640" w:name="_Toc265228384"/>
      <w:r/>
      <w:bookmarkStart w:id="641" w:name="_Toc195842911"/>
      <w:r/>
      <w:bookmarkStart w:id="642" w:name="_Toc151193716"/>
      <w:r/>
      <w:bookmarkStart w:id="643" w:name="_Toc305158888"/>
      <w:r/>
      <w:bookmarkStart w:id="644" w:name="_Toc164351640"/>
      <w:r/>
      <w:bookmarkStart w:id="645" w:name="_Toc264969236"/>
      <w:r/>
      <w:bookmarkStart w:id="646" w:name="_Toc164229241"/>
      <w:r/>
      <w:bookmarkStart w:id="647" w:name="_Ref467307010"/>
      <w:r/>
      <w:bookmarkStart w:id="648" w:name="_Toc151190173"/>
      <w:r/>
      <w:bookmarkStart w:id="649" w:name="_Toc164608815"/>
      <w:r/>
      <w:bookmarkStart w:id="650" w:name="_Toc164608660"/>
      <w:r/>
      <w:bookmarkStart w:id="651" w:name="_Toc127151747"/>
      <w:r/>
      <w:bookmarkStart w:id="652" w:name="_Toc150480784"/>
      <w:r/>
      <w:bookmarkStart w:id="653" w:name="_Toc142311048"/>
      <w:r/>
      <w:bookmarkStart w:id="654" w:name="_Toc151193788"/>
      <w:r/>
      <w:bookmarkStart w:id="655" w:name="_Toc127151546"/>
      <w:r/>
      <w:bookmarkStart w:id="656" w:name="_Toc226309790"/>
      <w:r/>
      <w:bookmarkStart w:id="657" w:name="_Toc520356170"/>
      <w:r/>
      <w:bookmarkStart w:id="658" w:name="_Toc150774751"/>
      <w:r/>
      <w:bookmarkStart w:id="659" w:name="_Toc151193934"/>
      <w:r/>
      <w:bookmarkStart w:id="660" w:name="_Toc226337242"/>
      <w:r/>
      <w:bookmarkStart w:id="661" w:name="_Toc151193644"/>
      <w:r/>
      <w:bookmarkStart w:id="662" w:name="_Toc226965819"/>
      <w:r/>
      <w:bookmarkStart w:id="663" w:name="_Toc226965736"/>
      <w:r/>
      <w:bookmarkStart w:id="664" w:name="_Toc149720839"/>
      <w:r/>
      <w:bookmarkStart w:id="665" w:name="_Toc127161460"/>
      <w:r/>
      <w:bookmarkStart w:id="666" w:name="_Toc305158814"/>
      <w:r/>
      <w:bookmarkStart w:id="667" w:name="_Toc164229387"/>
      <w:r/>
      <w:bookmarkStart w:id="668" w:name="_Toc151193860"/>
      <w:r>
        <w:rPr>
          <w:rFonts w:hint="eastAsia" w:ascii="宋体" w:hAnsi="宋体" w:eastAsia="宋体" w:cs="宋体"/>
          <w:color w:val="auto"/>
          <w:sz w:val="24"/>
          <w:szCs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磋商小组根据上述供应商排序，依次推荐排序前</w:t>
      </w:r>
      <w:r>
        <w:rPr>
          <w:rFonts w:hint="eastAsia" w:ascii="宋体" w:hAnsi="宋体" w:eastAsia="宋体" w:cs="宋体"/>
          <w:color w:val="auto"/>
          <w:sz w:val="24"/>
          <w:szCs w:val="24"/>
          <w:highlight w:val="none"/>
        </w:rPr>
        <w:t xml:space="preserve">3名</w:t>
      </w:r>
      <w:r>
        <w:rPr>
          <w:rFonts w:hint="eastAsia" w:ascii="宋体" w:hAnsi="宋体" w:eastAsia="宋体" w:cs="宋体"/>
          <w:color w:val="auto"/>
          <w:sz w:val="24"/>
          <w:szCs w:val="24"/>
          <w:highlight w:val="none"/>
        </w:rPr>
        <w:t xml:space="preserve">的供应商为</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rPr>
        <w:t xml:space="preserve">选供应商</w:t>
      </w:r>
      <w:r>
        <w:rPr>
          <w:rFonts w:hint="eastAsia" w:ascii="宋体" w:hAnsi="宋体" w:eastAsia="宋体" w:cs="宋体"/>
          <w:color w:val="auto"/>
          <w:sz w:val="24"/>
          <w:szCs w:val="24"/>
          <w:highlight w:val="none"/>
        </w:rPr>
        <w:t xml:space="preserve">（若在磋商文件允许的情形下提交最终报价的供应商</w:t>
      </w:r>
      <w:r>
        <w:rPr>
          <w:rFonts w:hint="eastAsia" w:ascii="宋体" w:hAnsi="宋体" w:eastAsia="宋体" w:cs="宋体"/>
          <w:color w:val="auto"/>
          <w:sz w:val="24"/>
          <w:szCs w:val="24"/>
          <w:highlight w:val="none"/>
          <w:lang w:eastAsia="zh-CN"/>
        </w:rPr>
        <w:t xml:space="preserve">为两家</w:t>
      </w:r>
      <w:r>
        <w:rPr>
          <w:rFonts w:hint="eastAsia" w:ascii="宋体" w:hAnsi="宋体" w:eastAsia="宋体" w:cs="宋体"/>
          <w:color w:val="auto"/>
          <w:sz w:val="24"/>
          <w:szCs w:val="24"/>
          <w:highlight w:val="none"/>
        </w:rPr>
        <w:t xml:space="preserve">，则依次推荐二名供应商为成交候选供应商），并编写评审报告。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报告违法行为</w:t>
      </w:r>
      <w:r/>
    </w:p>
    <w:p>
      <w:pPr>
        <w:numPr>
          <w:ilvl w:val="1"/>
          <w:numId w:val="11"/>
        </w:numPr>
        <w:ind w:left="1077" w:hanging="720"/>
        <w:jc w:val="left"/>
        <w:spacing w:line="360" w:lineRule="auto"/>
        <w:widowControl/>
        <w:tabs>
          <w:tab w:val="left" w:pos="1080" w:leader="none"/>
          <w:tab w:val="left" w:pos="1872" w:leader="none"/>
        </w:tabs>
        <w:rPr>
          <w:rFonts w:hint="eastAsia"/>
          <w:sz w:val="24"/>
        </w:rPr>
      </w:pPr>
      <w:r>
        <w:rPr>
          <w:rFonts w:hint="eastAsia"/>
          <w:sz w:val="24"/>
        </w:rPr>
        <w:t xml:space="preserve">磋商小组在评审过程中发现供应商有行贿、提供虚假材料或者串通等违法行为时，有向采购人、采购代理机构或者有关部门报告的职责。</w:t>
      </w:r>
      <w:r/>
    </w:p>
    <w:p>
      <w:pPr>
        <w:pStyle w:val="1142"/>
        <w:numPr>
          <w:ilvl w:val="0"/>
          <w:numId w:val="12"/>
        </w:numPr>
        <w:spacing w:before="0"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评审标准</w:t>
      </w:r>
      <w:r/>
    </w:p>
    <w:tbl>
      <w:tblPr>
        <w:tblStyle w:val="966"/>
        <w:tblpPr w:horzAnchor="page" w:tblpX="1313" w:vertAnchor="text" w:tblpY="522" w:leftFromText="180" w:topFromText="0" w:rightFromText="180" w:bottomFromText="0"/>
        <w:tblW w:w="95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30"/>
        <w:gridCol w:w="752"/>
        <w:gridCol w:w="5213"/>
        <w:gridCol w:w="1582"/>
      </w:tblGrid>
      <w:tr>
        <w:trPr>
          <w:trHeight w:val="473"/>
        </w:trPr>
        <w:tc>
          <w:tcPr>
            <w:tcW w:w="720"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p>
        </w:tc>
        <w:tc>
          <w:tcPr>
            <w:tcW w:w="1330"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p>
        </w:tc>
        <w:tc>
          <w:tcPr>
            <w:tcW w:w="752"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p>
        </w:tc>
        <w:tc>
          <w:tcPr>
            <w:tcW w:w="5213"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p>
        </w:tc>
        <w:tc>
          <w:tcPr>
            <w:tcW w:w="1582" w:type="dxa"/>
            <w:vAlign w:val="center"/>
            <w:textDirection w:val="lrTb"/>
            <w:noWrap w:val="false"/>
          </w:tcPr>
          <w:p>
            <w:pPr>
              <w:pStyle w:val="1388"/>
              <w:spacing w:before="0"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tc>
      </w:tr>
      <w:tr>
        <w:trPr>
          <w:trHeight w:val="572"/>
        </w:trPr>
        <w:tc>
          <w:tcPr>
            <w:tcW w:w="720"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val="0"/>
                <w:bCs/>
                <w:color w:val="000000"/>
                <w:sz w:val="21"/>
                <w:szCs w:val="21"/>
                <w:highlight w:val="none"/>
              </w:rPr>
              <w:t xml:space="preserve">1</w:t>
            </w:r>
            <w:r/>
          </w:p>
        </w:tc>
        <w:tc>
          <w:tcPr>
            <w:tcW w:w="1330" w:type="dxa"/>
            <w:vAlign w:val="center"/>
            <w:textDirection w:val="lrTb"/>
            <w:noWrap w:val="false"/>
          </w:tcPr>
          <w:p>
            <w:pPr>
              <w:ind w:firstLine="28"/>
              <w:jc w:val="center"/>
              <w:rPr>
                <w:rFonts w:hint="eastAsia" w:ascii="宋体" w:hAnsi="宋体" w:eastAsia="宋体" w:cs="宋体"/>
                <w:color w:val="000000"/>
                <w:sz w:val="21"/>
                <w:szCs w:val="21"/>
                <w:highlight w:val="none"/>
              </w:rPr>
            </w:pPr>
            <w:r>
              <w:rPr>
                <w:rFonts w:hint="eastAsia" w:ascii="宋体" w:hAnsi="宋体" w:eastAsia="宋体" w:cs="Times New Roman"/>
                <w:color w:val="000000"/>
                <w:sz w:val="21"/>
                <w:szCs w:val="21"/>
                <w:highlight w:val="none"/>
                <w:lang w:eastAsia="zh-CN"/>
              </w:rPr>
              <w:t xml:space="preserve">价格分</w:t>
            </w:r>
            <w:r/>
          </w:p>
        </w:tc>
        <w:tc>
          <w:tcPr>
            <w:tcW w:w="752" w:type="dxa"/>
            <w:vAlign w:val="center"/>
            <w:textDirection w:val="lrTb"/>
            <w:noWrap w:val="false"/>
          </w:tcPr>
          <w:p>
            <w:pPr>
              <w:ind w:firstLine="28"/>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p>
        </w:tc>
        <w:tc>
          <w:tcPr>
            <w:tcW w:w="5213"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固定价格，发生偏离即为无效标</w:t>
            </w:r>
            <w:r/>
          </w:p>
        </w:tc>
        <w:tc>
          <w:tcPr>
            <w:tcW w:w="1582" w:type="dxa"/>
            <w:vAlign w:val="center"/>
            <w:textDirection w:val="lrTb"/>
            <w:noWrap w:val="false"/>
          </w:tcPr>
          <w:p>
            <w:pPr>
              <w:ind w:left="-38"/>
              <w:rPr>
                <w:rFonts w:hint="eastAsia" w:ascii="宋体" w:hAnsi="宋体" w:eastAsia="宋体" w:cs="宋体"/>
                <w:color w:val="000000"/>
                <w:sz w:val="21"/>
                <w:szCs w:val="21"/>
                <w:highlight w:val="green"/>
              </w:rPr>
            </w:pPr>
            <w:r>
              <w:rPr>
                <w:rFonts w:hint="eastAsia" w:ascii="宋体" w:hAnsi="宋体" w:eastAsia="宋体" w:cs="宋体"/>
                <w:color w:val="000000"/>
                <w:sz w:val="21"/>
                <w:szCs w:val="21"/>
                <w:highlight w:val="green"/>
              </w:rPr>
            </w:r>
            <w:r/>
          </w:p>
        </w:tc>
      </w:tr>
      <w:tr>
        <w:trPr>
          <w:trHeight w:val="473"/>
        </w:trPr>
        <w:tc>
          <w:tcPr>
            <w:gridSpan w:val="2"/>
            <w:tcW w:w="2050" w:type="dxa"/>
            <w:vAlign w:val="center"/>
            <w:textDirection w:val="lrTb"/>
            <w:noWrap w:val="false"/>
          </w:tcPr>
          <w:p>
            <w:pPr>
              <w:numPr>
                <w:ilvl w:val="0"/>
                <w:numId w:val="13"/>
              </w:numPr>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客观分</w:t>
            </w:r>
            <w:r/>
          </w:p>
        </w:tc>
        <w:tc>
          <w:tcPr>
            <w:tcW w:w="752" w:type="dxa"/>
            <w:vAlign w:val="center"/>
            <w:textDirection w:val="lrTb"/>
            <w:noWrap w:val="false"/>
          </w:tcPr>
          <w:p>
            <w:pPr>
              <w:ind w:firstLine="28"/>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28</w:t>
            </w:r>
            <w:r/>
          </w:p>
        </w:tc>
        <w:tc>
          <w:tcPr>
            <w:gridSpan w:val="2"/>
            <w:tcW w:w="6795"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85"/>
        </w:trPr>
        <w:tc>
          <w:tcPr>
            <w:tcW w:w="72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p>
        </w:tc>
        <w:tc>
          <w:tcPr>
            <w:tcW w:w="1330" w:type="dxa"/>
            <w:vAlign w:val="center"/>
            <w:textDirection w:val="lrTb"/>
            <w:noWrap w:val="false"/>
          </w:tcPr>
          <w:p>
            <w:pPr>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风险综合评级</w:t>
            </w:r>
            <w:r/>
          </w:p>
        </w:tc>
        <w:tc>
          <w:tcPr>
            <w:tcW w:w="752"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W w:w="5213" w:type="dxa"/>
            <w:vAlign w:val="center"/>
            <w:textDirection w:val="lrTb"/>
            <w:noWrap w:val="false"/>
          </w:tcPr>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按照国家金融监督管理总局要求，投标人所属总公司最近公布的四个季度（2024年四季度至2025年三季度）“风险综合评级”。</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AAA</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AA </w:t>
            </w:r>
            <w:r>
              <w:rPr>
                <w:rFonts w:hint="eastAsia" w:ascii="宋体" w:hAnsi="宋体" w:cs="宋体"/>
                <w:color w:val="000000"/>
                <w:sz w:val="21"/>
                <w:szCs w:val="21"/>
                <w:highlight w:val="none"/>
                <w:lang w:val="en-US" w:eastAsia="zh-CN"/>
              </w:rPr>
              <w:t xml:space="preserve">的3</w:t>
            </w:r>
            <w:r>
              <w:rPr>
                <w:rFonts w:hint="eastAsia" w:ascii="宋体" w:hAnsi="宋体" w:eastAsia="宋体" w:cs="宋体"/>
                <w:color w:val="000000"/>
                <w:sz w:val="21"/>
                <w:szCs w:val="21"/>
                <w:highlight w:val="none"/>
                <w:lang w:val="en-US" w:eastAsia="zh-CN"/>
              </w:rPr>
              <w:t xml:space="preserve">分，A</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BBB </w:t>
            </w:r>
            <w:r>
              <w:rPr>
                <w:rFonts w:hint="eastAsia" w:ascii="宋体" w:hAnsi="宋体" w:cs="宋体"/>
                <w:color w:val="000000"/>
                <w:sz w:val="21"/>
                <w:szCs w:val="21"/>
                <w:highlight w:val="none"/>
                <w:lang w:val="en-US" w:eastAsia="zh-CN"/>
              </w:rPr>
              <w:t xml:space="preserve">得1</w:t>
            </w:r>
            <w:r>
              <w:rPr>
                <w:rFonts w:hint="eastAsia" w:ascii="宋体" w:hAnsi="宋体" w:eastAsia="宋体" w:cs="宋体"/>
                <w:color w:val="000000"/>
                <w:sz w:val="21"/>
                <w:szCs w:val="21"/>
                <w:highlight w:val="none"/>
                <w:lang w:val="en-US" w:eastAsia="zh-CN"/>
              </w:rPr>
              <w:t xml:space="preserve">分，BB</w:t>
            </w:r>
            <w:r>
              <w:rPr>
                <w:rFonts w:hint="eastAsia" w:ascii="宋体" w:hAnsi="宋体" w:cs="宋体"/>
                <w:color w:val="000000"/>
                <w:sz w:val="21"/>
                <w:szCs w:val="21"/>
                <w:highlight w:val="none"/>
                <w:lang w:val="en-US" w:eastAsia="zh-CN"/>
              </w:rPr>
              <w:t xml:space="preserve">B</w:t>
            </w:r>
            <w:r>
              <w:rPr>
                <w:rFonts w:hint="eastAsia" w:ascii="宋体" w:hAnsi="宋体" w:eastAsia="宋体" w:cs="宋体"/>
                <w:color w:val="000000"/>
                <w:sz w:val="21"/>
                <w:szCs w:val="21"/>
                <w:highlight w:val="none"/>
                <w:lang w:val="en-US" w:eastAsia="zh-CN"/>
              </w:rPr>
              <w:t xml:space="preserve">以下不得分。四个季度的评分结果相加，合计分值最高不超过12分。</w:t>
            </w:r>
            <w:r/>
          </w:p>
        </w:tc>
        <w:tc>
          <w:tcPr>
            <w:tcW w:w="1582" w:type="dxa"/>
            <w:vAlign w:val="center"/>
            <w:vMerge w:val="restart"/>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sz w:val="21"/>
                <w:szCs w:val="21"/>
                <w:lang w:val="en-US" w:eastAsia="zh-CN"/>
              </w:rPr>
              <w:t xml:space="preserve">注：</w:t>
            </w:r>
            <w:r>
              <w:rPr>
                <w:rFonts w:hint="eastAsia" w:ascii="宋体" w:hAnsi="宋体" w:cs="宋体"/>
                <w:sz w:val="21"/>
                <w:szCs w:val="21"/>
              </w:rPr>
              <w:t xml:space="preserve">提供在中国保险行业协会公布的偿付能力报告中相关部分</w:t>
            </w:r>
            <w:r/>
          </w:p>
        </w:tc>
      </w:tr>
      <w:tr>
        <w:trPr>
          <w:trHeight w:val="90"/>
        </w:trPr>
        <w:tc>
          <w:tcPr>
            <w:tcW w:w="720" w:type="dxa"/>
            <w:vAlign w:val="center"/>
            <w:vMerge w:val="restart"/>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p>
        </w:tc>
        <w:tc>
          <w:tcPr>
            <w:tcW w:w="1330" w:type="dxa"/>
            <w:vAlign w:val="center"/>
            <w:vMerge w:val="restart"/>
            <w:textDirection w:val="lrTb"/>
            <w:noWrap w:val="false"/>
          </w:tcPr>
          <w:p>
            <w:pPr>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偿付能力情况</w:t>
            </w:r>
            <w:r/>
          </w:p>
        </w:tc>
        <w:tc>
          <w:tcPr>
            <w:tcW w:w="752"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5213"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按照国家金融监督管理总局要求，投标人所属总公司公布的2025年度末（即2025年四季度）的“综合偿付能力充足率”评分。</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充足率≥174%得6分；169%≤充足率＜174%得3分；充足率＜169%不得分。</w:t>
            </w:r>
            <w:r/>
          </w:p>
        </w:tc>
        <w:tc>
          <w:tcPr>
            <w:tcW w:w="1582" w:type="dxa"/>
            <w:vAlign w:val="center"/>
            <w:vMerge w:val="continue"/>
            <w:textDirection w:val="lrTb"/>
            <w:noWrap w:val="false"/>
          </w:tcPr>
          <w:p>
            <w:pPr>
              <w:jc w:val="left"/>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r>
      <w:tr>
        <w:trPr>
          <w:trHeight w:val="485"/>
        </w:trPr>
        <w:tc>
          <w:tcPr>
            <w:tcW w:w="720" w:type="dxa"/>
            <w:vAlign w:val="center"/>
            <w:vMerge w:val="continue"/>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0" w:type="dxa"/>
            <w:vAlign w:val="center"/>
            <w:vMerge w:val="continue"/>
            <w:textDirection w:val="lrTb"/>
            <w:noWrap w:val="false"/>
          </w:tcPr>
          <w:p>
            <w:pPr>
              <w:jc w:val="center"/>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W w:w="752"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5213"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按照国家金融监督管理总局要求，投标人所属总公司公布的2025年度末（即2025年四季度）的“核心偿付能力充足率”评分。</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充足率≥120%得6分；115%≤充足率＜120%得3分；充足率＜115%不得分。</w:t>
            </w:r>
            <w:r/>
          </w:p>
        </w:tc>
        <w:tc>
          <w:tcPr>
            <w:tcW w:w="1582" w:type="dxa"/>
            <w:vAlign w:val="center"/>
            <w:vMerge w:val="continue"/>
            <w:textDirection w:val="lrTb"/>
            <w:noWrap w:val="false"/>
          </w:tcPr>
          <w:p>
            <w:pPr>
              <w:jc w:val="left"/>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r>
      <w:tr>
        <w:trPr>
          <w:trHeight w:val="485"/>
        </w:trPr>
        <w:tc>
          <w:tcPr>
            <w:tcW w:w="720" w:type="dxa"/>
            <w:vAlign w:val="center"/>
            <w:textDirection w:val="lrTb"/>
            <w:noWrap w:val="false"/>
          </w:tcPr>
          <w:p>
            <w:pPr>
              <w:jc w:val="center"/>
              <w:widowControl/>
              <w:rPr>
                <w:rFonts w:eastAsia="宋体"/>
                <w:sz w:val="21"/>
                <w:szCs w:val="21"/>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3</w:t>
            </w:r>
            <w:r/>
          </w:p>
        </w:tc>
        <w:tc>
          <w:tcPr>
            <w:tcW w:w="1330" w:type="dxa"/>
            <w:vAlign w:val="center"/>
            <w:textDirection w:val="lrTb"/>
            <w:noWrap w:val="false"/>
          </w:tcPr>
          <w:p>
            <w:pPr>
              <w:jc w:val="center"/>
              <w:rPr>
                <w:rFonts w:hint="eastAsia" w:eastAsia="宋体"/>
                <w:sz w:val="21"/>
                <w:szCs w:val="21"/>
                <w:lang w:val="en-US" w:eastAsia="zh-CN"/>
              </w:rPr>
            </w:pPr>
            <w:r>
              <w:rPr>
                <w:rFonts w:hint="eastAsia"/>
                <w:sz w:val="21"/>
                <w:szCs w:val="21"/>
                <w:lang w:val="en-US" w:eastAsia="zh-CN"/>
              </w:rPr>
              <w:t xml:space="preserve">相关承诺</w:t>
            </w:r>
            <w:r/>
          </w:p>
        </w:tc>
        <w:tc>
          <w:tcPr>
            <w:tcW w:w="752" w:type="dxa"/>
            <w:vAlign w:val="center"/>
            <w:textDirection w:val="lrTb"/>
            <w:noWrap w:val="false"/>
          </w:tcPr>
          <w:p>
            <w:pPr>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5213" w:type="dxa"/>
            <w:vAlign w:val="center"/>
            <w:textDirection w:val="lrTb"/>
            <w:noWrap w:val="false"/>
          </w:tcPr>
          <w:p>
            <w:pPr>
              <w:numPr>
                <w:ilvl w:val="0"/>
                <w:numId w:val="0"/>
              </w:numPr>
              <w:ind w:left="0" w:firstLine="0"/>
              <w:jc w:val="left"/>
              <w:widowControl/>
              <w:rPr>
                <w:rFonts w:ascii="宋体" w:hAnsi="宋体" w:eastAsia="宋体" w:cs="宋体"/>
                <w:color w:val="000000"/>
                <w:sz w:val="21"/>
                <w:szCs w:val="21"/>
                <w:highlight w:val="none"/>
                <w:lang w:val="en-US" w:eastAsia="zh-CN" w:bidi="ar-SA"/>
              </w:rPr>
            </w:pPr>
            <w:r>
              <w:rPr>
                <w:rFonts w:hint="eastAsia" w:ascii="宋体" w:hAnsi="宋体"/>
                <w:sz w:val="21"/>
                <w:szCs w:val="21"/>
              </w:rPr>
              <w:t xml:space="preserve">针对采购需求的内容，承诺能完全满足所有保险责任要求。在承保时，对被保险人的年龄上限、既往健康情况不作限制</w:t>
            </w:r>
            <w:r>
              <w:rPr>
                <w:rFonts w:hint="eastAsia" w:ascii="宋体" w:hAnsi="宋体"/>
                <w:sz w:val="21"/>
                <w:szCs w:val="21"/>
                <w:lang w:val="en-US" w:eastAsia="zh-CN"/>
              </w:rPr>
              <w:t xml:space="preserve">的</w:t>
            </w:r>
            <w:r>
              <w:rPr>
                <w:rFonts w:hint="eastAsia" w:ascii="宋体" w:hAnsi="宋体"/>
                <w:sz w:val="21"/>
                <w:szCs w:val="21"/>
              </w:rPr>
              <w:t xml:space="preserve">得4分</w:t>
            </w:r>
            <w:r>
              <w:rPr>
                <w:rFonts w:hint="eastAsia" w:ascii="宋体" w:hAnsi="宋体"/>
                <w:sz w:val="21"/>
                <w:szCs w:val="21"/>
                <w:lang w:eastAsia="zh-CN"/>
              </w:rPr>
              <w:t xml:space="preserve">，</w:t>
            </w:r>
            <w:r>
              <w:rPr>
                <w:rFonts w:hint="eastAsia" w:ascii="宋体" w:hAnsi="宋体"/>
                <w:sz w:val="21"/>
                <w:szCs w:val="21"/>
                <w:lang w:val="en-US" w:eastAsia="zh-CN"/>
              </w:rPr>
              <w:t xml:space="preserve">否则不得分。</w:t>
            </w:r>
            <w:r/>
          </w:p>
        </w:tc>
        <w:tc>
          <w:tcPr>
            <w:tcW w:w="1582" w:type="dxa"/>
            <w:vAlign w:val="center"/>
            <w:textDirection w:val="lrTb"/>
            <w:noWrap w:val="false"/>
          </w:tcPr>
          <w:p>
            <w:pP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476"/>
        </w:trPr>
        <w:tc>
          <w:tcPr>
            <w:gridSpan w:val="2"/>
            <w:tcW w:w="2050" w:type="dxa"/>
            <w:vAlign w:val="center"/>
            <w:textDirection w:val="lrTb"/>
            <w:noWrap w:val="false"/>
          </w:tcPr>
          <w:p>
            <w:pPr>
              <w:numPr>
                <w:ilvl w:val="0"/>
                <w:numId w:val="13"/>
              </w:numPr>
              <w:ind w:left="0" w:firstLine="28"/>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主观分</w:t>
            </w:r>
            <w:r/>
          </w:p>
        </w:tc>
        <w:tc>
          <w:tcPr>
            <w:tcW w:w="752" w:type="dxa"/>
            <w:vAlign w:val="center"/>
            <w:textDirection w:val="lrTb"/>
            <w:noWrap w:val="false"/>
          </w:tcPr>
          <w:p>
            <w:pPr>
              <w:ind w:firstLine="28"/>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62</w:t>
            </w:r>
            <w:r/>
          </w:p>
        </w:tc>
        <w:tc>
          <w:tcPr>
            <w:tcW w:w="5213"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2"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4"/>
        </w:trPr>
        <w:tc>
          <w:tcPr>
            <w:tcW w:w="720" w:type="dxa"/>
            <w:vAlign w:val="center"/>
            <w:textDirection w:val="lrTb"/>
            <w:noWrap w:val="false"/>
          </w:tcPr>
          <w:p>
            <w:pPr>
              <w:jc w:val="center"/>
              <w:widowControl/>
              <w:rPr>
                <w:rFonts w:hint="eastAsia" w:ascii="宋体" w:hAnsi="宋体" w:eastAsia="宋体" w:cs="Times New Roman"/>
                <w:sz w:val="21"/>
                <w:szCs w:val="21"/>
              </w:rPr>
            </w:pPr>
            <w:r>
              <w:rPr>
                <w:rFonts w:hint="eastAsia" w:ascii="宋体" w:hAnsi="宋体" w:eastAsia="宋体" w:cs="宋体"/>
                <w:color w:val="000000"/>
                <w:sz w:val="21"/>
                <w:szCs w:val="21"/>
                <w:highlight w:val="none"/>
                <w:lang w:val="en-US" w:eastAsia="zh-CN"/>
              </w:rPr>
              <w:t xml:space="preserve">3.1</w:t>
            </w:r>
            <w:r/>
          </w:p>
        </w:tc>
        <w:tc>
          <w:tcPr>
            <w:tcW w:w="1330" w:type="dxa"/>
            <w:vAlign w:val="center"/>
            <w:textDirection w:val="lrTb"/>
            <w:noWrap w:val="false"/>
          </w:tcPr>
          <w:p>
            <w:pPr>
              <w:jc w:val="center"/>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承保服务方案</w:t>
            </w:r>
            <w:r/>
          </w:p>
        </w:tc>
        <w:tc>
          <w:tcPr>
            <w:tcW w:w="752" w:type="dxa"/>
            <w:vAlign w:val="center"/>
            <w:textDirection w:val="lrTb"/>
            <w:noWrap w:val="false"/>
          </w:tcPr>
          <w:p>
            <w:pPr>
              <w:jc w:val="center"/>
              <w:widowControl/>
              <w:rPr>
                <w:rFonts w:ascii="宋体" w:hAnsi="宋体" w:eastAsia="宋体" w:cs="Times New Roman"/>
                <w:sz w:val="21"/>
                <w:szCs w:val="21"/>
                <w:lang w:val="en-US" w:eastAsia="zh-CN"/>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lang w:val="en-US" w:eastAsia="zh-CN" w:bidi="ar-SA"/>
              </w:rPr>
              <w:t xml:space="preserve">3</w:t>
            </w:r>
            <w:r/>
          </w:p>
        </w:tc>
        <w:tc>
          <w:tcPr>
            <w:tcW w:w="5213" w:type="dxa"/>
            <w:vAlign w:val="center"/>
            <w:textDirection w:val="lrTb"/>
            <w:noWrap w:val="false"/>
          </w:tcPr>
          <w:p>
            <w:pPr>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根据自身对项目的理解制定承保服务方案并进行阐述，内容包括但不限于：</w:t>
            </w:r>
            <w:r>
              <w:rPr>
                <w:rFonts w:hint="eastAsia" w:ascii="宋体" w:hAnsi="宋体" w:eastAsia="宋体" w:cs="Times New Roman"/>
                <w:sz w:val="21"/>
                <w:szCs w:val="21"/>
              </w:rPr>
              <w:t xml:space="preserve">①</w:t>
            </w:r>
            <w:r>
              <w:rPr>
                <w:rFonts w:hint="eastAsia" w:ascii="宋体" w:hAnsi="宋体" w:eastAsia="宋体" w:cs="Times New Roman"/>
                <w:sz w:val="21"/>
                <w:szCs w:val="21"/>
                <w:lang w:val="en-US" w:eastAsia="zh-CN"/>
              </w:rPr>
              <w:t xml:space="preserve">参保名单信息的核准</w:t>
            </w:r>
            <w:r>
              <w:rPr>
                <w:rFonts w:hint="eastAsia" w:ascii="宋体" w:hAnsi="宋体" w:eastAsia="宋体" w:cs="Times New Roman"/>
                <w:sz w:val="21"/>
                <w:szCs w:val="21"/>
              </w:rPr>
              <w:t xml:space="preserve">；②</w:t>
            </w:r>
            <w:r>
              <w:rPr>
                <w:rFonts w:hint="eastAsia" w:ascii="宋体" w:hAnsi="宋体" w:eastAsia="宋体" w:cs="Times New Roman"/>
                <w:sz w:val="21"/>
                <w:szCs w:val="21"/>
                <w:lang w:val="en-US" w:eastAsia="zh-CN"/>
              </w:rPr>
              <w:t xml:space="preserve">投保服务便捷、高效</w:t>
            </w:r>
            <w:r>
              <w:rPr>
                <w:rFonts w:hint="eastAsia" w:ascii="宋体" w:hAnsi="宋体" w:eastAsia="宋体" w:cs="Times New Roman"/>
                <w:sz w:val="21"/>
                <w:szCs w:val="21"/>
              </w:rPr>
              <w:t xml:space="preserve">；③</w:t>
            </w:r>
            <w:r>
              <w:rPr>
                <w:rFonts w:hint="eastAsia" w:ascii="宋体" w:hAnsi="宋体" w:eastAsia="宋体" w:cs="Times New Roman"/>
                <w:sz w:val="21"/>
                <w:szCs w:val="21"/>
                <w:lang w:val="en-US" w:eastAsia="zh-CN"/>
              </w:rPr>
              <w:t xml:space="preserve">提升参保知晓率</w:t>
            </w:r>
            <w:r>
              <w:rPr>
                <w:rFonts w:hint="eastAsia" w:ascii="宋体" w:hAnsi="宋体" w:eastAsia="宋体" w:cs="Times New Roman"/>
                <w:sz w:val="21"/>
                <w:szCs w:val="21"/>
              </w:rPr>
              <w:t xml:space="preserve">等。</w:t>
            </w:r>
            <w:r/>
          </w:p>
          <w:p>
            <w:pPr>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方案全面科学合理</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可行性高得</w:t>
            </w:r>
            <w:r>
              <w:rPr>
                <w:rFonts w:hint="eastAsia" w:ascii="宋体" w:hAnsi="宋体" w:eastAsia="宋体" w:cs="Times New Roman"/>
                <w:sz w:val="21"/>
                <w:szCs w:val="21"/>
                <w:lang w:val="en-US" w:eastAsia="zh-CN"/>
              </w:rPr>
              <w:t xml:space="preserve">1</w:t>
            </w:r>
            <w:r>
              <w:rPr>
                <w:rFonts w:hint="eastAsia" w:ascii="宋体" w:hAnsi="宋体" w:cs="Times New Roman"/>
                <w:sz w:val="21"/>
                <w:szCs w:val="21"/>
                <w:lang w:val="en-US" w:eastAsia="zh-CN"/>
              </w:rPr>
              <w:t xml:space="preserve">3</w:t>
            </w:r>
            <w:r>
              <w:rPr>
                <w:rFonts w:hint="eastAsia" w:ascii="宋体" w:hAnsi="宋体" w:eastAsia="宋体" w:cs="Times New Roman"/>
                <w:sz w:val="21"/>
                <w:szCs w:val="21"/>
              </w:rPr>
              <w:t xml:space="preserve">分</w:t>
            </w:r>
            <w:r>
              <w:rPr>
                <w:rFonts w:hint="eastAsia" w:ascii="宋体" w:hAnsi="宋体" w:cs="Times New Roman"/>
                <w:sz w:val="21"/>
                <w:szCs w:val="21"/>
                <w:lang w:eastAsia="zh-CN"/>
              </w:rPr>
              <w:t xml:space="preserve">；</w:t>
            </w:r>
            <w:r/>
          </w:p>
          <w:p>
            <w:pPr>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方案</w:t>
            </w:r>
            <w:r>
              <w:rPr>
                <w:rFonts w:hint="eastAsia" w:ascii="宋体" w:hAnsi="宋体" w:eastAsia="宋体" w:cs="Times New Roman"/>
                <w:sz w:val="21"/>
                <w:szCs w:val="21"/>
                <w:lang w:val="en-US" w:eastAsia="zh-CN"/>
              </w:rPr>
              <w:t xml:space="preserve">较</w:t>
            </w:r>
            <w:r>
              <w:rPr>
                <w:rFonts w:hint="eastAsia" w:ascii="宋体" w:hAnsi="宋体" w:eastAsia="宋体" w:cs="Times New Roman"/>
                <w:sz w:val="21"/>
                <w:szCs w:val="21"/>
              </w:rPr>
              <w:t xml:space="preserve">全面科学合理</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可行性较高得</w:t>
            </w:r>
            <w:r>
              <w:rPr>
                <w:rFonts w:hint="eastAsia" w:ascii="宋体" w:hAnsi="宋体" w:cs="Times New Roman"/>
                <w:sz w:val="21"/>
                <w:szCs w:val="21"/>
                <w:lang w:val="en-US" w:eastAsia="zh-CN"/>
              </w:rPr>
              <w:t xml:space="preserve">10</w:t>
            </w:r>
            <w:r>
              <w:rPr>
                <w:rFonts w:hint="eastAsia" w:ascii="宋体" w:hAnsi="宋体" w:eastAsia="宋体" w:cs="Times New Roman"/>
                <w:sz w:val="21"/>
                <w:szCs w:val="21"/>
              </w:rPr>
              <w:t xml:space="preserve">分</w:t>
            </w:r>
            <w:r>
              <w:rPr>
                <w:rFonts w:hint="eastAsia" w:ascii="宋体" w:hAnsi="宋体" w:cs="Times New Roman"/>
                <w:sz w:val="21"/>
                <w:szCs w:val="21"/>
                <w:lang w:eastAsia="zh-CN"/>
              </w:rPr>
              <w:t xml:space="preserve">；</w:t>
            </w:r>
            <w:r/>
          </w:p>
          <w:p>
            <w:pPr>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方案</w:t>
            </w:r>
            <w:r>
              <w:rPr>
                <w:rFonts w:hint="eastAsia" w:ascii="宋体" w:hAnsi="宋体" w:eastAsia="宋体" w:cs="Times New Roman"/>
                <w:sz w:val="21"/>
                <w:szCs w:val="21"/>
                <w:lang w:val="en-US" w:eastAsia="zh-CN"/>
              </w:rPr>
              <w:t xml:space="preserve">基本</w:t>
            </w:r>
            <w:r>
              <w:rPr>
                <w:rFonts w:hint="eastAsia" w:ascii="宋体" w:hAnsi="宋体" w:eastAsia="宋体" w:cs="Times New Roman"/>
                <w:sz w:val="21"/>
                <w:szCs w:val="21"/>
              </w:rPr>
              <w:t xml:space="preserve">全面科学合理</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具有一定</w:t>
            </w:r>
            <w:r>
              <w:rPr>
                <w:rFonts w:hint="eastAsia" w:ascii="宋体" w:hAnsi="宋体" w:eastAsia="宋体" w:cs="Times New Roman"/>
                <w:sz w:val="21"/>
                <w:szCs w:val="21"/>
              </w:rPr>
              <w:t xml:space="preserve">可行性</w:t>
            </w:r>
            <w:r>
              <w:rPr>
                <w:rFonts w:hint="eastAsia" w:ascii="宋体" w:hAnsi="宋体" w:eastAsia="宋体" w:cs="Times New Roman"/>
                <w:sz w:val="21"/>
                <w:szCs w:val="21"/>
                <w:lang w:val="en-US" w:eastAsia="zh-CN"/>
              </w:rPr>
              <w:t xml:space="preserve">的</w:t>
            </w:r>
            <w:r>
              <w:rPr>
                <w:rFonts w:hint="eastAsia" w:ascii="宋体" w:hAnsi="宋体" w:eastAsia="宋体" w:cs="Times New Roman"/>
                <w:sz w:val="21"/>
                <w:szCs w:val="21"/>
              </w:rPr>
              <w:t xml:space="preserve">得</w:t>
            </w:r>
            <w:r>
              <w:rPr>
                <w:rFonts w:hint="eastAsia" w:ascii="宋体" w:hAnsi="宋体" w:cs="Times New Roman"/>
                <w:sz w:val="21"/>
                <w:szCs w:val="21"/>
                <w:lang w:val="en-US" w:eastAsia="zh-CN"/>
              </w:rPr>
              <w:t xml:space="preserve">5</w:t>
            </w:r>
            <w:r>
              <w:rPr>
                <w:rFonts w:hint="eastAsia" w:ascii="宋体" w:hAnsi="宋体" w:eastAsia="宋体" w:cs="Times New Roman"/>
                <w:sz w:val="21"/>
                <w:szCs w:val="21"/>
              </w:rPr>
              <w:t xml:space="preserve">分</w:t>
            </w:r>
            <w:r>
              <w:rPr>
                <w:rFonts w:hint="eastAsia" w:ascii="宋体" w:hAnsi="宋体" w:cs="Times New Roman"/>
                <w:sz w:val="21"/>
                <w:szCs w:val="21"/>
                <w:lang w:eastAsia="zh-CN"/>
              </w:rPr>
              <w:t xml:space="preserve">；</w:t>
            </w:r>
            <w:r/>
          </w:p>
          <w:p>
            <w:pPr>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方案全面科学合理可行性</w:t>
            </w:r>
            <w:r>
              <w:rPr>
                <w:rFonts w:hint="eastAsia" w:ascii="宋体" w:hAnsi="宋体" w:eastAsia="宋体" w:cs="Times New Roman"/>
                <w:sz w:val="21"/>
                <w:szCs w:val="21"/>
                <w:lang w:val="en-US" w:eastAsia="zh-CN"/>
              </w:rPr>
              <w:t xml:space="preserve">欠缺的</w:t>
            </w:r>
            <w:r>
              <w:rPr>
                <w:rFonts w:hint="eastAsia" w:ascii="宋体" w:hAnsi="宋体" w:eastAsia="宋体" w:cs="Times New Roman"/>
                <w:sz w:val="21"/>
                <w:szCs w:val="21"/>
              </w:rPr>
              <w:t xml:space="preserve">得</w:t>
            </w: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rPr>
              <w:t xml:space="preserve">分</w:t>
            </w:r>
            <w:r>
              <w:rPr>
                <w:rFonts w:hint="eastAsia" w:ascii="宋体" w:hAnsi="宋体" w:cs="Times New Roman"/>
                <w:sz w:val="21"/>
                <w:szCs w:val="21"/>
                <w:lang w:eastAsia="zh-CN"/>
              </w:rPr>
              <w:t xml:space="preserve">；</w:t>
            </w:r>
            <w:r/>
          </w:p>
          <w:p>
            <w:pPr>
              <w:rPr>
                <w:rFonts w:hint="eastAsia" w:ascii="宋体" w:hAnsi="宋体" w:eastAsia="宋体" w:cs="Times New Roman"/>
                <w:sz w:val="21"/>
                <w:szCs w:val="21"/>
                <w:lang w:val="en-US" w:eastAsia="zh-CN"/>
              </w:rPr>
            </w:pPr>
            <w:r>
              <w:rPr>
                <w:rFonts w:hint="eastAsia" w:ascii="宋体" w:hAnsi="宋体" w:eastAsia="宋体" w:cs="Times New Roman"/>
                <w:sz w:val="21"/>
                <w:szCs w:val="21"/>
              </w:rPr>
              <w:t xml:space="preserve">未提供方案不得分。</w:t>
            </w:r>
            <w:r/>
          </w:p>
        </w:tc>
        <w:tc>
          <w:tcPr>
            <w:tcW w:w="1582" w:type="dxa"/>
            <w:vAlign w:val="center"/>
            <w:textDirection w:val="lrTb"/>
            <w:noWrap w:val="false"/>
          </w:tcPr>
          <w:p>
            <w:pPr>
              <w:ind w:left="-38"/>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trHeight w:val="2947"/>
        </w:trPr>
        <w:tc>
          <w:tcPr>
            <w:tcW w:w="72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p>
        </w:tc>
        <w:tc>
          <w:tcPr>
            <w:tcW w:w="1330" w:type="dxa"/>
            <w:vAlign w:val="center"/>
            <w:textDirection w:val="lrTb"/>
            <w:noWrap w:val="false"/>
          </w:tcPr>
          <w:p>
            <w:pPr>
              <w:jc w:val="center"/>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理赔服务方案</w:t>
            </w:r>
            <w:r/>
          </w:p>
        </w:tc>
        <w:tc>
          <w:tcPr>
            <w:tcW w:w="752"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lang w:val="en-US" w:eastAsia="zh-CN" w:bidi="ar-SA"/>
              </w:rPr>
              <w:t xml:space="preserve">3</w:t>
            </w:r>
            <w:r/>
          </w:p>
        </w:tc>
        <w:tc>
          <w:tcPr>
            <w:tcW w:w="5213"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根据项目的要求制定理赔服务方案并进行阐述，内容包括但不限于：</w:t>
            </w:r>
            <w:r>
              <w:rPr>
                <w:rFonts w:hint="eastAsia" w:ascii="宋体" w:hAnsi="宋体" w:cs="宋体"/>
                <w:sz w:val="21"/>
                <w:szCs w:val="21"/>
                <w:highlight w:val="none"/>
              </w:rPr>
              <w:t xml:space="preserve">①</w:t>
            </w:r>
            <w:r>
              <w:rPr>
                <w:rFonts w:hint="eastAsia" w:ascii="宋体" w:hAnsi="宋体" w:cs="宋体"/>
                <w:sz w:val="21"/>
                <w:szCs w:val="21"/>
                <w:highlight w:val="none"/>
                <w:lang w:val="en-US" w:eastAsia="zh-CN"/>
              </w:rPr>
              <w:t xml:space="preserve">及时发现</w:t>
            </w:r>
            <w:r>
              <w:rPr>
                <w:rFonts w:hint="eastAsia" w:ascii="宋体" w:hAnsi="宋体" w:cs="宋体"/>
                <w:sz w:val="21"/>
                <w:szCs w:val="21"/>
                <w:lang w:val="en-US" w:eastAsia="zh-CN"/>
              </w:rPr>
              <w:t xml:space="preserve">并提醒报案的创新性</w:t>
            </w:r>
            <w:r>
              <w:rPr>
                <w:rFonts w:hint="eastAsia" w:ascii="宋体" w:hAnsi="宋体" w:cs="宋体"/>
                <w:sz w:val="21"/>
                <w:szCs w:val="21"/>
                <w:lang w:eastAsia="zh-CN"/>
              </w:rPr>
              <w:t xml:space="preserve">、</w:t>
            </w:r>
            <w:r>
              <w:rPr>
                <w:rFonts w:hint="eastAsia" w:ascii="宋体" w:hAnsi="宋体" w:cs="宋体"/>
                <w:sz w:val="21"/>
                <w:szCs w:val="21"/>
              </w:rPr>
              <w:t xml:space="preserve">②</w:t>
            </w:r>
            <w:r>
              <w:rPr>
                <w:rFonts w:hint="eastAsia" w:ascii="宋体" w:hAnsi="宋体" w:cs="宋体"/>
                <w:sz w:val="21"/>
                <w:szCs w:val="21"/>
                <w:lang w:val="en-US" w:eastAsia="zh-CN"/>
              </w:rPr>
              <w:t xml:space="preserve">理赔资料受理的创新性</w:t>
            </w:r>
            <w:r>
              <w:rPr>
                <w:rFonts w:hint="eastAsia" w:ascii="宋体" w:hAnsi="宋体" w:cs="宋体"/>
                <w:sz w:val="21"/>
                <w:szCs w:val="21"/>
                <w:lang w:eastAsia="zh-CN"/>
              </w:rPr>
              <w:t xml:space="preserve">、</w:t>
            </w:r>
            <w:r>
              <w:rPr>
                <w:rFonts w:hint="eastAsia" w:ascii="宋体" w:hAnsi="宋体" w:cs="宋体"/>
                <w:sz w:val="21"/>
                <w:szCs w:val="21"/>
              </w:rPr>
              <w:t xml:space="preserve">③</w:t>
            </w:r>
            <w:r>
              <w:rPr>
                <w:rFonts w:hint="eastAsia" w:ascii="宋体" w:hAnsi="宋体" w:cs="宋体"/>
                <w:sz w:val="21"/>
                <w:szCs w:val="21"/>
                <w:lang w:val="en-US" w:eastAsia="zh-CN"/>
              </w:rPr>
              <w:t xml:space="preserve">与医保同时理赔结算的创新性</w:t>
            </w:r>
            <w:r>
              <w:rPr>
                <w:rFonts w:hint="eastAsia" w:ascii="宋体" w:hAnsi="宋体" w:cs="宋体"/>
                <w:sz w:val="21"/>
                <w:szCs w:val="21"/>
                <w:lang w:eastAsia="zh-CN"/>
              </w:rPr>
              <w:t xml:space="preserve">、</w:t>
            </w:r>
            <w:r>
              <w:rPr>
                <w:rFonts w:hint="eastAsia" w:ascii="宋体" w:hAnsi="宋体" w:cs="宋体"/>
                <w:sz w:val="21"/>
                <w:szCs w:val="21"/>
              </w:rPr>
              <w:t xml:space="preserve">④协议理赔的经验</w:t>
            </w:r>
            <w:r>
              <w:rPr>
                <w:rFonts w:hint="eastAsia" w:ascii="宋体" w:hAnsi="宋体" w:cs="宋体"/>
                <w:sz w:val="21"/>
                <w:szCs w:val="21"/>
                <w:lang w:val="en-US" w:eastAsia="zh-CN"/>
              </w:rPr>
              <w:t xml:space="preserve">等。</w:t>
            </w:r>
            <w:r/>
          </w:p>
          <w:p>
            <w:pPr>
              <w:jc w:val="left"/>
              <w:spacing w:line="400" w:lineRule="exact"/>
              <w:rPr>
                <w:rFonts w:ascii="宋体" w:hAnsi="宋体" w:cs="宋体"/>
                <w:sz w:val="21"/>
                <w:szCs w:val="21"/>
              </w:rPr>
            </w:pPr>
            <w:r>
              <w:rPr>
                <w:rFonts w:hint="eastAsia" w:ascii="宋体" w:hAnsi="宋体" w:cs="宋体"/>
                <w:sz w:val="21"/>
                <w:szCs w:val="21"/>
              </w:rPr>
              <w:t xml:space="preserve">方案全面完善、理赔措施可操作性强得</w:t>
            </w:r>
            <w:r>
              <w:rPr>
                <w:rFonts w:hint="eastAsia" w:ascii="宋体" w:hAnsi="宋体" w:cs="宋体"/>
                <w:sz w:val="21"/>
                <w:szCs w:val="21"/>
                <w:lang w:val="en-US" w:eastAsia="zh-CN"/>
              </w:rPr>
              <w:t xml:space="preserve">13</w:t>
            </w:r>
            <w:r>
              <w:rPr>
                <w:rFonts w:hint="eastAsia" w:ascii="宋体" w:hAnsi="宋体" w:cs="宋体"/>
                <w:sz w:val="21"/>
                <w:szCs w:val="21"/>
              </w:rPr>
              <w:t xml:space="preserve">分；</w:t>
            </w:r>
            <w:r/>
          </w:p>
          <w:p>
            <w:pPr>
              <w:jc w:val="left"/>
              <w:spacing w:line="400" w:lineRule="exact"/>
              <w:rPr>
                <w:rFonts w:hint="eastAsia" w:ascii="宋体" w:hAnsi="宋体" w:cs="宋体"/>
                <w:sz w:val="21"/>
                <w:szCs w:val="21"/>
              </w:rPr>
            </w:pPr>
            <w:r>
              <w:rPr>
                <w:rFonts w:hint="eastAsia" w:ascii="宋体" w:hAnsi="宋体" w:cs="宋体"/>
                <w:sz w:val="21"/>
                <w:szCs w:val="21"/>
              </w:rPr>
              <w:t xml:space="preserve">方案较全面完善、理赔措施可操作性较强得</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p>
            <w:pPr>
              <w:jc w:val="left"/>
              <w:spacing w:line="400" w:lineRule="exact"/>
              <w:rPr>
                <w:rFonts w:ascii="宋体" w:hAnsi="宋体" w:cs="宋体"/>
                <w:sz w:val="21"/>
                <w:szCs w:val="21"/>
              </w:rPr>
            </w:pPr>
            <w:r>
              <w:rPr>
                <w:rFonts w:hint="eastAsia" w:ascii="宋体" w:hAnsi="宋体" w:cs="宋体"/>
                <w:sz w:val="21"/>
                <w:szCs w:val="21"/>
              </w:rPr>
              <w:t xml:space="preserve">方案</w:t>
            </w:r>
            <w:r>
              <w:rPr>
                <w:rFonts w:hint="eastAsia" w:ascii="宋体" w:hAnsi="宋体" w:cs="宋体"/>
                <w:sz w:val="21"/>
                <w:szCs w:val="21"/>
                <w:lang w:val="en-US" w:eastAsia="zh-CN"/>
              </w:rPr>
              <w:t xml:space="preserve">基本全面完善</w:t>
            </w:r>
            <w:r>
              <w:rPr>
                <w:rFonts w:hint="eastAsia" w:ascii="宋体" w:hAnsi="宋体" w:cs="宋体"/>
                <w:sz w:val="21"/>
                <w:szCs w:val="21"/>
              </w:rPr>
              <w:t xml:space="preserve">、理赔措施</w:t>
            </w:r>
            <w:r>
              <w:rPr>
                <w:rFonts w:hint="eastAsia" w:ascii="宋体" w:hAnsi="宋体" w:cs="宋体"/>
                <w:sz w:val="21"/>
                <w:szCs w:val="21"/>
                <w:lang w:val="en-US" w:eastAsia="zh-CN"/>
              </w:rPr>
              <w:t xml:space="preserve">有一定</w:t>
            </w:r>
            <w:r>
              <w:rPr>
                <w:rFonts w:hint="eastAsia" w:ascii="宋体" w:hAnsi="宋体" w:cs="宋体"/>
                <w:sz w:val="21"/>
                <w:szCs w:val="21"/>
              </w:rPr>
              <w:t xml:space="preserve">操作性得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jc w:val="left"/>
              <w:spacing w:line="400" w:lineRule="exact"/>
              <w:rPr>
                <w:rFonts w:hint="eastAsia" w:ascii="宋体" w:hAnsi="宋体" w:eastAsia="宋体" w:cs="宋体"/>
                <w:sz w:val="21"/>
                <w:szCs w:val="21"/>
                <w:lang w:eastAsia="zh-CN"/>
              </w:rPr>
            </w:pPr>
            <w:r>
              <w:rPr>
                <w:rFonts w:hint="eastAsia" w:ascii="宋体" w:hAnsi="宋体" w:cs="宋体"/>
                <w:sz w:val="21"/>
                <w:szCs w:val="21"/>
              </w:rPr>
              <w:t xml:space="preserve">方案全面性、理赔措施可操作性</w:t>
            </w:r>
            <w:r>
              <w:rPr>
                <w:rFonts w:hint="eastAsia" w:ascii="宋体" w:hAnsi="宋体" w:cs="宋体"/>
                <w:sz w:val="21"/>
                <w:szCs w:val="21"/>
                <w:lang w:val="en-US" w:eastAsia="zh-CN"/>
              </w:rPr>
              <w:t xml:space="preserve">欠缺的</w:t>
            </w:r>
            <w:r>
              <w:rPr>
                <w:rFonts w:hint="eastAsia" w:ascii="宋体" w:hAnsi="宋体" w:cs="宋体"/>
                <w:sz w:val="21"/>
                <w:szCs w:val="21"/>
              </w:rPr>
              <w:t xml:space="preserve">得1分</w:t>
            </w:r>
            <w:r>
              <w:rPr>
                <w:rFonts w:hint="eastAsia" w:ascii="宋体" w:hAnsi="宋体" w:cs="宋体"/>
                <w:sz w:val="21"/>
                <w:szCs w:val="21"/>
                <w:lang w:eastAsia="zh-CN"/>
              </w:rPr>
              <w:t xml:space="preserve">；</w:t>
            </w:r>
            <w:r/>
          </w:p>
          <w:p>
            <w:pPr>
              <w:spacing w:line="360" w:lineRule="exact"/>
              <w:rPr>
                <w:rFonts w:hint="eastAsia" w:ascii="宋体" w:hAnsi="宋体" w:eastAsia="宋体" w:cs="宋体"/>
                <w:color w:val="000000"/>
                <w:sz w:val="21"/>
                <w:szCs w:val="21"/>
                <w:highlight w:val="none"/>
                <w:lang w:val="en-US" w:eastAsia="zh-CN" w:bidi="ar-SA"/>
              </w:rPr>
            </w:pPr>
            <w:r>
              <w:rPr>
                <w:rFonts w:hint="eastAsia" w:ascii="宋体" w:hAnsi="宋体" w:cs="宋体"/>
                <w:sz w:val="21"/>
                <w:szCs w:val="21"/>
              </w:rPr>
              <w:t xml:space="preserve">未提供不得分。</w:t>
            </w:r>
            <w:r/>
          </w:p>
        </w:tc>
        <w:tc>
          <w:tcPr>
            <w:tcW w:w="1582"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255"/>
        </w:trPr>
        <w:tc>
          <w:tcPr>
            <w:tcW w:w="72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p>
        </w:tc>
        <w:tc>
          <w:tcPr>
            <w:tcW w:w="1330" w:type="dxa"/>
            <w:vAlign w:val="center"/>
            <w:textDirection w:val="lrTb"/>
            <w:noWrap w:val="false"/>
          </w:tcPr>
          <w:p>
            <w:pPr>
              <w:jc w:val="center"/>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风险防控措施方案</w:t>
            </w:r>
            <w:r/>
          </w:p>
        </w:tc>
        <w:tc>
          <w:tcPr>
            <w:tcW w:w="752" w:type="dxa"/>
            <w:vAlign w:val="center"/>
            <w:textDirection w:val="lrTb"/>
            <w:noWrap w:val="false"/>
          </w:tcPr>
          <w:p>
            <w:pPr>
              <w:jc w:val="center"/>
              <w:widowControl/>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lang w:val="en-US" w:eastAsia="zh-CN" w:bidi="ar-SA"/>
              </w:rPr>
              <w:t xml:space="preserve">3</w:t>
            </w:r>
            <w:r/>
          </w:p>
        </w:tc>
        <w:tc>
          <w:tcPr>
            <w:tcW w:w="5213" w:type="dxa"/>
            <w:vAlign w:val="center"/>
            <w:textDirection w:val="lrTb"/>
            <w:noWrap w:val="false"/>
          </w:tcPr>
          <w:p>
            <w:pPr>
              <w:jc w:val="left"/>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根据自身对项目的理解制定风险防控方案并进行阐述，内容包括但不限于：①人员防控（虚假出险、冒名顶替）、②医院防控（挂床住院、过度医疗）等。</w:t>
            </w:r>
            <w:r/>
          </w:p>
          <w:p>
            <w:pPr>
              <w:jc w:val="left"/>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方案全面科学</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措施</w:t>
            </w:r>
            <w:r>
              <w:rPr>
                <w:rFonts w:hint="eastAsia" w:ascii="宋体" w:hAnsi="宋体" w:eastAsia="宋体" w:cs="宋体"/>
                <w:sz w:val="21"/>
                <w:szCs w:val="21"/>
              </w:rPr>
              <w:t xml:space="preserve">可行性高得</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jc w:val="left"/>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全面科学</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措施</w:t>
            </w:r>
            <w:r>
              <w:rPr>
                <w:rFonts w:hint="eastAsia" w:ascii="宋体" w:hAnsi="宋体" w:eastAsia="宋体" w:cs="宋体"/>
                <w:sz w:val="21"/>
                <w:szCs w:val="21"/>
              </w:rPr>
              <w:t xml:space="preserve">可行性较高得</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jc w:val="left"/>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全面科学</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措施</w:t>
            </w:r>
            <w:r>
              <w:rPr>
                <w:rFonts w:hint="eastAsia" w:ascii="宋体" w:hAnsi="宋体" w:eastAsia="宋体" w:cs="宋体"/>
                <w:sz w:val="21"/>
                <w:szCs w:val="21"/>
              </w:rPr>
              <w:t xml:space="preserve">可行性较高得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jc w:val="left"/>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方案全面</w:t>
            </w:r>
            <w:r>
              <w:rPr>
                <w:rFonts w:hint="eastAsia" w:ascii="宋体" w:hAnsi="宋体" w:eastAsia="宋体" w:cs="宋体"/>
                <w:sz w:val="21"/>
                <w:szCs w:val="21"/>
                <w:lang w:val="en-US" w:eastAsia="zh-CN"/>
              </w:rPr>
              <w:t xml:space="preserve">性和</w:t>
            </w:r>
            <w:r>
              <w:rPr>
                <w:rFonts w:hint="eastAsia" w:ascii="宋体" w:hAnsi="宋体" w:eastAsia="宋体" w:cs="宋体"/>
                <w:sz w:val="21"/>
                <w:szCs w:val="21"/>
              </w:rPr>
              <w:t xml:space="preserve">科学</w:t>
            </w:r>
            <w:r>
              <w:rPr>
                <w:rFonts w:hint="eastAsia" w:ascii="宋体" w:hAnsi="宋体" w:eastAsia="宋体" w:cs="宋体"/>
                <w:sz w:val="21"/>
                <w:szCs w:val="21"/>
                <w:lang w:val="en-US" w:eastAsia="zh-CN"/>
              </w:rPr>
              <w:t xml:space="preserve">性欠缺的，措施</w:t>
            </w:r>
            <w:r>
              <w:rPr>
                <w:rFonts w:hint="eastAsia" w:ascii="宋体" w:hAnsi="宋体" w:eastAsia="宋体" w:cs="宋体"/>
                <w:sz w:val="21"/>
                <w:szCs w:val="21"/>
              </w:rPr>
              <w:t xml:space="preserve">可行性一般得1分</w:t>
            </w:r>
            <w:r>
              <w:rPr>
                <w:rFonts w:hint="eastAsia" w:ascii="宋体" w:hAnsi="宋体" w:cs="宋体"/>
                <w:sz w:val="21"/>
                <w:szCs w:val="21"/>
                <w:lang w:eastAsia="zh-CN"/>
              </w:rPr>
              <w:t xml:space="preserve">；</w:t>
            </w:r>
            <w:r/>
          </w:p>
          <w:p>
            <w:pPr>
              <w:jc w:val="left"/>
              <w:spacing w:line="400" w:lineRule="exact"/>
              <w:rPr>
                <w:rFonts w:hint="eastAsia"/>
                <w:sz w:val="21"/>
                <w:szCs w:val="21"/>
                <w:lang w:eastAsia="zh-CN"/>
              </w:rPr>
            </w:pPr>
            <w:r>
              <w:rPr>
                <w:rFonts w:hint="eastAsia" w:ascii="宋体" w:hAnsi="宋体" w:eastAsia="宋体" w:cs="宋体"/>
                <w:sz w:val="21"/>
                <w:szCs w:val="21"/>
              </w:rPr>
              <w:t xml:space="preserve">未提供方案不得分。</w:t>
            </w:r>
            <w:r/>
          </w:p>
        </w:tc>
        <w:tc>
          <w:tcPr>
            <w:tcW w:w="1582"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53"/>
        </w:trPr>
        <w:tc>
          <w:tcPr>
            <w:tcW w:w="72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p>
        </w:tc>
        <w:tc>
          <w:tcPr>
            <w:tcW w:w="1330" w:type="dxa"/>
            <w:vAlign w:val="center"/>
            <w:textDirection w:val="lrTb"/>
            <w:noWrap w:val="false"/>
          </w:tcPr>
          <w:p>
            <w:pPr>
              <w:jc w:val="center"/>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服务团队配置及管理方案</w:t>
            </w:r>
            <w:r/>
          </w:p>
        </w:tc>
        <w:tc>
          <w:tcPr>
            <w:tcW w:w="752" w:type="dxa"/>
            <w:vAlign w:val="center"/>
            <w:textDirection w:val="lrTb"/>
            <w:noWrap w:val="false"/>
          </w:tcPr>
          <w:p>
            <w:pPr>
              <w:jc w:val="center"/>
              <w:widowControl/>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lang w:val="en-US" w:eastAsia="zh-CN" w:bidi="ar-SA"/>
              </w:rPr>
              <w:t xml:space="preserve">3</w:t>
            </w:r>
            <w:r/>
          </w:p>
        </w:tc>
        <w:tc>
          <w:tcPr>
            <w:tcW w:w="5213" w:type="dxa"/>
            <w:vAlign w:val="center"/>
            <w:textDirection w:val="lrTb"/>
            <w:noWrap w:val="false"/>
          </w:tcPr>
          <w:p>
            <w:pPr>
              <w:jc w:val="left"/>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根据自身对项目的理解制定团队配置及管理方案并进行阐述，内容包括但不限于：①</w:t>
            </w:r>
            <w:r>
              <w:rPr>
                <w:rFonts w:hint="eastAsia" w:ascii="宋体" w:hAnsi="宋体" w:eastAsia="宋体" w:cs="宋体"/>
                <w:color w:val="000000"/>
                <w:sz w:val="21"/>
                <w:szCs w:val="21"/>
                <w:highlight w:val="none"/>
                <w:lang w:val="en-US" w:eastAsia="zh-CN"/>
              </w:rPr>
              <w:t xml:space="preserve">服务团队构成、</w:t>
            </w:r>
            <w:r>
              <w:rPr>
                <w:rFonts w:hint="eastAsia" w:ascii="宋体" w:hAnsi="宋体" w:eastAsia="宋体" w:cs="宋体"/>
                <w:sz w:val="21"/>
                <w:szCs w:val="21"/>
                <w:lang w:val="en-US" w:eastAsia="zh-CN"/>
              </w:rPr>
              <w:t xml:space="preserve">②</w:t>
            </w:r>
            <w:r>
              <w:rPr>
                <w:rFonts w:hint="eastAsia" w:ascii="宋体" w:hAnsi="宋体" w:eastAsia="宋体" w:cs="宋体"/>
                <w:color w:val="000000"/>
                <w:sz w:val="21"/>
                <w:szCs w:val="21"/>
                <w:highlight w:val="none"/>
                <w:lang w:val="en-US" w:eastAsia="zh-CN"/>
              </w:rPr>
              <w:t xml:space="preserve">人员的合理安排、</w:t>
            </w:r>
            <w:r>
              <w:rPr>
                <w:rFonts w:hint="eastAsia" w:ascii="宋体" w:hAnsi="宋体" w:cs="宋体"/>
                <w:sz w:val="21"/>
                <w:szCs w:val="21"/>
              </w:rPr>
              <w:t xml:space="preserve">③</w:t>
            </w:r>
            <w:r>
              <w:rPr>
                <w:rFonts w:hint="eastAsia" w:ascii="宋体" w:hAnsi="宋体" w:eastAsia="宋体" w:cs="宋体"/>
                <w:color w:val="000000"/>
                <w:sz w:val="21"/>
                <w:szCs w:val="21"/>
                <w:highlight w:val="none"/>
                <w:lang w:val="en-US" w:eastAsia="zh-CN"/>
              </w:rPr>
              <w:t xml:space="preserve">硬件设施配备</w:t>
            </w:r>
            <w:r>
              <w:rPr>
                <w:rFonts w:hint="eastAsia" w:ascii="宋体" w:hAnsi="宋体" w:cs="宋体"/>
                <w:sz w:val="21"/>
                <w:szCs w:val="21"/>
                <w:lang w:val="en-US" w:eastAsia="zh-CN"/>
              </w:rPr>
              <w:t xml:space="preserve">等</w:t>
            </w:r>
            <w:r>
              <w:rPr>
                <w:rFonts w:hint="eastAsia" w:ascii="宋体" w:hAnsi="宋体" w:eastAsia="宋体" w:cs="宋体"/>
                <w:sz w:val="21"/>
                <w:szCs w:val="21"/>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团队组织架构完整、分工合理、职责明确的得</w:t>
            </w:r>
            <w:r>
              <w:rPr>
                <w:rFonts w:hint="eastAsia" w:ascii="宋体" w:hAnsi="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t xml:space="preserve">分；</w:t>
            </w:r>
            <w:r/>
          </w:p>
          <w:p>
            <w:pPr>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团队组织架构较为完整、分工较为合理、职责较为明确的得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p>
          <w:p>
            <w:pPr>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团队组织架构基本完整、分工基本合理、职责基本明确的得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w:t>
            </w:r>
            <w:r/>
          </w:p>
          <w:p>
            <w:pPr>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团队组织架构不完整、分工模糊、职责不明确的得1分；</w:t>
            </w:r>
            <w:r/>
          </w:p>
          <w:p>
            <w:pPr>
              <w:numPr>
                <w:ilvl w:val="0"/>
                <w:numId w:val="0"/>
              </w:numPr>
              <w:ind w:left="0" w:firstLine="0"/>
              <w:jc w:val="both"/>
              <w:widowControl/>
              <w:rPr>
                <w:rFonts w:hint="eastAsia" w:ascii="宋体" w:hAnsi="宋体" w:eastAsia="宋体" w:cs="Times New Roman"/>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不提供方案的不得分。</w:t>
            </w:r>
            <w:r/>
          </w:p>
        </w:tc>
        <w:tc>
          <w:tcPr>
            <w:tcW w:w="1582"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44"/>
        </w:trPr>
        <w:tc>
          <w:tcPr>
            <w:tcW w:w="72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w:t>
            </w:r>
            <w:r/>
          </w:p>
        </w:tc>
        <w:tc>
          <w:tcPr>
            <w:tcW w:w="1330" w:type="dxa"/>
            <w:vAlign w:val="center"/>
            <w:textDirection w:val="lrTb"/>
            <w:noWrap w:val="false"/>
          </w:tcPr>
          <w:p>
            <w:pPr>
              <w:jc w:val="center"/>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责任扩展</w:t>
            </w:r>
            <w:r/>
          </w:p>
        </w:tc>
        <w:tc>
          <w:tcPr>
            <w:tcW w:w="752"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cs="宋体"/>
                <w:color w:val="000000"/>
                <w:sz w:val="21"/>
                <w:szCs w:val="21"/>
                <w:highlight w:val="none"/>
                <w:lang w:val="en-US" w:eastAsia="zh-CN" w:bidi="ar-SA"/>
              </w:rPr>
              <w:t xml:space="preserve">0</w:t>
            </w:r>
            <w:r/>
          </w:p>
        </w:tc>
        <w:tc>
          <w:tcPr>
            <w:tcW w:w="5213" w:type="dxa"/>
            <w:vAlign w:val="center"/>
            <w:textDirection w:val="lrTb"/>
            <w:noWrap w:val="false"/>
          </w:tcPr>
          <w:p>
            <w:pPr>
              <w:jc w:val="left"/>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sz w:val="21"/>
                <w:szCs w:val="21"/>
                <w:lang w:val="en-US" w:eastAsia="zh-CN"/>
              </w:rPr>
              <w:t xml:space="preserve">根据供应商对项目采购需求内容“责任扩展可选择约定承诺”，全部选择承诺的，得10分，每减少一条，扣2分，扣完为止。</w:t>
            </w:r>
            <w:r/>
          </w:p>
        </w:tc>
        <w:tc>
          <w:tcPr>
            <w:tcW w:w="1582" w:type="dxa"/>
            <w:vAlign w:val="center"/>
            <w:textDirection w:val="lrTb"/>
            <w:noWrap w:val="false"/>
          </w:tcPr>
          <w:p>
            <w:pPr>
              <w:jc w:val="center"/>
              <w:widowControl/>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提供承诺书</w:t>
            </w:r>
            <w:r/>
          </w:p>
        </w:tc>
      </w:tr>
    </w:tbl>
    <w:p>
      <w:pPr>
        <w:numPr>
          <w:ilvl w:val="0"/>
          <w:numId w:val="0"/>
        </w:numPr>
        <w:rPr>
          <w:rFonts w:hint="eastAsia"/>
        </w:rPr>
      </w:pPr>
      <w:r>
        <w:rPr>
          <w:rFonts w:hint="eastAsia"/>
        </w:rPr>
      </w:r>
      <w:r/>
    </w:p>
    <w:p>
      <w:pPr>
        <w:numPr>
          <w:ilvl w:val="2"/>
          <w:numId w:val="0"/>
        </w:numPr>
        <w:keepLines/>
        <w:keepNext/>
        <w:spacing w:before="50" w:line="400" w:lineRule="exact"/>
        <w:tabs>
          <w:tab w:val="left" w:pos="0" w:leader="none"/>
        </w:tabs>
        <w:rPr>
          <w:rFonts w:ascii="宋体" w:hAnsi="宋体" w:cs="宋体"/>
          <w:color w:val="000000"/>
          <w:sz w:val="21"/>
          <w:szCs w:val="21"/>
          <w:highlight w:val="none"/>
        </w:rPr>
        <w:outlineLvl w:val="2"/>
      </w:pPr>
      <w:r>
        <w:rPr>
          <w:rFonts w:hint="eastAsia" w:ascii="宋体" w:hAnsi="宋体" w:cs="宋体"/>
          <w:color w:val="000000"/>
          <w:sz w:val="21"/>
          <w:szCs w:val="21"/>
          <w:highlight w:val="none"/>
        </w:rPr>
        <w:t xml:space="preserve">说明：</w:t>
      </w:r>
      <w:r/>
    </w:p>
    <w:p>
      <w:pPr>
        <w:jc w:val="left"/>
        <w:spacing w:line="4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1.评分细则中要求提供的证明文件及资料等在</w:t>
      </w:r>
      <w:r>
        <w:rPr>
          <w:rFonts w:hint="eastAsia" w:ascii="宋体" w:hAnsi="宋体" w:cs="宋体"/>
          <w:color w:val="000000"/>
          <w:sz w:val="21"/>
          <w:szCs w:val="21"/>
          <w:highlight w:val="none"/>
          <w:lang w:val="en-US" w:eastAsia="zh-CN"/>
        </w:rPr>
        <w:t xml:space="preserve">响应</w:t>
      </w:r>
      <w:r>
        <w:rPr>
          <w:rFonts w:hint="eastAsia" w:ascii="宋体" w:hAnsi="宋体" w:cs="宋体"/>
          <w:color w:val="000000"/>
          <w:sz w:val="21"/>
          <w:szCs w:val="21"/>
          <w:highlight w:val="none"/>
        </w:rPr>
        <w:t xml:space="preserve">文件中提供</w:t>
      </w:r>
      <w:r>
        <w:rPr>
          <w:rFonts w:hint="eastAsia" w:ascii="宋体" w:hAnsi="宋体" w:cs="宋体"/>
          <w:color w:val="000000"/>
          <w:sz w:val="21"/>
          <w:szCs w:val="21"/>
          <w:highlight w:val="none"/>
          <w:lang w:eastAsia="zh-CN"/>
        </w:rPr>
        <w:t xml:space="preserve">电子件或扫描件（加盖公章）。</w:t>
      </w:r>
      <w:r/>
    </w:p>
    <w:p>
      <w:pPr>
        <w:jc w:val="left"/>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2.评审时，未能按以上要求提供相应证明的，不作为评审依据，不得分。</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bookmarkStart w:id="669" w:name="_Toc104818928"/>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章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采购需求</w:t>
      </w:r>
      <w:bookmarkEnd w:id="669"/>
      <w:r/>
      <w:r/>
    </w:p>
    <w:p>
      <w:pPr>
        <w:pStyle w:val="1237"/>
        <w:numPr>
          <w:ilvl w:val="0"/>
          <w:numId w:val="0"/>
        </w:numPr>
        <w:contextualSpacing/>
        <w:ind w:left="500" w:hanging="500"/>
        <w:spacing w:line="360" w:lineRule="auto"/>
        <w:rPr>
          <w:rFonts w:ascii="Times New Roman" w:hAnsi="Times New Roman"/>
          <w:b/>
          <w:sz w:val="24"/>
          <w:szCs w:val="24"/>
        </w:rPr>
      </w:pPr>
      <w:r/>
      <w:bookmarkStart w:id="670" w:name="_Toc104818929"/>
      <w:r>
        <w:rPr>
          <w:rFonts w:ascii="Times New Roman" w:hAnsi="Times New Roman"/>
          <w:b/>
          <w:sz w:val="24"/>
          <w:szCs w:val="24"/>
          <w:lang w:val="en-US" w:eastAsia="zh-CN" w:bidi="ar-SA"/>
        </w:rPr>
        <w:t xml:space="preserve">一、</w:t>
      </w:r>
      <w:r>
        <w:rPr>
          <w:rFonts w:ascii="Times New Roman" w:hAnsi="Times New Roman"/>
          <w:b/>
          <w:sz w:val="24"/>
          <w:szCs w:val="24"/>
        </w:rPr>
        <w:t xml:space="preserve">采购标的</w:t>
      </w:r>
      <w:r/>
    </w:p>
    <w:p>
      <w:pPr>
        <w:numPr>
          <w:ilvl w:val="0"/>
          <w:numId w:val="0"/>
        </w:numPr>
        <w:contextualSpacing/>
        <w:ind w:firstLine="480"/>
        <w:spacing w:line="360" w:lineRule="auto"/>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采购项目名称：溧阳市残疾人商业补充保险</w:t>
      </w:r>
      <w:r/>
    </w:p>
    <w:p>
      <w:pPr>
        <w:numPr>
          <w:ilvl w:val="0"/>
          <w:numId w:val="0"/>
        </w:numPr>
        <w:contextualSpacing/>
        <w:spacing w:line="360" w:lineRule="auto"/>
        <w:rPr>
          <w:rFonts w:hint="eastAsia" w:ascii="Times New Roman" w:hAnsi="Times New Roman" w:eastAsia="宋体" w:cs="Times New Roman"/>
          <w:b/>
          <w:bCs/>
          <w:sz w:val="24"/>
          <w:highlight w:val="none"/>
          <w:lang w:val="en-US" w:eastAsia="zh-CN"/>
        </w:rPr>
      </w:pPr>
      <w:r>
        <w:rPr>
          <w:rFonts w:ascii="Times New Roman" w:hAnsi="Times New Roman" w:eastAsia="宋体" w:cs="Times New Roman"/>
          <w:b/>
          <w:bCs/>
          <w:sz w:val="24"/>
          <w:highlight w:val="none"/>
          <w:lang w:val="en-US" w:eastAsia="zh-CN"/>
        </w:rPr>
        <w:t xml:space="preserve">二、</w:t>
      </w:r>
      <w:r>
        <w:rPr>
          <w:rFonts w:hint="eastAsia" w:ascii="Times New Roman" w:hAnsi="Times New Roman" w:eastAsia="宋体" w:cs="Times New Roman"/>
          <w:b/>
          <w:bCs/>
          <w:sz w:val="24"/>
          <w:highlight w:val="none"/>
          <w:lang w:val="en-US" w:eastAsia="zh-CN"/>
        </w:rPr>
        <w:t xml:space="preserve">商务要求</w:t>
      </w:r>
      <w:r/>
    </w:p>
    <w:p>
      <w:pPr>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宋体" w:hAnsi="宋体" w:eastAsia="宋体" w:cs="宋体"/>
          <w:sz w:val="24"/>
          <w:highlight w:val="none"/>
        </w:rPr>
        <w:t xml:space="preserve">合同履行期限：</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年。</w:t>
      </w:r>
      <w:r/>
    </w:p>
    <w:p>
      <w:pPr>
        <w:numPr>
          <w:ilvl w:val="0"/>
          <w:numId w:val="0"/>
        </w:numPr>
        <w:contextualSpacing/>
        <w:ind w:firstLine="480"/>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2.付款方式：</w:t>
      </w:r>
      <w:r>
        <w:rPr>
          <w:rFonts w:hint="eastAsia" w:cs="Times New Roman"/>
          <w:sz w:val="24"/>
          <w:highlight w:val="none"/>
          <w:lang w:val="en-US" w:eastAsia="zh-CN"/>
        </w:rPr>
        <w:t xml:space="preserve">合同签订后，在办理投保手续时，一次性付清保险费（按实际发生参保人数计算）。</w:t>
      </w:r>
      <w:r/>
    </w:p>
    <w:p>
      <w:pPr>
        <w:jc w:val="both"/>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三、技术要求</w:t>
      </w:r>
      <w:r/>
    </w:p>
    <w:p>
      <w:pPr>
        <w:ind w:firstLine="480"/>
        <w:jc w:val="both"/>
        <w:widowControl/>
        <w:rPr>
          <w:rFonts w:hint="eastAsia" w:ascii="宋体" w:hAnsi="宋体" w:eastAsia="宋体" w:cs="宋体"/>
          <w:b/>
          <w:color w:val="000000"/>
          <w:sz w:val="24"/>
          <w:szCs w:val="24"/>
          <w:highlight w:val="none"/>
          <w:lang w:val="en-US" w:eastAsia="zh-CN"/>
        </w:rPr>
      </w:pPr>
      <w:r>
        <w:rPr>
          <w:rFonts w:hint="eastAsia" w:ascii="宋体" w:hAnsi="宋体" w:eastAsia="宋体"/>
          <w:sz w:val="24"/>
          <w:szCs w:val="24"/>
        </w:rPr>
        <w:t xml:space="preserve">人均保费130元/人/年，合计人数约2万人/年</w:t>
      </w:r>
      <w:r>
        <w:rPr>
          <w:rFonts w:hint="eastAsia" w:ascii="宋体" w:hAnsi="宋体" w:eastAsia="宋体"/>
          <w:sz w:val="24"/>
          <w:szCs w:val="24"/>
          <w:lang w:eastAsia="zh-CN"/>
        </w:rPr>
        <w:t xml:space="preserve">。</w:t>
      </w:r>
      <w:r/>
    </w:p>
    <w:p>
      <w:pPr>
        <w:ind w:firstLine="482"/>
        <w:jc w:val="both"/>
        <w:widowControl/>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1.其他要求</w:t>
      </w:r>
      <w:r/>
    </w:p>
    <w:tbl>
      <w:tblPr>
        <w:tblStyle w:val="966"/>
        <w:tblW w:w="9018" w:type="dxa"/>
        <w:tblInd w:w="-113" w:type="dxa"/>
        <w:tblLayout w:type="autofit"/>
        <w:tblCellMar>
          <w:left w:w="108" w:type="dxa"/>
          <w:top w:w="0" w:type="dxa"/>
          <w:right w:w="108" w:type="dxa"/>
          <w:bottom w:w="0" w:type="dxa"/>
        </w:tblCellMar>
        <w:tblLook w:val="04A0" w:firstRow="1" w:lastRow="0" w:firstColumn="1" w:lastColumn="0" w:noHBand="0" w:noVBand="1"/>
      </w:tblPr>
      <w:tblGrid>
        <w:gridCol w:w="1954"/>
        <w:gridCol w:w="1503"/>
        <w:gridCol w:w="5561"/>
      </w:tblGrid>
      <w:tr>
        <w:trPr>
          <w:trHeight w:val="446"/>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保险责任</w:t>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保障</w:t>
            </w:r>
            <w:r/>
          </w:p>
        </w:tc>
        <w:tc>
          <w:tcPr>
            <w:tcBorders>
              <w:top w:val="single" w:color="000000" w:sz="4" w:space="0"/>
              <w:left w:val="none" w:color="000000" w:sz="4" w:space="0"/>
              <w:bottom w:val="single" w:color="000000" w:sz="4" w:space="0"/>
              <w:right w:val="single" w:color="000000" w:sz="4" w:space="0"/>
            </w:tcBorders>
            <w:tcW w:w="5561"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理赔规则</w:t>
            </w:r>
            <w:r/>
          </w:p>
        </w:tc>
      </w:tr>
      <w:tr>
        <w:trPr>
          <w:trHeight w:val="469"/>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重大疾病</w:t>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万</w:t>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50种重大疾病</w:t>
            </w:r>
            <w:r/>
          </w:p>
        </w:tc>
      </w:tr>
      <w:tr>
        <w:trPr>
          <w:trHeight w:val="1372"/>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疾病住院</w:t>
            </w:r>
            <w:r/>
          </w:p>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大额医疗费用</w:t>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万</w:t>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有医保：免赔额</w:t>
            </w:r>
            <w:r>
              <w:rPr>
                <w:rFonts w:hint="eastAsia" w:ascii="宋体" w:hAnsi="宋体" w:cs="宋体"/>
                <w:color w:val="000000"/>
                <w:sz w:val="24"/>
                <w:szCs w:val="24"/>
                <w:lang w:val="en-US" w:eastAsia="zh-CN"/>
              </w:rPr>
              <w:t xml:space="preserve">500元</w:t>
            </w:r>
            <w:r>
              <w:rPr>
                <w:rFonts w:hint="eastAsia" w:ascii="宋体" w:hAnsi="宋体" w:eastAsia="宋体" w:cs="宋体"/>
                <w:color w:val="000000"/>
                <w:sz w:val="24"/>
                <w:szCs w:val="24"/>
              </w:rPr>
              <w:t xml:space="preserve">/次，赔付比例80%。</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无医保：免赔额</w:t>
            </w:r>
            <w:r>
              <w:rPr>
                <w:rFonts w:hint="eastAsia" w:ascii="宋体" w:hAnsi="宋体" w:cs="宋体"/>
                <w:color w:val="000000"/>
                <w:sz w:val="24"/>
                <w:szCs w:val="24"/>
                <w:lang w:val="en-US" w:eastAsia="zh-CN"/>
              </w:rPr>
              <w:t xml:space="preserve">1000</w:t>
            </w:r>
            <w:r>
              <w:rPr>
                <w:rFonts w:hint="eastAsia" w:ascii="宋体" w:hAnsi="宋体" w:eastAsia="宋体" w:cs="宋体"/>
                <w:color w:val="000000"/>
                <w:sz w:val="24"/>
                <w:szCs w:val="24"/>
              </w:rPr>
              <w:t xml:space="preserve">元/次，赔付比例50%</w:t>
            </w:r>
            <w:r/>
          </w:p>
        </w:tc>
      </w:tr>
      <w:tr>
        <w:trPr>
          <w:trHeight w:val="1062"/>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意外住院津贴</w:t>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100</w:t>
            </w:r>
            <w:r>
              <w:rPr>
                <w:rFonts w:hint="eastAsia" w:ascii="宋体" w:hAnsi="宋体" w:eastAsia="宋体" w:cs="宋体"/>
                <w:color w:val="000000"/>
                <w:sz w:val="24"/>
                <w:szCs w:val="24"/>
              </w:rPr>
              <w:t xml:space="preserve">元/天</w:t>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意外住院，按住院天数，定额给付</w:t>
            </w:r>
            <w:r>
              <w:rPr>
                <w:rFonts w:hint="eastAsia" w:ascii="宋体" w:hAnsi="宋体" w:cs="宋体"/>
                <w:color w:val="000000"/>
                <w:sz w:val="24"/>
                <w:szCs w:val="24"/>
                <w:lang w:val="en-US" w:eastAsia="zh-CN"/>
              </w:rPr>
              <w:t xml:space="preserve">100</w:t>
            </w:r>
            <w:r>
              <w:rPr>
                <w:rFonts w:hint="eastAsia" w:ascii="宋体" w:hAnsi="宋体" w:eastAsia="宋体" w:cs="宋体"/>
                <w:color w:val="000000"/>
                <w:sz w:val="24"/>
                <w:szCs w:val="24"/>
              </w:rPr>
              <w:t xml:space="preserve">元/天</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单次90天为限，全年180天为限。</w:t>
            </w:r>
            <w:r/>
          </w:p>
        </w:tc>
      </w:tr>
      <w:tr>
        <w:trPr>
          <w:trHeight w:val="791"/>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意外医疗费用</w:t>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万</w:t>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有医保，免赔额0元/次，给付比例100%</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无医保，免赔额50元/次，给付比例70%</w:t>
            </w:r>
            <w:r/>
          </w:p>
        </w:tc>
      </w:tr>
      <w:tr>
        <w:trPr>
          <w:trHeight w:val="1874"/>
        </w:trPr>
        <w:tc>
          <w:tcPr>
            <w:tcBorders>
              <w:top w:val="non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意外身故</w:t>
            </w:r>
            <w:r/>
          </w:p>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及伤残</w:t>
            </w:r>
            <w:r/>
          </w:p>
        </w:tc>
        <w:tc>
          <w:tcPr>
            <w:tcBorders>
              <w:top w:val="none" w:color="000000" w:sz="4" w:space="0"/>
              <w:left w:val="non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5万</w:t>
            </w:r>
            <w:r/>
          </w:p>
        </w:tc>
        <w:tc>
          <w:tcPr>
            <w:tcBorders>
              <w:top w:val="none" w:color="000000" w:sz="4" w:space="0"/>
              <w:left w:val="none" w:color="000000" w:sz="4" w:space="0"/>
              <w:bottom w:val="single" w:color="000000" w:sz="4" w:space="0"/>
              <w:right w:val="single" w:color="000000" w:sz="4" w:space="0"/>
            </w:tcBorders>
            <w:tcW w:w="5561"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59岁及以下，承担所有意外伤害类型。</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60岁及以上，承担以下意外伤害类型：意外伤害类型仅限：交通事故（含行人/车辆/轮船/火车/飞机）、锐器伤（刀割、刺伤）、烧烫伤、火灾、爆炸、触电、中毒；（其他意外伤害类型，不承担保险责任）</w:t>
            </w:r>
            <w:r/>
          </w:p>
        </w:tc>
      </w:tr>
    </w:tbl>
    <w:p>
      <w:pPr>
        <w:ind w:firstLine="426"/>
        <w:rPr>
          <w:rFonts w:hint="eastAsia" w:ascii="宋体" w:hAnsi="宋体" w:eastAsia="宋体"/>
          <w:b/>
          <w:bCs/>
          <w:sz w:val="24"/>
          <w:szCs w:val="24"/>
        </w:rPr>
      </w:pPr>
      <w:r>
        <w:rPr>
          <w:rFonts w:hint="eastAsia" w:ascii="宋体" w:hAnsi="宋体" w:eastAsia="宋体"/>
          <w:b/>
          <w:bCs/>
          <w:sz w:val="24"/>
          <w:szCs w:val="24"/>
        </w:rPr>
        <w:t xml:space="preserve">在以上保障方案中，针对以下特定人群，差异化调整保障额度。</w:t>
      </w:r>
      <w:r/>
    </w:p>
    <w:p>
      <w:pPr>
        <w:ind w:firstLine="424"/>
        <w:rPr>
          <w:rFonts w:hint="eastAsia" w:ascii="宋体" w:hAnsi="宋体" w:eastAsia="宋体"/>
          <w:sz w:val="24"/>
          <w:szCs w:val="24"/>
        </w:rPr>
      </w:pPr>
      <w:r>
        <w:rPr>
          <w:rFonts w:hint="eastAsia" w:ascii="宋体" w:hAnsi="宋体" w:eastAsia="宋体"/>
          <w:sz w:val="24"/>
          <w:szCs w:val="24"/>
        </w:rPr>
        <w:t xml:space="preserve">1、对于存在“智力”和“精神”的残疾人员：提升“</w:t>
      </w:r>
      <w:r>
        <w:rPr>
          <w:rFonts w:hint="eastAsia" w:ascii="宋体" w:hAnsi="宋体" w:eastAsia="宋体"/>
          <w:sz w:val="24"/>
          <w:szCs w:val="24"/>
        </w:rPr>
        <w:t xml:space="preserve">意外身故</w:t>
      </w:r>
      <w:r>
        <w:rPr>
          <w:rFonts w:hint="eastAsia" w:ascii="宋体" w:hAnsi="宋体" w:eastAsia="宋体"/>
          <w:sz w:val="24"/>
          <w:szCs w:val="24"/>
        </w:rPr>
        <w:t xml:space="preserve">及</w:t>
      </w:r>
      <w:r>
        <w:rPr>
          <w:rFonts w:hint="eastAsia" w:ascii="宋体" w:hAnsi="宋体" w:eastAsia="宋体"/>
          <w:sz w:val="24"/>
          <w:szCs w:val="24"/>
        </w:rPr>
        <w:t xml:space="preserve">伤残</w:t>
      </w:r>
      <w:r>
        <w:rPr>
          <w:rFonts w:hint="eastAsia" w:ascii="宋体" w:hAnsi="宋体" w:eastAsia="宋体"/>
          <w:sz w:val="24"/>
          <w:szCs w:val="24"/>
        </w:rPr>
        <w:t xml:space="preserve">”保障额度至</w:t>
      </w:r>
      <w:r>
        <w:rPr>
          <w:rFonts w:hint="eastAsia" w:ascii="宋体" w:hAnsi="宋体"/>
          <w:sz w:val="24"/>
          <w:szCs w:val="24"/>
          <w:lang w:val="en-US" w:eastAsia="zh-CN"/>
        </w:rPr>
        <w:t xml:space="preserve">8万</w:t>
      </w:r>
      <w:r>
        <w:rPr>
          <w:rFonts w:hint="eastAsia" w:ascii="宋体" w:hAnsi="宋体" w:eastAsia="宋体"/>
          <w:sz w:val="24"/>
          <w:szCs w:val="24"/>
        </w:rPr>
        <w:t xml:space="preserve">。</w:t>
      </w:r>
      <w:r/>
    </w:p>
    <w:p>
      <w:pPr>
        <w:ind w:firstLine="424"/>
        <w:rPr>
          <w:rFonts w:hint="eastAsia" w:ascii="宋体" w:hAnsi="宋体" w:eastAsia="宋体"/>
          <w:sz w:val="24"/>
          <w:szCs w:val="24"/>
        </w:rPr>
      </w:pPr>
      <w:r>
        <w:rPr>
          <w:rFonts w:hint="eastAsia" w:ascii="宋体" w:hAnsi="宋体" w:eastAsia="宋体"/>
          <w:sz w:val="24"/>
          <w:szCs w:val="24"/>
        </w:rPr>
        <w:t xml:space="preserve">2、对于残疾等级为“一级（极重度）和二级（重度）”的人员：</w:t>
      </w:r>
      <w:r>
        <w:rPr>
          <w:rFonts w:hint="eastAsia" w:ascii="宋体" w:hAnsi="宋体" w:eastAsia="宋体"/>
          <w:sz w:val="24"/>
          <w:szCs w:val="24"/>
        </w:rPr>
        <w:t xml:space="preserve">取消</w:t>
      </w:r>
      <w:r>
        <w:rPr>
          <w:rFonts w:hint="eastAsia" w:ascii="宋体" w:hAnsi="宋体" w:eastAsia="宋体"/>
          <w:sz w:val="24"/>
          <w:szCs w:val="24"/>
        </w:rPr>
        <w:t xml:space="preserve">免赔</w:t>
      </w:r>
      <w:r>
        <w:rPr>
          <w:rFonts w:hint="eastAsia" w:ascii="宋体" w:hAnsi="宋体" w:eastAsia="宋体"/>
          <w:sz w:val="24"/>
          <w:szCs w:val="24"/>
        </w:rPr>
        <w:t xml:space="preserve">额</w:t>
      </w:r>
      <w:r>
        <w:rPr>
          <w:rFonts w:hint="eastAsia" w:ascii="宋体" w:hAnsi="宋体" w:eastAsia="宋体"/>
          <w:sz w:val="24"/>
          <w:szCs w:val="24"/>
        </w:rPr>
        <w:t xml:space="preserve">。</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往年重度残疾人数约9200人，仅供参考，具体以实际为准</w:t>
      </w:r>
      <w:r>
        <w:rPr>
          <w:rFonts w:hint="eastAsia" w:ascii="宋体" w:hAnsi="宋体" w:cs="宋体"/>
          <w:color w:val="000000"/>
          <w:sz w:val="24"/>
          <w:szCs w:val="24"/>
          <w:lang w:eastAsia="zh-CN"/>
        </w:rPr>
        <w:t xml:space="preserve">）</w:t>
      </w:r>
      <w:r/>
    </w:p>
    <w:p>
      <w:pPr>
        <w:ind w:firstLine="424"/>
        <w:rPr>
          <w:rFonts w:hint="eastAsia" w:ascii="宋体" w:hAnsi="宋体" w:eastAsia="宋体" w:cs="宋体"/>
          <w:color w:val="000000"/>
          <w:sz w:val="24"/>
          <w:szCs w:val="24"/>
          <w:lang w:eastAsia="zh-CN"/>
        </w:rPr>
      </w:pPr>
      <w:r>
        <w:rPr>
          <w:rFonts w:hint="eastAsia" w:ascii="宋体" w:hAnsi="宋体" w:eastAsia="宋体"/>
          <w:sz w:val="24"/>
          <w:szCs w:val="24"/>
        </w:rPr>
        <w:t xml:space="preserve">3、对于低保和低保边缘的困难残疾人：</w:t>
      </w:r>
      <w:r>
        <w:rPr>
          <w:rFonts w:hint="eastAsia" w:ascii="宋体" w:hAnsi="宋体"/>
          <w:sz w:val="24"/>
          <w:szCs w:val="24"/>
          <w:lang w:val="en-US" w:eastAsia="zh-CN"/>
        </w:rPr>
        <w:t xml:space="preserve">增加疾病住院津贴保险责任，疾病住院津贴额外给付50元/天。</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往年困难人数约1400-1500人，仅供参考，具体以实际为准</w:t>
      </w:r>
      <w:r>
        <w:rPr>
          <w:rFonts w:hint="eastAsia" w:ascii="宋体" w:hAnsi="宋体" w:cs="宋体"/>
          <w:color w:val="000000"/>
          <w:sz w:val="24"/>
          <w:szCs w:val="24"/>
          <w:lang w:eastAsia="zh-CN"/>
        </w:rPr>
        <w:t xml:space="preserve">）</w:t>
      </w:r>
      <w:r/>
    </w:p>
    <w:p>
      <w:pPr>
        <w:ind w:firstLine="424"/>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sz w:val="24"/>
          <w:highlight w:val="none"/>
          <w:lang w:val="en-US" w:eastAsia="zh-CN"/>
        </w:rPr>
        <w:t xml:space="preserve">参保人群：具有溧阳市常住户籍并持有第二代《中华人民共和国残疾人证》的残疾人。</w:t>
      </w:r>
      <w:r/>
    </w:p>
    <w:p>
      <w:pPr>
        <w:ind w:firstLine="482"/>
        <w:jc w:val="both"/>
        <w:keepLines w:val="0"/>
        <w:keepNext w:val="0"/>
        <w:pageBreakBefore w:val="0"/>
        <w:spacing w:line="360" w:lineRule="auto"/>
        <w:widowControl/>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2.基本要求</w:t>
      </w:r>
      <w:r/>
    </w:p>
    <w:p>
      <w:pPr>
        <w:ind w:firstLine="241"/>
        <w:keepLines w:val="0"/>
        <w:keepNext w:val="0"/>
        <w:pageBreakBefore w:val="0"/>
        <w:spacing w:line="360" w:lineRule="auto"/>
        <w:rPr>
          <w:rFonts w:hint="eastAsia" w:ascii="新宋体" w:hAnsi="新宋体" w:eastAsia="新宋体" w:cs="新宋体"/>
          <w:b/>
          <w:bCs/>
          <w:color w:val="000000"/>
          <w:sz w:val="24"/>
          <w:szCs w:val="24"/>
          <w:highlight w:val="none"/>
          <w:u w:val="none"/>
        </w:rPr>
      </w:pPr>
      <w:r>
        <w:rPr>
          <w:rFonts w:hint="eastAsia" w:ascii="新宋体" w:hAnsi="新宋体" w:eastAsia="新宋体" w:cs="新宋体"/>
          <w:b/>
          <w:bCs/>
          <w:color w:val="000000"/>
          <w:sz w:val="24"/>
          <w:szCs w:val="24"/>
          <w:highlight w:val="none"/>
          <w:u w:val="none"/>
        </w:rPr>
        <w:t xml:space="preserve">（一）大病补充保险</w:t>
      </w:r>
      <w:r/>
    </w:p>
    <w:p>
      <w:pPr>
        <w:rPr>
          <w:rFonts w:hint="eastAsia" w:ascii="宋体" w:hAnsi="宋体" w:eastAsia="宋体"/>
          <w:b/>
          <w:bCs/>
          <w:sz w:val="24"/>
          <w:szCs w:val="24"/>
        </w:rPr>
      </w:pPr>
      <w:r>
        <w:rPr>
          <w:rFonts w:hint="eastAsia" w:ascii="宋体" w:hAnsi="宋体" w:eastAsia="宋体"/>
          <w:b/>
          <w:bCs/>
          <w:sz w:val="24"/>
          <w:szCs w:val="24"/>
        </w:rPr>
        <w:t xml:space="preserve">1、重大疾病</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在本合同保险期间内，被保险人初次发生并经专科医生明确诊断患约定的重大疾病（50种重大疾病定义见附件）(无论一种或多种)，保险公司按约定金额给付重大疾病保险金，该被保险人的本项保险责任终止。</w:t>
      </w:r>
      <w:r/>
    </w:p>
    <w:p>
      <w:pPr>
        <w:ind w:firstLine="424"/>
        <w:keepLines w:val="0"/>
        <w:keepNext w:val="0"/>
        <w:pageBreakBefore w:val="0"/>
        <w:spacing w:line="360" w:lineRule="auto"/>
        <w:widowControl w:val="off"/>
        <w:rPr>
          <w:rFonts w:hint="eastAsia" w:ascii="宋体" w:hAnsi="宋体" w:eastAsia="宋体"/>
          <w:color w:val="00b0f0"/>
          <w:sz w:val="24"/>
          <w:szCs w:val="24"/>
        </w:rPr>
      </w:pPr>
      <w:r>
        <w:rPr>
          <w:rFonts w:hint="eastAsia" w:ascii="宋体" w:hAnsi="宋体" w:eastAsia="宋体"/>
          <w:color w:val="00b0f0"/>
          <w:sz w:val="24"/>
          <w:szCs w:val="24"/>
        </w:rPr>
        <w:t xml:space="preserve">责任扩展可选择约定承诺：对于既往已患重疾的被保险人，承担合同期间内新发重疾和转移性重疾的保险责任。</w:t>
      </w:r>
      <w:r/>
    </w:p>
    <w:p>
      <w:pPr>
        <w:keepLines w:val="0"/>
        <w:keepNext w:val="0"/>
        <w:pageBreakBefore w:val="0"/>
        <w:spacing w:line="360" w:lineRule="auto"/>
        <w:widowControl w:val="off"/>
        <w:rPr>
          <w:rFonts w:hint="eastAsia" w:ascii="宋体" w:hAnsi="宋体" w:eastAsia="宋体"/>
          <w:b/>
          <w:bCs/>
          <w:sz w:val="24"/>
          <w:szCs w:val="24"/>
        </w:rPr>
      </w:pPr>
      <w:r>
        <w:rPr>
          <w:rFonts w:hint="eastAsia" w:ascii="宋体" w:hAnsi="宋体" w:eastAsia="宋体"/>
          <w:b/>
          <w:bCs/>
          <w:sz w:val="24"/>
          <w:szCs w:val="24"/>
        </w:rPr>
        <w:t xml:space="preserve">2、疾病住院大额医疗费用</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在本合同保险期间内，被保险人因疾病（不含意外伤害）在二级以上(含二级)医院住院诊疗，对被保险人实际支出的、符合当地基本医疗保险支付范围的住院医疗费用，保险公司按</w:t>
      </w:r>
      <w:r>
        <w:rPr>
          <w:rFonts w:hint="eastAsia" w:ascii="宋体" w:hAnsi="宋体" w:eastAsia="宋体"/>
          <w:sz w:val="24"/>
          <w:szCs w:val="24"/>
        </w:rPr>
        <w:t xml:space="preserve">表中</w:t>
      </w:r>
      <w:r>
        <w:rPr>
          <w:rFonts w:hint="eastAsia" w:ascii="宋体" w:hAnsi="宋体" w:eastAsia="宋体"/>
          <w:sz w:val="24"/>
          <w:szCs w:val="24"/>
        </w:rPr>
        <w:t xml:space="preserve">约定的给付比例给付保险金。</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若被保险人未能从当地基本医疗保险、公费医疗、城乡居民大病保险、其他费用补偿型医疗保险和其他途径获得补偿或给付，每次医疗事件，保险公司在扣除免赔额1万元后，按</w:t>
      </w:r>
      <w:r>
        <w:rPr>
          <w:rFonts w:hint="eastAsia" w:ascii="宋体" w:hAnsi="宋体" w:eastAsia="宋体"/>
          <w:sz w:val="24"/>
          <w:szCs w:val="24"/>
        </w:rPr>
        <w:t xml:space="preserve">约定</w:t>
      </w:r>
      <w:r>
        <w:rPr>
          <w:rFonts w:hint="eastAsia" w:ascii="宋体" w:hAnsi="宋体" w:eastAsia="宋体"/>
          <w:sz w:val="24"/>
          <w:szCs w:val="24"/>
        </w:rPr>
        <w:t xml:space="preserve">的比例给予赔付。</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保险公司对每一被保险人给付的保险金以约定金额为限，一次或累计给付的保险金达到约定金额时，对该被保险人的本项保险责任终止。保险期间届满被保险人治疗仍未结束的，保险公司继续承担给付保险金责任，但以保险期间届满的次日起连续九十日为限。</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color w:val="00b0f0"/>
          <w:sz w:val="24"/>
          <w:szCs w:val="24"/>
        </w:rPr>
        <w:t xml:space="preserve">责任扩展可选择约定承诺</w:t>
      </w:r>
      <w:r>
        <w:rPr>
          <w:rFonts w:hint="eastAsia" w:ascii="宋体" w:hAnsi="宋体" w:eastAsia="宋体"/>
          <w:sz w:val="24"/>
          <w:szCs w:val="24"/>
        </w:rPr>
        <w:t xml:space="preserve">：</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1、保险人因遗传性疾病、先天性畸形、变形或染色体异常，精神和行为障碍及投保前未治愈疾病导致的住院，保险公司仍承担赔付责任。</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2、溧阳市医保中心认可的医疗机构均作为本保险认可的医疗机构。</w:t>
      </w:r>
      <w:r/>
    </w:p>
    <w:p>
      <w:pPr>
        <w:ind w:firstLine="241"/>
        <w:keepLines w:val="0"/>
        <w:keepNext w:val="0"/>
        <w:pageBreakBefore w:val="0"/>
        <w:spacing w:line="360" w:lineRule="auto"/>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（二）意外伤害保险</w:t>
      </w:r>
      <w:r/>
    </w:p>
    <w:p>
      <w:pPr>
        <w:keepLines w:val="0"/>
        <w:keepNext w:val="0"/>
        <w:pageBreakBefore w:val="0"/>
        <w:spacing w:line="360" w:lineRule="auto"/>
        <w:widowControl w:val="off"/>
        <w:rPr>
          <w:rFonts w:hint="eastAsia" w:ascii="宋体" w:hAnsi="宋体" w:eastAsia="宋体" w:cs="Times New Roman"/>
          <w:b/>
          <w:bCs/>
          <w:sz w:val="24"/>
          <w:szCs w:val="24"/>
        </w:rPr>
      </w:pPr>
      <w:r>
        <w:rPr>
          <w:rFonts w:hint="eastAsia" w:ascii="宋体" w:hAnsi="宋体" w:eastAsia="宋体" w:cs="Times New Roman"/>
          <w:b/>
          <w:bCs/>
          <w:sz w:val="24"/>
          <w:szCs w:val="24"/>
        </w:rPr>
        <w:t xml:space="preserve">1、意外身故与伤残</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身故：在本合同保险期间内，被保险人遭受意外伤害，并自该意外伤害发生之日起一百八十日内因该意外伤害导致身故的，保险公司按约定金额扣除已给付的意外伤残保险金后的余额，给付意外身故保险金，该被保险人本项保险责任终止。</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伤残：在本合同保险期间内，被保险人遭受意外伤害，并自该意外伤害发生之日起一百八十日内因该意外伤害导致身体伤残的，保险公司根据《人身保险伤残评定及代码》(GB/T44893-2024)确定的伤残程度及其对应的保险金给付比例，按约定金额乘以该处伤残的伤残等级所对应的保险金给付比例，给付意外伤残保险金。伤残等级与保险金给付比例为：一级100%、二级90%、三级80%、四级70%、</w:t>
      </w:r>
      <w:r>
        <w:rPr>
          <w:rFonts w:hint="eastAsia" w:ascii="Segoe UI Emoji" w:hAnsi="Segoe UI Emoji" w:eastAsia="宋体" w:cs="Segoe UI Emoji"/>
          <w:sz w:val="24"/>
          <w:szCs w:val="24"/>
        </w:rPr>
        <w:t xml:space="preserve">五</w:t>
      </w:r>
      <w:r>
        <w:rPr>
          <w:rFonts w:hint="eastAsia" w:ascii="宋体" w:hAnsi="宋体" w:eastAsia="宋体"/>
          <w:sz w:val="24"/>
          <w:szCs w:val="24"/>
        </w:rPr>
        <w:t xml:space="preserve">级60%、六级50%、七级40%、八级30%、九级20%、十级10%。保险公司对每一被保险人给付的累计保险金之和以5万元为限，一次或累计给付的上述各项保险金之和达到5万元时，本合同对该被保险人的伤残保险责任终止。</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特别约定：投保年龄在59周岁及以下人员，承担所有意外伤害类型的本项保险责任。投保年龄在60周岁及以上人员，仅只承担以下意外伤害类型的本项保险责任，其他类型的意外伤害，不承担本项保险责任：</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（1）驾驶机动车/非机动车或者未使用交通工具发生的交通意外伤害事故，搭乘机动车、水上或轨道交通工具和飞机发生的意外伤害事故（需提供由公安机关(交警)出具的事故证明）</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（2）锐器伤（刀割、刺伤）、烧烫伤的意外伤害事故（需提供医疗机构的检查报告及病历证明）</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（3）火灾、爆炸、触电、中毒（需由公安机关或消防救援局出具的相关证明依据）</w:t>
      </w:r>
      <w:r/>
    </w:p>
    <w:p>
      <w:pPr>
        <w:keepLines w:val="0"/>
        <w:keepNext w:val="0"/>
        <w:pageBreakBefore w:val="0"/>
        <w:spacing w:line="360" w:lineRule="auto"/>
        <w:widowControl w:val="off"/>
        <w:rPr>
          <w:rFonts w:hint="eastAsia" w:ascii="宋体" w:hAnsi="宋体" w:eastAsia="宋体"/>
          <w:b/>
          <w:bCs/>
          <w:sz w:val="24"/>
          <w:szCs w:val="24"/>
        </w:rPr>
      </w:pPr>
      <w:r>
        <w:rPr>
          <w:rFonts w:hint="eastAsia" w:ascii="宋体" w:hAnsi="宋体" w:eastAsia="宋体"/>
          <w:b/>
          <w:bCs/>
          <w:sz w:val="24"/>
          <w:szCs w:val="24"/>
        </w:rPr>
        <w:t xml:space="preserve">2、意外医疗费用</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在本合同保险期间内，被保险人遭受意外伤害，并因该意外伤害在二级以上(含二级)医院诊疗，对被保险人实际支出的符合当地基本医疗保险支付范围的医疗费用，保险公司按以下约定的给付比例给付保险金。</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若被保险人已从当地基本医疗保险、公费医疗、城乡居民大病保险、其他费用补偿型医疗保险和其他途径获得补偿或给付，对剩余未获补偿或给付的部分，每次医疗事件，保险公司按100%给予赔付。</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若被保险人未能从当地基本医疗保险、公费医疗、城乡居民大病保险、其他费用补偿型医疗保险和其他途径获得补偿或给付，每次医疗事件，保险公司在扣除免赔额50元后，按70%给予赔付。</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保险期间届满被保险人治疗仍未结束的，保险公司承担给付保险金责任的期限，自保险期间届满次日起，门(急)诊治疗最长为连续十五日；住院治疗至被保险人出院之日止，但最长为连续九十日。保险公司对每一被保险人给付的保险金以约定金额为限，数次或累计给付的保险金达到约定金额时，本合同对该被保险人的保险责任终止。</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color w:val="00b0f0"/>
          <w:sz w:val="24"/>
          <w:szCs w:val="24"/>
        </w:rPr>
        <w:t xml:space="preserve">责任扩展可选择约定承诺</w:t>
      </w:r>
      <w:r>
        <w:rPr>
          <w:rFonts w:hint="eastAsia" w:ascii="宋体" w:hAnsi="宋体" w:eastAsia="宋体"/>
          <w:sz w:val="24"/>
          <w:szCs w:val="24"/>
        </w:rPr>
        <w:t xml:space="preserve">：</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1、溧阳市医保中心认可的医疗机构均作为本保险认可的医疗机构。</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2、因热射病（或疑似中暑）导致的就医，承担本项保险责任。</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3、因蜱虫或毒虫咬伤（或疑似虫类咬伤）导致的就医，承担本项保险责任。</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4、被动物咬伤（包含猫、狗、马蜂、蛇等）使用的抗狂犬病疫苗、血清、破伤风针等药品，视为目录范围内费用给予理赔。</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5、因肢体残缺或肢体功能异常以及精神和行为障碍导致的意外伤害事故，承担本项保险责任</w:t>
      </w:r>
      <w:r/>
    </w:p>
    <w:p>
      <w:pPr>
        <w:keepLines w:val="0"/>
        <w:keepNext w:val="0"/>
        <w:pageBreakBefore w:val="0"/>
        <w:spacing w:line="360" w:lineRule="auto"/>
        <w:widowControl w:val="off"/>
        <w:rPr>
          <w:rFonts w:hint="eastAsia" w:ascii="宋体" w:hAnsi="宋体" w:eastAsia="宋体"/>
          <w:b/>
          <w:bCs/>
          <w:sz w:val="24"/>
          <w:szCs w:val="24"/>
        </w:rPr>
      </w:pPr>
      <w:r>
        <w:rPr>
          <w:rFonts w:hint="eastAsia" w:ascii="宋体" w:hAnsi="宋体" w:eastAsia="宋体"/>
          <w:b/>
          <w:bCs/>
          <w:sz w:val="24"/>
          <w:szCs w:val="24"/>
        </w:rPr>
        <w:t xml:space="preserve">3、意外住院津贴</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在本合同保险期间内，被保险人遭受意外伤害，并因该意外伤害在二级以上(含二级)医院住院治疗，保险公司按约定金额乘以实际住院日数给付保险金，但对该被保险人每次住院的给付日数以九十日为限。该被保险人多次住院的，累计给付日数以一百八十日为限。若该被保险人本次住院治疗与前次住院原因相同，并且前次出院与本次入院间隔不超过三十日，则本次住院与前次住院视为同一次住院。</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color w:val="00b0f0"/>
          <w:sz w:val="24"/>
          <w:szCs w:val="24"/>
        </w:rPr>
        <w:t xml:space="preserve">责任扩展可选择约定承诺</w:t>
      </w:r>
      <w:r>
        <w:rPr>
          <w:rFonts w:hint="eastAsia" w:ascii="宋体" w:hAnsi="宋体" w:eastAsia="宋体"/>
          <w:sz w:val="24"/>
          <w:szCs w:val="24"/>
        </w:rPr>
        <w:t xml:space="preserve">：</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1、溧阳市医保中心认可的医疗机构均作为本保险认可的医疗机构。</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2、因热射病（或疑似中暑）导致医疗，承担本项保险责任。</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3、因蜱虫或毒虫咬伤（或疑似虫类咬伤）导致医疗，承担本项保险责任。</w:t>
      </w:r>
      <w:r/>
    </w:p>
    <w:p>
      <w:pPr>
        <w:ind w:firstLine="424"/>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4、因肢体残缺或肢体功能异常以及精神和行为障碍导致的意外伤害事故，承担本项保险责任</w:t>
      </w:r>
      <w:r/>
    </w:p>
    <w:p>
      <w:pPr>
        <w:keepLines w:val="0"/>
        <w:keepNext w:val="0"/>
        <w:pageBreakBefore w:val="0"/>
        <w:spacing w:line="360" w:lineRule="auto"/>
        <w:widowControl w:val="off"/>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（三）责任免除</w:t>
      </w:r>
      <w:r/>
    </w:p>
    <w:p>
      <w:pPr>
        <w:ind w:firstLine="566"/>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被保险人发生下列情形之一，保险公司可不承担“重大疾病、疾病住院大额医疗费用、意外身故与伤残、意外医疗费用和意外住院津贴”的保险责任：被保险人故意自伤、故意犯罪或抗拒依法采取的刑事强制措施；被保险人斗殴、醉酒，服用、吸食或注射毒品；被保险人酒后驾驶、无合法有效驾驶证驾驶，或驾驶无合法有效行驶证的机动车；被保险人感染艾滋病病毒或患艾滋病；战争、军</w:t>
      </w:r>
      <w:r>
        <w:rPr>
          <w:rFonts w:hint="eastAsia" w:ascii="宋体" w:hAnsi="宋体" w:eastAsia="宋体"/>
          <w:sz w:val="24"/>
          <w:szCs w:val="24"/>
        </w:rPr>
        <w:t xml:space="preserve">事冲突、暴乱或武装叛乱；核爆炸、核辐射或核污染；被保险人的洗牙、牙齿美白、正畸、烤瓷牙、种植牙或镶牙等牙齿保健和修复；被保险人的视力矫正手术或变性手术；被保险人的整容或矫形手术；被保险人猝死；被保险人未遵医嘱，私自使用或服用药物，但按使用说明的规定使用非处方药不在此限；被保险人参加潜水、跳伞、攀岩、驾乘滑翔机或滑翔伞、探险、摔跤、武术比赛、特技表演、赛马、赛车等高风险运动；被保险人的产前产后检查、妊娠(含宫外孕)、流产(含人工流产)、分娩(含剖腹产)，避孕、绝育手术、治疗不孕不育症以及上述原因引起的并发症；</w:t>
      </w:r>
      <w:r/>
    </w:p>
    <w:p>
      <w:pPr>
        <w:ind w:firstLine="566"/>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2、被保险人因遗传性疾病，先天性畸形、变形或染色体异常发生重大疾病，保险公司可不承担“重大疾病”的保险责任。</w:t>
      </w:r>
      <w:r/>
    </w:p>
    <w:p>
      <w:pPr>
        <w:ind w:firstLine="566"/>
        <w:keepLines w:val="0"/>
        <w:keepNext w:val="0"/>
        <w:pageBreakBefore w:val="0"/>
        <w:spacing w:line="360" w:lineRule="auto"/>
        <w:widowControl w:val="off"/>
        <w:rPr>
          <w:rFonts w:hint="eastAsia"/>
          <w:sz w:val="24"/>
          <w:szCs w:val="24"/>
        </w:rPr>
      </w:pPr>
      <w:r>
        <w:rPr>
          <w:rFonts w:hint="eastAsia" w:ascii="宋体" w:hAnsi="宋体" w:eastAsia="宋体"/>
          <w:sz w:val="24"/>
          <w:szCs w:val="24"/>
        </w:rPr>
        <w:t xml:space="preserve">3、被保险人因精神和行为障碍导致的身故或伤残，保险公司可不承担“意外身故与伤残”的保险责任。</w:t>
      </w:r>
      <w:r/>
    </w:p>
    <w:p>
      <w:pPr>
        <w:keepLines w:val="0"/>
        <w:keepNext w:val="0"/>
        <w:pageBreakBefore w:val="0"/>
        <w:spacing w:line="360" w:lineRule="auto"/>
        <w:widowControl w:val="off"/>
        <w:rPr>
          <w:rFonts w:hint="eastAsia" w:ascii="宋体" w:hAnsi="宋体" w:eastAsia="宋体"/>
          <w:sz w:val="24"/>
          <w:szCs w:val="24"/>
        </w:rPr>
      </w:pPr>
      <w:r>
        <w:rPr>
          <w:rFonts w:hint="eastAsia" w:ascii="微软雅黑" w:hAnsi="微软雅黑" w:eastAsia="微软雅黑"/>
          <w:b/>
          <w:bCs/>
          <w:sz w:val="24"/>
          <w:szCs w:val="24"/>
        </w:rPr>
        <w:t xml:space="preserve">50种重大疾病定义</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一、恶性肿瘤——重度：</w:t>
      </w:r>
      <w:r/>
    </w:p>
    <w:p>
      <w:pPr>
        <w:ind w:firstLine="480"/>
        <w:keepLines w:val="0"/>
        <w:keepNext w:val="0"/>
        <w:pageBreakBefore w:val="0"/>
        <w:spacing w:line="360" w:lineRule="auto"/>
        <w:widowControl w:val="off"/>
        <w:rPr>
          <w:rFonts w:hint="eastAsia" w:ascii="宋体" w:hAnsi="宋体" w:cs="Arial"/>
          <w:sz w:val="24"/>
          <w:szCs w:val="24"/>
        </w:rPr>
      </w:pPr>
      <w:r>
        <w:rPr>
          <w:rFonts w:hint="eastAsia" w:ascii="宋体" w:hAnsi="宋体" w:cs="Arial"/>
          <w:sz w:val="24"/>
          <w:szCs w:val="24"/>
        </w:rPr>
        <w:t xml:space="preserve">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Organization）《疾病和有关健康问题的国际统计分类》第十次修订版（ICD-10）的恶性肿瘤类别及《国际疾病分类肿瘤学专辑》第三版（ICD-O-3）的肿瘤形态学编码属于3、6、9（恶性肿瘤）范畴的疾病。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下列疾病不属于“恶性肿瘤——重度”，不在保障范围内：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olor w:val="000000"/>
          <w:sz w:val="24"/>
          <w:szCs w:val="24"/>
        </w:rPr>
        <w:t xml:space="preserve">1．</w:t>
      </w:r>
      <w:r>
        <w:rPr>
          <w:rFonts w:hint="eastAsia" w:ascii="宋体" w:hAnsi="宋体" w:cs="Arial"/>
          <w:color w:val="000000"/>
          <w:sz w:val="24"/>
          <w:szCs w:val="24"/>
        </w:rPr>
        <w:t xml:space="preserve">ICD-O-3肿瘤形态学编码属于0（良性肿瘤）、1（动态未定性肿瘤）、2（原位癌和非侵袭性癌）范畴的疾病，如：</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（1）原位癌，癌前病变，非浸润性癌，非侵袭性癌，肿瘤细胞未侵犯基底层，上皮内瘤变，细胞不典型性增生等；</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（2）交界性肿瘤，交界恶性肿瘤，肿瘤低度恶性潜能，潜在低度恶性肿瘤等；</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TNM分期为</w:t>
      </w:r>
      <w:r>
        <w:rPr>
          <w:rFonts w:hint="eastAsia" w:ascii="宋体" w:hAnsi="宋体" w:cs="宋体"/>
          <w:color w:val="000000"/>
          <w:sz w:val="24"/>
          <w:szCs w:val="24"/>
        </w:rPr>
        <w:t xml:space="preserve">Ⅰ</w:t>
      </w:r>
      <w:r>
        <w:rPr>
          <w:rFonts w:hint="eastAsia" w:ascii="宋体" w:hAnsi="宋体" w:cs="Arial"/>
          <w:color w:val="000000"/>
          <w:sz w:val="24"/>
          <w:szCs w:val="24"/>
        </w:rPr>
        <w:t xml:space="preserve">期或更轻分期的甲状腺癌；</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TNM分期为</w:t>
      </w:r>
      <w:r>
        <w:rPr>
          <w:rFonts w:hint="eastAsia" w:ascii="宋体" w:hAnsi="宋体" w:cs="Arial"/>
          <w:sz w:val="24"/>
          <w:szCs w:val="24"/>
        </w:rPr>
        <w:t xml:space="preserve">T</w:t>
      </w:r>
      <w:r>
        <w:rPr>
          <w:rFonts w:hint="eastAsia" w:ascii="宋体" w:hAnsi="宋体" w:cs="Arial"/>
          <w:sz w:val="24"/>
          <w:szCs w:val="24"/>
          <w:vertAlign w:val="subscript"/>
        </w:rPr>
        <w:t xml:space="preserve">1</w:t>
      </w:r>
      <w:r>
        <w:rPr>
          <w:rFonts w:hint="eastAsia" w:ascii="宋体" w:hAnsi="宋体" w:cs="Arial"/>
          <w:sz w:val="24"/>
          <w:szCs w:val="24"/>
        </w:rPr>
        <w:t xml:space="preserve">N</w:t>
      </w:r>
      <w:r>
        <w:rPr>
          <w:rFonts w:hint="eastAsia" w:ascii="宋体" w:hAnsi="宋体" w:cs="Arial"/>
          <w:sz w:val="24"/>
          <w:szCs w:val="24"/>
          <w:vertAlign w:val="subscript"/>
        </w:rPr>
        <w:t xml:space="preserve">0</w:t>
      </w:r>
      <w:r>
        <w:rPr>
          <w:rFonts w:hint="eastAsia" w:ascii="宋体" w:hAnsi="宋体" w:cs="Arial"/>
          <w:sz w:val="24"/>
          <w:szCs w:val="24"/>
        </w:rPr>
        <w:t xml:space="preserve">M</w:t>
      </w:r>
      <w:r>
        <w:rPr>
          <w:rFonts w:hint="eastAsia" w:ascii="宋体" w:hAnsi="宋体" w:cs="Arial"/>
          <w:sz w:val="24"/>
          <w:szCs w:val="24"/>
          <w:vertAlign w:val="subscript"/>
        </w:rPr>
        <w:t xml:space="preserve">0</w:t>
      </w:r>
      <w:r>
        <w:rPr>
          <w:rFonts w:hint="eastAsia" w:ascii="宋体" w:hAnsi="宋体" w:cs="Arial"/>
          <w:color w:val="000000"/>
          <w:sz w:val="24"/>
          <w:szCs w:val="24"/>
        </w:rPr>
        <w:t xml:space="preserve">期或更轻分期的前列腺癌；</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黑色素瘤以外的未发生淋巴结和远处转移的皮肤恶性肿瘤；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5</w:t>
      </w:r>
      <w:r>
        <w:rPr>
          <w:rFonts w:hint="eastAsia" w:ascii="宋体" w:hAnsi="宋体"/>
          <w:color w:val="000000"/>
          <w:sz w:val="24"/>
          <w:szCs w:val="24"/>
        </w:rPr>
        <w:t xml:space="preserve">．</w:t>
      </w:r>
      <w:r>
        <w:rPr>
          <w:rFonts w:hint="eastAsia" w:ascii="宋体" w:hAnsi="宋体" w:cs="Arial"/>
          <w:color w:val="000000"/>
          <w:sz w:val="24"/>
          <w:szCs w:val="24"/>
        </w:rPr>
        <w:t xml:space="preserve">相当于Binet分期方案A期程度的慢性淋巴细胞白血病；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6</w:t>
      </w:r>
      <w:r>
        <w:rPr>
          <w:rFonts w:hint="eastAsia" w:ascii="宋体" w:hAnsi="宋体"/>
          <w:color w:val="000000"/>
          <w:sz w:val="24"/>
          <w:szCs w:val="24"/>
        </w:rPr>
        <w:t xml:space="preserve">．</w:t>
      </w:r>
      <w:r>
        <w:rPr>
          <w:rFonts w:hint="eastAsia" w:ascii="宋体" w:hAnsi="宋体" w:cs="Arial"/>
          <w:color w:val="000000"/>
          <w:sz w:val="24"/>
          <w:szCs w:val="24"/>
        </w:rPr>
        <w:t xml:space="preserve">相当于Ann Arbor分期方案</w:t>
      </w:r>
      <w:r>
        <w:rPr>
          <w:rFonts w:hint="eastAsia" w:ascii="宋体" w:hAnsi="宋体" w:cs="宋体"/>
          <w:color w:val="000000"/>
          <w:sz w:val="24"/>
          <w:szCs w:val="24"/>
        </w:rPr>
        <w:t xml:space="preserve">Ⅰ</w:t>
      </w:r>
      <w:r>
        <w:rPr>
          <w:rFonts w:hint="eastAsia" w:ascii="宋体" w:hAnsi="宋体" w:cs="Arial"/>
          <w:color w:val="000000"/>
          <w:sz w:val="24"/>
          <w:szCs w:val="24"/>
        </w:rPr>
        <w:t xml:space="preserve">期程度的何杰金氏病；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7</w:t>
      </w:r>
      <w:r>
        <w:rPr>
          <w:rFonts w:hint="eastAsia" w:ascii="宋体" w:hAnsi="宋体"/>
          <w:color w:val="000000"/>
          <w:sz w:val="24"/>
          <w:szCs w:val="24"/>
        </w:rPr>
        <w:t xml:space="preserve">．</w:t>
      </w:r>
      <w:r>
        <w:rPr>
          <w:rFonts w:hint="eastAsia" w:ascii="宋体" w:hAnsi="宋体" w:cs="Arial"/>
          <w:color w:val="000000"/>
          <w:sz w:val="24"/>
          <w:szCs w:val="24"/>
        </w:rPr>
        <w:t xml:space="preserve">未发生淋巴结和远处转移且WHO分级为G1级别（核分裂像&lt;10/50 HPF和ki-67≤2%）或更轻分级的神经内分泌肿瘤。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二、较重急性心肌梗死：</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较重急性心肌梗死指依照上述标准被明确诊断为急性心肌梗死，并且必须同时满足下列至少一项条件：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olor w:val="000000"/>
          <w:sz w:val="24"/>
          <w:szCs w:val="24"/>
        </w:rPr>
        <w:t xml:space="preserve">1．</w:t>
      </w:r>
      <w:r>
        <w:rPr>
          <w:rFonts w:hint="eastAsia" w:ascii="宋体" w:hAnsi="宋体" w:cs="Arial"/>
          <w:color w:val="000000"/>
          <w:sz w:val="24"/>
          <w:szCs w:val="24"/>
        </w:rPr>
        <w:t xml:space="preserve">心肌损伤标志物肌钙蛋白（cTn）升高，至少一次检测结果达到该检验正常参考值上限的15倍（含）以上；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肌酸激酶同工酶（CK-MB）升高，至少一次检测结果达到该检验正常参考值上限的2倍（含）以上；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出现左心室收缩功能下降，在确诊6周以后，检测左室射血分数（LVEF）低于50%（不含）；</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影像学检查证实存在新发的乳头肌功能失调或断裂引起的中度（含）以上的二尖瓣反流；</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5</w:t>
      </w:r>
      <w:r>
        <w:rPr>
          <w:rFonts w:hint="eastAsia" w:ascii="宋体" w:hAnsi="宋体"/>
          <w:color w:val="000000"/>
          <w:sz w:val="24"/>
          <w:szCs w:val="24"/>
        </w:rPr>
        <w:t xml:space="preserve">．</w:t>
      </w:r>
      <w:r>
        <w:rPr>
          <w:rFonts w:hint="eastAsia" w:ascii="宋体" w:hAnsi="宋体" w:cs="Arial"/>
          <w:color w:val="000000"/>
          <w:sz w:val="24"/>
          <w:szCs w:val="24"/>
        </w:rPr>
        <w:t xml:space="preserve">影像学检查证实存在新出现的室壁瘤；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6</w:t>
      </w:r>
      <w:r>
        <w:rPr>
          <w:rFonts w:hint="eastAsia" w:ascii="宋体" w:hAnsi="宋体"/>
          <w:color w:val="000000"/>
          <w:sz w:val="24"/>
          <w:szCs w:val="24"/>
        </w:rPr>
        <w:t xml:space="preserve">．</w:t>
      </w:r>
      <w:r>
        <w:rPr>
          <w:rFonts w:hint="eastAsia" w:ascii="宋体" w:hAnsi="宋体" w:cs="Arial"/>
          <w:color w:val="000000"/>
          <w:sz w:val="24"/>
          <w:szCs w:val="24"/>
        </w:rPr>
        <w:t xml:space="preserve">出现室性心动过速、心室颤动或心源性休克。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其他非冠状动脉阻塞性疾病所引起的肌钙蛋白（cTn）升高不在保障范围内。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三、严重脑中风后遗症：</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一肢（含）以上肢体肌力2级（含）以下；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语言能力完全丧失，或严重咀嚼吞咽功能障碍；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四、重大器官移植术或造血干细胞移植术：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重大器官移植术，指因相应器官功能衰竭，已经实施了肾脏、肝脏、心脏、肺脏或小肠的异体移植手术。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造血干细胞移植术，指因造血功能损害或造血系统恶性肿瘤，已经实施了造血干细胞（包括骨髓造血干细胞、外周血造血干细胞和脐血造血干细胞）的移植手术。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五、冠状动脉搭桥术（或称冠状动脉旁路移植术）：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指为治疗严重的冠心病，已经实施了切开心包进行的冠状动脉血管旁路移植的手术。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所有未切开心包的冠状动脉介入治疗不在保障范围内。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六、严重慢性肾衰竭：</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七、多个肢体缺失：</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指因疾病或意外伤害导致两个或两个以上肢体自腕关节或踝关节近端（靠近躯干端）以上完全性断离。</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八、急性重症肝炎或亚急性重症肝炎：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指因肝炎病毒感染引起肝脏组织弥漫性坏死，导致急性肝功能衰竭，且经血清学或病毒学检查证实，并须满足下列全部条件：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重度黄疸或黄疸迅速加重；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肝性脑病；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B超或其他影像学检查显示肝脏体积急速萎缩；</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肝功能指标进行性恶化。</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九、严重非恶性颅内肿瘤：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已经实施了开颅进行的颅内肿瘤完全或部分切除手术；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已经实施了针对颅内肿瘤的放射治疗，如γ刀、质子重离子治疗等。</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下列疾病不在保障范围内：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脑垂体瘤；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脑囊肿；</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颅内血管性疾病（如脑动脉瘤、脑动静脉畸形、海绵状血管瘤、毛细血管扩张症等）。</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十、严重慢性肝衰竭：</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指因慢性肝脏疾病导致的肝衰竭，且须满足下列全部条件：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持续性黄疸；</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腹水；</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肝性脑病；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充血性脾肿大伴脾功能亢进或食管胃底静脉曲张。</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因酗酒或药物滥用导致的肝衰竭不在保障范围内。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十一、严重脑炎后遗症或严重脑膜炎后遗症：</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指因患脑炎或脑膜炎导致的神经系统永久性的功能障碍。神经系统永久性的功能障碍，指经相关专科医生确诊疾病180天后，仍遗留下列至少一种障碍：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一肢（含）以上肢体肌力2级（含）以下；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语言能力完全丧失，或严重咀嚼吞咽功能障碍；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由具有评估资格的专科医生根据临床痴呆评定量表（CDR，Clinical Dementia Rating）评估结果为3分；</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十二、深度昏迷：</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指因疾病或意外伤害导致意识丧失，对外界刺激和体内需求均无反应，昏迷程度按照格拉斯哥昏迷分级（GCS，Glasgow Coma Scale）结果为5分或5分以下，且已经持续使用呼吸机及其他生命维持系统96小时以上。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因酗酒或药物滥用导致的深度昏迷不在保障范围内。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十三、特定年龄双耳失聪：</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w:t>
      </w:r>
      <w:r>
        <w:rPr>
          <w:rFonts w:hint="eastAsia" w:ascii="宋体" w:hAnsi="宋体"/>
          <w:color w:val="000000"/>
          <w:sz w:val="24"/>
          <w:szCs w:val="24"/>
        </w:rPr>
        <w:t xml:space="preserve">被保险人年满3周岁后</w:t>
      </w:r>
      <w:r>
        <w:rPr>
          <w:rFonts w:hint="eastAsia" w:ascii="宋体" w:hAnsi="宋体" w:cs="Arial"/>
          <w:color w:val="000000"/>
          <w:sz w:val="24"/>
          <w:szCs w:val="24"/>
        </w:rPr>
        <w:t xml:space="preserve">因疾病或意外伤害导致双耳听力永久不可逆性丧失，在500赫兹、1000赫兹和2000赫兹语音频率下，平均听阈大于等于91分贝，且经纯音听力测试、声导抗检测或听觉诱发电位检测等证实。</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十四、特定年龄双目失明：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w:t>
      </w:r>
      <w:r>
        <w:rPr>
          <w:rFonts w:hint="eastAsia" w:ascii="宋体" w:hAnsi="宋体"/>
          <w:color w:val="000000"/>
          <w:sz w:val="24"/>
          <w:szCs w:val="24"/>
        </w:rPr>
        <w:t xml:space="preserve">被保险人年满3周岁后</w:t>
      </w:r>
      <w:r>
        <w:rPr>
          <w:rFonts w:hint="eastAsia" w:ascii="宋体" w:hAnsi="宋体" w:cs="Arial"/>
          <w:color w:val="000000"/>
          <w:sz w:val="24"/>
          <w:szCs w:val="24"/>
        </w:rPr>
        <w:t xml:space="preserve">因疾病或意外伤害导致双眼视力永久不可逆性丧失，双眼中较好眼须满足下列至少一项条件：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眼球缺失或摘除；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矫正视力低于0.02（采用国际标准视力表，如果使用其他视力表应进行换算）；</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视野半径小于5度。</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十五、瘫痪：</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十六、心脏瓣膜手术：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指为治疗心脏瓣膜疾病，已经实施了切开心脏进行的心脏瓣膜置换或修复的手术。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所有未切开心脏的心脏瓣膜介入手术不在保障范围内。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十七、严重阿尔茨海默病：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由具有评估资格的专科医生根据临床痴呆评定量表（CDR，Clinical Dementia Rating）评估结果为3分；</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阿尔茨海默病之外的其他类型痴呆不在保障范围内。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十八、严重脑损伤：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一肢（含）以上肢体肌力2级（含）以下；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语言能力完全丧失，或严重咀嚼吞咽功能障碍；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十九、严重原发性帕金森病：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继发性帕金森综合征、帕金森叠加综合征不在保障范围内。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二十、严重Ⅲ度烧伤：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指烧伤程度为</w:t>
      </w:r>
      <w:r>
        <w:rPr>
          <w:rFonts w:hint="eastAsia" w:ascii="宋体" w:hAnsi="宋体" w:cs="宋体"/>
          <w:color w:val="000000"/>
          <w:sz w:val="24"/>
          <w:szCs w:val="24"/>
        </w:rPr>
        <w:t xml:space="preserve">Ⅲ</w:t>
      </w:r>
      <w:r>
        <w:rPr>
          <w:rFonts w:hint="eastAsia" w:ascii="宋体" w:hAnsi="宋体" w:cs="Arial"/>
          <w:color w:val="000000"/>
          <w:sz w:val="24"/>
          <w:szCs w:val="24"/>
        </w:rPr>
        <w:t xml:space="preserve">度，且</w:t>
      </w:r>
      <w:r>
        <w:rPr>
          <w:rFonts w:hint="eastAsia" w:ascii="宋体" w:hAnsi="宋体" w:cs="宋体"/>
          <w:color w:val="000000"/>
          <w:sz w:val="24"/>
          <w:szCs w:val="24"/>
        </w:rPr>
        <w:t xml:space="preserve">Ⅲ</w:t>
      </w:r>
      <w:r>
        <w:rPr>
          <w:rFonts w:hint="eastAsia" w:ascii="宋体" w:hAnsi="宋体" w:cs="Arial"/>
          <w:color w:val="000000"/>
          <w:sz w:val="24"/>
          <w:szCs w:val="24"/>
        </w:rPr>
        <w:t xml:space="preserve">度烧伤的面积达到全身体表面积的20％或20％以上。体表面积根据《中国新九分法》计算。</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二十一、严重特发性肺动脉高压：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指不明原因的肺动脉压力持续性增高，进行性发展而导致的慢性疾病，已经造成永久不可逆性的体力活动能力受限，达到美国纽约心脏病学会（New York Heart Association，NYHA）心功能状态分级IV级，且静息状态下肺动脉平均压在36mmHg（含）以上。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二十二、严重运动神经元病：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严重咀嚼吞咽功能障碍；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呼吸肌麻痹导致严重呼吸困难，且已经持续使用呼吸机7天（含）以上；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自主生活能力完全丧失，无法独立完成六项基本日常生活活动中的三项或三项以上。</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二十三、语言能力丧失：</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指因疾病或意外伤害导致语言能力完全丧失，经过积极治疗至少12个月（声带完全切除不受此时间限制），仍无法通过现有医疗手段恢复。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精神心理因素所致的语言能力丧失不在保障范围内。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二十四、重型再生障碍性贫血：</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指因骨髓造血功能慢性持续性衰竭导致的贫血、中性粒细胞减少及血小板减少，且须满足下列全部条件：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骨髓穿刺检查或骨髓活检结果支持诊断：骨髓细胞增生程度&lt;正常的25%；如≥正常的25%但&lt;50%，则残存的造血细胞应&lt;30%；</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外周血象须具备以下三项条件中的两项：</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（1）</w:t>
      </w:r>
      <w:r>
        <w:rPr>
          <w:rFonts w:hint="eastAsia" w:ascii="宋体" w:hAnsi="宋体" w:cs="Arial"/>
          <w:color w:val="000000"/>
          <w:sz w:val="24"/>
          <w:szCs w:val="24"/>
        </w:rPr>
        <w:t xml:space="preserve">中性粒细胞绝对值&lt;0.5×10</w:t>
      </w:r>
      <w:r>
        <w:rPr>
          <w:rFonts w:hint="eastAsia" w:ascii="宋体" w:hAnsi="宋体" w:cs="Arial"/>
          <w:color w:val="000000"/>
          <w:sz w:val="24"/>
          <w:szCs w:val="24"/>
          <w:vertAlign w:val="superscript"/>
        </w:rPr>
        <w:t xml:space="preserve">9</w:t>
      </w:r>
      <w:r>
        <w:rPr>
          <w:rFonts w:hint="eastAsia" w:ascii="宋体" w:hAnsi="宋体" w:cs="Arial"/>
          <w:color w:val="000000"/>
          <w:sz w:val="24"/>
          <w:szCs w:val="24"/>
        </w:rPr>
        <w:t xml:space="preserve">/L；</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（2）</w:t>
      </w:r>
      <w:r>
        <w:rPr>
          <w:rFonts w:hint="eastAsia" w:ascii="宋体" w:hAnsi="宋体" w:cs="Arial"/>
          <w:color w:val="000000"/>
          <w:sz w:val="24"/>
          <w:szCs w:val="24"/>
        </w:rPr>
        <w:t xml:space="preserve">网织红细胞计数&lt;20×10</w:t>
      </w:r>
      <w:r>
        <w:rPr>
          <w:rFonts w:hint="eastAsia" w:ascii="宋体" w:hAnsi="宋体" w:cs="Arial"/>
          <w:color w:val="000000"/>
          <w:sz w:val="24"/>
          <w:szCs w:val="24"/>
          <w:vertAlign w:val="superscript"/>
        </w:rPr>
        <w:t xml:space="preserve">9</w:t>
      </w:r>
      <w:r>
        <w:rPr>
          <w:rFonts w:hint="eastAsia" w:ascii="宋体" w:hAnsi="宋体" w:cs="Arial"/>
          <w:color w:val="000000"/>
          <w:sz w:val="24"/>
          <w:szCs w:val="24"/>
        </w:rPr>
        <w:t xml:space="preserve">/L；</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（3）</w:t>
      </w:r>
      <w:r>
        <w:rPr>
          <w:rFonts w:hint="eastAsia" w:ascii="宋体" w:hAnsi="宋体" w:cs="Arial"/>
          <w:color w:val="000000"/>
          <w:sz w:val="24"/>
          <w:szCs w:val="24"/>
        </w:rPr>
        <w:t xml:space="preserve">血小板绝对值&lt;20×10</w:t>
      </w:r>
      <w:r>
        <w:rPr>
          <w:rFonts w:hint="eastAsia" w:ascii="宋体" w:hAnsi="宋体" w:cs="Arial"/>
          <w:color w:val="000000"/>
          <w:sz w:val="24"/>
          <w:szCs w:val="24"/>
          <w:vertAlign w:val="superscript"/>
        </w:rPr>
        <w:t xml:space="preserve">9</w:t>
      </w:r>
      <w:r>
        <w:rPr>
          <w:rFonts w:hint="eastAsia" w:ascii="宋体" w:hAnsi="宋体" w:cs="Arial"/>
          <w:color w:val="000000"/>
          <w:sz w:val="24"/>
          <w:szCs w:val="24"/>
        </w:rPr>
        <w:t xml:space="preserve">/L。</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二十五、主动脉手术：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所有未实施开胸或开腹的动脉内介入治疗不在保障范围内。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二十六、严重慢性呼吸衰竭：</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指因慢性呼吸系统疾病导致永久不可逆性的呼吸衰竭，经过积极治疗180天后满足以下所有条件：</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静息时出现呼吸困难；</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肺功能第一秒用力呼气容积（FEV</w:t>
      </w:r>
      <w:r>
        <w:rPr>
          <w:rFonts w:hint="eastAsia" w:ascii="宋体" w:hAnsi="宋体" w:cs="Arial"/>
          <w:color w:val="000000"/>
          <w:sz w:val="24"/>
          <w:szCs w:val="24"/>
          <w:vertAlign w:val="subscript"/>
        </w:rPr>
        <w:t xml:space="preserve">1</w:t>
      </w:r>
      <w:r>
        <w:rPr>
          <w:rFonts w:hint="eastAsia" w:ascii="宋体" w:hAnsi="宋体" w:cs="Arial"/>
          <w:color w:val="000000"/>
          <w:sz w:val="24"/>
          <w:szCs w:val="24"/>
        </w:rPr>
        <w:t xml:space="preserve">）占预计值的百分比＜30%；</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在静息状态、呼吸空气条件下，动脉血氧分压（PaO</w:t>
      </w:r>
      <w:r>
        <w:rPr>
          <w:rFonts w:hint="eastAsia" w:ascii="宋体" w:hAnsi="宋体" w:cs="Arial"/>
          <w:color w:val="000000"/>
          <w:sz w:val="24"/>
          <w:szCs w:val="24"/>
          <w:vertAlign w:val="subscript"/>
        </w:rPr>
        <w:t xml:space="preserve">2</w:t>
      </w:r>
      <w:r>
        <w:rPr>
          <w:rFonts w:hint="eastAsia" w:ascii="宋体" w:hAnsi="宋体" w:cs="Arial"/>
          <w:color w:val="000000"/>
          <w:sz w:val="24"/>
          <w:szCs w:val="24"/>
        </w:rPr>
        <w:t xml:space="preserve">）＜50mmHg。</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二十七、严重克罗恩病：</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指一种慢性肉芽肿性肠炎，具有特征性的克罗恩病（Crohn病）病理组织学变化，须根据组织病理学特点诊断，且已经造成瘘管形成并伴有肠梗阻或肠穿孔。</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二十八、严重溃疡性结肠炎：</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指伴有致命性电解质紊乱的急性暴发性溃疡性结肠炎，病变已经累及全结肠，表现为严重的血便和系统性症状体征，须根据组织病理学特点诊断，且已经实施了结肠切除或回肠造瘘术。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二十九、严重原发性心肌病：</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指不明原因引起的一类心肌病变，包括原发性扩张型心肌病、原发性肥厚型心肌病及原发性限制型心肌病三种，病变必须已造成事实上心室功能障碍而出现明显的心功能衰竭（指达到美国纽约心脏病学会（New York Heart Association，NYHA）心功能状态分级</w:t>
      </w:r>
      <w:r>
        <w:rPr>
          <w:rFonts w:hint="eastAsia" w:ascii="宋体" w:hAnsi="宋体" w:cs="宋体"/>
          <w:color w:val="000000"/>
          <w:sz w:val="24"/>
          <w:szCs w:val="24"/>
        </w:rPr>
        <w:t xml:space="preserve">Ⅳ</w:t>
      </w:r>
      <w:r>
        <w:rPr>
          <w:rFonts w:hint="eastAsia" w:ascii="宋体" w:hAnsi="宋体" w:cs="Arial"/>
          <w:color w:val="000000"/>
          <w:sz w:val="24"/>
          <w:szCs w:val="24"/>
        </w:rPr>
        <w:t xml:space="preserve">级），且有相关住院医疗记录显示</w:t>
      </w:r>
      <w:r>
        <w:rPr>
          <w:rFonts w:hint="eastAsia" w:ascii="宋体" w:hAnsi="宋体" w:cs="宋体"/>
          <w:color w:val="000000"/>
          <w:sz w:val="24"/>
          <w:szCs w:val="24"/>
        </w:rPr>
        <w:t xml:space="preserve">Ⅳ</w:t>
      </w:r>
      <w:r>
        <w:rPr>
          <w:rFonts w:hint="eastAsia" w:ascii="宋体" w:hAnsi="宋体" w:cs="Arial"/>
          <w:color w:val="000000"/>
          <w:sz w:val="24"/>
          <w:szCs w:val="24"/>
        </w:rPr>
        <w:t xml:space="preserve">级心功能衰竭状态已持续至少180日。本病须经专科医生明确诊断。</w:t>
      </w:r>
      <w:r/>
    </w:p>
    <w:p>
      <w:pPr>
        <w:ind w:firstLine="432"/>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继发于全身性疾病或其他器官系统疾病造成的心肌病变不在保障范围内。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三十、严重多发性硬化症：</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中枢神经系统脱髓鞘疾病，导致不可逆的运动或感觉功能障碍，临床表现为视力受损、截瘫、平衡失调、构音障碍、大小便机能失调等症状。不可逆指运动或感觉功能障碍初次诊断后需持续180天以上。须由断层扫描（CT）、核磁共振检查（MRI）或正电子发射断层扫描（PET）等影像学检查证实，且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1．明确出现因视神经、脑干或脊髓损伤等导致的上述临床症状；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2．散在的、多样性的神经损伤；</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3．上述临床症状反复发作、恶化及神经损伤的病史纪录。</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三十一、严重脊髓灰质炎：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脊髓灰质炎指由于脊髓灰质炎病毒感染所致的瘫痪性疾病，临床表现为运动功能损害或呼吸无力。脊髓灰质炎必须明确诊断。本合同所称“严重脊髓灰质炎”仅指脊髓灰质炎造成的神经系统功能损害导致被保险人一肢或一肢以上肢体随意运动功能永久完全丧失的情形。肢体随意运动功能永久完全丧失，指疾病确诊180天后，每肢三大关节中的两大关节仍然完全僵硬，或肢体肌力在2级（含）以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若无因此感染而导致麻痹性瘫痪的事实结果，以及其他病因所致的麻痹，例如格林巴利综合征则不属于本合同所指的脊髓灰质炎。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三十二、严重类风湿性关节炎：</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广泛分布的慢性进行性多关节病变，表现为关节严重变形，侵犯至少三个主要关节（腕关节、肘关节、肩关节、踝关节、膝关节、髋关节）或关节组（如手的多个指间、掌指关节，足的多个足趾、跖趾关节等）。类风湿性关节炎须明确诊断，并已达到类风湿性关节炎功能分类IV级的永久不可逆性关节功能障碍，且须满足下列全部条件：</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1．晨僵；</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2．对称性关节炎；</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3．类风湿性皮下结节；</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4．类风湿因子滴度升高；</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5．X线显示严重的关节（软骨和骨）破坏和关节畸形。</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三十三、严重系统性红斑狼疮性肾病：</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系统性红斑狼疮是累及多系统、多器官的具有多种自身抗体的免疫性疾病。系统性红斑狼疮性肾病，又称为狼疮性肾炎，是系统性红斑狼疮累及肾脏，造成肾功能损伤。须由肾脏病理学检查结果证实或经临床确诊，并符合下列WHO诊断标准定义的</w:t>
      </w:r>
      <w:r>
        <w:rPr>
          <w:rFonts w:hint="eastAsia" w:ascii="宋体" w:hAnsi="宋体" w:cs="宋体"/>
          <w:color w:val="000000"/>
          <w:sz w:val="24"/>
          <w:szCs w:val="24"/>
        </w:rPr>
        <w:t xml:space="preserve">Ⅲ</w:t>
      </w:r>
      <w:r>
        <w:rPr>
          <w:rFonts w:hint="eastAsia" w:ascii="宋体" w:hAnsi="宋体" w:cs="Arial"/>
          <w:color w:val="000000"/>
          <w:sz w:val="24"/>
          <w:szCs w:val="24"/>
        </w:rPr>
        <w:t xml:space="preserve">型至</w:t>
      </w:r>
      <w:r>
        <w:rPr>
          <w:rFonts w:hint="eastAsia" w:ascii="宋体" w:hAnsi="宋体" w:cs="宋体"/>
          <w:color w:val="000000"/>
          <w:sz w:val="24"/>
          <w:szCs w:val="24"/>
        </w:rPr>
        <w:t xml:space="preserve">Ⅴ</w:t>
      </w:r>
      <w:r>
        <w:rPr>
          <w:rFonts w:hint="eastAsia" w:ascii="宋体" w:hAnsi="宋体" w:cs="Arial"/>
          <w:color w:val="000000"/>
          <w:sz w:val="24"/>
          <w:szCs w:val="24"/>
        </w:rPr>
        <w:t xml:space="preserve">型狼疮性肾炎。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世界卫生组织（WHO）狼疮性肾炎分型：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Ⅰ</w:t>
      </w:r>
      <w:r>
        <w:rPr>
          <w:rFonts w:hint="eastAsia" w:ascii="宋体" w:hAnsi="宋体" w:cs="Arial"/>
          <w:color w:val="000000"/>
          <w:sz w:val="24"/>
          <w:szCs w:val="24"/>
        </w:rPr>
        <w:t xml:space="preserve">型（微小病变型）：镜下阴性，尿液正常；</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Ⅱ</w:t>
      </w:r>
      <w:r>
        <w:rPr>
          <w:rFonts w:hint="eastAsia" w:ascii="宋体" w:hAnsi="宋体" w:cs="Arial"/>
          <w:color w:val="000000"/>
          <w:sz w:val="24"/>
          <w:szCs w:val="24"/>
        </w:rPr>
        <w:t xml:space="preserve">型（系膜病变型）：中度蛋白尿，偶有尿沉渣改变；</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Ⅲ</w:t>
      </w:r>
      <w:r>
        <w:rPr>
          <w:rFonts w:hint="eastAsia" w:ascii="宋体" w:hAnsi="宋体" w:cs="Arial"/>
          <w:color w:val="000000"/>
          <w:sz w:val="24"/>
          <w:szCs w:val="24"/>
        </w:rPr>
        <w:t xml:space="preserve">型（局灶及节段增生型）：蛋白尿，尿沉渣改变；</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Ⅳ</w:t>
      </w:r>
      <w:r>
        <w:rPr>
          <w:rFonts w:hint="eastAsia" w:ascii="宋体" w:hAnsi="宋体" w:cs="Arial"/>
          <w:color w:val="000000"/>
          <w:sz w:val="24"/>
          <w:szCs w:val="24"/>
        </w:rPr>
        <w:t xml:space="preserve">型（弥漫增生型）：急性肾炎伴有尿沉渣改变或肾病综合征；</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宋体"/>
          <w:color w:val="000000"/>
          <w:sz w:val="24"/>
          <w:szCs w:val="24"/>
        </w:rPr>
        <w:t xml:space="preserve">Ⅴ</w:t>
      </w:r>
      <w:r>
        <w:rPr>
          <w:rFonts w:hint="eastAsia" w:ascii="宋体" w:hAnsi="宋体" w:cs="Arial"/>
          <w:color w:val="000000"/>
          <w:sz w:val="24"/>
          <w:szCs w:val="24"/>
        </w:rPr>
        <w:t xml:space="preserve">型（膜型）：肾病综合征或重度蛋白尿。</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其他类型的红斑性狼疮，如盘状狼疮，仅累及血液及关节等其他系统的系统性红斑狼疮不在保障范围内。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三十四、植物人状态：</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脑皮质广泛性坏死而导致对自身及周边的认知能力完全丧失，但脑干功能依然存在。必须由神经专科医生明确诊断，并有头颅断层扫描（CT），核磁共振检查（MRI）或正电子发射断层扫描（PET）等影像学检查证实。上述情况必须有至少一个月的病历记录加以证实。</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由于酗酒或滥用药物所致的植物人状态不在保障范围内。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三十五、严重胰岛素依赖型糖尿病：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指由于胰岛素分泌绝对不足引起的慢性血糖升高，经血胰岛素测定、血c肽测定或尿c肽测定结果证实，且已经持续性的依赖外源性胰岛素维持180天以上；须至少满足下列一个条件：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1．已出现增殖性视网膜病变；</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2．糖尿病肾病，且尿蛋白&gt;0.5g/24h；</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3．因坏疽需切除至少一个脚趾。</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三十六、严重冠心病：</w:t>
      </w:r>
      <w:r/>
    </w:p>
    <w:p>
      <w:pPr>
        <w:ind w:firstLine="48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经根据冠状动脉造影检查结果明确诊断为三支主要血管严重狭窄性病变（至少一支血管管腔直径减少75％以上和其他两支血管管腔直径减少60％以上）。冠状动脉的主要血管指左冠状动脉主干、前降支、回旋支及右冠状动脉，不包括前降支、左旋支及右冠状动脉的分支血管。</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三十七、急性坏死性胰腺炎开腹手术：</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指为治疗急性坏死性胰腺炎，实际实施了开腹进行的坏死组织清除术、病灶切除术或胰腺部分切除术。</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为治疗因酒精中毒引起的急性坏死性胰腺炎的开腹手术不在保障范围内。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三十八、经输血导致的人类免疫缺陷病毒感染：</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被保险人感染人类免疫缺陷病毒（HIV），且须满足下列全部条件：</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w:t>
      </w:r>
      <w:r>
        <w:rPr>
          <w:rFonts w:hint="eastAsia" w:ascii="宋体" w:hAnsi="宋体"/>
          <w:color w:val="000000"/>
          <w:sz w:val="24"/>
          <w:szCs w:val="24"/>
        </w:rPr>
        <w:t xml:space="preserve">．</w:t>
      </w:r>
      <w:r>
        <w:rPr>
          <w:rFonts w:hint="eastAsia" w:ascii="宋体" w:hAnsi="宋体" w:cs="Arial"/>
          <w:color w:val="000000"/>
          <w:sz w:val="24"/>
          <w:szCs w:val="24"/>
        </w:rPr>
        <w:t xml:space="preserve">被保险人因治疗必需而接受输血，并且因输血而感染人类免疫缺陷病毒（HIV）；</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w:t>
      </w:r>
      <w:r>
        <w:rPr>
          <w:rFonts w:hint="eastAsia" w:ascii="宋体" w:hAnsi="宋体"/>
          <w:color w:val="000000"/>
          <w:sz w:val="24"/>
          <w:szCs w:val="24"/>
        </w:rPr>
        <w:t xml:space="preserve">．</w:t>
      </w:r>
      <w:r>
        <w:rPr>
          <w:rFonts w:hint="eastAsia" w:ascii="宋体" w:hAnsi="宋体" w:cs="Arial"/>
          <w:color w:val="000000"/>
          <w:sz w:val="24"/>
          <w:szCs w:val="24"/>
        </w:rPr>
        <w:t xml:space="preserve">提供输血治疗的输血中心或医院出具该项输血感染属医疗责任事故的报告，或者法院终审裁定为医疗责任；</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rPr>
          <w:rFonts w:hint="eastAsia" w:ascii="宋体" w:hAnsi="宋体"/>
          <w:color w:val="000000"/>
          <w:sz w:val="24"/>
          <w:szCs w:val="24"/>
        </w:rPr>
        <w:t xml:space="preserve">．</w:t>
      </w:r>
      <w:r>
        <w:rPr>
          <w:rFonts w:hint="eastAsia" w:ascii="宋体" w:hAnsi="宋体" w:cs="Arial"/>
          <w:color w:val="000000"/>
          <w:sz w:val="24"/>
          <w:szCs w:val="24"/>
        </w:rPr>
        <w:t xml:space="preserve">提供输血治疗的输血中心或医院必须拥有合法经营执照；</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w:t>
      </w:r>
      <w:r>
        <w:rPr>
          <w:rFonts w:hint="eastAsia" w:ascii="宋体" w:hAnsi="宋体"/>
          <w:color w:val="000000"/>
          <w:sz w:val="24"/>
          <w:szCs w:val="24"/>
        </w:rPr>
        <w:t xml:space="preserve">．</w:t>
      </w:r>
      <w:r>
        <w:rPr>
          <w:rFonts w:hint="eastAsia" w:ascii="宋体" w:hAnsi="宋体" w:cs="Arial"/>
          <w:color w:val="000000"/>
          <w:sz w:val="24"/>
          <w:szCs w:val="24"/>
        </w:rPr>
        <w:t xml:space="preserve">受感染的被保险人不是血友病患者。</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血友病：为一组遗传性凝血功能障碍的出血性疾病，其共同的特征是活性凝血活酶生成障碍，凝血时间延长，终身具有轻微创伤后出血倾向，重症患者没有明显外伤也可发生“自发性”出血。</w:t>
      </w:r>
      <w:r/>
    </w:p>
    <w:p>
      <w:pPr>
        <w:ind w:firstLine="42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任何因其他传播方式（包括：性传播或静脉注射毒品）导致人类免疫缺陷病毒（HIV）感染不在保障范围内。保险公司具有获得和使用被保险人的所有血液样本的权利以及能够对这些样本进行独立检验的权利。</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三十九、非阿尔茨海默病所致严重痴呆：</w:t>
      </w:r>
      <w:r/>
    </w:p>
    <w:p>
      <w:pPr>
        <w:ind w:firstLine="480"/>
        <w:jc w:val="left"/>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阿尔茨海默病以外的脑的器质性疾病造成脑功能衰竭导致永久不可逆性严重痴呆，临床表现为明显的认知能力障碍、行为异常和社交能力减退。被保险人自主生活能力完全丧失，无法独立完成六项基本日常生活活动中的三项或三项以上，日常生活必须持续受到他人监护。导致痴呆的疾病必须明确诊断，并且由完整的临床、实验室和影像学检查结果证实。</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神经官能症，精神疾病及酒精中毒所致脑损害不在保障范围内。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四十、严重弥漫性系统性硬皮病：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一种系统性胶原血管病引起进行性的皮肤、血管和内脏器官的弥漫性纤维化。本病症须经专科医生明确诊断，并须满足下列全部条件：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1．由活检和血清学证据支持；</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2．疾病已经影响到肺脏、心脏或肾脏等内脏器官并且达到下列标准之一：</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（1）肺脏：已造成肺脏纤维化，并同时出现肺动脉高压和肺心病；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（2）心脏：心脏功能衰竭程度达到美国纽约心脏病学会（New York Heart Association，NYHA）心功能状态分级IV级；</w:t>
      </w:r>
      <w:r/>
    </w:p>
    <w:p>
      <w:pPr>
        <w:ind w:firstLine="480"/>
        <w:keepLines w:val="0"/>
        <w:keepNext w:val="0"/>
        <w:pageBreakBefore w:val="0"/>
        <w:spacing w:line="360" w:lineRule="auto"/>
        <w:widowControl w:val="off"/>
        <w:rPr>
          <w:rFonts w:hint="eastAsia" w:ascii="宋体" w:hAnsi="宋体" w:cs="Arial"/>
          <w:color w:val="000000"/>
          <w:sz w:val="24"/>
          <w:szCs w:val="24"/>
          <w:u w:val="single"/>
        </w:rPr>
      </w:pPr>
      <w:r>
        <w:rPr>
          <w:rFonts w:hint="eastAsia" w:ascii="宋体" w:hAnsi="宋体" w:cs="Arial"/>
          <w:color w:val="000000"/>
          <w:sz w:val="24"/>
          <w:szCs w:val="24"/>
        </w:rPr>
        <w:t xml:space="preserve">（3）肾脏：已造成肾脏损害，并出现肾功能衰竭。</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局限性硬皮病（带状硬皮病或斑状损害）、嗜酸细胞筋膜炎和CREST综合征不在保障范围内。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四十一、重症急性坏死性筋膜炎：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是一种由细菌侵入皮下组织和筋膜引起的急性坏死性软组织感染，可伴有毒血症、败血症、中毒性休克、弥漫性血管内凝血及多器官衰竭。须满足下列全部条件：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1．细菌培养和临床表现符合坏死性筋膜炎诊断标准；</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2．病情迅速恶化，有脓毒血症表现；</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3．受感染肢体被截肢（自腕关节或踝关节靠近躯干端）。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四十二、埃博拉出血热：</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指埃博拉病毒感染导致的出血性发热。埃博拉病必须经国家机关认可的有合法资质的传染病专家确诊，并须满足下列全部条件：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1．埃博拉病毒的存在必须经过实验室检查证实；</w:t>
      </w:r>
      <w:r/>
    </w:p>
    <w:p>
      <w:pPr>
        <w:ind w:left="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2．存在皮肤粘膜出血，呕血，咯血，便血或血尿等临床表现；</w:t>
      </w:r>
      <w:r/>
    </w:p>
    <w:p>
      <w:pPr>
        <w:ind w:left="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3．感染埃博拉病毒并出现出血性发热持续三十（30）天以上，且持续出现并发症。</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单纯实验室诊断但没有临床出血表现的不在保障范围内。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四十三、严重感染性心内膜炎：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指因细菌、真菌和其他微生物制剂感染而产生心脏瓣膜的炎症或心室壁内膜的炎症，引起心脏瓣膜关闭不全。须满足下列全部条件：</w:t>
      </w:r>
      <w:r/>
    </w:p>
    <w:p>
      <w:pPr>
        <w:ind w:left="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1．急性或亚急性感染性心内膜炎临床表现；</w:t>
      </w:r>
      <w:r/>
    </w:p>
    <w:p>
      <w:pPr>
        <w:ind w:left="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2．血培养病原体阳性；</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3．心脏功能衰竭程度达到美国纽约心脏病学会（New York Heart Association，NYHA）心功能状态分级IV级并持续180天，或接受了心脏瓣膜置换手术。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四十四、胰腺移植：</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指因胰腺功能衰竭，已经实施了在全身麻醉下进行的胰腺的异体器官移植手术（供体必须是人体器官）。</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单纯胰岛移植、部分胰腺组织或细胞的移植不在保障范围内。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四十五、严重自身免疫性肝炎：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自身免疫性肝炎是一种原因不明的慢性肝脏的坏死性炎性疾病，由于人体免疫功能紊乱产生针对肝脏自身抗原的抗体导致自身免疫反应，从而破坏肝脏细胞造成肝脏炎症坏死，进而发展为肝硬化。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1．高γ球蛋白血症；</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2．血液中存在高水平的自身免疫抗体，如ANA（抗核抗体），SMA（抗平滑肌抗体），抗LKM1抗体或抗-SLA/LP抗体；</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3．肝脏活检证实免疫性肝炎；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4．临床已经同时出现腹水、食道静脉曲张及脾脏肿大等肝硬化表现。</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四十六、原发性硬化性胆管炎：</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一种胆汁淤积综合征，其特征是肝内、肝外胆道因纤维化性炎症逐渐狭窄，并最终导致完全阻塞而发展为肝硬化。须经逆行胰胆管造影（ERCP）或经皮胆管造影（PTC）等影像学检查证实，且须满足下列全部条件：</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1．总胆红素和直接胆红素同时升高，血清ALP&gt;200U/L；</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2．持续性黄疸病史；</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3．出现胆汁性肝硬化或门脉高压。</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因肿瘤或胆管损伤等导致的继发性硬化性胆管炎不在保障范围内。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四十七、头臂动脉型多发性大动脉炎旁路移植手术：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多发性大动脉炎（高安氏动脉炎）是一种发生在主动脉和其主要分支的慢性炎症性动脉疾病，表现为受累动脉狭窄或闭塞。头臂动脉型多发性大动脉炎是指多发性大动脉炎头臂动脉型（I型），又称为无脉症。被保险人被明确诊断为头臂动脉型多发性大动脉炎并且实际接受了经胸部切开进行的无名动脉（头臂干）、颈总动脉、锁骨下动脉旁路移植手术。</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非开胸的血管旁路移植手术、因其他病因而进行的旁路移植手术，对其他动脉进行的旁路移植手术，经皮经导管进行的血管内手术不在保障范围内。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四十八、溶血性链球菌性坏疽：</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指包围肢体或者躯干的浅筋膜或者深筋膜受到溶血性链球菌的感染，病情在短时间内急剧恶化，且已经立刻进行了手术。最后的诊断须由微生物或者病理学专家进行相关检查后证实。</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四十九、克-雅氏病（CJD、人类疯牛病）：</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一种由动物传染而来的中枢神经系统变性疾病，大脑呈海绵状改变伴神经元缺失和胶质化。临床表现为进行性痴呆、不随意运动及抽搐、行动困难等。须由权威医疗机构根据致病蛋白的发现而明确诊断。</w:t>
      </w:r>
      <w:r/>
    </w:p>
    <w:p>
      <w:pPr>
        <w:ind w:firstLine="48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五十、丝虫病所致象皮肿：</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指因丝虫感染导致淋巴管阻塞而造成身体组织出现严重淋巴水肿，达到国际淋巴学会淋巴水肿分期第</w:t>
      </w:r>
      <w:r>
        <w:rPr>
          <w:rFonts w:hint="eastAsia" w:ascii="宋体" w:hAnsi="宋体" w:cs="宋体"/>
          <w:color w:val="000000"/>
          <w:sz w:val="24"/>
          <w:szCs w:val="24"/>
        </w:rPr>
        <w:t xml:space="preserve">Ⅲ</w:t>
      </w:r>
      <w:r>
        <w:rPr>
          <w:rFonts w:hint="eastAsia" w:ascii="宋体" w:hAnsi="宋体" w:cs="Arial"/>
          <w:color w:val="000000"/>
          <w:sz w:val="24"/>
          <w:szCs w:val="24"/>
        </w:rPr>
        <w:t xml:space="preserve">期，其临床表现为肢体非凹陷性水肿伴畸形增大，硬皮症及疣状增生。须满足自主生活能力完全丧失，无法独立完成六项基本日常生活活动中的三项或三项以上。须经保险公司认可医院的专科医生根据临床表现和微丝蚴的化验结果确诊。</w:t>
      </w:r>
      <w:r/>
    </w:p>
    <w:p>
      <w:pPr>
        <w:ind w:firstLine="420"/>
        <w:keepLines w:val="0"/>
        <w:keepNext w:val="0"/>
        <w:pageBreakBefore w:val="0"/>
        <w:spacing w:line="36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由性接触传染的疾病、创伤、手术后疤痕、充血性心力衰竭或先天性淋巴系统异常引起的淋巴水肿，以及急性淋巴管炎或其他原因引起的淋巴水肿不在保障范围内。</w:t>
      </w:r>
      <w:r/>
    </w:p>
    <w:p>
      <w:pPr>
        <w:jc w:val="both"/>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both"/>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章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合同草案条款</w:t>
      </w:r>
      <w:bookmarkEnd w:id="670"/>
      <w:r/>
      <w:r/>
    </w:p>
    <w:p>
      <w:pPr>
        <w:rPr>
          <w:rFonts w:hint="eastAsia" w:ascii="宋体" w:hAnsi="宋体" w:cs="宋体"/>
          <w:color w:val="000000"/>
          <w:sz w:val="44"/>
          <w:szCs w:val="44"/>
          <w:highlight w:val="none"/>
        </w:rPr>
      </w:pPr>
      <w:r/>
      <w:bookmarkStart w:id="671" w:name="_Toc104818930"/>
      <w:r/>
      <w:r/>
    </w:p>
    <w:p>
      <w:pPr>
        <w:pStyle w:val="1180"/>
        <w:spacing w:line="360" w:lineRule="auto"/>
        <w:rPr>
          <w:rFonts w:cs="宋体"/>
          <w:sz w:val="24"/>
          <w:szCs w:val="24"/>
          <w:u w:val="single"/>
        </w:rPr>
      </w:pPr>
      <w:r>
        <w:rPr>
          <w:rFonts w:hint="eastAsia" w:cs="宋体"/>
          <w:b/>
          <w:sz w:val="24"/>
          <w:szCs w:val="24"/>
          <w:lang w:val="en-US" w:eastAsia="zh-CN"/>
        </w:rPr>
        <w:t xml:space="preserve">甲方</w:t>
      </w:r>
      <w:r>
        <w:rPr>
          <w:rFonts w:cs="宋体"/>
          <w:b/>
          <w:sz w:val="24"/>
          <w:szCs w:val="24"/>
          <w:lang w:val="zh-CN"/>
        </w:rPr>
        <w:t xml:space="preserve">（</w:t>
      </w:r>
      <w:r>
        <w:rPr>
          <w:rFonts w:hint="eastAsia" w:cs="宋体"/>
          <w:b/>
          <w:sz w:val="24"/>
          <w:szCs w:val="24"/>
          <w:lang w:val="en-US" w:eastAsia="zh-CN"/>
        </w:rPr>
        <w:t xml:space="preserve">采购人</w:t>
      </w:r>
      <w:r>
        <w:rPr>
          <w:rFonts w:cs="宋体"/>
          <w:b/>
          <w:sz w:val="24"/>
          <w:szCs w:val="24"/>
        </w:rPr>
        <w:t xml:space="preserve">）:</w:t>
      </w:r>
      <w:r>
        <w:rPr>
          <w:rFonts w:cs="宋体"/>
          <w:b/>
          <w:sz w:val="24"/>
          <w:szCs w:val="24"/>
          <w:u w:val="single"/>
        </w:rPr>
        <w:t xml:space="preserve">                         </w:t>
      </w:r>
      <w:r/>
    </w:p>
    <w:p>
      <w:pPr>
        <w:pStyle w:val="1180"/>
        <w:spacing w:line="360" w:lineRule="auto"/>
        <w:rPr>
          <w:rFonts w:hAnsi="宋体" w:cs="宋体"/>
          <w:b/>
        </w:rPr>
      </w:pPr>
      <w:r>
        <w:rPr>
          <w:rFonts w:hint="eastAsia" w:cs="宋体"/>
          <w:b/>
          <w:sz w:val="24"/>
          <w:szCs w:val="24"/>
          <w:lang w:val="en-US" w:eastAsia="zh-CN"/>
        </w:rPr>
        <w:t xml:space="preserve">乙方</w:t>
      </w:r>
      <w:r>
        <w:rPr>
          <w:rFonts w:cs="宋体"/>
          <w:b/>
          <w:sz w:val="24"/>
          <w:szCs w:val="24"/>
        </w:rPr>
        <w:t xml:space="preserve">（</w:t>
      </w:r>
      <w:r>
        <w:rPr>
          <w:rFonts w:hint="eastAsia" w:cs="宋体"/>
          <w:b/>
          <w:sz w:val="24"/>
          <w:szCs w:val="24"/>
          <w:lang w:val="en-US" w:eastAsia="zh-CN"/>
        </w:rPr>
        <w:t xml:space="preserve">供应商</w:t>
      </w:r>
      <w:r>
        <w:rPr>
          <w:rFonts w:cs="宋体"/>
          <w:b/>
          <w:sz w:val="24"/>
          <w:szCs w:val="24"/>
        </w:rPr>
        <w:t xml:space="preserve">）:</w:t>
      </w:r>
      <w:r>
        <w:rPr>
          <w:rFonts w:cs="宋体"/>
          <w:b/>
          <w:sz w:val="24"/>
          <w:szCs w:val="24"/>
          <w:u w:val="single"/>
        </w:rPr>
        <w:t xml:space="preserve">                         </w:t>
      </w:r>
      <w:r/>
    </w:p>
    <w:p>
      <w:pPr>
        <w:pStyle w:val="1180"/>
        <w:ind w:firstLine="480"/>
        <w:spacing w:line="360" w:lineRule="auto"/>
        <w:rPr>
          <w:rFonts w:cs="宋体"/>
          <w:sz w:val="24"/>
          <w:szCs w:val="24"/>
        </w:rPr>
      </w:pPr>
      <w:r>
        <w:rPr>
          <w:rFonts w:cs="宋体"/>
          <w:sz w:val="24"/>
          <w:szCs w:val="24"/>
        </w:rPr>
        <w:t xml:space="preserve">甲乙双方依据《中华人民共和国民法典》以及有关法律、法规的规定，经协商一致，订立本合同，以便共同遵守。</w:t>
      </w:r>
      <w:r/>
    </w:p>
    <w:p>
      <w:pPr>
        <w:pStyle w:val="1180"/>
        <w:ind w:firstLine="482"/>
        <w:spacing w:line="360" w:lineRule="auto"/>
        <w:rPr>
          <w:rFonts w:cs="宋体"/>
          <w:b/>
          <w:sz w:val="24"/>
          <w:szCs w:val="24"/>
        </w:rPr>
      </w:pPr>
      <w:r>
        <w:rPr>
          <w:rFonts w:cs="宋体"/>
          <w:b/>
          <w:sz w:val="24"/>
          <w:szCs w:val="24"/>
        </w:rPr>
        <w:t xml:space="preserve">第一条 合同标的</w:t>
      </w:r>
      <w:r/>
    </w:p>
    <w:p>
      <w:pPr>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乙方根据甲方需求提供下列服务：</w:t>
      </w:r>
      <w:r>
        <w:rPr>
          <w:rFonts w:hint="eastAsia" w:ascii="宋体" w:hAnsi="宋体" w:cs="宋体"/>
          <w:sz w:val="24"/>
          <w:u w:val="single"/>
          <w:lang w:val="zh-CN"/>
        </w:rPr>
        <w:t xml:space="preserve">         </w:t>
      </w:r>
      <w:r>
        <w:rPr>
          <w:rFonts w:hint="eastAsia" w:ascii="宋体" w:hAnsi="宋体" w:cs="宋体"/>
          <w:sz w:val="24"/>
          <w:lang w:val="zh-CN"/>
        </w:rPr>
        <w:t xml:space="preserve">，</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p>
    <w:p>
      <w:pPr>
        <w:pStyle w:val="1180"/>
        <w:ind w:firstLine="482"/>
        <w:spacing w:line="360" w:lineRule="auto"/>
        <w:rPr>
          <w:rFonts w:cs="宋体"/>
          <w:b/>
          <w:sz w:val="24"/>
          <w:szCs w:val="24"/>
        </w:rPr>
      </w:pPr>
      <w:r>
        <w:rPr>
          <w:rFonts w:cs="宋体"/>
          <w:b/>
          <w:sz w:val="24"/>
          <w:szCs w:val="24"/>
        </w:rPr>
        <w:t xml:space="preserve">第二条 合同价格</w:t>
      </w:r>
      <w:r/>
    </w:p>
    <w:p>
      <w:pPr>
        <w:pStyle w:val="1180"/>
        <w:ind w:firstLine="482"/>
        <w:jc w:val="left"/>
        <w:spacing w:line="360" w:lineRule="auto"/>
        <w:rPr>
          <w:rFonts w:cs="宋体"/>
          <w:b/>
          <w:sz w:val="24"/>
          <w:szCs w:val="24"/>
        </w:rPr>
      </w:pPr>
      <w:r>
        <w:rPr>
          <w:rFonts w:cs="宋体"/>
          <w:b/>
          <w:sz w:val="24"/>
          <w:szCs w:val="24"/>
        </w:rPr>
        <w:t xml:space="preserve">签约合同总价（人民币，下同）：</w:t>
      </w:r>
      <w:r/>
    </w:p>
    <w:p>
      <w:pPr>
        <w:pStyle w:val="1180"/>
        <w:ind w:firstLine="482"/>
        <w:jc w:val="left"/>
        <w:spacing w:line="360" w:lineRule="auto"/>
        <w:rPr>
          <w:rFonts w:cs="宋体"/>
          <w:b/>
          <w:sz w:val="24"/>
          <w:szCs w:val="24"/>
        </w:rPr>
      </w:pPr>
      <w:r>
        <w:rPr>
          <w:rFonts w:cs="宋体"/>
          <w:b/>
          <w:sz w:val="24"/>
          <w:szCs w:val="24"/>
        </w:rPr>
        <w:t xml:space="preserve">签约人均保费价格:</w:t>
      </w:r>
      <w:r>
        <w:rPr>
          <w:rFonts w:cs="宋体"/>
          <w:b/>
          <w:sz w:val="24"/>
          <w:szCs w:val="24"/>
          <w:u w:val="single"/>
        </w:rPr>
        <w:t xml:space="preserve">                </w:t>
      </w:r>
      <w:r>
        <w:rPr>
          <w:rFonts w:cs="宋体"/>
          <w:b/>
          <w:sz w:val="24"/>
          <w:szCs w:val="24"/>
        </w:rPr>
        <w:t xml:space="preserve">元，人民币(小写</w:t>
      </w:r>
      <w:r>
        <w:rPr>
          <w:rFonts w:cs="宋体"/>
          <w:b/>
          <w:sz w:val="24"/>
          <w:szCs w:val="24"/>
          <w:u w:val="single"/>
        </w:rPr>
        <w:t xml:space="preserve">         ）；</w:t>
      </w:r>
      <w:r/>
    </w:p>
    <w:p>
      <w:pPr>
        <w:pStyle w:val="1180"/>
        <w:ind w:firstLine="480"/>
        <w:spacing w:line="360" w:lineRule="auto"/>
        <w:rPr>
          <w:rFonts w:cs="宋体"/>
          <w:sz w:val="24"/>
          <w:szCs w:val="24"/>
        </w:rPr>
      </w:pPr>
      <w:r>
        <w:rPr>
          <w:rFonts w:cs="宋体"/>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180"/>
        <w:ind w:firstLine="482"/>
        <w:spacing w:line="360" w:lineRule="auto"/>
        <w:rPr>
          <w:rFonts w:cs="宋体"/>
          <w:b/>
          <w:sz w:val="24"/>
          <w:szCs w:val="24"/>
        </w:rPr>
      </w:pPr>
      <w:r>
        <w:rPr>
          <w:rFonts w:cs="宋体"/>
          <w:b/>
          <w:sz w:val="24"/>
          <w:szCs w:val="24"/>
        </w:rPr>
        <w:t xml:space="preserve">第三条 合同履行期限</w:t>
      </w:r>
      <w:r/>
    </w:p>
    <w:p>
      <w:pPr>
        <w:ind w:firstLine="480"/>
        <w:spacing w:line="360" w:lineRule="auto"/>
        <w:rPr>
          <w:rFonts w:ascii="宋体" w:hAnsi="宋体" w:cs="宋体"/>
          <w:sz w:val="24"/>
        </w:rPr>
      </w:pPr>
      <w:r>
        <w:rPr>
          <w:rFonts w:hint="eastAsia" w:ascii="宋体" w:hAnsi="宋体" w:cs="宋体"/>
          <w:sz w:val="24"/>
        </w:rPr>
        <w:t xml:space="preserve">本项目服务期限为</w:t>
      </w:r>
      <w:r>
        <w:rPr>
          <w:rFonts w:hint="eastAsia" w:ascii="宋体" w:hAnsi="宋体" w:cs="宋体"/>
          <w:sz w:val="24"/>
          <w:u w:val="single"/>
        </w:rPr>
        <w:t xml:space="preserve"> </w:t>
      </w:r>
      <w:r>
        <w:rPr>
          <w:rFonts w:hint="eastAsia" w:ascii="宋体" w:hAnsi="宋体" w:cs="宋体"/>
          <w:sz w:val="24"/>
          <w:u w:val="single"/>
          <w:lang w:val="en-US" w:eastAsia="zh-CN"/>
        </w:rPr>
        <w:t xml:space="preserve">1</w:t>
      </w:r>
      <w:r>
        <w:rPr>
          <w:rFonts w:hint="eastAsia" w:ascii="宋体" w:hAnsi="宋体" w:cs="宋体"/>
          <w:sz w:val="24"/>
          <w:u w:val="single"/>
        </w:rPr>
        <w:t xml:space="preserve"> </w:t>
      </w:r>
      <w:r>
        <w:rPr>
          <w:rFonts w:hint="eastAsia" w:ascii="宋体" w:hAnsi="宋体" w:cs="宋体"/>
          <w:sz w:val="24"/>
        </w:rPr>
        <w:t xml:space="preserve">年（    6年  月  日至    年  月  日），合同金额按实际发生参保人数结算。</w:t>
      </w:r>
      <w:r/>
    </w:p>
    <w:p>
      <w:pPr>
        <w:pStyle w:val="1180"/>
        <w:ind w:firstLine="482"/>
        <w:spacing w:line="360" w:lineRule="auto"/>
        <w:rPr>
          <w:rFonts w:cs="宋体"/>
          <w:b/>
          <w:sz w:val="24"/>
          <w:szCs w:val="24"/>
        </w:rPr>
      </w:pPr>
      <w:r>
        <w:rPr>
          <w:rFonts w:cs="宋体"/>
          <w:b/>
          <w:sz w:val="24"/>
          <w:szCs w:val="24"/>
        </w:rPr>
        <w:t xml:space="preserve">第四条 组成本合同的有关文件</w:t>
      </w:r>
      <w:r/>
    </w:p>
    <w:p>
      <w:pPr>
        <w:pStyle w:val="1180"/>
        <w:ind w:firstLine="480"/>
        <w:spacing w:line="360" w:lineRule="auto"/>
        <w:rPr>
          <w:rFonts w:cs="宋体"/>
          <w:sz w:val="24"/>
          <w:szCs w:val="24"/>
        </w:rPr>
      </w:pPr>
      <w:r>
        <w:rPr>
          <w:rFonts w:cs="宋体"/>
          <w:sz w:val="24"/>
          <w:szCs w:val="24"/>
        </w:rPr>
        <w:t xml:space="preserve">下列与本次采购活动有关的文件及有关附件是本合同不可分割的组成部分，与本合同具有同等法律效力，这些文件包括但不限于：</w:t>
      </w:r>
      <w:r/>
    </w:p>
    <w:p>
      <w:pPr>
        <w:pStyle w:val="1180"/>
        <w:ind w:firstLine="480"/>
        <w:spacing w:line="360" w:lineRule="auto"/>
        <w:rPr>
          <w:rFonts w:cs="宋体"/>
          <w:sz w:val="24"/>
          <w:szCs w:val="24"/>
        </w:rPr>
      </w:pPr>
      <w:r>
        <w:rPr>
          <w:rFonts w:cs="宋体"/>
          <w:sz w:val="24"/>
          <w:szCs w:val="24"/>
        </w:rPr>
        <w:t xml:space="preserve">（1）招标文件（编号：  </w:t>
      </w:r>
      <w:r>
        <w:rPr>
          <w:rFonts w:hint="eastAsia" w:cs="宋体"/>
          <w:sz w:val="24"/>
          <w:szCs w:val="24"/>
          <w:lang w:val="en-US" w:eastAsia="zh-CN"/>
        </w:rPr>
        <w:t xml:space="preserve">  </w:t>
      </w:r>
      <w:r>
        <w:rPr>
          <w:rFonts w:cs="宋体"/>
          <w:sz w:val="24"/>
          <w:szCs w:val="24"/>
        </w:rPr>
        <w:t xml:space="preserve"> ）             （2）乙方提供的投标文件； </w:t>
      </w:r>
      <w:r/>
    </w:p>
    <w:p>
      <w:pPr>
        <w:pStyle w:val="1180"/>
        <w:ind w:firstLine="480"/>
        <w:spacing w:line="360" w:lineRule="auto"/>
        <w:rPr>
          <w:rFonts w:cs="宋体"/>
          <w:sz w:val="24"/>
          <w:szCs w:val="24"/>
        </w:rPr>
      </w:pPr>
      <w:r>
        <w:rPr>
          <w:rFonts w:cs="宋体"/>
          <w:sz w:val="24"/>
          <w:szCs w:val="24"/>
        </w:rPr>
        <w:t xml:space="preserve">（3）中标通知书；                        （4）甲乙双方商定的其他文件等。</w:t>
      </w:r>
      <w:r/>
    </w:p>
    <w:p>
      <w:pPr>
        <w:ind w:firstLine="482"/>
        <w:spacing w:line="360" w:lineRule="auto"/>
        <w:rPr>
          <w:rFonts w:ascii="宋体" w:hAnsi="宋体" w:cs="宋体"/>
          <w:b/>
          <w:sz w:val="24"/>
        </w:rPr>
      </w:pPr>
      <w:r>
        <w:rPr>
          <w:rFonts w:hint="eastAsia" w:ascii="宋体" w:hAnsi="宋体" w:cs="宋体"/>
          <w:b/>
          <w:sz w:val="24"/>
        </w:rPr>
        <w:t xml:space="preserve">第五条 合同款结算及支付</w:t>
      </w:r>
      <w:r/>
    </w:p>
    <w:p>
      <w:pPr>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p>
    <w:p>
      <w:pPr>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p>
    <w:p>
      <w:pPr>
        <w:ind w:firstLine="480"/>
        <w:spacing w:line="360" w:lineRule="auto"/>
        <w:rPr>
          <w:rFonts w:hint="eastAsia" w:ascii="宋体" w:hAnsi="宋体" w:cs="宋体"/>
          <w:sz w:val="24"/>
        </w:rPr>
      </w:pPr>
      <w:r>
        <w:rPr>
          <w:rFonts w:hint="eastAsia" w:ascii="宋体" w:hAnsi="宋体" w:cs="宋体"/>
          <w:sz w:val="24"/>
        </w:rPr>
        <w:t xml:space="preserve">3.结算原则：固定单价。</w:t>
      </w:r>
      <w:r/>
    </w:p>
    <w:p>
      <w:pPr>
        <w:ind w:firstLine="480"/>
        <w:spacing w:line="360" w:lineRule="auto"/>
        <w:rPr>
          <w:rFonts w:hint="default" w:ascii="宋体" w:hAnsi="宋体" w:cs="宋体"/>
          <w:sz w:val="24"/>
          <w:highlight w:val="red"/>
          <w:lang w:val="en-US"/>
        </w:rPr>
      </w:pPr>
      <w:r>
        <w:rPr>
          <w:rFonts w:hint="eastAsia" w:ascii="宋体" w:hAnsi="宋体" w:cs="宋体"/>
          <w:sz w:val="24"/>
          <w:highlight w:val="none"/>
        </w:rPr>
        <w:t xml:space="preserve">4.付款方式：</w:t>
      </w:r>
      <w:r>
        <w:rPr>
          <w:rFonts w:hint="eastAsia" w:cs="Times New Roman"/>
          <w:sz w:val="24"/>
          <w:highlight w:val="none"/>
          <w:lang w:val="en-US" w:eastAsia="zh-CN"/>
        </w:rPr>
        <w:t xml:space="preserve">合同签订后，在办理投保手续时，一次性付清保险费（按实际发生参保人数计算）</w:t>
      </w:r>
      <w:r/>
    </w:p>
    <w:p>
      <w:pPr>
        <w:ind w:firstLine="482"/>
        <w:spacing w:line="360" w:lineRule="auto"/>
        <w:rPr>
          <w:rFonts w:ascii="宋体" w:hAnsi="宋体" w:cs="宋体"/>
          <w:b/>
          <w:sz w:val="24"/>
        </w:rPr>
      </w:pPr>
      <w:r>
        <w:rPr>
          <w:rFonts w:hint="eastAsia" w:ascii="宋体" w:hAnsi="宋体" w:cs="宋体"/>
          <w:b/>
          <w:sz w:val="24"/>
        </w:rPr>
        <w:t xml:space="preserve">第六条 违约责任</w:t>
      </w:r>
      <w:r/>
    </w:p>
    <w:p>
      <w:pPr>
        <w:ind w:firstLine="480"/>
        <w:spacing w:line="360" w:lineRule="auto"/>
        <w:rPr>
          <w:rFonts w:hint="eastAsia"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p>
    <w:p>
      <w:pPr>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2.甲方未按合同规定的期限向乙方支付的，每逾期1天甲方向乙方偿付欠款总额的5‰滞纳金，但累计滞纳金总额不超过欠款总额的5% 。</w:t>
      </w:r>
      <w:r/>
    </w:p>
    <w:p>
      <w:pPr>
        <w:ind w:firstLine="480"/>
        <w:spacing w:line="360" w:lineRule="auto"/>
        <w:rPr>
          <w:rFonts w:hint="eastAsia"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p>
    <w:p>
      <w:pPr>
        <w:ind w:firstLine="480"/>
        <w:spacing w:line="360" w:lineRule="auto"/>
        <w:rPr>
          <w:rFonts w:hint="eastAsia" w:ascii="宋体" w:hAnsi="宋体" w:cs="宋体"/>
          <w:sz w:val="24"/>
        </w:rPr>
      </w:pPr>
      <w:r>
        <w:rPr>
          <w:rFonts w:hint="eastAsia" w:ascii="宋体" w:hAnsi="宋体" w:cs="宋体"/>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sz w:val="24"/>
        </w:rPr>
      </w:pPr>
      <w:r>
        <w:rPr>
          <w:rFonts w:hint="eastAsia" w:ascii="宋体" w:hAnsi="宋体" w:cs="宋体"/>
          <w:sz w:val="24"/>
        </w:rPr>
        <w:t xml:space="preserve">5.乙方属虚假承诺，或是由于乙方的过错造成合同无法继续履行的，应向甲方支付不少于合同总价30%违约金，若该违约金不足以弥补甲方损失，则应当赔偿甲方所有损失。</w:t>
      </w:r>
      <w:r/>
    </w:p>
    <w:p>
      <w:pPr>
        <w:ind w:firstLine="480"/>
        <w:spacing w:line="360" w:lineRule="auto"/>
        <w:rPr>
          <w:rFonts w:hint="eastAsia" w:ascii="宋体" w:hAnsi="宋体" w:cs="宋体"/>
          <w:sz w:val="24"/>
        </w:rPr>
      </w:pPr>
      <w:r>
        <w:rPr>
          <w:rFonts w:hint="eastAsia" w:ascii="宋体" w:hAnsi="宋体" w:cs="宋体"/>
          <w:sz w:val="24"/>
        </w:rPr>
        <w:t xml:space="preserve">6.其他未尽事宜，以《民法典》等有关法律法规规定为准，无相关规定的，双方协商解决。</w:t>
      </w:r>
      <w:r/>
    </w:p>
    <w:p>
      <w:pPr>
        <w:ind w:firstLine="482"/>
        <w:spacing w:line="360" w:lineRule="auto"/>
        <w:rPr>
          <w:rFonts w:ascii="宋体" w:hAnsi="宋体" w:cs="宋体"/>
          <w:b/>
          <w:sz w:val="24"/>
        </w:rPr>
      </w:pPr>
      <w:r>
        <w:rPr>
          <w:rFonts w:hint="eastAsia" w:ascii="宋体" w:hAnsi="宋体" w:cs="宋体"/>
          <w:b/>
          <w:sz w:val="24"/>
        </w:rPr>
        <w:t xml:space="preserve">第七条 合同的变更和终止</w:t>
      </w:r>
      <w:r/>
    </w:p>
    <w:p>
      <w:pPr>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p>
    <w:p>
      <w:pPr>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p>
    <w:p>
      <w:pPr>
        <w:ind w:firstLine="482"/>
        <w:spacing w:line="360" w:lineRule="auto"/>
        <w:rPr>
          <w:rFonts w:ascii="宋体" w:hAnsi="宋体" w:cs="宋体"/>
          <w:b/>
          <w:sz w:val="24"/>
        </w:rPr>
      </w:pPr>
      <w:r>
        <w:rPr>
          <w:rFonts w:hint="eastAsia" w:ascii="宋体" w:hAnsi="宋体" w:cs="宋体"/>
          <w:b/>
          <w:sz w:val="24"/>
        </w:rPr>
        <w:t xml:space="preserve">第八条 合同的转让</w:t>
      </w:r>
      <w:r/>
    </w:p>
    <w:p>
      <w:pPr>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p>
    <w:p>
      <w:pPr>
        <w:ind w:firstLine="482"/>
        <w:spacing w:line="360" w:lineRule="auto"/>
        <w:rPr>
          <w:rFonts w:ascii="宋体" w:hAnsi="宋体" w:cs="宋体"/>
          <w:b/>
          <w:sz w:val="24"/>
        </w:rPr>
      </w:pPr>
      <w:r>
        <w:rPr>
          <w:rFonts w:hint="eastAsia" w:ascii="宋体" w:hAnsi="宋体" w:cs="宋体"/>
          <w:b/>
          <w:sz w:val="24"/>
        </w:rPr>
        <w:t xml:space="preserve">第九条 不可抗力</w:t>
      </w:r>
      <w:r/>
    </w:p>
    <w:p>
      <w:pPr>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p>
    <w:p>
      <w:pPr>
        <w:ind w:firstLine="482"/>
        <w:spacing w:line="360" w:lineRule="auto"/>
        <w:rPr>
          <w:rFonts w:ascii="宋体" w:hAnsi="宋体" w:cs="宋体"/>
          <w:b/>
          <w:sz w:val="24"/>
        </w:rPr>
      </w:pPr>
      <w:r>
        <w:rPr>
          <w:rFonts w:hint="eastAsia" w:ascii="宋体" w:hAnsi="宋体" w:cs="宋体"/>
          <w:b/>
          <w:sz w:val="24"/>
        </w:rPr>
        <w:t xml:space="preserve">第十条 争议的解决</w:t>
      </w:r>
      <w:r/>
    </w:p>
    <w:p>
      <w:pPr>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p>
    <w:p>
      <w:pPr>
        <w:ind w:firstLine="480"/>
        <w:spacing w:line="360" w:lineRule="auto"/>
        <w:rPr>
          <w:rFonts w:ascii="宋体" w:hAnsi="宋体" w:cs="宋体"/>
          <w:sz w:val="24"/>
        </w:rPr>
      </w:pPr>
      <w:r>
        <w:rPr>
          <w:rFonts w:hint="eastAsia" w:ascii="宋体" w:hAnsi="宋体" w:cs="宋体"/>
          <w:sz w:val="24"/>
        </w:rPr>
        <w:t xml:space="preserve">（1）向甲方所在地人民法院提起诉讼；</w:t>
      </w:r>
      <w:r/>
    </w:p>
    <w:p>
      <w:pPr>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p>
    <w:p>
      <w:pPr>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p>
    <w:p>
      <w:pPr>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p>
    <w:p>
      <w:pPr>
        <w:ind w:firstLine="482"/>
        <w:spacing w:line="360" w:lineRule="auto"/>
        <w:rPr>
          <w:rFonts w:ascii="宋体" w:hAnsi="宋体" w:cs="宋体"/>
          <w:b/>
          <w:sz w:val="24"/>
        </w:rPr>
      </w:pPr>
      <w:r>
        <w:rPr>
          <w:rFonts w:hint="eastAsia" w:ascii="宋体" w:hAnsi="宋体" w:cs="宋体"/>
          <w:b/>
          <w:sz w:val="24"/>
        </w:rPr>
        <w:t xml:space="preserve">第十一条 诚实信用 </w:t>
      </w:r>
      <w:r/>
    </w:p>
    <w:p>
      <w:pPr>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sz w:val="24"/>
        </w:rPr>
      </w:pPr>
      <w:r>
        <w:rPr>
          <w:rFonts w:hint="eastAsia" w:ascii="宋体" w:hAnsi="宋体" w:cs="宋体"/>
          <w:b/>
          <w:sz w:val="24"/>
        </w:rPr>
        <w:t xml:space="preserve">第十二条 合同生效及其他</w:t>
      </w:r>
      <w:r/>
    </w:p>
    <w:p>
      <w:pPr>
        <w:ind w:firstLine="480"/>
        <w:spacing w:line="360" w:lineRule="auto"/>
        <w:rPr>
          <w:rFonts w:hint="eastAsia" w:ascii="宋体" w:hAnsi="宋体" w:cs="宋体"/>
          <w:sz w:val="24"/>
        </w:rPr>
      </w:pPr>
      <w:r>
        <w:rPr>
          <w:rFonts w:hint="eastAsia" w:ascii="宋体" w:hAnsi="宋体" w:cs="宋体"/>
          <w:sz w:val="24"/>
        </w:rPr>
        <w:t xml:space="preserve">1.本合同自经甲乙双方授权代表签订并加盖公章后，自签订之日起生效。</w:t>
      </w:r>
      <w:r/>
    </w:p>
    <w:p>
      <w:pPr>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p>
    <w:p>
      <w:pPr>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spacing w:line="360" w:lineRule="auto"/>
        <w:rPr>
          <w:rFonts w:ascii="宋体" w:hAnsi="宋体" w:cs="宋体"/>
          <w:sz w:val="24"/>
          <w:u w:val="single"/>
        </w:rPr>
      </w:pPr>
      <w:r>
        <w:rPr>
          <w:rFonts w:hint="eastAsia" w:ascii="宋体" w:hAnsi="宋体" w:cs="宋体"/>
          <w:sz w:val="24"/>
        </w:rPr>
        <w:t xml:space="preserve">单位名称（章）：                         单位名称（章）：</w:t>
      </w:r>
      <w:r/>
    </w:p>
    <w:p>
      <w:pPr>
        <w:spacing w:line="360" w:lineRule="auto"/>
        <w:rPr>
          <w:rFonts w:ascii="宋体" w:hAnsi="宋体" w:cs="宋体"/>
          <w:sz w:val="24"/>
          <w:u w:val="single"/>
        </w:rPr>
      </w:pPr>
      <w:r>
        <w:rPr>
          <w:rFonts w:hint="eastAsia" w:ascii="宋体" w:hAnsi="宋体" w:cs="宋体"/>
          <w:sz w:val="24"/>
        </w:rPr>
        <w:t xml:space="preserve">单位地址：                               单位地址：</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lang w:val="en-US" w:eastAsia="zh-CN"/>
        </w:rPr>
        <w:t xml:space="preserve">                               </w:t>
      </w:r>
      <w:r>
        <w:rPr>
          <w:rFonts w:hint="eastAsia" w:ascii="宋体" w:hAnsi="宋体" w:cs="宋体"/>
          <w:sz w:val="24"/>
        </w:rPr>
        <w:t xml:space="preserve">法定代表人</w:t>
      </w:r>
      <w:r/>
    </w:p>
    <w:p>
      <w:pPr>
        <w:spacing w:line="360" w:lineRule="auto"/>
        <w:rPr>
          <w:rFonts w:ascii="宋体" w:hAnsi="宋体" w:cs="宋体"/>
          <w:sz w:val="24"/>
        </w:rPr>
      </w:pPr>
      <w:r>
        <w:rPr>
          <w:rFonts w:hint="eastAsia" w:ascii="宋体" w:hAnsi="宋体" w:cs="宋体"/>
          <w:sz w:val="24"/>
          <w:lang w:val="en-US" w:eastAsia="zh-CN"/>
        </w:rPr>
        <w:t xml:space="preserve">或</w:t>
      </w:r>
      <w:r>
        <w:rPr>
          <w:rFonts w:hint="eastAsia" w:ascii="宋体" w:hAnsi="宋体" w:cs="宋体"/>
          <w:sz w:val="24"/>
        </w:rPr>
        <w:t xml:space="preserve">委托代理人</w:t>
      </w:r>
      <w:r>
        <w:rPr>
          <w:rFonts w:hint="eastAsia" w:ascii="宋体" w:hAnsi="宋体" w:cs="宋体"/>
          <w:sz w:val="24"/>
          <w:lang w:eastAsia="zh-CN"/>
        </w:rPr>
        <w:t xml:space="preserve">（</w:t>
      </w:r>
      <w:r>
        <w:rPr>
          <w:rFonts w:hint="eastAsia" w:ascii="宋体" w:hAnsi="宋体" w:cs="宋体"/>
          <w:sz w:val="24"/>
          <w:lang w:val="en-US" w:eastAsia="zh-CN"/>
        </w:rPr>
        <w:t xml:space="preserve">签字</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sz w:val="24"/>
          <w:lang w:val="en-US" w:eastAsia="zh-CN"/>
        </w:rPr>
        <w:t xml:space="preserve"> 或</w:t>
      </w:r>
      <w:r>
        <w:rPr>
          <w:rFonts w:hint="eastAsia" w:ascii="宋体" w:hAnsi="宋体" w:cs="宋体"/>
          <w:sz w:val="24"/>
        </w:rPr>
        <w:t xml:space="preserve">委托代理人</w:t>
      </w:r>
      <w:r>
        <w:rPr>
          <w:rFonts w:hint="eastAsia" w:ascii="宋体" w:hAnsi="宋体" w:cs="宋体"/>
          <w:sz w:val="24"/>
          <w:lang w:eastAsia="zh-CN"/>
        </w:rPr>
        <w:t xml:space="preserve">（</w:t>
      </w:r>
      <w:r>
        <w:rPr>
          <w:rFonts w:hint="eastAsia" w:ascii="宋体" w:hAnsi="宋体" w:cs="宋体"/>
          <w:sz w:val="24"/>
          <w:lang w:val="en-US" w:eastAsia="zh-CN"/>
        </w:rPr>
        <w:t xml:space="preserve">签字</w:t>
      </w:r>
      <w:r>
        <w:rPr>
          <w:rFonts w:hint="eastAsia" w:ascii="宋体" w:hAnsi="宋体" w:cs="宋体"/>
          <w:sz w:val="24"/>
          <w:lang w:eastAsia="zh-CN"/>
        </w:rPr>
        <w:t xml:space="preserve">）</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电话：                                   电话：            传真：</w:t>
      </w:r>
      <w:r/>
    </w:p>
    <w:p>
      <w:pPr>
        <w:rPr>
          <w:rFonts w:hint="eastAsia" w:ascii="宋体" w:hAnsi="宋体" w:cs="宋体"/>
          <w:szCs w:val="21"/>
        </w:rPr>
      </w:pPr>
      <w:r>
        <w:rPr>
          <w:rFonts w:hint="eastAsia" w:ascii="宋体" w:hAnsi="宋体" w:cs="宋体"/>
          <w:sz w:val="24"/>
        </w:rPr>
        <w:t xml:space="preserve">传真：                                   开户银行：        账号</w:t>
      </w:r>
      <w:r>
        <w:rPr>
          <w:rFonts w:hint="eastAsia" w:ascii="宋体" w:hAnsi="宋体" w:cs="宋体"/>
          <w:szCs w:val="21"/>
        </w:rPr>
        <w:t xml:space="preserve">：   </w:t>
      </w:r>
      <w:r/>
    </w:p>
    <w:p>
      <w:pPr>
        <w:rPr>
          <w:rFonts w:hint="eastAsia" w:ascii="宋体" w:hAnsi="宋体" w:cs="宋体"/>
          <w:szCs w:val="21"/>
          <w:lang w:val="en-US" w:eastAsia="zh-CN"/>
        </w:rPr>
      </w:pPr>
      <w:r>
        <w:rPr>
          <w:rFonts w:hint="eastAsia" w:ascii="宋体" w:hAnsi="宋体" w:cs="宋体"/>
          <w:szCs w:val="21"/>
          <w:lang w:val="en-US" w:eastAsia="zh-CN"/>
        </w:rPr>
        <w:t xml:space="preserve"> </w:t>
      </w:r>
      <w:r/>
    </w:p>
    <w:p>
      <w:pPr>
        <w:rPr>
          <w:rFonts w:ascii="宋体" w:hAnsi="宋体" w:eastAsia="宋体" w:cs="宋体"/>
          <w:sz w:val="24"/>
          <w:lang w:val="en-US" w:eastAsia="zh-CN"/>
        </w:rPr>
      </w:pPr>
      <w:r>
        <w:rPr>
          <w:rFonts w:hint="eastAsia" w:ascii="宋体" w:hAnsi="宋体" w:eastAsia="宋体" w:cs="宋体"/>
          <w:sz w:val="24"/>
          <w:lang w:val="en-US" w:eastAsia="zh-CN"/>
        </w:rPr>
        <w:t xml:space="preserve">日期：  年  月  日                       日期：  年  月  日</w:t>
      </w:r>
      <w:r/>
    </w:p>
    <w:p>
      <w:pPr>
        <w:rPr>
          <w:rFonts w:ascii="宋体" w:hAnsi="宋体" w:eastAsia="宋体" w:cs="宋体"/>
          <w:sz w:val="24"/>
          <w:lang w:val="en-US" w:eastAsia="zh-CN"/>
        </w:rPr>
      </w:pPr>
      <w:r>
        <w:rPr>
          <w:rFonts w:ascii="宋体" w:hAnsi="宋体" w:eastAsia="宋体" w:cs="宋体"/>
          <w:sz w:val="24"/>
          <w:lang w:val="en-US" w:eastAsia="zh-CN"/>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ind w:firstLine="3132"/>
        <w:jc w:val="left"/>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章   响应文件格式</w:t>
      </w:r>
      <w:bookmarkEnd w:id="671"/>
      <w:r/>
      <w:r/>
    </w:p>
    <w:p>
      <w:pPr>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ind w:left="142"/>
        <w:spacing w:line="360" w:lineRule="auto"/>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jc w:val="left"/>
        <w:widowControl/>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144"/>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144"/>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144"/>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144"/>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144"/>
        <w:rPr>
          <w:rFonts w:hint="eastAsia" w:ascii="宋体" w:hAnsi="宋体" w:eastAsia="宋体" w:cs="宋体"/>
          <w:b w:val="0"/>
          <w:color w:val="000000"/>
          <w:spacing w:val="20"/>
          <w:sz w:val="24"/>
          <w:szCs w:val="24"/>
          <w:highlight w:val="none"/>
        </w:rPr>
      </w:pPr>
      <w:r>
        <w:rPr>
          <w:rFonts w:hint="eastAsia" w:ascii="宋体" w:hAnsi="宋体" w:eastAsia="宋体" w:cs="宋体"/>
          <w:b w:val="0"/>
          <w:color w:val="000000"/>
          <w:spacing w:val="20"/>
          <w:sz w:val="24"/>
          <w:szCs w:val="24"/>
          <w:highlight w:val="none"/>
        </w:rPr>
      </w:r>
      <w:r/>
    </w:p>
    <w:p>
      <w:pPr>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1172"/>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both"/>
        <w:rPr>
          <w:b/>
          <w:spacing w:val="60"/>
          <w:sz w:val="84"/>
          <w:szCs w:val="84"/>
        </w:rPr>
      </w:pPr>
      <w:r>
        <w:rPr>
          <w:b/>
          <w:spacing w:val="60"/>
          <w:sz w:val="84"/>
          <w:szCs w:val="84"/>
        </w:rPr>
      </w:r>
      <w:r/>
    </w:p>
    <w:p>
      <w:pPr>
        <w:jc w:val="center"/>
        <w:rPr>
          <w:b/>
          <w:spacing w:val="60"/>
          <w:sz w:val="84"/>
          <w:szCs w:val="84"/>
        </w:rPr>
      </w:pPr>
      <w:r>
        <w:rPr>
          <w:rFonts w:hint="eastAsia"/>
          <w:b/>
          <w:spacing w:val="60"/>
          <w:sz w:val="84"/>
          <w:szCs w:val="84"/>
          <w:lang w:val="en-US" w:eastAsia="zh-CN"/>
        </w:rPr>
        <w:t xml:space="preserve">响  应</w:t>
      </w:r>
      <w:r>
        <w:rPr>
          <w:b/>
          <w:spacing w:val="60"/>
          <w:sz w:val="84"/>
          <w:szCs w:val="84"/>
        </w:rPr>
        <w:t xml:space="preserve"> 文 件</w:t>
      </w:r>
      <w:r/>
    </w:p>
    <w:p>
      <w:pPr>
        <w:ind w:firstLine="963"/>
        <w:rPr>
          <w:rFonts w:hint="eastAsia"/>
          <w:b/>
          <w:spacing w:val="60"/>
          <w:sz w:val="52"/>
          <w:szCs w:val="52"/>
        </w:rPr>
      </w:pPr>
      <w:r>
        <w:rPr>
          <w:rFonts w:hint="eastAsia"/>
          <w:b/>
          <w:spacing w:val="60"/>
          <w:sz w:val="52"/>
          <w:szCs w:val="52"/>
        </w:rPr>
      </w:r>
      <w:r/>
    </w:p>
    <w:p>
      <w:pPr>
        <w:rPr>
          <w:rFonts w:hint="eastAsia"/>
          <w:b/>
          <w:spacing w:val="60"/>
          <w:sz w:val="52"/>
          <w:szCs w:val="52"/>
        </w:rPr>
      </w:pPr>
      <w:r>
        <w:rPr>
          <w:rFonts w:hint="eastAsia"/>
          <w:b/>
          <w:spacing w:val="60"/>
          <w:sz w:val="52"/>
          <w:szCs w:val="52"/>
        </w:rPr>
      </w:r>
      <w:r/>
    </w:p>
    <w:p>
      <w:pPr>
        <w:ind w:firstLine="963"/>
        <w:rPr>
          <w:rFonts w:hint="eastAsia"/>
          <w:b/>
          <w:spacing w:val="60"/>
          <w:sz w:val="52"/>
          <w:szCs w:val="52"/>
        </w:rPr>
      </w:pPr>
      <w:r>
        <w:rPr>
          <w:rFonts w:hint="eastAsia"/>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216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ind w:firstLine="2168"/>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供应商名称 ：</w:t>
      </w:r>
      <w:r>
        <w:rPr>
          <w:rFonts w:hint="eastAsia" w:ascii="宋体" w:hAnsi="宋体" w:eastAsia="宋体" w:cs="宋体"/>
          <w:b/>
          <w:color w:val="auto"/>
          <w:sz w:val="36"/>
          <w:szCs w:val="36"/>
          <w:highlight w:val="none"/>
          <w:u w:val="single"/>
        </w:rPr>
        <w:t xml:space="preserve">               </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ascii="宋体" w:hAnsi="宋体"/>
          <w:b/>
          <w:sz w:val="32"/>
          <w:szCs w:val="32"/>
        </w:rPr>
      </w:pPr>
      <w:r>
        <w:rPr>
          <w:rFonts w:hint="eastAsia" w:ascii="宋体" w:hAnsi="宋体" w:eastAsia="宋体" w:cs="宋体"/>
          <w:b/>
          <w:color w:val="000000"/>
          <w:spacing w:val="20"/>
          <w:sz w:val="24"/>
          <w:szCs w:val="24"/>
          <w:highlight w:val="none"/>
        </w:rPr>
        <w:br w:type="page" w:clear="all"/>
      </w:r>
      <w:r>
        <w:rPr>
          <w:rFonts w:hint="eastAsia" w:ascii="宋体" w:hAnsi="宋体"/>
          <w:b/>
          <w:sz w:val="32"/>
          <w:szCs w:val="32"/>
        </w:rPr>
        <w:t xml:space="preserve">一、资格证明文件</w:t>
      </w:r>
      <w:r/>
    </w:p>
    <w:p>
      <w:pPr>
        <w:rPr>
          <w:b/>
        </w:rPr>
      </w:pPr>
      <w:r>
        <w:rPr>
          <w:b/>
        </w:rPr>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pStyle w:val="1144"/>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p>
    <w:p>
      <w:pPr>
        <w:pStyle w:val="1144"/>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rPr>
      </w:r>
      <w:r/>
    </w:p>
    <w:p>
      <w:pPr>
        <w:jc w:val="center"/>
        <w:spacing w:before="120"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before="120" w:line="360" w:lineRule="auto"/>
        <w:widowControl/>
        <w:rPr>
          <w:rFonts w:ascii="宋体" w:hAnsi="宋体" w:cs="宋体"/>
          <w:szCs w:val="21"/>
        </w:rPr>
      </w:pPr>
      <w:r/>
      <w:bookmarkStart w:id="672" w:name="_Toc195842922"/>
      <w:r/>
      <w:bookmarkStart w:id="673" w:name="_Toc226965830"/>
      <w:r/>
      <w:bookmarkStart w:id="674" w:name="_Toc520356218"/>
      <w:r/>
      <w:bookmarkStart w:id="675" w:name="_Toc150480795"/>
      <w:r/>
      <w:bookmarkStart w:id="676" w:name="_Toc305158899"/>
      <w:r/>
      <w:bookmarkStart w:id="677" w:name="_Toc264969247"/>
      <w:r/>
      <w:bookmarkStart w:id="678" w:name="_Toc265228395"/>
      <w:r/>
      <w:bookmarkStart w:id="679" w:name="_Toc226309801"/>
      <w:r/>
      <w:bookmarkStart w:id="680" w:name="_Toc480942350"/>
      <w:r/>
      <w:bookmarkStart w:id="681" w:name="_Ref467988705"/>
      <w:r/>
      <w:bookmarkStart w:id="682" w:name="_Toc226965747"/>
      <w:r/>
      <w:bookmarkStart w:id="683" w:name="_Toc226337253"/>
      <w:r/>
      <w:bookmarkStart w:id="684" w:name="_Toc150774762"/>
      <w:r/>
      <w:bookmarkStart w:id="685" w:name="_Toc142311059"/>
      <w:r/>
      <w:bookmarkStart w:id="686" w:name="_Toc127151557"/>
      <w:r/>
      <w:bookmarkStart w:id="687" w:name="_Toc305158825"/>
      <w:r>
        <w:rPr>
          <w:rFonts w:hint="eastAsia" w:ascii="宋体" w:hAnsi="宋体" w:eastAsia="宋体" w:cs="宋体"/>
          <w:b/>
          <w:color w:val="auto"/>
          <w:sz w:val="24"/>
          <w:szCs w:val="24"/>
          <w:highlight w:val="none"/>
        </w:rPr>
        <w:t xml:space="preserve">供应商资格声明函</w:t>
      </w:r>
      <w:r/>
    </w:p>
    <w:p>
      <w:pPr>
        <w:pStyle w:val="1143"/>
        <w:ind w:firstLine="480"/>
        <w:spacing w:line="460" w:lineRule="exact"/>
      </w:pPr>
      <w:r/>
      <w:r/>
    </w:p>
    <w:p>
      <w:pPr>
        <w:pStyle w:val="1143"/>
        <w:ind w:firstLine="480"/>
        <w:spacing w:line="460" w:lineRule="exact"/>
      </w:pPr>
      <w:r>
        <w:rPr>
          <w:rFonts w:hint="eastAsia"/>
        </w:rPr>
        <w:t xml:space="preserve">致：常州市政府采购中心</w:t>
      </w:r>
      <w:r/>
    </w:p>
    <w:p>
      <w:pPr>
        <w:pStyle w:val="1143"/>
        <w:ind w:firstLine="960"/>
        <w:spacing w:line="460" w:lineRule="exact"/>
        <w:rPr>
          <w:u w:val="single"/>
        </w:rPr>
      </w:pPr>
      <w:r>
        <w:rPr>
          <w:rFonts w:hint="eastAsia"/>
          <w:u w:val="single"/>
        </w:rPr>
        <w:t xml:space="preserve">（采购人名称）</w:t>
      </w:r>
      <w:r/>
    </w:p>
    <w:p>
      <w:pPr>
        <w:pStyle w:val="1143"/>
        <w:ind w:firstLine="480"/>
        <w:spacing w:line="460" w:lineRule="exact"/>
      </w:pPr>
      <w:r/>
      <w:r/>
    </w:p>
    <w:p>
      <w:pPr>
        <w:pStyle w:val="1143"/>
        <w:ind w:firstLine="480"/>
        <w:spacing w:line="460" w:lineRule="exact"/>
      </w:pPr>
      <w:r>
        <w:rPr>
          <w:rFonts w:hint="eastAsia"/>
        </w:rPr>
        <w:t xml:space="preserve">按照《中华人民共和国政府采购法》第二十二条和招标文件的规定，我单位郑重声明如下：</w:t>
      </w:r>
      <w:r/>
    </w:p>
    <w:p>
      <w:pPr>
        <w:pStyle w:val="114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43"/>
        <w:ind w:firstLine="480"/>
        <w:spacing w:line="460" w:lineRule="exact"/>
      </w:pPr>
      <w:r>
        <w:rPr>
          <w:rFonts w:hint="eastAsia"/>
        </w:rPr>
        <w:t xml:space="preserve">二、我单位具有良好的商业信誉（指投标人经营状况良好，无本资格声明第十条情形）和健全的财务会计制度。</w:t>
      </w:r>
      <w:r/>
    </w:p>
    <w:p>
      <w:pPr>
        <w:pStyle w:val="1143"/>
        <w:ind w:firstLine="480"/>
        <w:spacing w:line="460" w:lineRule="exact"/>
      </w:pPr>
      <w:r>
        <w:rPr>
          <w:rFonts w:hint="eastAsia"/>
        </w:rPr>
        <w:t xml:space="preserve">三、我单位依法进行纳税和社会保险申报并实际履行了义务。</w:t>
      </w:r>
      <w:r/>
    </w:p>
    <w:p>
      <w:pPr>
        <w:pStyle w:val="114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43"/>
        <w:ind w:firstLine="480"/>
        <w:spacing w:line="460" w:lineRule="exact"/>
      </w:pPr>
      <w:r>
        <w:rPr>
          <w:rFonts w:hint="eastAsia"/>
        </w:rPr>
        <w:t xml:space="preserve">主要设备有：</w:t>
      </w:r>
      <w:r>
        <w:rPr>
          <w:u w:val="single"/>
        </w:rPr>
        <w:t xml:space="preserve">            </w:t>
      </w:r>
      <w:r/>
    </w:p>
    <w:p>
      <w:pPr>
        <w:pStyle w:val="1143"/>
        <w:ind w:firstLine="480"/>
        <w:spacing w:line="460" w:lineRule="exact"/>
      </w:pPr>
      <w:r>
        <w:rPr>
          <w:rFonts w:hint="eastAsia"/>
        </w:rPr>
        <w:t xml:space="preserve">主要专业技术能力有</w:t>
      </w:r>
      <w:r>
        <w:rPr>
          <w:rFonts w:hint="eastAsia"/>
          <w:u w:val="single"/>
        </w:rPr>
        <w:t xml:space="preserve">                 </w:t>
      </w:r>
      <w:r/>
    </w:p>
    <w:p>
      <w:pPr>
        <w:pStyle w:val="114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43"/>
        <w:ind w:firstLine="480"/>
        <w:spacing w:line="460" w:lineRule="exact"/>
      </w:pPr>
      <w:r>
        <w:rPr>
          <w:rFonts w:hint="eastAsia"/>
        </w:rPr>
        <w:t xml:space="preserve">六、我单位具备法律、行政法规规定的其他条件。</w:t>
      </w:r>
      <w:r/>
    </w:p>
    <w:p>
      <w:pPr>
        <w:pStyle w:val="114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4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4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4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4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43"/>
        <w:ind w:firstLine="480"/>
        <w:spacing w:line="460" w:lineRule="exact"/>
      </w:pPr>
      <w:r>
        <w:rPr>
          <w:rFonts w:hint="eastAsia"/>
        </w:rPr>
        <w:t xml:space="preserve">九、</w:t>
      </w:r>
      <w:r>
        <w:t xml:space="preserve">我单位无以下不良信用记录情形：</w:t>
      </w:r>
      <w:r/>
    </w:p>
    <w:p>
      <w:pPr>
        <w:pStyle w:val="1143"/>
        <w:ind w:firstLine="480"/>
        <w:spacing w:line="460" w:lineRule="exact"/>
      </w:pPr>
      <w:r>
        <w:t xml:space="preserve">1</w:t>
      </w:r>
      <w:r>
        <w:rPr>
          <w:rFonts w:hint="eastAsia"/>
        </w:rPr>
        <w:t xml:space="preserve">、在“信用中国”网站被列入失信被执行人和重大税收违法案件当事人名单；</w:t>
      </w:r>
      <w:r/>
    </w:p>
    <w:p>
      <w:pPr>
        <w:pStyle w:val="1143"/>
        <w:ind w:firstLine="480"/>
        <w:spacing w:line="460" w:lineRule="exact"/>
      </w:pPr>
      <w:r>
        <w:t xml:space="preserve">2</w:t>
      </w:r>
      <w:r>
        <w:rPr>
          <w:rFonts w:hint="eastAsia"/>
        </w:rPr>
        <w:t xml:space="preserve">、在“中国政府采购网”网站被列入政府采购严重违法失信行为记录名单；</w:t>
      </w:r>
      <w:r/>
    </w:p>
    <w:p>
      <w:pPr>
        <w:pStyle w:val="1143"/>
        <w:ind w:firstLine="480"/>
        <w:spacing w:line="460" w:lineRule="exact"/>
      </w:pPr>
      <w:r>
        <w:t xml:space="preserve">3</w:t>
      </w:r>
      <w:r>
        <w:rPr>
          <w:rFonts w:hint="eastAsia"/>
        </w:rPr>
        <w:t xml:space="preserve">、</w:t>
      </w:r>
      <w:r>
        <w:t xml:space="preserve">不符合《政府采购法》第二十二条规定的条件。</w:t>
      </w:r>
      <w:r/>
    </w:p>
    <w:p>
      <w:pPr>
        <w:pStyle w:val="1143"/>
        <w:ind w:firstLine="480"/>
        <w:spacing w:line="460" w:lineRule="exact"/>
      </w:pPr>
      <w:r/>
      <w:r/>
    </w:p>
    <w:p>
      <w:pPr>
        <w:pStyle w:val="114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43"/>
        <w:ind w:firstLine="480"/>
        <w:spacing w:line="460" w:lineRule="exact"/>
      </w:pPr>
      <w:r/>
      <w:r/>
    </w:p>
    <w:p>
      <w:pPr>
        <w:pStyle w:val="1143"/>
        <w:ind w:firstLine="480"/>
        <w:spacing w:line="460" w:lineRule="exact"/>
      </w:pPr>
      <w:r/>
      <w:r/>
    </w:p>
    <w:p>
      <w:pPr>
        <w:pStyle w:val="971"/>
        <w:ind w:firstLine="480"/>
        <w:spacing w:line="460" w:lineRule="exact"/>
        <w:rPr>
          <w:rFonts w:hint="eastAsia" w:ascii="宋体" w:hAnsi="宋体" w:eastAsia="宋体" w:cs="宋体"/>
          <w:color w:val="auto"/>
          <w:sz w:val="24"/>
          <w:szCs w:val="24"/>
          <w:highlight w:val="none"/>
        </w:rPr>
      </w:pPr>
      <w:r>
        <w:rPr>
          <w:rFonts w:hint="eastAsia"/>
        </w:rPr>
        <w:t xml:space="preserve">                                            </w:t>
      </w:r>
      <w:r>
        <w:rPr>
          <w:rFonts w:hint="eastAsia" w:ascii="宋体" w:hAnsi="宋体" w:eastAsia="宋体" w:cs="宋体"/>
          <w:color w:val="auto"/>
          <w:sz w:val="24"/>
          <w:szCs w:val="24"/>
          <w:highlight w:val="none"/>
        </w:rPr>
        <w:t xml:space="preserve"> 供应商：（加盖公章）</w:t>
      </w:r>
      <w:r/>
    </w:p>
    <w:p>
      <w:pPr>
        <w:rPr>
          <w:rFonts w:hint="eastAsia"/>
          <w:color w:val="auto"/>
          <w:highlight w:val="none"/>
        </w:rPr>
      </w:pPr>
      <w:r>
        <w:rPr>
          <w:rFonts w:hint="eastAsia"/>
          <w:color w:val="auto"/>
          <w:highlight w:val="none"/>
        </w:rPr>
      </w:r>
      <w:r/>
    </w:p>
    <w:p>
      <w:pPr>
        <w:pStyle w:val="971"/>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法定代表人（或单位负责人）签字或盖章：</w:t>
      </w:r>
      <w:r/>
    </w:p>
    <w:p>
      <w:pPr>
        <w:rPr>
          <w:rFonts w:hint="eastAsia"/>
          <w:color w:val="auto"/>
          <w:highlight w:val="none"/>
        </w:rPr>
      </w:pPr>
      <w:r>
        <w:rPr>
          <w:rFonts w:hint="eastAsia"/>
          <w:color w:val="auto"/>
          <w:highlight w:val="none"/>
        </w:rPr>
      </w:r>
      <w:r/>
    </w:p>
    <w:p>
      <w:pPr>
        <w:pStyle w:val="971"/>
        <w:ind w:firstLine="49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143"/>
        <w:ind w:firstLine="4920"/>
        <w:spacing w:line="460" w:lineRule="exact"/>
        <w:rPr>
          <w:rFonts w:hint="eastAsia"/>
        </w:rPr>
      </w:pPr>
      <w:r>
        <w:rPr>
          <w:rFonts w:hint="eastAsia"/>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5"/>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 落实政府采购政策需满足的资格要求（如有）</w:t>
      </w:r>
      <w:r/>
    </w:p>
    <w:p>
      <w:pPr>
        <w:spacing w:line="360" w:lineRule="auto"/>
        <w:rPr>
          <w:rFonts w:hint="eastAsia"/>
          <w:lang w:val="en-US" w:eastAsia="zh-CN"/>
        </w:rPr>
        <w:outlineLvl w:val="2"/>
      </w:pPr>
      <w:r>
        <w:rPr>
          <w:rFonts w:hint="eastAsia" w:ascii="宋体" w:hAnsi="宋体" w:eastAsia="宋体" w:cs="宋体"/>
          <w:color w:val="000000"/>
          <w:sz w:val="24"/>
          <w:szCs w:val="20"/>
          <w:highlight w:val="none"/>
        </w:rPr>
        <w:t xml:space="preserve">2-1中小企业声明函</w:t>
      </w:r>
      <w:r/>
    </w:p>
    <w:p>
      <w:pPr>
        <w:spacing w:line="360" w:lineRule="auto"/>
        <w:rPr>
          <w:color w:val="000000"/>
          <w:sz w:val="24"/>
          <w:szCs w:val="20"/>
        </w:rPr>
        <w:outlineLvl w:val="2"/>
      </w:pPr>
      <w:r>
        <w:rPr>
          <w:color w:val="000000"/>
          <w:sz w:val="24"/>
          <w:szCs w:val="20"/>
        </w:rPr>
        <w:t xml:space="preserve">2-</w:t>
      </w:r>
      <w:r>
        <w:rPr>
          <w:rFonts w:hint="eastAsia"/>
          <w:color w:val="000000"/>
          <w:sz w:val="24"/>
          <w:szCs w:val="20"/>
          <w:lang w:val="en-US" w:eastAsia="zh-CN"/>
        </w:rPr>
        <w:t xml:space="preserve">2</w:t>
      </w:r>
      <w:r>
        <w:rPr>
          <w:color w:val="000000"/>
          <w:sz w:val="24"/>
          <w:szCs w:val="20"/>
        </w:rPr>
        <w:t xml:space="preserve"> </w:t>
      </w:r>
      <w:r>
        <w:rPr>
          <w:sz w:val="24"/>
        </w:rPr>
        <w:t xml:space="preserve">其它落实政府采购政策的资格要求</w:t>
      </w:r>
      <w:r>
        <w:rPr>
          <w:color w:val="000000"/>
          <w:sz w:val="24"/>
          <w:szCs w:val="20"/>
        </w:rPr>
        <w:t xml:space="preserve">（如有）</w:t>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spacing w:line="360" w:lineRule="auto"/>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3 </w:t>
      </w:r>
      <w:r>
        <w:rPr>
          <w:rFonts w:hint="eastAsia" w:ascii="宋体" w:hAnsi="宋体" w:eastAsia="宋体" w:cs="宋体"/>
          <w:color w:val="000000"/>
          <w:sz w:val="24"/>
          <w:highlight w:val="none"/>
        </w:rPr>
        <w:t xml:space="preserve">本项目的特定资格要求</w:t>
      </w:r>
      <w:r>
        <w:rPr>
          <w:rFonts w:hint="eastAsia" w:ascii="宋体" w:hAnsi="宋体" w:eastAsia="宋体" w:cs="宋体"/>
          <w:color w:val="000000"/>
          <w:sz w:val="24"/>
          <w:szCs w:val="20"/>
          <w:highlight w:val="none"/>
        </w:rPr>
        <w:t xml:space="preserve">（如有）</w:t>
      </w:r>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3-2其他特定资格要求</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6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rPr>
      </w:pPr>
      <w:r>
        <w:rPr>
          <w:rFonts w:hint="eastAsia"/>
        </w:rPr>
      </w:r>
      <w:r/>
    </w:p>
    <w:p>
      <w:pPr>
        <w:jc w:val="both"/>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二、商务技术文件格式</w:t>
      </w:r>
      <w:bookmarkStart w:id="701" w:name="_Ref467988698"/>
      <w:r/>
      <w:bookmarkStart w:id="702" w:name="_Toc226309800"/>
      <w:r/>
      <w:bookmarkStart w:id="703" w:name="_Toc480942349"/>
      <w:r/>
      <w:bookmarkStart w:id="704" w:name="_Toc127151556"/>
      <w:r/>
      <w:bookmarkStart w:id="705" w:name="_Toc150774761"/>
      <w:r/>
      <w:bookmarkStart w:id="706" w:name="_Toc226337252"/>
      <w:r/>
      <w:bookmarkStart w:id="707" w:name="_Toc520356217"/>
      <w:r/>
      <w:bookmarkStart w:id="708" w:name="_Toc226965746"/>
      <w:r/>
      <w:bookmarkStart w:id="709" w:name="_Toc150480794"/>
      <w:r/>
      <w:bookmarkStart w:id="710" w:name="_Toc142311058"/>
      <w:r/>
      <w:bookmarkStart w:id="711" w:name="_Toc195842921"/>
      <w:r/>
      <w:bookmarkStart w:id="712" w:name="_Toc226965829"/>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0"/>
          <w:highlight w:val="none"/>
        </w:rPr>
        <w:t xml:space="preserve">  </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rFonts w:hint="eastAsia" w:ascii="宋体" w:hAnsi="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函</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响应函</w:t>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（采购人或采购代理机构）</w:t>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08"/>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我方参加你方就___________（项目名称，项目编号/包号）组织的政府采购活动，并对此项目进行响应。</w:t>
      </w:r>
      <w:r/>
    </w:p>
    <w:p>
      <w:pPr>
        <w:ind w:firstLine="408"/>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我方已详细审查全部磋商文件，自愿参与响应并承诺如下：</w:t>
      </w:r>
      <w:r/>
    </w:p>
    <w:p>
      <w:pPr>
        <w:ind w:left="360" w:firstLine="72"/>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（1）本响应有效期为自提交响应文件的截止之日起60个日历日。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（2）除合同条款及采购需求偏离表列出的偏离外，我方响应磋商文件的全部要求。</w:t>
      </w:r>
      <w:r/>
    </w:p>
    <w:p>
      <w:pPr>
        <w:ind w:firstLine="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其他补充条款（如有）：___________。</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与本响应有关的一切正式往来信函请寄：</w:t>
      </w:r>
      <w:r/>
    </w:p>
    <w:p>
      <w:pPr>
        <w:ind w:left="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供应商名称（加盖公章） ___________</w:t>
      </w:r>
      <w:r/>
    </w:p>
    <w:p>
      <w:pPr>
        <w:ind w:left="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jc w:val="left"/>
        <w:widowControl/>
        <w:rPr>
          <w:rFonts w:hint="eastAsia" w:ascii="宋体" w:hAnsi="宋体" w:eastAsia="宋体" w:cs="宋体"/>
          <w:color w:val="000000"/>
          <w:sz w:val="24"/>
          <w:highlight w:val="none"/>
        </w:rPr>
      </w:pPr>
      <w:r/>
      <w:bookmarkStart w:id="713" w:name="_Hlt520356243"/>
      <w:r/>
      <w:bookmarkEnd w:id="713"/>
      <w:r/>
      <w:bookmarkStart w:id="714" w:name="_Hlt520355938"/>
      <w:r/>
      <w:bookmarkEnd w:id="714"/>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7"/>
        <w:rPr>
          <w:rFonts w:hint="eastAsia"/>
        </w:rPr>
      </w:pPr>
      <w:r>
        <w:rPr>
          <w:rFonts w:hint="eastAsia"/>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法定代表人资格证明书</w:t>
      </w:r>
      <w:r>
        <w:rPr>
          <w:rFonts w:hint="eastAsia" w:ascii="宋体" w:hAnsi="宋体" w:eastAsia="宋体" w:cs="宋体"/>
          <w:color w:val="000000"/>
          <w:sz w:val="24"/>
          <w:szCs w:val="20"/>
          <w:highlight w:val="none"/>
        </w:rPr>
        <w:t xml:space="preserve">（实质性格式）</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法定代表人资格证明书</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年龄:      职务:</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的法定代表人。为参与</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ind w:right="-46"/>
        <w:spacing w:line="583"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96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供应商：（加盖公章）</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法定代表人签字、签章或印鉴：</w:t>
      </w:r>
      <w:r/>
    </w:p>
    <w:p>
      <w:pPr>
        <w:ind w:firstLine="43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3.供应商为自然人的情形，可不提供本《授权委托书》。</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政府采购供应商信用承诺书</w:t>
      </w:r>
      <w:r>
        <w:rPr>
          <w:rFonts w:hint="eastAsia" w:ascii="宋体" w:hAnsi="宋体" w:eastAsia="宋体" w:cs="宋体"/>
          <w:color w:val="000000"/>
          <w:sz w:val="24"/>
          <w:szCs w:val="20"/>
          <w:highlight w:val="none"/>
        </w:rPr>
        <w:t xml:space="preserve">（实质性格式）</w:t>
      </w:r>
      <w:r/>
    </w:p>
    <w:p>
      <w:pPr>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政府采购供应商信用承诺书</w:t>
      </w:r>
      <w:r/>
    </w:p>
    <w:p>
      <w:pPr>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p>
    <w:p>
      <w:pPr>
        <w:pStyle w:val="1391"/>
        <w:ind w:right="1050" w:firstLine="2880"/>
        <w:jc w:val="both"/>
        <w:spacing w:line="276"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lang w:val="zh-CN"/>
        </w:rPr>
        <w:t xml:space="preserve">：____________</w:t>
      </w:r>
      <w:r/>
    </w:p>
    <w:p>
      <w:pPr>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日期：_____年______月______日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  </w:t>
      </w:r>
      <w:r/>
    </w:p>
    <w:p>
      <w:pPr>
        <w:jc w:val="left"/>
        <w:widowControl/>
        <w:rPr>
          <w:rFonts w:hint="eastAsia" w:ascii="宋体" w:hAnsi="宋体" w:eastAsia="宋体" w:cs="宋体"/>
          <w:color w:val="000000"/>
          <w:sz w:val="24"/>
          <w:szCs w:val="20"/>
          <w:highlight w:val="none"/>
        </w:rPr>
      </w:pPr>
      <w:r/>
      <w:bookmarkStart w:id="715" w:name="_Hlt520350918"/>
      <w:r/>
      <w:bookmarkEnd w:id="715"/>
      <w:r/>
      <w:bookmarkStart w:id="716" w:name="_Hlt520274393"/>
      <w:r/>
      <w:bookmarkEnd w:id="716"/>
      <w:r/>
      <w:bookmarkStart w:id="717" w:name="_Hlt520274407"/>
      <w:r/>
      <w:bookmarkEnd w:id="717"/>
      <w:r/>
      <w:bookmarkStart w:id="718" w:name="_Hlt520343000"/>
      <w:r/>
      <w:bookmarkEnd w:id="718"/>
      <w:r/>
      <w:bookmarkStart w:id="719" w:name="_Hlt520355504"/>
      <w:r/>
      <w:bookmarkEnd w:id="719"/>
      <w:r/>
      <w:bookmarkStart w:id="720" w:name="_Hlt520271212"/>
      <w:r/>
      <w:bookmarkEnd w:id="720"/>
      <w:r/>
      <w:bookmarkStart w:id="721" w:name="_Hlt520274065"/>
      <w:r/>
      <w:bookmarkEnd w:id="721"/>
      <w:r/>
      <w:bookmarkStart w:id="722" w:name="_Hlt520274121"/>
      <w:r/>
      <w:bookmarkEnd w:id="722"/>
      <w:r/>
      <w:bookmarkStart w:id="723" w:name="_Hlt520273711"/>
      <w:r/>
      <w:bookmarkEnd w:id="723"/>
      <w:r/>
      <w:bookmarkStart w:id="724" w:name="_Hlt520343392"/>
      <w:r/>
      <w:bookmarkEnd w:id="724"/>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4  开标一览表（实质性格式）</w:t>
      </w:r>
      <w:r/>
    </w:p>
    <w:p>
      <w:pPr>
        <w:jc w:val="center"/>
        <w:spacing w:line="360" w:lineRule="exact"/>
        <w:rPr>
          <w:rFonts w:hint="eastAsia" w:ascii="宋体" w:hAnsi="宋体" w:eastAsia="宋体" w:cs="宋体"/>
          <w:b/>
          <w:color w:val="000000"/>
          <w:sz w:val="36"/>
          <w:szCs w:val="36"/>
          <w:highlight w:val="none"/>
        </w:rPr>
      </w:pPr>
      <w:r/>
      <w:bookmarkStart w:id="725" w:name="_Toc226309802"/>
      <w:r/>
      <w:bookmarkStart w:id="726" w:name="_Toc226965748"/>
      <w:r/>
      <w:bookmarkStart w:id="727" w:name="_Toc195842923"/>
      <w:r/>
      <w:bookmarkStart w:id="728" w:name="_Toc265228396"/>
      <w:r/>
      <w:bookmarkStart w:id="729" w:name="_Toc305158826"/>
      <w:r/>
      <w:bookmarkStart w:id="730" w:name="_Toc305158900"/>
      <w:r/>
      <w:bookmarkStart w:id="731" w:name="_Toc264969248"/>
      <w:r/>
      <w:bookmarkStart w:id="732" w:name="_Toc164608672"/>
      <w:r/>
      <w:bookmarkStart w:id="733" w:name="_Toc226965831"/>
      <w:r/>
      <w:bookmarkStart w:id="734" w:name="_Toc226337254"/>
      <w:r/>
      <w:bookmarkStart w:id="735" w:name="_Toc164608827"/>
      <w:r>
        <w:rPr>
          <w:rFonts w:hint="eastAsia" w:ascii="宋体" w:hAnsi="宋体" w:eastAsia="宋体" w:cs="宋体"/>
          <w:b/>
          <w:color w:val="000000"/>
          <w:sz w:val="36"/>
          <w:szCs w:val="36"/>
          <w:highlight w:val="none"/>
        </w:rPr>
        <w:t xml:space="preserve">开标一览表</w:t>
      </w:r>
      <w:bookmarkEnd w:id="725"/>
      <w:r/>
      <w:bookmarkEnd w:id="726"/>
      <w:r/>
      <w:bookmarkEnd w:id="727"/>
      <w:r/>
      <w:bookmarkEnd w:id="728"/>
      <w:r/>
      <w:bookmarkEnd w:id="729"/>
      <w:r/>
      <w:bookmarkEnd w:id="730"/>
      <w:r/>
      <w:bookmarkEnd w:id="731"/>
      <w:r/>
      <w:bookmarkEnd w:id="732"/>
      <w:r/>
      <w:bookmarkEnd w:id="733"/>
      <w:r/>
      <w:bookmarkEnd w:id="734"/>
      <w:r/>
      <w:bookmarkEnd w:id="735"/>
      <w:r/>
      <w:r/>
    </w:p>
    <w:p>
      <w:pPr>
        <w:jc w:val="left"/>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i/>
          <w:color w:val="000000"/>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p>
    <w:tbl>
      <w:tblPr>
        <w:tblStyle w:val="966"/>
        <w:tblW w:w="47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5"/>
        <w:gridCol w:w="2851"/>
        <w:gridCol w:w="5111"/>
      </w:tblGrid>
      <w:tr>
        <w:trPr>
          <w:jc w:val="center"/>
          <w:trHeight w:val="1364"/>
        </w:trPr>
        <w:tc>
          <w:tcPr>
            <w:tcW w:w="654" w:type="dxa"/>
            <w:vAlign w:val="center"/>
            <w:textDirection w:val="lrTb"/>
            <w:noWrap w:val="false"/>
          </w:tcPr>
          <w:p>
            <w:pPr>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2848" w:type="dxa"/>
            <w:vAlign w:val="center"/>
            <w:textDirection w:val="lrTb"/>
            <w:noWrap w:val="false"/>
          </w:tcPr>
          <w:p>
            <w:pPr>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投标人名称</w:t>
            </w:r>
            <w:r/>
          </w:p>
        </w:tc>
        <w:tc>
          <w:tcPr>
            <w:tcW w:w="5106" w:type="dxa"/>
            <w:vAlign w:val="center"/>
            <w:textDirection w:val="lrTb"/>
            <w:noWrap w:val="false"/>
          </w:tcPr>
          <w:p>
            <w:pPr>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报价</w:t>
            </w:r>
            <w:r/>
          </w:p>
        </w:tc>
      </w:tr>
      <w:tr>
        <w:trPr>
          <w:jc w:val="center"/>
          <w:trHeight w:val="1138"/>
        </w:trPr>
        <w:tc>
          <w:tcPr>
            <w:tcW w:w="654" w:type="dxa"/>
            <w:vAlign w:val="center"/>
            <w:textDirection w:val="lrTb"/>
            <w:noWrap w:val="false"/>
          </w:tcPr>
          <w:p>
            <w:pPr>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48" w:type="dxa"/>
            <w:vAlign w:val="center"/>
            <w:textDirection w:val="lrTb"/>
            <w:noWrap w:val="false"/>
          </w:tcPr>
          <w:p>
            <w:pPr>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106" w:type="dxa"/>
            <w:vAlign w:val="center"/>
            <w:textDirection w:val="lrTb"/>
            <w:noWrap w:val="false"/>
          </w:tcPr>
          <w:p>
            <w:pPr>
              <w:ind w:firstLine="1711"/>
              <w:jc w:val="both"/>
              <w:tabs>
                <w:tab w:val="left" w:pos="5580" w:leader="none"/>
              </w:tabs>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r>
    </w:tbl>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注：1</w:t>
      </w:r>
      <w:r>
        <w:rPr>
          <w:rFonts w:hint="eastAsia" w:ascii="宋体" w:hAnsi="宋体" w:eastAsia="宋体" w:cs="宋体"/>
          <w:color w:val="000000"/>
          <w:sz w:val="24"/>
          <w:szCs w:val="20"/>
          <w:highlight w:val="none"/>
        </w:rPr>
        <w:t xml:space="preserve">.此表中，每包的投标报价应和《投标分项报价表》中的总价相一致。</w:t>
      </w:r>
      <w:r/>
    </w:p>
    <w:p>
      <w:pPr>
        <w:ind w:firstLine="480"/>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2.本表必须按包分别填写。</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ind w:firstLine="480"/>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lang w:val="zh-CN"/>
        </w:rPr>
        <w:t xml:space="preserve">：____________</w:t>
      </w:r>
      <w:r/>
    </w:p>
    <w:p>
      <w:pPr>
        <w:ind w:firstLine="480"/>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日期：_____年______月______日   </w:t>
      </w:r>
      <w:r/>
    </w:p>
    <w:p>
      <w:pPr>
        <w:jc w:val="left"/>
        <w:widowControl/>
        <w:rPr>
          <w:color w:val="000000"/>
          <w:sz w:val="24"/>
          <w:szCs w:val="20"/>
        </w:rPr>
      </w:pPr>
      <w:r>
        <w:rPr>
          <w:rFonts w:hint="eastAsia" w:ascii="宋体" w:hAnsi="宋体" w:eastAsia="宋体" w:cs="宋体"/>
          <w:color w:val="000000"/>
          <w:sz w:val="24"/>
          <w:szCs w:val="20"/>
          <w:highlight w:val="none"/>
        </w:rPr>
        <w:br w:type="page" w:clear="all"/>
      </w:r>
      <w:r/>
    </w:p>
    <w:p>
      <w:pPr>
        <w:rPr>
          <w:rFonts w:hint="eastAsia"/>
          <w:lang w:val="en-US" w:eastAsia="zh-CN"/>
        </w:rPr>
      </w:pPr>
      <w:r>
        <w:rPr>
          <w:rFonts w:hint="eastAsia"/>
          <w:lang w:val="en-US" w:eastAsia="zh-CN"/>
        </w:rPr>
      </w:r>
      <w:r/>
    </w:p>
    <w:p>
      <w:pPr>
        <w:spacing w:line="360" w:lineRule="auto"/>
        <w:rPr>
          <w:color w:val="000000"/>
          <w:sz w:val="24"/>
          <w:szCs w:val="20"/>
        </w:rPr>
        <w:outlineLvl w:val="2"/>
      </w:pPr>
      <w:r>
        <w:rPr>
          <w:rFonts w:hint="eastAsia"/>
          <w:color w:val="000000"/>
          <w:sz w:val="24"/>
          <w:szCs w:val="20"/>
        </w:rPr>
        <w:t xml:space="preserve">5</w:t>
      </w:r>
      <w:r>
        <w:rPr>
          <w:color w:val="000000"/>
          <w:sz w:val="24"/>
          <w:szCs w:val="20"/>
        </w:rPr>
        <w:t xml:space="preserve">  合同条款偏离表（实质性格式）</w:t>
      </w:r>
      <w:r/>
    </w:p>
    <w:p>
      <w:pPr>
        <w:spacing w:line="360" w:lineRule="auto"/>
        <w:rPr>
          <w:color w:val="000000"/>
          <w:sz w:val="24"/>
          <w:szCs w:val="20"/>
        </w:rPr>
      </w:pPr>
      <w:r>
        <w:rPr>
          <w:color w:val="000000"/>
          <w:sz w:val="24"/>
          <w:szCs w:val="20"/>
        </w:rPr>
      </w:r>
      <w:r/>
    </w:p>
    <w:p>
      <w:pPr>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9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投标文件内容</w:t>
            </w:r>
            <w:r/>
          </w:p>
        </w:tc>
        <w:tc>
          <w:tcPr>
            <w:tcW w:w="2458" w:type="dxa"/>
            <w:vAlign w:val="center"/>
            <w:textDirection w:val="lrTb"/>
            <w:noWrap w:val="false"/>
          </w:tcPr>
          <w:p>
            <w:pPr>
              <w:jc w:val="center"/>
              <w:rPr>
                <w:color w:val="000000"/>
                <w:sz w:val="24"/>
              </w:rPr>
            </w:pPr>
            <w:r>
              <w:rPr>
                <w:color w:val="000000"/>
                <w:sz w:val="24"/>
              </w:rPr>
              <w:t xml:space="preserve">偏离情况</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w:t>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lang w:val="zh-CN"/>
        </w:rPr>
        <w:t xml:space="preserve">：    ____________</w:t>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rPr>
        <w:t xml:space="preserve">日期：_____年______月______日 </w:t>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67"/>
        <w:rPr>
          <w:rFonts w:hint="eastAsia"/>
          <w:lang w:val="en-US" w:eastAsia="zh-CN"/>
        </w:rPr>
      </w:pPr>
      <w:r>
        <w:rPr>
          <w:rFonts w:hint="eastAsia"/>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360" w:lineRule="auto"/>
        <w:rPr>
          <w:color w:val="000000"/>
          <w:sz w:val="24"/>
          <w:szCs w:val="20"/>
        </w:rPr>
        <w:outlineLvl w:val="2"/>
      </w:pPr>
      <w:r>
        <w:rPr>
          <w:rFonts w:hint="eastAsia"/>
          <w:color w:val="000000"/>
          <w:sz w:val="24"/>
          <w:szCs w:val="20"/>
        </w:rPr>
        <w:t xml:space="preserve">6</w:t>
      </w:r>
      <w:r>
        <w:rPr>
          <w:color w:val="000000"/>
          <w:sz w:val="24"/>
          <w:szCs w:val="20"/>
        </w:rPr>
        <w:t xml:space="preserve">  采购需求偏离表（实质性格式）</w:t>
      </w:r>
      <w:r/>
    </w:p>
    <w:p>
      <w:pPr>
        <w:jc w:val="center"/>
        <w:spacing w:line="360" w:lineRule="auto"/>
        <w:rPr>
          <w:rFonts w:hint="eastAsia"/>
          <w:b/>
          <w:color w:val="000000"/>
          <w:sz w:val="36"/>
          <w:szCs w:val="36"/>
        </w:rPr>
      </w:pPr>
      <w:r>
        <w:rPr>
          <w:rFonts w:hint="eastAsia"/>
          <w:b/>
          <w:color w:val="000000"/>
          <w:sz w:val="36"/>
          <w:szCs w:val="36"/>
        </w:rPr>
      </w:r>
      <w:r/>
    </w:p>
    <w:p>
      <w:pPr>
        <w:jc w:val="center"/>
        <w:spacing w:line="360" w:lineRule="auto"/>
        <w:rPr>
          <w:b/>
          <w:color w:val="000000"/>
          <w:sz w:val="36"/>
          <w:szCs w:val="36"/>
        </w:rPr>
      </w:pPr>
      <w:r>
        <w:rPr>
          <w:rFonts w:hint="eastAsia"/>
          <w:b/>
          <w:color w:val="000000"/>
          <w:sz w:val="36"/>
          <w:szCs w:val="36"/>
        </w:rPr>
        <w:t xml:space="preserve">采购需求偏离表</w:t>
      </w:r>
      <w:r/>
    </w:p>
    <w:p>
      <w:pPr>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tbl>
      <w:tblPr>
        <w:tblStyle w:val="966"/>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招标文件条目号(页码)</w:t>
            </w:r>
            <w:r/>
          </w:p>
        </w:tc>
        <w:tc>
          <w:tcPr>
            <w:tcW w:w="2384" w:type="dxa"/>
            <w:vAlign w:val="center"/>
            <w:textDirection w:val="lrTb"/>
            <w:noWrap w:val="false"/>
          </w:tcPr>
          <w:p>
            <w:pPr>
              <w:jc w:val="center"/>
              <w:rPr>
                <w:color w:val="000000"/>
                <w:sz w:val="24"/>
              </w:rPr>
            </w:pPr>
            <w:r>
              <w:rPr>
                <w:color w:val="000000"/>
                <w:sz w:val="24"/>
              </w:rPr>
              <w:t xml:space="preserve">招标文件要求</w:t>
            </w:r>
            <w:r/>
          </w:p>
        </w:tc>
        <w:tc>
          <w:tcPr>
            <w:tcW w:w="2126" w:type="dxa"/>
            <w:vAlign w:val="center"/>
            <w:textDirection w:val="lrTb"/>
            <w:noWrap w:val="false"/>
          </w:tcPr>
          <w:p>
            <w:pPr>
              <w:jc w:val="center"/>
              <w:rPr>
                <w:color w:val="000000"/>
                <w:sz w:val="24"/>
              </w:rPr>
            </w:pPr>
            <w:r>
              <w:rPr>
                <w:color w:val="000000"/>
                <w:sz w:val="24"/>
              </w:rPr>
              <w:t xml:space="preserve">投标响应内容</w:t>
            </w:r>
            <w:r/>
          </w:p>
        </w:tc>
        <w:tc>
          <w:tcPr>
            <w:tcW w:w="1875" w:type="dxa"/>
            <w:vAlign w:val="center"/>
            <w:textDirection w:val="lrTb"/>
            <w:noWrap w:val="false"/>
          </w:tcPr>
          <w:p>
            <w:pPr>
              <w:jc w:val="center"/>
              <w:rPr>
                <w:color w:val="000000"/>
                <w:sz w:val="24"/>
              </w:rPr>
            </w:pPr>
            <w:r>
              <w:rPr>
                <w:color w:val="000000"/>
                <w:sz w:val="24"/>
              </w:rPr>
              <w:t xml:space="preserve">偏离情况</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t xml:space="preserve">……</w:t>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numPr>
          <w:ilvl w:val="0"/>
          <w:numId w:val="14"/>
        </w:numPr>
        <w:jc w:val="left"/>
        <w:tabs>
          <w:tab w:val="left" w:pos="1800" w:leader="none"/>
          <w:tab w:val="left" w:pos="5580" w:leader="none"/>
        </w:tabs>
        <w:rPr>
          <w:sz w:val="24"/>
        </w:rPr>
      </w:pP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numPr>
          <w:ilvl w:val="0"/>
          <w:numId w:val="0"/>
        </w:num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lang w:val="zh-CN"/>
        </w:rPr>
        <w:t xml:space="preserve">：    ____________</w:t>
      </w:r>
      <w:r/>
    </w:p>
    <w:p>
      <w:pPr>
        <w:spacing w:before="25" w:after="25" w:line="360" w:lineRule="auto"/>
        <w:rPr>
          <w:color w:val="000000"/>
          <w:sz w:val="24"/>
          <w:lang w:val="zh-CN"/>
        </w:rPr>
      </w:pPr>
      <w:r>
        <w:rPr>
          <w:rFonts w:hint="eastAsia" w:ascii="宋体" w:hAnsi="宋体" w:eastAsia="宋体" w:cs="宋体"/>
          <w:color w:val="auto"/>
          <w:sz w:val="24"/>
          <w:szCs w:val="24"/>
          <w:highlight w:val="none"/>
        </w:rPr>
        <w:t xml:space="preserve">日期：_____年______月______日 </w:t>
      </w:r>
      <w:r>
        <w:rPr>
          <w:color w:val="000000"/>
          <w:sz w:val="24"/>
          <w:szCs w:val="20"/>
        </w:rPr>
        <w:t xml:space="preserve"> </w:t>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67"/>
        <w:rPr>
          <w:rFonts w:hint="eastAsia"/>
          <w:lang w:val="en-US" w:eastAsia="zh-CN"/>
        </w:rPr>
      </w:pPr>
      <w:r>
        <w:rPr>
          <w:rFonts w:hint="eastAsia"/>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0"/>
          <w:highlight w:val="none"/>
        </w:rPr>
        <w:t xml:space="preserve">7  项目实施方案</w:t>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before="25" w:after="2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7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7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7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7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7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7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参加本项目人员一览表</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参加本项目人员一览表</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p>
    <w:tbl>
      <w:tblPr>
        <w:tblStyle w:val="966"/>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责任</w:t>
            </w:r>
            <w:r/>
          </w:p>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项目经历或主要工作</w:t>
            </w:r>
            <w:r/>
          </w:p>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bl>
    <w:p>
      <w:pPr>
        <w:tabs>
          <w:tab w:val="left" w:pos="9765" w:leader="none"/>
        </w:tabs>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spacing w:line="360" w:lineRule="auto"/>
        <w:tabs>
          <w:tab w:val="left" w:pos="976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注：参加本项目人员须是供应商正式职工。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供应商名称（加盖公章）</w:t>
      </w:r>
      <w:r>
        <w:rPr>
          <w:rFonts w:hint="eastAsia" w:ascii="宋体" w:hAnsi="宋体" w:eastAsia="宋体" w:cs="宋体"/>
          <w:color w:val="000000"/>
          <w:sz w:val="24"/>
          <w:szCs w:val="24"/>
          <w:highlight w:val="none"/>
          <w:lang w:val="zh-CN"/>
        </w:rPr>
        <w:t xml:space="preserve">：    ____________</w:t>
      </w:r>
      <w:r/>
    </w:p>
    <w:p>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p>
    <w:p>
      <w:pPr>
        <w:rPr>
          <w:rFonts w:hint="eastAsia" w:ascii="宋体" w:hAnsi="宋体" w:eastAsia="宋体" w:cs="宋体"/>
          <w:color w:val="000000"/>
          <w:sz w:val="24"/>
          <w:szCs w:val="24"/>
          <w:highlight w:val="none"/>
        </w:rPr>
      </w:pPr>
      <w:r/>
      <w:bookmarkStart w:id="762" w:name="_Toc288738397"/>
      <w:r/>
      <w:bookmarkStart w:id="763" w:name="_Toc288738839"/>
      <w:r/>
      <w:r/>
    </w:p>
    <w:p>
      <w:pPr>
        <w:pStyle w:val="11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相关业绩案例一览表</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相关业绩案例一览表</w:t>
      </w:r>
      <w:bookmarkEnd w:id="762"/>
      <w:r/>
      <w:bookmarkEnd w:id="763"/>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p>
    <w:tbl>
      <w:tblPr>
        <w:tblStyle w:val="96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tabs>
          <w:tab w:val="left" w:pos="976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供应商名称（加盖公章）</w:t>
      </w:r>
      <w:r>
        <w:rPr>
          <w:rFonts w:hint="eastAsia" w:ascii="宋体" w:hAnsi="宋体" w:eastAsia="宋体" w:cs="宋体"/>
          <w:color w:val="000000"/>
          <w:sz w:val="24"/>
          <w:szCs w:val="24"/>
          <w:highlight w:val="none"/>
          <w:lang w:val="zh-CN"/>
        </w:rPr>
        <w:t xml:space="preserve">：    ____________</w:t>
      </w:r>
      <w:r/>
    </w:p>
    <w:p>
      <w:pPr>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11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2"/>
        <w:jc w:val="both"/>
        <w:rPr>
          <w:rFonts w:hint="eastAsia"/>
        </w:rPr>
      </w:pPr>
      <w:r>
        <w:rPr>
          <w:rFonts w:hint="eastAsia" w:ascii="宋体" w:hAnsi="宋体" w:eastAsia="宋体" w:cs="宋体"/>
          <w:color w:val="000000"/>
          <w:sz w:val="24"/>
          <w:szCs w:val="24"/>
          <w:highlight w:val="none"/>
          <w:lang w:val="en-US" w:eastAsia="zh-CN"/>
        </w:rPr>
        <w:t xml:space="preserve">10 </w:t>
      </w:r>
      <w:r>
        <w:rPr>
          <w:rFonts w:hint="eastAsia" w:ascii="宋体" w:hAnsi="宋体" w:eastAsia="宋体" w:cs="宋体"/>
          <w:b w:val="0"/>
          <w:bCs w:val="0"/>
          <w:color w:val="000000"/>
          <w:sz w:val="24"/>
          <w:szCs w:val="20"/>
          <w:lang w:val="en-US" w:eastAsia="zh-CN"/>
        </w:rPr>
        <w:t xml:space="preserve">磋商</w:t>
      </w:r>
      <w:r>
        <w:rPr>
          <w:rFonts w:hint="eastAsia" w:ascii="宋体" w:hAnsi="宋体" w:eastAsia="宋体" w:cs="宋体"/>
          <w:b w:val="0"/>
          <w:bCs w:val="0"/>
          <w:color w:val="000000"/>
          <w:sz w:val="24"/>
          <w:szCs w:val="20"/>
        </w:rPr>
        <w:t xml:space="preserve">文件要求提供或</w:t>
      </w:r>
      <w:r>
        <w:rPr>
          <w:rFonts w:hint="eastAsia" w:ascii="宋体" w:hAnsi="宋体" w:eastAsia="宋体" w:cs="宋体"/>
          <w:b w:val="0"/>
          <w:bCs w:val="0"/>
          <w:color w:val="000000"/>
          <w:sz w:val="24"/>
          <w:szCs w:val="20"/>
          <w:lang w:val="en-US" w:eastAsia="zh-CN"/>
        </w:rPr>
        <w:t xml:space="preserve">投标人</w:t>
      </w:r>
      <w:r>
        <w:rPr>
          <w:rFonts w:hint="eastAsia" w:ascii="宋体" w:hAnsi="宋体" w:eastAsia="宋体" w:cs="宋体"/>
          <w:b w:val="0"/>
          <w:bCs w:val="0"/>
          <w:color w:val="000000"/>
          <w:sz w:val="24"/>
          <w:szCs w:val="20"/>
        </w:rPr>
        <w:t xml:space="preserve">认为应附的其他材料</w:t>
      </w:r>
      <w:r>
        <w:rPr>
          <w:rFonts w:hint="eastAsia" w:ascii="宋体" w:hAnsi="宋体" w:eastAsia="宋体" w:cs="宋体"/>
          <w:b w:val="0"/>
          <w:bCs w:val="0"/>
          <w:color w:val="000000"/>
          <w:sz w:val="24"/>
          <w:szCs w:val="20"/>
          <w:lang w:eastAsia="zh-CN"/>
        </w:rPr>
        <w:t xml:space="preserve">（</w:t>
      </w:r>
      <w:r>
        <w:rPr>
          <w:rFonts w:hint="eastAsia" w:ascii="宋体" w:hAnsi="宋体" w:eastAsia="宋体" w:cs="宋体"/>
          <w:b w:val="0"/>
          <w:bCs w:val="0"/>
          <w:color w:val="000000"/>
          <w:sz w:val="24"/>
          <w:szCs w:val="20"/>
          <w:lang w:val="en-US" w:eastAsia="zh-CN"/>
        </w:rPr>
        <w:t xml:space="preserve">格式自拟</w:t>
      </w:r>
      <w:r>
        <w:rPr>
          <w:rFonts w:hint="eastAsia" w:ascii="宋体" w:hAnsi="宋体" w:eastAsia="宋体" w:cs="宋体"/>
          <w:b w:val="0"/>
          <w:bCs w:val="0"/>
          <w:color w:val="000000"/>
          <w:sz w:val="24"/>
          <w:szCs w:val="20"/>
          <w:lang w:eastAsia="zh-CN"/>
        </w:rPr>
        <w:t xml:space="preserve">）</w:t>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bookmarkStart w:id="764" w:name="_GoBack"/>
      <w:r/>
      <w:bookmarkEnd w:id="764"/>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sectPr>
      <w:footerReference w:type="default" r:id="rId16"/>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CESI黑体-GB2312">
    <w:panose1 w:val="020B0503020202020204"/>
  </w:font>
  <w:font w:name="Wingdings">
    <w:panose1 w:val="05000000000000000000"/>
  </w:font>
  <w:font w:name="新宋体">
    <w:panose1 w:val="02010609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Style w:val="1215"/>
      </w:rPr>
      <w:framePr w:wrap="around" w:vAnchor="text" w:hAnchor="margin" w:xAlign="center" w:y="1"/>
    </w:pPr>
    <w:r>
      <w:fldChar w:fldCharType="begin"/>
    </w:r>
    <w:r>
      <w:rPr>
        <w:rStyle w:val="1215"/>
      </w:rPr>
      <w:instrText xml:space="preserve">PAGE  </w:instrText>
    </w:r>
    <w:r>
      <w:fldChar w:fldCharType="end"/>
    </w:r>
    <w:r/>
  </w:p>
  <w:p>
    <w:pPr>
      <w:pStyle w:val="118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clear" w:pos="7143" w:leader="none"/>
        <w:tab w:val="right" w:pos="8306" w:leader="none"/>
        <w:tab w:val="clear" w:pos="14287" w:leader="none"/>
      </w:tabs>
      <w:rPr>
        <w:rStyle w:val="990"/>
      </w:rPr>
      <w:framePr w:wrap="around" w:vAnchor="text" w:hAnchor="margin" w:xAlign="right" w:y="1"/>
    </w:pPr>
    <w:r>
      <w:rPr>
        <w:rStyle w:val="990"/>
      </w:rPr>
      <w:fldChar w:fldCharType="begin"/>
    </w:r>
    <w:r>
      <w:rPr>
        <w:rStyle w:val="990"/>
      </w:rPr>
      <w:instrText xml:space="preserve">PAGE  </w:instrText>
    </w:r>
    <w:r>
      <w:rPr>
        <w:rStyle w:val="990"/>
      </w:rPr>
      <w:fldChar w:fldCharType="end"/>
    </w:r>
    <w:r/>
  </w:p>
  <w:p>
    <w:pPr>
      <w:pStyle w:val="978"/>
      <w:ind w:right="360"/>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right" w:pos="8307" w:leader="none"/>
      </w:tabs>
      <w:rPr>
        <w:rFonts w:ascii="宋体" w:hAnsi="Times New Roman" w:eastAsia="宋体" w:cs="Times New Roman"/>
        <w:sz w:val="18"/>
        <w:szCs w:val="20"/>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t xml:space="preserve">第 </w:t>
                          </w:r>
                          <w:r>
                            <w:fldChar w:fldCharType="begin"/>
                          </w:r>
                          <w:r>
                            <w:instrText xml:space="preserve"> PAGE  \* MERGEFORMAT </w:instrText>
                          </w:r>
                          <w:r>
                            <w:fldChar w:fldCharType="separate"/>
                          </w:r>
                          <w:r>
                            <w:t xml:space="preserve">13</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t xml:space="preserve">第 </w:t>
                    </w:r>
                    <w:r>
                      <w:fldChar w:fldCharType="begin"/>
                    </w:r>
                    <w:r>
                      <w:instrText xml:space="preserve"> PAGE  \* MERGEFORMAT </w:instrText>
                    </w:r>
                    <w:r>
                      <w:fldChar w:fldCharType="separate"/>
                    </w:r>
                    <w:r>
                      <w:t xml:space="preserve">13</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5"/>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9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8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5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24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4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8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89"/>
      <w:isLgl w:val="false"/>
      <w:suff w:val="nothing"/>
      <w:lvlText w:val="%1.%2.%3.%4.%5.%6　"/>
      <w:lvlJc w:val="left"/>
      <w:pPr>
        <w:ind w:left="-25" w:firstLine="0"/>
      </w:pPr>
      <w:rPr>
        <w:rFonts w:ascii="Times New Roman" w:hAnsi="Times New Roman" w:eastAsia="宋体"/>
        <w:b/>
        <w:i w:val="0"/>
        <w:sz w:val="28"/>
      </w:rPr>
    </w:lvl>
    <w:lvl w:ilvl="6">
      <w:start w:val="1"/>
      <w:numFmt w:val="lowerLetter"/>
      <w:pStyle w:val="130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6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lowerLetter"/>
      <w:pStyle w:val="132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pStyle w:val="1352"/>
      <w:isLgl w:val="false"/>
      <w:suff w:val="tab"/>
      <w:lvlText w:val="%1"/>
      <w:lvlJc w:val="left"/>
      <w:pPr>
        <w:ind w:left="680" w:hanging="680"/>
      </w:pPr>
      <w:rPr>
        <w:rFonts w:hint="eastAsia" w:ascii="宋体" w:hAnsi="宋体" w:eastAsia="宋体"/>
      </w:rPr>
    </w:lvl>
    <w:lvl w:ilvl="1">
      <w:start w:val="1"/>
      <w:numFmt w:val="decimal"/>
      <w:pStyle w:val="1353"/>
      <w:isLgl w:val="false"/>
      <w:suff w:val="tab"/>
      <w:lvlText w:val="%1.%2"/>
      <w:lvlJc w:val="left"/>
      <w:pPr>
        <w:ind w:left="851" w:hanging="851"/>
      </w:pPr>
      <w:rPr>
        <w:rFonts w:hint="eastAsia" w:ascii="宋体" w:hAnsi="宋体" w:eastAsia="宋体"/>
        <w:color w:val="000000"/>
      </w:rPr>
    </w:lvl>
    <w:lvl w:ilvl="2">
      <w:start w:val="1"/>
      <w:numFmt w:val="decimal"/>
      <w:pStyle w:val="135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2"/>
      <w:numFmt w:val="chineseCounting"/>
      <w:isLgl w:val="false"/>
      <w:suff w:val="space"/>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5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3"/>
  </w:num>
  <w:num w:numId="3">
    <w:abstractNumId w:val="13"/>
  </w:num>
  <w:num w:numId="4">
    <w:abstractNumId w:val="1"/>
  </w:num>
  <w:num w:numId="5">
    <w:abstractNumId w:val="0"/>
  </w:num>
  <w:num w:numId="6">
    <w:abstractNumId w:val="8"/>
  </w:num>
  <w:num w:numId="7">
    <w:abstractNumId w:val="11"/>
  </w:num>
  <w:num w:numId="8">
    <w:abstractNumId w:val="6"/>
  </w:num>
  <w:num w:numId="9">
    <w:abstractNumId w:val="10"/>
  </w:num>
  <w:num w:numId="10">
    <w:abstractNumId w:val="5"/>
  </w:num>
  <w:num w:numId="11">
    <w:abstractNumId w:val="9"/>
  </w:num>
  <w:num w:numId="12">
    <w:abstractNumId w:val="2"/>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5" w:default="1">
    <w:name w:val="Normal"/>
    <w:next w:val="967"/>
    <w:link w:val="13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name w:val="Heading 1"/>
    <w:basedOn w:val="955"/>
    <w:next w:val="955"/>
    <w:link w:val="993"/>
    <w:uiPriority w:val="9"/>
    <w:qFormat/>
    <w:pPr>
      <w:keepLines/>
      <w:keepNext/>
      <w:spacing w:before="480" w:after="200"/>
      <w:outlineLvl w:val="0"/>
    </w:pPr>
    <w:rPr>
      <w:rFonts w:ascii="Arial" w:hAnsi="Arial" w:eastAsia="Arial" w:cs="Arial"/>
      <w:sz w:val="40"/>
      <w:szCs w:val="40"/>
    </w:rPr>
  </w:style>
  <w:style w:type="paragraph" w:styleId="957">
    <w:name w:val="Heading 2"/>
    <w:basedOn w:val="969"/>
    <w:next w:val="955"/>
    <w:link w:val="994"/>
    <w:uiPriority w:val="9"/>
    <w:unhideWhenUsed/>
    <w:qFormat/>
    <w:pPr>
      <w:keepLines/>
      <w:keepNext/>
      <w:spacing w:before="360" w:after="200"/>
      <w:outlineLvl w:val="1"/>
    </w:pPr>
    <w:rPr>
      <w:rFonts w:ascii="Arial" w:hAnsi="Arial" w:eastAsia="Arial" w:cs="Arial"/>
      <w:sz w:val="34"/>
    </w:rPr>
  </w:style>
  <w:style w:type="paragraph" w:styleId="958">
    <w:name w:val="Heading 3"/>
    <w:basedOn w:val="955"/>
    <w:next w:val="955"/>
    <w:link w:val="995"/>
    <w:uiPriority w:val="9"/>
    <w:unhideWhenUsed/>
    <w:qFormat/>
    <w:pPr>
      <w:keepLines/>
      <w:keepNext/>
      <w:spacing w:before="320" w:after="200"/>
      <w:outlineLvl w:val="2"/>
    </w:pPr>
    <w:rPr>
      <w:rFonts w:ascii="Arial" w:hAnsi="Arial" w:eastAsia="Arial" w:cs="Arial"/>
      <w:sz w:val="30"/>
      <w:szCs w:val="30"/>
    </w:rPr>
  </w:style>
  <w:style w:type="paragraph" w:styleId="959">
    <w:name w:val="Heading 4"/>
    <w:basedOn w:val="955"/>
    <w:next w:val="955"/>
    <w:link w:val="996"/>
    <w:uiPriority w:val="9"/>
    <w:unhideWhenUsed/>
    <w:qFormat/>
    <w:pPr>
      <w:keepLines/>
      <w:keepNext/>
      <w:spacing w:before="320" w:after="200"/>
      <w:outlineLvl w:val="3"/>
    </w:pPr>
    <w:rPr>
      <w:rFonts w:ascii="Arial" w:hAnsi="Arial" w:eastAsia="Arial" w:cs="Arial"/>
      <w:b/>
      <w:bCs/>
      <w:sz w:val="26"/>
      <w:szCs w:val="26"/>
    </w:rPr>
  </w:style>
  <w:style w:type="paragraph" w:styleId="960">
    <w:name w:val="Heading 5"/>
    <w:basedOn w:val="955"/>
    <w:next w:val="955"/>
    <w:link w:val="997"/>
    <w:uiPriority w:val="9"/>
    <w:unhideWhenUsed/>
    <w:qFormat/>
    <w:pPr>
      <w:keepLines/>
      <w:keepNext/>
      <w:spacing w:before="320" w:after="200"/>
      <w:outlineLvl w:val="4"/>
    </w:pPr>
    <w:rPr>
      <w:rFonts w:ascii="Arial" w:hAnsi="Arial" w:eastAsia="Arial" w:cs="Arial"/>
      <w:b/>
      <w:bCs/>
      <w:sz w:val="24"/>
      <w:szCs w:val="24"/>
    </w:rPr>
  </w:style>
  <w:style w:type="paragraph" w:styleId="961">
    <w:name w:val="Heading 6"/>
    <w:basedOn w:val="955"/>
    <w:next w:val="955"/>
    <w:link w:val="998"/>
    <w:uiPriority w:val="9"/>
    <w:unhideWhenUsed/>
    <w:qFormat/>
    <w:pPr>
      <w:keepLines/>
      <w:keepNext/>
      <w:spacing w:before="320" w:after="200"/>
      <w:outlineLvl w:val="5"/>
    </w:pPr>
    <w:rPr>
      <w:rFonts w:ascii="Arial" w:hAnsi="Arial" w:eastAsia="Arial" w:cs="Arial"/>
      <w:b/>
      <w:bCs/>
      <w:sz w:val="22"/>
      <w:szCs w:val="22"/>
    </w:rPr>
  </w:style>
  <w:style w:type="paragraph" w:styleId="962">
    <w:name w:val="Heading 7"/>
    <w:basedOn w:val="955"/>
    <w:next w:val="955"/>
    <w:link w:val="999"/>
    <w:uiPriority w:val="9"/>
    <w:unhideWhenUsed/>
    <w:qFormat/>
    <w:pPr>
      <w:keepLines/>
      <w:keepNext/>
      <w:spacing w:before="320" w:after="200"/>
      <w:outlineLvl w:val="6"/>
    </w:pPr>
    <w:rPr>
      <w:rFonts w:ascii="Arial" w:hAnsi="Arial" w:eastAsia="Arial" w:cs="Arial"/>
      <w:b/>
      <w:bCs/>
      <w:i/>
      <w:iCs/>
      <w:sz w:val="22"/>
      <w:szCs w:val="22"/>
    </w:rPr>
  </w:style>
  <w:style w:type="paragraph" w:styleId="963">
    <w:name w:val="Heading 8"/>
    <w:basedOn w:val="955"/>
    <w:next w:val="955"/>
    <w:link w:val="1000"/>
    <w:uiPriority w:val="9"/>
    <w:unhideWhenUsed/>
    <w:qFormat/>
    <w:pPr>
      <w:keepLines/>
      <w:keepNext/>
      <w:spacing w:before="320" w:after="200"/>
      <w:outlineLvl w:val="7"/>
    </w:pPr>
    <w:rPr>
      <w:rFonts w:ascii="Arial" w:hAnsi="Arial" w:eastAsia="Arial" w:cs="Arial"/>
      <w:i/>
      <w:iCs/>
      <w:sz w:val="22"/>
      <w:szCs w:val="22"/>
    </w:rPr>
  </w:style>
  <w:style w:type="paragraph" w:styleId="964">
    <w:name w:val="Heading 9"/>
    <w:basedOn w:val="955"/>
    <w:next w:val="955"/>
    <w:link w:val="1001"/>
    <w:uiPriority w:val="9"/>
    <w:unhideWhenUsed/>
    <w:qFormat/>
    <w:pPr>
      <w:keepLines/>
      <w:keepNext/>
      <w:spacing w:before="320" w:after="200"/>
      <w:outlineLvl w:val="8"/>
    </w:pPr>
    <w:rPr>
      <w:rFonts w:ascii="Arial" w:hAnsi="Arial" w:eastAsia="Arial" w:cs="Arial"/>
      <w:i/>
      <w:iCs/>
      <w:sz w:val="21"/>
      <w:szCs w:val="21"/>
    </w:rPr>
  </w:style>
  <w:style w:type="character" w:styleId="965" w:default="1">
    <w:name w:val="Default Paragraph Font"/>
    <w:uiPriority w:val="1"/>
    <w:semiHidden/>
    <w:unhideWhenUsed/>
    <w:qFormat/>
  </w:style>
  <w:style w:type="table" w:styleId="966" w:default="1">
    <w:name w:val="Normal Table"/>
    <w:uiPriority w:val="99"/>
    <w:semiHidden/>
    <w:unhideWhenUsed/>
    <w:qFormat/>
    <w:tblPr>
      <w:tblCellMar>
        <w:left w:w="108" w:type="dxa"/>
        <w:top w:w="0" w:type="dxa"/>
        <w:right w:w="108" w:type="dxa"/>
        <w:bottom w:w="0" w:type="dxa"/>
      </w:tblCellMar>
    </w:tblPr>
  </w:style>
  <w:style w:type="paragraph" w:styleId="967" w:customStyle="1">
    <w:name w:val="正文首行缩进 211"/>
    <w:basedOn w:val="968"/>
    <w:next w:val="955"/>
    <w:uiPriority w:val="0"/>
    <w:qFormat/>
    <w:pPr>
      <w:ind w:left="420" w:firstLine="420"/>
      <w:spacing w:after="120" w:line="480" w:lineRule="exact"/>
    </w:pPr>
    <w:rPr>
      <w:szCs w:val="20"/>
    </w:rPr>
  </w:style>
  <w:style w:type="paragraph" w:styleId="968" w:customStyle="1">
    <w:name w:val="正文文本缩进11"/>
    <w:basedOn w:val="955"/>
    <w:next w:val="955"/>
    <w:uiPriority w:val="0"/>
    <w:qFormat/>
    <w:pPr>
      <w:ind w:firstLine="570"/>
      <w:spacing w:line="360" w:lineRule="auto"/>
    </w:pPr>
    <w:rPr>
      <w:sz w:val="24"/>
    </w:rPr>
  </w:style>
  <w:style w:type="paragraph" w:styleId="969">
    <w:name w:val="Title"/>
    <w:basedOn w:val="955"/>
    <w:next w:val="955"/>
    <w:link w:val="1004"/>
    <w:uiPriority w:val="10"/>
    <w:qFormat/>
    <w:pPr>
      <w:contextualSpacing/>
      <w:spacing w:before="300" w:after="200"/>
    </w:pPr>
    <w:rPr>
      <w:sz w:val="48"/>
      <w:szCs w:val="48"/>
    </w:rPr>
  </w:style>
  <w:style w:type="paragraph" w:styleId="970">
    <w:name w:val="toc 7"/>
    <w:basedOn w:val="955"/>
    <w:next w:val="955"/>
    <w:uiPriority w:val="39"/>
    <w:unhideWhenUsed/>
    <w:qFormat/>
    <w:pPr>
      <w:ind w:left="1701" w:right="0" w:firstLine="0"/>
      <w:spacing w:after="57"/>
    </w:pPr>
  </w:style>
  <w:style w:type="paragraph" w:styleId="971">
    <w:name w:val="Normal Indent"/>
    <w:basedOn w:val="955"/>
    <w:next w:val="955"/>
    <w:uiPriority w:val="0"/>
    <w:qFormat/>
    <w:pPr>
      <w:ind w:firstLine="420"/>
      <w:jc w:val="left"/>
    </w:pPr>
    <w:rPr>
      <w:rFonts w:ascii="宋体"/>
      <w:sz w:val="24"/>
    </w:rPr>
  </w:style>
  <w:style w:type="paragraph" w:styleId="972">
    <w:name w:val="Caption"/>
    <w:basedOn w:val="955"/>
    <w:next w:val="9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3">
    <w:name w:val="Body Text"/>
    <w:basedOn w:val="955"/>
    <w:next w:val="955"/>
    <w:uiPriority w:val="0"/>
    <w:qFormat/>
    <w:pPr>
      <w:spacing w:before="120" w:line="22" w:lineRule="atLeast"/>
      <w:tabs>
        <w:tab w:val="left" w:pos="567" w:leader="none"/>
      </w:tabs>
    </w:pPr>
    <w:rPr>
      <w:rFonts w:ascii="宋体" w:hAnsi="宋体"/>
      <w:sz w:val="24"/>
    </w:rPr>
  </w:style>
  <w:style w:type="paragraph" w:styleId="974">
    <w:name w:val="toc 5"/>
    <w:basedOn w:val="955"/>
    <w:next w:val="955"/>
    <w:uiPriority w:val="39"/>
    <w:unhideWhenUsed/>
    <w:qFormat/>
    <w:pPr>
      <w:ind w:left="1134" w:right="0" w:firstLine="0"/>
      <w:spacing w:after="57"/>
    </w:pPr>
  </w:style>
  <w:style w:type="paragraph" w:styleId="975">
    <w:name w:val="toc 3"/>
    <w:basedOn w:val="955"/>
    <w:next w:val="955"/>
    <w:uiPriority w:val="39"/>
    <w:unhideWhenUsed/>
    <w:qFormat/>
    <w:pPr>
      <w:ind w:left="567" w:right="0" w:firstLine="0"/>
      <w:spacing w:after="57"/>
    </w:pPr>
  </w:style>
  <w:style w:type="paragraph" w:styleId="976">
    <w:name w:val="toc 8"/>
    <w:basedOn w:val="955"/>
    <w:next w:val="955"/>
    <w:uiPriority w:val="39"/>
    <w:unhideWhenUsed/>
    <w:qFormat/>
    <w:pPr>
      <w:ind w:left="1984" w:right="0" w:firstLine="0"/>
      <w:spacing w:after="57"/>
    </w:pPr>
  </w:style>
  <w:style w:type="paragraph" w:styleId="977">
    <w:name w:val="endnote text"/>
    <w:basedOn w:val="955"/>
    <w:link w:val="1139"/>
    <w:uiPriority w:val="99"/>
    <w:semiHidden/>
    <w:unhideWhenUsed/>
    <w:qFormat/>
    <w:pPr>
      <w:spacing w:after="0" w:line="240" w:lineRule="auto"/>
    </w:pPr>
    <w:rPr>
      <w:sz w:val="20"/>
    </w:rPr>
  </w:style>
  <w:style w:type="paragraph" w:styleId="978">
    <w:name w:val="Footer"/>
    <w:basedOn w:val="955"/>
    <w:link w:val="1012"/>
    <w:uiPriority w:val="99"/>
    <w:unhideWhenUsed/>
    <w:qFormat/>
    <w:pPr>
      <w:spacing w:after="0" w:line="240" w:lineRule="auto"/>
      <w:tabs>
        <w:tab w:val="center" w:pos="7143" w:leader="none"/>
        <w:tab w:val="right" w:pos="14287" w:leader="none"/>
      </w:tabs>
    </w:pPr>
  </w:style>
  <w:style w:type="paragraph" w:styleId="979">
    <w:name w:val="Header"/>
    <w:basedOn w:val="955"/>
    <w:link w:val="1010"/>
    <w:uiPriority w:val="99"/>
    <w:unhideWhenUsed/>
    <w:qFormat/>
    <w:pPr>
      <w:spacing w:after="0" w:line="240" w:lineRule="auto"/>
      <w:tabs>
        <w:tab w:val="center" w:pos="7143" w:leader="none"/>
        <w:tab w:val="right" w:pos="14287" w:leader="none"/>
      </w:tabs>
    </w:pPr>
  </w:style>
  <w:style w:type="paragraph" w:styleId="980">
    <w:name w:val="toc 1"/>
    <w:basedOn w:val="955"/>
    <w:next w:val="955"/>
    <w:uiPriority w:val="39"/>
    <w:unhideWhenUsed/>
    <w:qFormat/>
    <w:pPr>
      <w:ind w:left="0" w:right="0" w:firstLine="0"/>
      <w:spacing w:after="57"/>
    </w:pPr>
  </w:style>
  <w:style w:type="paragraph" w:styleId="981">
    <w:name w:val="toc 4"/>
    <w:basedOn w:val="955"/>
    <w:next w:val="955"/>
    <w:uiPriority w:val="39"/>
    <w:unhideWhenUsed/>
    <w:qFormat/>
    <w:pPr>
      <w:ind w:left="850" w:right="0" w:firstLine="0"/>
      <w:spacing w:after="57"/>
    </w:pPr>
  </w:style>
  <w:style w:type="paragraph" w:styleId="982">
    <w:name w:val="Subtitle"/>
    <w:basedOn w:val="955"/>
    <w:next w:val="955"/>
    <w:link w:val="1005"/>
    <w:uiPriority w:val="11"/>
    <w:qFormat/>
    <w:pPr>
      <w:spacing w:before="200" w:after="200"/>
    </w:pPr>
    <w:rPr>
      <w:sz w:val="24"/>
      <w:szCs w:val="24"/>
    </w:rPr>
  </w:style>
  <w:style w:type="paragraph" w:styleId="983">
    <w:name w:val="footnote text"/>
    <w:basedOn w:val="955"/>
    <w:link w:val="1138"/>
    <w:uiPriority w:val="99"/>
    <w:semiHidden/>
    <w:unhideWhenUsed/>
    <w:qFormat/>
    <w:pPr>
      <w:spacing w:after="40" w:line="240" w:lineRule="auto"/>
    </w:pPr>
    <w:rPr>
      <w:sz w:val="18"/>
    </w:rPr>
  </w:style>
  <w:style w:type="paragraph" w:styleId="984">
    <w:name w:val="toc 6"/>
    <w:basedOn w:val="955"/>
    <w:next w:val="955"/>
    <w:uiPriority w:val="39"/>
    <w:unhideWhenUsed/>
    <w:qFormat/>
    <w:pPr>
      <w:ind w:left="1417" w:right="0" w:firstLine="0"/>
      <w:spacing w:after="57"/>
    </w:pPr>
  </w:style>
  <w:style w:type="paragraph" w:styleId="985">
    <w:name w:val="table of figures"/>
    <w:basedOn w:val="955"/>
    <w:next w:val="955"/>
    <w:uiPriority w:val="99"/>
    <w:unhideWhenUsed/>
    <w:qFormat/>
    <w:pPr>
      <w:spacing w:after="0" w:afterAutospacing="0"/>
    </w:pPr>
  </w:style>
  <w:style w:type="paragraph" w:styleId="986">
    <w:name w:val="toc 2"/>
    <w:basedOn w:val="955"/>
    <w:next w:val="955"/>
    <w:uiPriority w:val="39"/>
    <w:unhideWhenUsed/>
    <w:qFormat/>
    <w:pPr>
      <w:ind w:left="283" w:right="0" w:firstLine="0"/>
      <w:spacing w:after="57"/>
    </w:pPr>
  </w:style>
  <w:style w:type="paragraph" w:styleId="987">
    <w:name w:val="toc 9"/>
    <w:basedOn w:val="955"/>
    <w:next w:val="955"/>
    <w:uiPriority w:val="39"/>
    <w:unhideWhenUsed/>
    <w:qFormat/>
    <w:pPr>
      <w:ind w:left="2268" w:right="0" w:firstLine="0"/>
      <w:spacing w:after="57"/>
    </w:pPr>
  </w:style>
  <w:style w:type="table" w:styleId="9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9">
    <w:name w:val="endnote reference"/>
    <w:uiPriority w:val="99"/>
    <w:semiHidden/>
    <w:unhideWhenUsed/>
    <w:qFormat/>
    <w:rPr>
      <w:vertAlign w:val="superscript"/>
    </w:rPr>
  </w:style>
  <w:style w:type="character" w:styleId="990">
    <w:name w:val="page number"/>
    <w:basedOn w:val="965"/>
    <w:uiPriority w:val="0"/>
    <w:qFormat/>
  </w:style>
  <w:style w:type="character" w:styleId="991">
    <w:name w:val="Hyperlink"/>
    <w:basedOn w:val="965"/>
    <w:uiPriority w:val="99"/>
    <w:unhideWhenUsed/>
    <w:qFormat/>
    <w:rPr>
      <w:color w:val="0000ff" w:themeColor="hyperlink"/>
      <w:u w:val="single"/>
      <w14:textFill>
        <w14:solidFill>
          <w14:schemeClr w14:val="hlink"/>
        </w14:solidFill>
      </w14:textFill>
    </w:rPr>
  </w:style>
  <w:style w:type="character" w:styleId="992">
    <w:name w:val="footnote reference"/>
    <w:uiPriority w:val="99"/>
    <w:unhideWhenUsed/>
    <w:qFormat/>
    <w:rPr>
      <w:vertAlign w:val="superscript"/>
    </w:rPr>
  </w:style>
  <w:style w:type="character" w:styleId="993" w:customStyle="1">
    <w:name w:val="Heading 1 Char"/>
    <w:link w:val="956"/>
    <w:uiPriority w:val="9"/>
    <w:qFormat/>
    <w:rPr>
      <w:rFonts w:ascii="Arial" w:hAnsi="Arial" w:eastAsia="Arial" w:cs="Arial"/>
      <w:sz w:val="40"/>
      <w:szCs w:val="40"/>
    </w:rPr>
  </w:style>
  <w:style w:type="character" w:styleId="994" w:customStyle="1">
    <w:name w:val="Heading 2 Char"/>
    <w:link w:val="957"/>
    <w:uiPriority w:val="9"/>
    <w:qFormat/>
    <w:rPr>
      <w:rFonts w:ascii="Arial" w:hAnsi="Arial" w:eastAsia="Arial" w:cs="Arial"/>
      <w:sz w:val="34"/>
    </w:rPr>
  </w:style>
  <w:style w:type="character" w:styleId="995" w:customStyle="1">
    <w:name w:val="Heading 3 Char"/>
    <w:link w:val="958"/>
    <w:uiPriority w:val="9"/>
    <w:qFormat/>
    <w:rPr>
      <w:rFonts w:ascii="Arial" w:hAnsi="Arial" w:eastAsia="Arial" w:cs="Arial"/>
      <w:sz w:val="30"/>
      <w:szCs w:val="30"/>
    </w:rPr>
  </w:style>
  <w:style w:type="character" w:styleId="996" w:customStyle="1">
    <w:name w:val="Heading 4 Char"/>
    <w:link w:val="959"/>
    <w:uiPriority w:val="9"/>
    <w:qFormat/>
    <w:rPr>
      <w:rFonts w:ascii="Arial" w:hAnsi="Arial" w:eastAsia="Arial" w:cs="Arial"/>
      <w:b/>
      <w:bCs/>
      <w:sz w:val="26"/>
      <w:szCs w:val="26"/>
    </w:rPr>
  </w:style>
  <w:style w:type="character" w:styleId="997" w:customStyle="1">
    <w:name w:val="Heading 5 Char"/>
    <w:link w:val="960"/>
    <w:uiPriority w:val="9"/>
    <w:qFormat/>
    <w:rPr>
      <w:rFonts w:ascii="Arial" w:hAnsi="Arial" w:eastAsia="Arial" w:cs="Arial"/>
      <w:b/>
      <w:bCs/>
      <w:sz w:val="24"/>
      <w:szCs w:val="24"/>
    </w:rPr>
  </w:style>
  <w:style w:type="character" w:styleId="998" w:customStyle="1">
    <w:name w:val="Heading 6 Char"/>
    <w:link w:val="961"/>
    <w:uiPriority w:val="9"/>
    <w:qFormat/>
    <w:rPr>
      <w:rFonts w:ascii="Arial" w:hAnsi="Arial" w:eastAsia="Arial" w:cs="Arial"/>
      <w:b/>
      <w:bCs/>
      <w:sz w:val="22"/>
      <w:szCs w:val="22"/>
    </w:rPr>
  </w:style>
  <w:style w:type="character" w:styleId="999" w:customStyle="1">
    <w:name w:val="Heading 7 Char"/>
    <w:link w:val="962"/>
    <w:uiPriority w:val="9"/>
    <w:qFormat/>
    <w:rPr>
      <w:rFonts w:ascii="Arial" w:hAnsi="Arial" w:eastAsia="Arial" w:cs="Arial"/>
      <w:b/>
      <w:bCs/>
      <w:i/>
      <w:iCs/>
      <w:sz w:val="22"/>
      <w:szCs w:val="22"/>
    </w:rPr>
  </w:style>
  <w:style w:type="character" w:styleId="1000" w:customStyle="1">
    <w:name w:val="Heading 8 Char"/>
    <w:link w:val="963"/>
    <w:uiPriority w:val="9"/>
    <w:qFormat/>
    <w:rPr>
      <w:rFonts w:ascii="Arial" w:hAnsi="Arial" w:eastAsia="Arial" w:cs="Arial"/>
      <w:i/>
      <w:iCs/>
      <w:sz w:val="22"/>
      <w:szCs w:val="22"/>
    </w:rPr>
  </w:style>
  <w:style w:type="character" w:styleId="1001" w:customStyle="1">
    <w:name w:val="Heading 9 Char"/>
    <w:link w:val="964"/>
    <w:uiPriority w:val="9"/>
    <w:qFormat/>
    <w:rPr>
      <w:rFonts w:ascii="Arial" w:hAnsi="Arial" w:eastAsia="Arial" w:cs="Arial"/>
      <w:i/>
      <w:iCs/>
      <w:sz w:val="21"/>
      <w:szCs w:val="21"/>
    </w:rPr>
  </w:style>
  <w:style w:type="paragraph" w:styleId="1002">
    <w:name w:val="List Paragraph"/>
    <w:basedOn w:val="955"/>
    <w:uiPriority w:val="34"/>
    <w:qFormat/>
    <w:pPr>
      <w:contextualSpacing/>
      <w:ind w:left="720"/>
    </w:pPr>
  </w:style>
  <w:style w:type="paragraph" w:styleId="1003">
    <w:name w:val="No Spacing"/>
    <w:uiPriority w:val="1"/>
    <w:qFormat/>
    <w:pPr>
      <w:spacing w:before="0" w:after="0" w:line="240" w:lineRule="auto"/>
    </w:pPr>
    <w:rPr>
      <w:rFonts w:hint="default" w:ascii="Times New Roman" w:hAnsi="Times New Roman" w:eastAsia="宋体" w:cs="Times New Roman"/>
    </w:rPr>
  </w:style>
  <w:style w:type="character" w:styleId="1004" w:customStyle="1">
    <w:name w:val="Title Char"/>
    <w:link w:val="969"/>
    <w:uiPriority w:val="10"/>
    <w:qFormat/>
    <w:rPr>
      <w:sz w:val="48"/>
      <w:szCs w:val="48"/>
    </w:rPr>
  </w:style>
  <w:style w:type="character" w:styleId="1005" w:customStyle="1">
    <w:name w:val="Subtitle Char"/>
    <w:link w:val="982"/>
    <w:uiPriority w:val="11"/>
    <w:qFormat/>
    <w:rPr>
      <w:sz w:val="24"/>
      <w:szCs w:val="24"/>
    </w:rPr>
  </w:style>
  <w:style w:type="paragraph" w:styleId="1006">
    <w:name w:val="Quote"/>
    <w:basedOn w:val="955"/>
    <w:next w:val="955"/>
    <w:link w:val="1007"/>
    <w:uiPriority w:val="29"/>
    <w:qFormat/>
    <w:pPr>
      <w:ind w:left="720" w:right="720"/>
    </w:pPr>
    <w:rPr>
      <w:i/>
    </w:rPr>
  </w:style>
  <w:style w:type="character" w:styleId="1007" w:customStyle="1">
    <w:name w:val="Quote Char"/>
    <w:link w:val="1006"/>
    <w:uiPriority w:val="29"/>
    <w:qFormat/>
    <w:rPr>
      <w:i/>
    </w:rPr>
  </w:style>
  <w:style w:type="paragraph" w:styleId="1008">
    <w:name w:val="Intense Quote"/>
    <w:basedOn w:val="955"/>
    <w:next w:val="955"/>
    <w:link w:val="10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9" w:customStyle="1">
    <w:name w:val="Intense Quote Char"/>
    <w:link w:val="1008"/>
    <w:uiPriority w:val="30"/>
    <w:qFormat/>
    <w:rPr>
      <w:i/>
    </w:rPr>
  </w:style>
  <w:style w:type="character" w:styleId="1010" w:customStyle="1">
    <w:name w:val="Header Char"/>
    <w:link w:val="979"/>
    <w:uiPriority w:val="99"/>
    <w:qFormat/>
  </w:style>
  <w:style w:type="character" w:styleId="1011" w:customStyle="1">
    <w:name w:val="Footer Char"/>
    <w:link w:val="978"/>
    <w:uiPriority w:val="99"/>
    <w:qFormat/>
  </w:style>
  <w:style w:type="character" w:styleId="1012" w:customStyle="1">
    <w:name w:val="Caption Char"/>
    <w:link w:val="978"/>
    <w:uiPriority w:val="99"/>
    <w:qFormat/>
  </w:style>
  <w:style w:type="table" w:styleId="10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8" w:customStyle="1">
    <w:name w:val="Footnote Text Char"/>
    <w:link w:val="983"/>
    <w:uiPriority w:val="99"/>
    <w:qFormat/>
    <w:rPr>
      <w:sz w:val="18"/>
    </w:rPr>
  </w:style>
  <w:style w:type="character" w:styleId="1139" w:customStyle="1">
    <w:name w:val="Endnote Text Char"/>
    <w:link w:val="977"/>
    <w:uiPriority w:val="99"/>
    <w:qFormat/>
    <w:rPr>
      <w:sz w:val="20"/>
    </w:rPr>
  </w:style>
  <w:style w:type="paragraph" w:styleId="1140" w:customStyle="1">
    <w:name w:val="TOC Heading"/>
    <w:uiPriority w:val="39"/>
    <w:unhideWhenUsed/>
    <w:qFormat/>
    <w:rPr>
      <w:rFonts w:hint="default" w:ascii="Times New Roman" w:hAnsi="Times New Roman" w:eastAsia="宋体" w:cs="Times New Roman"/>
    </w:rPr>
  </w:style>
  <w:style w:type="paragraph" w:styleId="1141" w:customStyle="1">
    <w:name w:val="标题 11"/>
    <w:basedOn w:val="955"/>
    <w:next w:val="955"/>
    <w:link w:val="1153"/>
    <w:uiPriority w:val="0"/>
    <w:qFormat/>
    <w:pPr>
      <w:jc w:val="center"/>
      <w:keepLines/>
      <w:keepNext/>
      <w:spacing w:before="240" w:after="120" w:line="300" w:lineRule="auto"/>
      <w:outlineLvl w:val="0"/>
    </w:pPr>
    <w:rPr>
      <w:rFonts w:ascii="宋体"/>
      <w:b/>
      <w:sz w:val="32"/>
      <w:szCs w:val="20"/>
    </w:rPr>
  </w:style>
  <w:style w:type="paragraph" w:styleId="1142" w:customStyle="1">
    <w:name w:val="标题 21"/>
    <w:basedOn w:val="955"/>
    <w:next w:val="1143"/>
    <w:link w:val="1154"/>
    <w:uiPriority w:val="0"/>
    <w:qFormat/>
    <w:pPr>
      <w:jc w:val="center"/>
      <w:keepLines/>
      <w:keepNext/>
      <w:spacing w:before="120" w:line="300" w:lineRule="auto"/>
      <w:outlineLvl w:val="1"/>
    </w:pPr>
    <w:rPr>
      <w:rFonts w:ascii="Arial" w:hAnsi="Arial" w:eastAsia="黑体"/>
      <w:b/>
      <w:sz w:val="30"/>
      <w:szCs w:val="20"/>
    </w:rPr>
  </w:style>
  <w:style w:type="paragraph" w:styleId="1143" w:customStyle="1">
    <w:name w:val="正文缩进11"/>
    <w:basedOn w:val="955"/>
    <w:next w:val="955"/>
    <w:link w:val="1155"/>
    <w:uiPriority w:val="0"/>
    <w:qFormat/>
    <w:pPr>
      <w:ind w:firstLine="420"/>
      <w:jc w:val="left"/>
    </w:pPr>
    <w:rPr>
      <w:rFonts w:ascii="宋体"/>
      <w:sz w:val="24"/>
    </w:rPr>
  </w:style>
  <w:style w:type="paragraph" w:styleId="1144" w:customStyle="1">
    <w:name w:val="标题 31"/>
    <w:basedOn w:val="955"/>
    <w:next w:val="955"/>
    <w:link w:val="1156"/>
    <w:uiPriority w:val="0"/>
    <w:qFormat/>
    <w:pPr>
      <w:jc w:val="left"/>
      <w:keepLines/>
      <w:keepNext/>
      <w:spacing w:before="360" w:after="120"/>
      <w:outlineLvl w:val="2"/>
    </w:pPr>
    <w:rPr>
      <w:rFonts w:ascii="宋体"/>
      <w:b/>
      <w:sz w:val="24"/>
      <w:szCs w:val="20"/>
      <w:u w:val="single"/>
    </w:rPr>
  </w:style>
  <w:style w:type="paragraph" w:styleId="1145" w:customStyle="1">
    <w:name w:val="标题 41"/>
    <w:basedOn w:val="955"/>
    <w:next w:val="955"/>
    <w:link w:val="1157"/>
    <w:uiPriority w:val="0"/>
    <w:qFormat/>
    <w:pPr>
      <w:keepLines/>
      <w:keepNext/>
      <w:spacing w:before="280" w:after="290" w:line="376" w:lineRule="atLeast"/>
      <w:outlineLvl w:val="3"/>
    </w:pPr>
    <w:rPr>
      <w:rFonts w:ascii="Arial" w:hAnsi="Arial" w:eastAsia="黑体"/>
      <w:b/>
      <w:sz w:val="28"/>
      <w:szCs w:val="20"/>
    </w:rPr>
  </w:style>
  <w:style w:type="paragraph" w:styleId="1146" w:customStyle="1">
    <w:name w:val="标题 51"/>
    <w:basedOn w:val="955"/>
    <w:next w:val="955"/>
    <w:link w:val="1158"/>
    <w:uiPriority w:val="0"/>
    <w:qFormat/>
    <w:pPr>
      <w:keepLines/>
      <w:keepNext/>
      <w:spacing w:before="280" w:after="290" w:line="376" w:lineRule="atLeast"/>
      <w:outlineLvl w:val="4"/>
    </w:pPr>
    <w:rPr>
      <w:b/>
      <w:sz w:val="28"/>
      <w:szCs w:val="20"/>
    </w:rPr>
  </w:style>
  <w:style w:type="paragraph" w:styleId="1147" w:customStyle="1">
    <w:name w:val="标题 61"/>
    <w:basedOn w:val="955"/>
    <w:next w:val="955"/>
    <w:link w:val="1159"/>
    <w:uiPriority w:val="0"/>
    <w:qFormat/>
    <w:pPr>
      <w:keepLines/>
      <w:keepNext/>
      <w:spacing w:before="240" w:after="64" w:line="320" w:lineRule="atLeast"/>
      <w:outlineLvl w:val="5"/>
    </w:pPr>
    <w:rPr>
      <w:rFonts w:ascii="Arial" w:hAnsi="Arial" w:eastAsia="黑体"/>
      <w:b/>
      <w:sz w:val="24"/>
      <w:szCs w:val="20"/>
    </w:rPr>
  </w:style>
  <w:style w:type="paragraph" w:styleId="1148" w:customStyle="1">
    <w:name w:val="标题 71"/>
    <w:basedOn w:val="955"/>
    <w:next w:val="955"/>
    <w:link w:val="1160"/>
    <w:uiPriority w:val="0"/>
    <w:qFormat/>
    <w:pPr>
      <w:keepLines/>
      <w:keepNext/>
      <w:spacing w:before="240" w:after="64" w:line="320" w:lineRule="atLeast"/>
      <w:outlineLvl w:val="6"/>
    </w:pPr>
    <w:rPr>
      <w:b/>
      <w:sz w:val="24"/>
      <w:szCs w:val="20"/>
    </w:rPr>
  </w:style>
  <w:style w:type="paragraph" w:styleId="1149" w:customStyle="1">
    <w:name w:val="标题 81"/>
    <w:basedOn w:val="955"/>
    <w:next w:val="955"/>
    <w:link w:val="1161"/>
    <w:uiPriority w:val="0"/>
    <w:qFormat/>
    <w:pPr>
      <w:keepLines/>
      <w:keepNext/>
      <w:spacing w:before="240" w:after="64" w:line="320" w:lineRule="atLeast"/>
      <w:outlineLvl w:val="7"/>
    </w:pPr>
    <w:rPr>
      <w:rFonts w:ascii="Arial" w:hAnsi="Arial" w:eastAsia="黑体"/>
      <w:sz w:val="24"/>
      <w:szCs w:val="20"/>
    </w:rPr>
  </w:style>
  <w:style w:type="paragraph" w:styleId="1150" w:customStyle="1">
    <w:name w:val="标题 91"/>
    <w:basedOn w:val="955"/>
    <w:next w:val="955"/>
    <w:link w:val="1162"/>
    <w:uiPriority w:val="0"/>
    <w:qFormat/>
    <w:pPr>
      <w:keepLines/>
      <w:keepNext/>
      <w:spacing w:before="240" w:after="64" w:line="320" w:lineRule="atLeast"/>
      <w:outlineLvl w:val="8"/>
    </w:pPr>
    <w:rPr>
      <w:rFonts w:ascii="Arial" w:hAnsi="Arial" w:eastAsia="黑体"/>
      <w:szCs w:val="20"/>
    </w:rPr>
  </w:style>
  <w:style w:type="character" w:styleId="1151" w:customStyle="1">
    <w:name w:val="默认段落字体1"/>
    <w:link w:val="955"/>
    <w:uiPriority w:val="1"/>
    <w:unhideWhenUsed/>
    <w:qFormat/>
  </w:style>
  <w:style w:type="table" w:styleId="1152" w:customStyle="1">
    <w:name w:val="普通表格1"/>
    <w:uiPriority w:val="99"/>
    <w:unhideWhenUsed/>
    <w:qFormat/>
    <w:tblPr/>
  </w:style>
  <w:style w:type="character" w:styleId="1153" w:customStyle="1">
    <w:name w:val="标题 1 Char"/>
    <w:basedOn w:val="1151"/>
    <w:link w:val="1141"/>
    <w:uiPriority w:val="0"/>
    <w:qFormat/>
    <w:rPr>
      <w:rFonts w:ascii="宋体"/>
      <w:b/>
      <w:sz w:val="32"/>
    </w:rPr>
  </w:style>
  <w:style w:type="character" w:styleId="1154" w:customStyle="1">
    <w:name w:val="标题 2 Char1"/>
    <w:link w:val="1142"/>
    <w:uiPriority w:val="0"/>
    <w:qFormat/>
    <w:rPr>
      <w:rFonts w:ascii="Arial" w:hAnsi="Arial" w:eastAsia="黑体"/>
      <w:b/>
      <w:sz w:val="30"/>
      <w:lang w:val="en-US" w:eastAsia="zh-CN" w:bidi="ar-SA"/>
    </w:rPr>
  </w:style>
  <w:style w:type="character" w:styleId="1155" w:customStyle="1">
    <w:name w:val="正文缩进 Char1"/>
    <w:link w:val="1143"/>
    <w:uiPriority w:val="0"/>
    <w:qFormat/>
    <w:rPr>
      <w:rFonts w:ascii="宋体" w:eastAsia="宋体"/>
      <w:sz w:val="24"/>
      <w:szCs w:val="24"/>
      <w:lang w:val="en-US" w:eastAsia="zh-CN" w:bidi="ar-SA"/>
    </w:rPr>
  </w:style>
  <w:style w:type="character" w:styleId="1156" w:customStyle="1">
    <w:name w:val="标题 3 Char1"/>
    <w:link w:val="1144"/>
    <w:uiPriority w:val="0"/>
    <w:qFormat/>
    <w:rPr>
      <w:rFonts w:ascii="宋体" w:eastAsia="宋体"/>
      <w:b/>
      <w:sz w:val="24"/>
      <w:u w:val="single"/>
      <w:lang w:val="en-US" w:eastAsia="zh-CN" w:bidi="ar-SA"/>
    </w:rPr>
  </w:style>
  <w:style w:type="character" w:styleId="1157" w:customStyle="1">
    <w:name w:val="标题 4 Char"/>
    <w:basedOn w:val="1151"/>
    <w:link w:val="1145"/>
    <w:uiPriority w:val="0"/>
    <w:qFormat/>
    <w:rPr>
      <w:rFonts w:ascii="Arial" w:hAnsi="Arial" w:eastAsia="黑体"/>
      <w:b/>
      <w:sz w:val="28"/>
    </w:rPr>
  </w:style>
  <w:style w:type="character" w:styleId="1158" w:customStyle="1">
    <w:name w:val="标题 5 Char"/>
    <w:basedOn w:val="1151"/>
    <w:link w:val="1146"/>
    <w:uiPriority w:val="0"/>
    <w:qFormat/>
    <w:rPr>
      <w:b/>
      <w:sz w:val="28"/>
    </w:rPr>
  </w:style>
  <w:style w:type="character" w:styleId="1159" w:customStyle="1">
    <w:name w:val="标题 6 Char"/>
    <w:basedOn w:val="1151"/>
    <w:link w:val="1147"/>
    <w:uiPriority w:val="0"/>
    <w:qFormat/>
    <w:rPr>
      <w:rFonts w:ascii="Arial" w:hAnsi="Arial" w:eastAsia="黑体"/>
      <w:b/>
      <w:sz w:val="24"/>
    </w:rPr>
  </w:style>
  <w:style w:type="character" w:styleId="1160" w:customStyle="1">
    <w:name w:val="标题 7 Char"/>
    <w:basedOn w:val="1151"/>
    <w:link w:val="1148"/>
    <w:uiPriority w:val="0"/>
    <w:qFormat/>
    <w:rPr>
      <w:b/>
      <w:sz w:val="24"/>
    </w:rPr>
  </w:style>
  <w:style w:type="character" w:styleId="1161" w:customStyle="1">
    <w:name w:val="标题 8 Char"/>
    <w:basedOn w:val="1151"/>
    <w:link w:val="1149"/>
    <w:uiPriority w:val="0"/>
    <w:qFormat/>
    <w:rPr>
      <w:rFonts w:ascii="Arial" w:hAnsi="Arial" w:eastAsia="黑体"/>
      <w:sz w:val="24"/>
    </w:rPr>
  </w:style>
  <w:style w:type="character" w:styleId="1162" w:customStyle="1">
    <w:name w:val="标题 9 Char"/>
    <w:basedOn w:val="1151"/>
    <w:link w:val="1150"/>
    <w:uiPriority w:val="0"/>
    <w:qFormat/>
    <w:rPr>
      <w:rFonts w:ascii="Arial" w:hAnsi="Arial" w:eastAsia="黑体"/>
      <w:sz w:val="21"/>
    </w:rPr>
  </w:style>
  <w:style w:type="paragraph" w:styleId="1163" w:customStyle="1">
    <w:name w:val="目录 71"/>
    <w:basedOn w:val="955"/>
    <w:next w:val="955"/>
    <w:uiPriority w:val="0"/>
    <w:qFormat/>
    <w:pPr>
      <w:ind w:left="2520"/>
    </w:pPr>
  </w:style>
  <w:style w:type="paragraph" w:styleId="1164" w:customStyle="1">
    <w:name w:val="引文目录1"/>
    <w:basedOn w:val="955"/>
    <w:next w:val="955"/>
    <w:uiPriority w:val="99"/>
    <w:unhideWhenUsed/>
    <w:qFormat/>
    <w:pPr>
      <w:ind w:left="420"/>
    </w:pPr>
  </w:style>
  <w:style w:type="paragraph" w:styleId="1165" w:customStyle="1">
    <w:name w:val="题注1"/>
    <w:basedOn w:val="955"/>
    <w:next w:val="955"/>
    <w:uiPriority w:val="0"/>
    <w:qFormat/>
    <w:pPr>
      <w:spacing w:line="480" w:lineRule="auto"/>
    </w:pPr>
    <w:rPr>
      <w:rFonts w:ascii="华文中宋" w:hAnsi="华文中宋" w:eastAsia="华文中宋"/>
      <w:sz w:val="36"/>
      <w:szCs w:val="20"/>
    </w:rPr>
  </w:style>
  <w:style w:type="paragraph" w:styleId="1166" w:customStyle="1">
    <w:name w:val="文档结构图1"/>
    <w:basedOn w:val="955"/>
    <w:link w:val="1167"/>
    <w:uiPriority w:val="0"/>
    <w:qFormat/>
    <w:pPr>
      <w:shd w:val="clear" w:color="auto" w:fill="000080"/>
    </w:pPr>
  </w:style>
  <w:style w:type="character" w:styleId="1167" w:customStyle="1">
    <w:name w:val="文档结构图 Char"/>
    <w:basedOn w:val="1151"/>
    <w:link w:val="1166"/>
    <w:uiPriority w:val="0"/>
    <w:qFormat/>
    <w:rPr>
      <w:sz w:val="21"/>
      <w:szCs w:val="24"/>
      <w:shd w:val="clear" w:color="auto" w:fill="000080"/>
    </w:rPr>
  </w:style>
  <w:style w:type="paragraph" w:styleId="1168" w:customStyle="1">
    <w:name w:val="批注文字1"/>
    <w:basedOn w:val="955"/>
    <w:link w:val="1169"/>
    <w:uiPriority w:val="99"/>
    <w:qFormat/>
    <w:pPr>
      <w:jc w:val="left"/>
    </w:pPr>
  </w:style>
  <w:style w:type="character" w:styleId="1169" w:customStyle="1">
    <w:name w:val="批注文字 Char1"/>
    <w:link w:val="1168"/>
    <w:uiPriority w:val="99"/>
    <w:qFormat/>
    <w:rPr>
      <w:sz w:val="21"/>
      <w:szCs w:val="24"/>
    </w:rPr>
  </w:style>
  <w:style w:type="paragraph" w:styleId="1170" w:customStyle="1">
    <w:name w:val="正文文本 31"/>
    <w:basedOn w:val="955"/>
    <w:link w:val="1171"/>
    <w:uiPriority w:val="0"/>
    <w:qFormat/>
    <w:pPr>
      <w:spacing w:after="120"/>
    </w:pPr>
    <w:rPr>
      <w:sz w:val="16"/>
      <w:szCs w:val="16"/>
    </w:rPr>
  </w:style>
  <w:style w:type="character" w:styleId="1171" w:customStyle="1">
    <w:name w:val="正文文本 3 Char"/>
    <w:basedOn w:val="1151"/>
    <w:link w:val="1170"/>
    <w:uiPriority w:val="0"/>
    <w:qFormat/>
    <w:rPr>
      <w:sz w:val="16"/>
      <w:szCs w:val="16"/>
    </w:rPr>
  </w:style>
  <w:style w:type="paragraph" w:styleId="1172" w:customStyle="1">
    <w:name w:val="正文文本11"/>
    <w:basedOn w:val="955"/>
    <w:next w:val="955"/>
    <w:link w:val="1173"/>
    <w:uiPriority w:val="0"/>
    <w:qFormat/>
    <w:pPr>
      <w:spacing w:before="120" w:line="22" w:lineRule="atLeast"/>
      <w:tabs>
        <w:tab w:val="left" w:pos="567" w:leader="none"/>
      </w:tabs>
    </w:pPr>
    <w:rPr>
      <w:rFonts w:ascii="宋体" w:hAnsi="宋体"/>
      <w:sz w:val="24"/>
    </w:rPr>
  </w:style>
  <w:style w:type="character" w:styleId="1173" w:customStyle="1">
    <w:name w:val="正文文本 Char"/>
    <w:basedOn w:val="1151"/>
    <w:link w:val="1172"/>
    <w:uiPriority w:val="0"/>
    <w:qFormat/>
    <w:rPr>
      <w:rFonts w:ascii="宋体" w:hAnsi="宋体"/>
      <w:sz w:val="24"/>
      <w:szCs w:val="24"/>
    </w:rPr>
  </w:style>
  <w:style w:type="paragraph" w:styleId="1174" w:customStyle="1">
    <w:name w:val="正文文本缩进111"/>
    <w:basedOn w:val="955"/>
    <w:next w:val="955"/>
    <w:link w:val="1175"/>
    <w:uiPriority w:val="0"/>
    <w:qFormat/>
    <w:pPr>
      <w:ind w:firstLine="570"/>
      <w:spacing w:line="360" w:lineRule="auto"/>
    </w:pPr>
    <w:rPr>
      <w:sz w:val="24"/>
    </w:rPr>
  </w:style>
  <w:style w:type="character" w:styleId="1175" w:customStyle="1">
    <w:name w:val="正文文本缩进 Char2"/>
    <w:link w:val="1174"/>
    <w:uiPriority w:val="0"/>
    <w:qFormat/>
    <w:rPr>
      <w:rFonts w:eastAsia="宋体"/>
      <w:sz w:val="24"/>
      <w:szCs w:val="24"/>
      <w:lang w:val="en-US" w:eastAsia="zh-CN" w:bidi="ar-SA"/>
    </w:rPr>
  </w:style>
  <w:style w:type="paragraph" w:styleId="1176" w:customStyle="1">
    <w:name w:val="列表 21"/>
    <w:basedOn w:val="955"/>
    <w:uiPriority w:val="0"/>
    <w:qFormat/>
    <w:pPr>
      <w:ind w:left="100" w:hanging="200"/>
    </w:pPr>
  </w:style>
  <w:style w:type="paragraph" w:styleId="1177" w:customStyle="1">
    <w:name w:val="文本块1"/>
    <w:basedOn w:val="955"/>
    <w:uiPriority w:val="0"/>
    <w:qFormat/>
    <w:pPr>
      <w:ind w:left="480" w:right="-341" w:firstLine="513"/>
      <w:widowControl/>
    </w:pPr>
    <w:rPr>
      <w:sz w:val="24"/>
      <w:szCs w:val="20"/>
    </w:rPr>
  </w:style>
  <w:style w:type="paragraph" w:styleId="1178" w:customStyle="1">
    <w:name w:val="目录 51"/>
    <w:basedOn w:val="955"/>
    <w:next w:val="955"/>
    <w:uiPriority w:val="0"/>
    <w:qFormat/>
    <w:pPr>
      <w:ind w:left="1680"/>
    </w:pPr>
  </w:style>
  <w:style w:type="paragraph" w:styleId="1179" w:customStyle="1">
    <w:name w:val="目录 31"/>
    <w:basedOn w:val="955"/>
    <w:next w:val="955"/>
    <w:uiPriority w:val="39"/>
    <w:qFormat/>
    <w:pPr>
      <w:ind w:left="840"/>
    </w:pPr>
  </w:style>
  <w:style w:type="paragraph" w:styleId="1180" w:customStyle="1">
    <w:name w:val="纯文本11"/>
    <w:basedOn w:val="955"/>
    <w:next w:val="1143"/>
    <w:link w:val="1181"/>
    <w:uiPriority w:val="0"/>
    <w:qFormat/>
    <w:rPr>
      <w:rFonts w:hint="eastAsia" w:ascii="宋体" w:hAnsi="Courier New"/>
      <w:szCs w:val="20"/>
    </w:rPr>
  </w:style>
  <w:style w:type="character" w:styleId="1181" w:customStyle="1">
    <w:name w:val="纯文本 Char"/>
    <w:basedOn w:val="1151"/>
    <w:link w:val="1180"/>
    <w:uiPriority w:val="0"/>
    <w:qFormat/>
    <w:rPr>
      <w:rFonts w:hint="eastAsia" w:ascii="宋体" w:hAnsi="Courier New" w:eastAsia="宋体" w:cs="宋体"/>
      <w:sz w:val="21"/>
    </w:rPr>
  </w:style>
  <w:style w:type="paragraph" w:styleId="1182" w:customStyle="1">
    <w:name w:val="目录 81"/>
    <w:basedOn w:val="955"/>
    <w:next w:val="955"/>
    <w:uiPriority w:val="0"/>
    <w:qFormat/>
    <w:pPr>
      <w:ind w:left="2940"/>
    </w:pPr>
  </w:style>
  <w:style w:type="paragraph" w:styleId="1183" w:customStyle="1">
    <w:name w:val="日期1"/>
    <w:basedOn w:val="955"/>
    <w:next w:val="955"/>
    <w:link w:val="1184"/>
    <w:uiPriority w:val="0"/>
    <w:qFormat/>
    <w:pPr>
      <w:ind w:left="100"/>
    </w:pPr>
    <w:rPr>
      <w:rFonts w:ascii="仿宋_GB2312" w:hAnsi="宋体" w:eastAsia="仿宋_GB2312"/>
      <w:color w:val="000000"/>
      <w:sz w:val="24"/>
    </w:rPr>
  </w:style>
  <w:style w:type="character" w:styleId="1184" w:customStyle="1">
    <w:name w:val="日期 Char"/>
    <w:basedOn w:val="1151"/>
    <w:link w:val="1183"/>
    <w:uiPriority w:val="0"/>
    <w:qFormat/>
    <w:rPr>
      <w:rFonts w:ascii="仿宋_GB2312" w:hAnsi="宋体" w:eastAsia="仿宋_GB2312"/>
      <w:color w:val="000000"/>
      <w:sz w:val="24"/>
      <w:szCs w:val="24"/>
    </w:rPr>
  </w:style>
  <w:style w:type="paragraph" w:styleId="1185" w:customStyle="1">
    <w:name w:val="正文文本缩进 21"/>
    <w:basedOn w:val="955"/>
    <w:link w:val="1186"/>
    <w:uiPriority w:val="0"/>
    <w:qFormat/>
    <w:pPr>
      <w:ind w:firstLine="480"/>
    </w:pPr>
    <w:rPr>
      <w:rFonts w:ascii="仿宋_GB2312" w:eastAsia="仿宋_GB2312"/>
      <w:sz w:val="24"/>
    </w:rPr>
  </w:style>
  <w:style w:type="character" w:styleId="1186" w:customStyle="1">
    <w:name w:val="正文文本缩进 2 Char"/>
    <w:basedOn w:val="1151"/>
    <w:link w:val="1185"/>
    <w:uiPriority w:val="0"/>
    <w:qFormat/>
    <w:rPr>
      <w:rFonts w:ascii="仿宋_GB2312" w:eastAsia="仿宋_GB2312"/>
      <w:sz w:val="24"/>
      <w:szCs w:val="24"/>
    </w:rPr>
  </w:style>
  <w:style w:type="paragraph" w:styleId="1187" w:customStyle="1">
    <w:name w:val="批注框文本1"/>
    <w:basedOn w:val="955"/>
    <w:link w:val="1188"/>
    <w:uiPriority w:val="0"/>
    <w:qFormat/>
    <w:rPr>
      <w:sz w:val="18"/>
      <w:szCs w:val="18"/>
    </w:rPr>
  </w:style>
  <w:style w:type="character" w:styleId="1188" w:customStyle="1">
    <w:name w:val="批注框文本 Char"/>
    <w:basedOn w:val="1151"/>
    <w:link w:val="1187"/>
    <w:uiPriority w:val="0"/>
    <w:qFormat/>
    <w:rPr>
      <w:sz w:val="18"/>
      <w:szCs w:val="18"/>
    </w:rPr>
  </w:style>
  <w:style w:type="paragraph" w:styleId="1189" w:customStyle="1">
    <w:name w:val="页脚1"/>
    <w:basedOn w:val="955"/>
    <w:link w:val="1190"/>
    <w:uiPriority w:val="99"/>
    <w:qFormat/>
    <w:pPr>
      <w:jc w:val="left"/>
      <w:tabs>
        <w:tab w:val="center" w:pos="4153" w:leader="none"/>
        <w:tab w:val="right" w:pos="8306" w:leader="none"/>
      </w:tabs>
    </w:pPr>
    <w:rPr>
      <w:rFonts w:ascii="宋体"/>
      <w:sz w:val="18"/>
      <w:szCs w:val="20"/>
    </w:rPr>
  </w:style>
  <w:style w:type="character" w:styleId="1190" w:customStyle="1">
    <w:name w:val="页脚 Char1"/>
    <w:link w:val="1189"/>
    <w:uiPriority w:val="99"/>
    <w:qFormat/>
    <w:rPr>
      <w:rFonts w:ascii="宋体" w:eastAsia="宋体"/>
      <w:sz w:val="18"/>
      <w:lang w:val="en-US" w:eastAsia="zh-CN" w:bidi="ar-SA"/>
    </w:rPr>
  </w:style>
  <w:style w:type="paragraph" w:styleId="1191" w:customStyle="1">
    <w:name w:val="页眉1"/>
    <w:basedOn w:val="955"/>
    <w:link w:val="1192"/>
    <w:uiPriority w:val="0"/>
    <w:qFormat/>
    <w:pPr>
      <w:jc w:val="center"/>
      <w:tabs>
        <w:tab w:val="center" w:pos="4153" w:leader="none"/>
        <w:tab w:val="right" w:pos="8306" w:leader="none"/>
      </w:tabs>
      <w:pBdr>
        <w:bottom w:val="single" w:color="000000" w:sz="6" w:space="1"/>
      </w:pBdr>
    </w:pPr>
    <w:rPr>
      <w:sz w:val="18"/>
      <w:szCs w:val="18"/>
    </w:rPr>
  </w:style>
  <w:style w:type="character" w:styleId="1192" w:customStyle="1">
    <w:name w:val="页眉 Char1"/>
    <w:link w:val="1191"/>
    <w:uiPriority w:val="0"/>
    <w:qFormat/>
    <w:rPr>
      <w:rFonts w:eastAsia="宋体"/>
      <w:sz w:val="18"/>
      <w:szCs w:val="18"/>
      <w:lang w:val="en-US" w:eastAsia="zh-CN" w:bidi="ar-SA"/>
    </w:rPr>
  </w:style>
  <w:style w:type="paragraph" w:styleId="1193" w:customStyle="1">
    <w:name w:val="目录 11"/>
    <w:basedOn w:val="955"/>
    <w:next w:val="955"/>
    <w:uiPriority w:val="39"/>
    <w:qFormat/>
    <w:pPr>
      <w:spacing w:line="300" w:lineRule="auto"/>
      <w:tabs>
        <w:tab w:val="left" w:pos="1050" w:leader="none"/>
        <w:tab w:val="right" w:pos="8937" w:leader="dot"/>
      </w:tabs>
    </w:pPr>
    <w:rPr>
      <w:rFonts w:ascii="宋体" w:hAnsi="宋体"/>
      <w:b/>
      <w:sz w:val="24"/>
    </w:rPr>
  </w:style>
  <w:style w:type="paragraph" w:styleId="1194" w:customStyle="1">
    <w:name w:val="目录 41"/>
    <w:basedOn w:val="955"/>
    <w:next w:val="955"/>
    <w:uiPriority w:val="0"/>
    <w:qFormat/>
    <w:pPr>
      <w:ind w:left="1260"/>
    </w:pPr>
  </w:style>
  <w:style w:type="paragraph" w:styleId="1195" w:customStyle="1">
    <w:name w:val="目录 61"/>
    <w:basedOn w:val="955"/>
    <w:next w:val="955"/>
    <w:uiPriority w:val="0"/>
    <w:qFormat/>
    <w:pPr>
      <w:ind w:left="2100"/>
    </w:pPr>
  </w:style>
  <w:style w:type="paragraph" w:styleId="1196" w:customStyle="1">
    <w:name w:val="正文文本缩进 31"/>
    <w:basedOn w:val="955"/>
    <w:link w:val="1197"/>
    <w:uiPriority w:val="0"/>
    <w:qFormat/>
    <w:pPr>
      <w:ind w:left="720" w:firstLine="480"/>
      <w:jc w:val="left"/>
      <w:spacing w:before="120" w:line="22" w:lineRule="atLeast"/>
    </w:pPr>
    <w:rPr>
      <w:rFonts w:ascii="宋体"/>
      <w:sz w:val="24"/>
      <w:szCs w:val="20"/>
    </w:rPr>
  </w:style>
  <w:style w:type="character" w:styleId="1197" w:customStyle="1">
    <w:name w:val="正文文本缩进 3 Char"/>
    <w:basedOn w:val="1151"/>
    <w:link w:val="1196"/>
    <w:uiPriority w:val="0"/>
    <w:qFormat/>
    <w:rPr>
      <w:rFonts w:ascii="宋体"/>
      <w:sz w:val="24"/>
    </w:rPr>
  </w:style>
  <w:style w:type="paragraph" w:styleId="1198" w:customStyle="1">
    <w:name w:val="目录 211"/>
    <w:basedOn w:val="955"/>
    <w:next w:val="955"/>
    <w:uiPriority w:val="39"/>
    <w:qFormat/>
    <w:pPr>
      <w:ind w:left="420"/>
      <w:spacing w:line="312" w:lineRule="auto"/>
      <w:tabs>
        <w:tab w:val="right" w:pos="8937" w:leader="dot"/>
      </w:tabs>
    </w:pPr>
  </w:style>
  <w:style w:type="paragraph" w:styleId="1199" w:customStyle="1">
    <w:name w:val="目录 91"/>
    <w:basedOn w:val="955"/>
    <w:next w:val="955"/>
    <w:uiPriority w:val="0"/>
    <w:qFormat/>
    <w:pPr>
      <w:ind w:left="3360"/>
    </w:pPr>
  </w:style>
  <w:style w:type="paragraph" w:styleId="1200" w:customStyle="1">
    <w:name w:val="HTML 预设格式1"/>
    <w:basedOn w:val="955"/>
    <w:link w:val="12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1" w:customStyle="1">
    <w:name w:val="HTML 预设格式 Char"/>
    <w:basedOn w:val="1151"/>
    <w:link w:val="1200"/>
    <w:uiPriority w:val="0"/>
    <w:qFormat/>
    <w:rPr>
      <w:rFonts w:ascii="宋体" w:hAnsi="宋体" w:cs="宋体"/>
      <w:sz w:val="24"/>
      <w:szCs w:val="24"/>
    </w:rPr>
  </w:style>
  <w:style w:type="paragraph" w:styleId="1202" w:customStyle="1">
    <w:name w:val="普通(网站)1"/>
    <w:basedOn w:val="955"/>
    <w:uiPriority w:val="99"/>
    <w:unhideWhenUsed/>
    <w:qFormat/>
    <w:pPr>
      <w:jc w:val="left"/>
      <w:spacing w:before="100" w:beforeAutospacing="1" w:after="100" w:afterAutospacing="1"/>
      <w:widowControl/>
    </w:pPr>
    <w:rPr>
      <w:rFonts w:ascii="宋体" w:hAnsi="宋体" w:cs="宋体"/>
      <w:sz w:val="24"/>
    </w:rPr>
  </w:style>
  <w:style w:type="paragraph" w:styleId="1203" w:customStyle="1">
    <w:name w:val="索引 11"/>
    <w:basedOn w:val="955"/>
    <w:next w:val="955"/>
    <w:uiPriority w:val="0"/>
    <w:qFormat/>
    <w:rPr>
      <w:szCs w:val="20"/>
    </w:rPr>
  </w:style>
  <w:style w:type="paragraph" w:styleId="1204" w:customStyle="1">
    <w:name w:val="标题1"/>
    <w:basedOn w:val="955"/>
    <w:next w:val="955"/>
    <w:link w:val="1205"/>
    <w:uiPriority w:val="0"/>
    <w:qFormat/>
    <w:pPr>
      <w:jc w:val="center"/>
      <w:outlineLvl w:val="0"/>
    </w:pPr>
    <w:rPr>
      <w:b/>
      <w:sz w:val="32"/>
      <w:szCs w:val="20"/>
    </w:rPr>
  </w:style>
  <w:style w:type="character" w:styleId="1205" w:customStyle="1">
    <w:name w:val="标题 Char1"/>
    <w:link w:val="1204"/>
    <w:uiPriority w:val="0"/>
    <w:qFormat/>
    <w:rPr>
      <w:b/>
      <w:sz w:val="32"/>
    </w:rPr>
  </w:style>
  <w:style w:type="paragraph" w:styleId="1206" w:customStyle="1">
    <w:name w:val="批注主题1"/>
    <w:basedOn w:val="1168"/>
    <w:next w:val="1168"/>
    <w:link w:val="1207"/>
    <w:uiPriority w:val="0"/>
    <w:qFormat/>
    <w:rPr>
      <w:b/>
      <w:bCs/>
    </w:rPr>
  </w:style>
  <w:style w:type="character" w:styleId="1207" w:customStyle="1">
    <w:name w:val="批注主题 Char"/>
    <w:basedOn w:val="1208"/>
    <w:link w:val="1206"/>
    <w:uiPriority w:val="0"/>
    <w:qFormat/>
    <w:rPr>
      <w:rFonts w:ascii="Times New Roman" w:hAnsi="Times New Roman" w:eastAsia="宋体" w:cs="Times New Roman"/>
      <w:b/>
      <w:bCs/>
      <w:sz w:val="21"/>
      <w:szCs w:val="24"/>
      <w:lang w:val="en-US" w:eastAsia="zh-CN" w:bidi="ar-SA"/>
    </w:rPr>
  </w:style>
  <w:style w:type="character" w:styleId="1208" w:customStyle="1">
    <w:name w:val="批注文字 字符"/>
    <w:link w:val="955"/>
    <w:uiPriority w:val="99"/>
    <w:qFormat/>
    <w:rPr>
      <w:rFonts w:ascii="Times New Roman" w:hAnsi="Times New Roman" w:eastAsia="宋体" w:cs="Times New Roman"/>
      <w:sz w:val="24"/>
      <w:lang w:val="en-US" w:eastAsia="zh-CN" w:bidi="ar-SA"/>
    </w:rPr>
  </w:style>
  <w:style w:type="paragraph" w:styleId="1209" w:customStyle="1">
    <w:name w:val="正文首行缩进1"/>
    <w:basedOn w:val="1172"/>
    <w:uiPriority w:val="99"/>
    <w:qFormat/>
    <w:pPr>
      <w:ind w:firstLine="420"/>
    </w:pPr>
  </w:style>
  <w:style w:type="paragraph" w:styleId="1210" w:customStyle="1">
    <w:name w:val="正文首行缩进 21"/>
    <w:basedOn w:val="1174"/>
    <w:link w:val="1211"/>
    <w:uiPriority w:val="0"/>
    <w:qFormat/>
    <w:pPr>
      <w:ind w:left="420" w:firstLine="420"/>
      <w:spacing w:after="120" w:line="480" w:lineRule="exact"/>
    </w:pPr>
    <w:rPr>
      <w:szCs w:val="20"/>
    </w:rPr>
  </w:style>
  <w:style w:type="character" w:styleId="1211" w:customStyle="1">
    <w:name w:val="正文首行缩进 2 Char"/>
    <w:basedOn w:val="1175"/>
    <w:link w:val="1210"/>
    <w:uiPriority w:val="0"/>
    <w:qFormat/>
    <w:rPr>
      <w:rFonts w:eastAsia="宋体"/>
      <w:sz w:val="24"/>
      <w:szCs w:val="24"/>
      <w:lang w:val="en-US" w:eastAsia="zh-CN" w:bidi="ar-SA"/>
    </w:rPr>
  </w:style>
  <w:style w:type="table" w:styleId="1212" w:customStyle="1">
    <w:name w:val="网格型1"/>
    <w:basedOn w:val="1152"/>
    <w:uiPriority w:val="39"/>
    <w:qFormat/>
    <w:tblPr/>
  </w:style>
  <w:style w:type="table" w:styleId="1213" w:customStyle="1">
    <w:name w:val="中等深浅网格 1 - 强调文字颜色 21"/>
    <w:basedOn w:val="1152"/>
    <w:uiPriority w:val="0"/>
    <w:qFormat/>
    <w:rPr>
      <w:sz w:val="21"/>
      <w:szCs w:val="24"/>
    </w:rPr>
    <w:tblPr/>
  </w:style>
  <w:style w:type="character" w:styleId="1214" w:customStyle="1">
    <w:name w:val="要点1"/>
    <w:link w:val="955"/>
    <w:uiPriority w:val="0"/>
    <w:qFormat/>
    <w:rPr>
      <w:b/>
      <w:bCs/>
    </w:rPr>
  </w:style>
  <w:style w:type="character" w:styleId="1215" w:customStyle="1">
    <w:name w:val="页码1"/>
    <w:basedOn w:val="1151"/>
    <w:link w:val="955"/>
    <w:uiPriority w:val="0"/>
    <w:qFormat/>
  </w:style>
  <w:style w:type="character" w:styleId="1216" w:customStyle="1">
    <w:name w:val="已访问的超链接1"/>
    <w:basedOn w:val="1151"/>
    <w:link w:val="955"/>
    <w:uiPriority w:val="0"/>
    <w:qFormat/>
    <w:rPr>
      <w:color w:val="333333"/>
      <w:u w:val="none"/>
    </w:rPr>
  </w:style>
  <w:style w:type="character" w:styleId="1217" w:customStyle="1">
    <w:name w:val="强调1"/>
    <w:link w:val="955"/>
    <w:uiPriority w:val="0"/>
    <w:qFormat/>
    <w:rPr>
      <w:color w:val="cc0033"/>
    </w:rPr>
  </w:style>
  <w:style w:type="character" w:styleId="1218" w:customStyle="1">
    <w:name w:val="超链接1"/>
    <w:basedOn w:val="1151"/>
    <w:link w:val="955"/>
    <w:uiPriority w:val="99"/>
    <w:qFormat/>
    <w:rPr>
      <w:color w:val="333333"/>
      <w:u w:val="none"/>
    </w:rPr>
  </w:style>
  <w:style w:type="character" w:styleId="1219" w:customStyle="1">
    <w:name w:val="批注引用1"/>
    <w:link w:val="955"/>
    <w:uiPriority w:val="99"/>
    <w:qFormat/>
    <w:rPr>
      <w:sz w:val="21"/>
      <w:szCs w:val="21"/>
    </w:rPr>
  </w:style>
  <w:style w:type="character" w:styleId="1220" w:customStyle="1">
    <w:name w:val="HTML 引文1"/>
    <w:link w:val="955"/>
    <w:uiPriority w:val="0"/>
    <w:qFormat/>
    <w:rPr>
      <w:i/>
      <w:iCs/>
    </w:rPr>
  </w:style>
  <w:style w:type="paragraph" w:styleId="1221" w:customStyle="1">
    <w:name w:val="正文文本1"/>
    <w:next w:val="955"/>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character" w:styleId="1222" w:customStyle="1">
    <w:name w:val="c21"/>
    <w:link w:val="955"/>
    <w:uiPriority w:val="0"/>
    <w:qFormat/>
    <w:rPr>
      <w:rFonts w:ascii="ˎ̥" w:hAnsi="ˎ̥"/>
      <w:color w:val="000000"/>
      <w:sz w:val="20"/>
      <w:szCs w:val="20"/>
      <w:u w:val="none"/>
    </w:rPr>
  </w:style>
  <w:style w:type="character" w:styleId="1223" w:customStyle="1">
    <w:name w:val="title4"/>
    <w:link w:val="955"/>
    <w:uiPriority w:val="0"/>
    <w:qFormat/>
    <w:rPr>
      <w:b/>
      <w:bCs/>
      <w:color w:val="1d87b3"/>
      <w:sz w:val="15"/>
      <w:szCs w:val="15"/>
    </w:rPr>
  </w:style>
  <w:style w:type="character" w:styleId="1224" w:customStyle="1">
    <w:name w:val="标题 2 Char Char"/>
    <w:link w:val="955"/>
    <w:uiPriority w:val="0"/>
    <w:qFormat/>
    <w:rPr>
      <w:rFonts w:ascii="Arial" w:hAnsi="Arial" w:eastAsia="黑体"/>
      <w:b/>
      <w:bCs/>
      <w:sz w:val="32"/>
      <w:szCs w:val="32"/>
      <w:lang w:val="en-US" w:eastAsia="zh-CN" w:bidi="ar-SA"/>
    </w:rPr>
  </w:style>
  <w:style w:type="character" w:styleId="1225" w:customStyle="1">
    <w:name w:val="black1"/>
    <w:link w:val="955"/>
    <w:uiPriority w:val="0"/>
    <w:qFormat/>
    <w:rPr>
      <w:color w:val="000000"/>
    </w:rPr>
  </w:style>
  <w:style w:type="character" w:styleId="1226" w:customStyle="1">
    <w:name w:val="street-address"/>
    <w:basedOn w:val="1151"/>
    <w:link w:val="955"/>
    <w:uiPriority w:val="0"/>
    <w:qFormat/>
  </w:style>
  <w:style w:type="character" w:styleId="1227" w:customStyle="1">
    <w:name w:val="locality"/>
    <w:basedOn w:val="1151"/>
    <w:link w:val="955"/>
    <w:uiPriority w:val="0"/>
    <w:qFormat/>
  </w:style>
  <w:style w:type="character" w:styleId="1228" w:customStyle="1">
    <w:name w:val="正文文本缩进 Char1"/>
    <w:link w:val="1229"/>
    <w:uiPriority w:val="0"/>
    <w:qFormat/>
    <w:rPr>
      <w:rFonts w:ascii="宋体" w:hAnsi="宋体" w:eastAsia="宋体"/>
      <w:sz w:val="24"/>
      <w:szCs w:val="24"/>
      <w:lang w:bidi="ar-SA"/>
    </w:rPr>
  </w:style>
  <w:style w:type="paragraph" w:styleId="1229" w:customStyle="1">
    <w:name w:val="正文文本缩进1"/>
    <w:basedOn w:val="955"/>
    <w:link w:val="1228"/>
    <w:uiPriority w:val="0"/>
    <w:qFormat/>
    <w:pPr>
      <w:ind w:firstLine="480"/>
      <w:spacing w:line="480" w:lineRule="exact"/>
    </w:pPr>
    <w:rPr>
      <w:rFonts w:ascii="宋体" w:hAnsi="宋体"/>
      <w:sz w:val="24"/>
    </w:rPr>
  </w:style>
  <w:style w:type="character" w:styleId="1230" w:customStyle="1">
    <w:name w:val="Char Char11"/>
    <w:link w:val="955"/>
    <w:uiPriority w:val="0"/>
    <w:qFormat/>
    <w:rPr>
      <w:rFonts w:ascii="宋体" w:eastAsia="宋体"/>
      <w:b/>
      <w:sz w:val="24"/>
      <w:u w:val="single"/>
      <w:lang w:val="en-US" w:eastAsia="zh-CN" w:bidi="ar-SA"/>
    </w:rPr>
  </w:style>
  <w:style w:type="character" w:styleId="1231" w:customStyle="1">
    <w:name w:val="txt"/>
    <w:basedOn w:val="1151"/>
    <w:link w:val="955"/>
    <w:uiPriority w:val="0"/>
    <w:qFormat/>
  </w:style>
  <w:style w:type="character" w:styleId="1232" w:customStyle="1">
    <w:name w:val="正文缩进 Char Char"/>
    <w:link w:val="1233"/>
    <w:uiPriority w:val="0"/>
    <w:qFormat/>
    <w:rPr>
      <w:rFonts w:ascii="宋体" w:eastAsia="宋体"/>
      <w:color w:val="000000"/>
      <w:sz w:val="28"/>
      <w:lang w:bidi="ar-SA"/>
    </w:rPr>
  </w:style>
  <w:style w:type="paragraph" w:styleId="1233" w:customStyle="1">
    <w:name w:val="正文缩进1"/>
    <w:basedOn w:val="955"/>
    <w:link w:val="1232"/>
    <w:uiPriority w:val="0"/>
    <w:qFormat/>
    <w:pPr>
      <w:ind w:firstLine="567"/>
      <w:spacing w:line="480" w:lineRule="exact"/>
      <w:widowControl/>
    </w:pPr>
    <w:rPr>
      <w:rFonts w:ascii="宋体"/>
      <w:color w:val="000000"/>
      <w:sz w:val="28"/>
      <w:szCs w:val="20"/>
    </w:rPr>
  </w:style>
  <w:style w:type="character" w:styleId="1234" w:customStyle="1">
    <w:name w:val="普通文字1 Char1"/>
    <w:link w:val="955"/>
    <w:uiPriority w:val="0"/>
    <w:qFormat/>
    <w:rPr>
      <w:rFonts w:ascii="宋体" w:hAnsi="Courier New" w:eastAsia="宋体"/>
      <w:sz w:val="21"/>
      <w:lang w:val="en-US" w:eastAsia="zh-CN" w:bidi="ar-SA"/>
    </w:rPr>
  </w:style>
  <w:style w:type="character" w:styleId="1235" w:customStyle="1">
    <w:name w:val="chanpin1"/>
    <w:link w:val="955"/>
    <w:uiPriority w:val="0"/>
    <w:qFormat/>
    <w:rPr>
      <w:rFonts w:ascii="ˎ̥" w:hAnsi="ˎ̥"/>
      <w:color w:val="000000"/>
      <w:sz w:val="20"/>
      <w:szCs w:val="20"/>
      <w:u w:val="none"/>
    </w:rPr>
  </w:style>
  <w:style w:type="character" w:styleId="1236" w:customStyle="1">
    <w:name w:val="列出段落 Char1"/>
    <w:link w:val="1237"/>
    <w:uiPriority w:val="34"/>
    <w:qFormat/>
    <w:rPr>
      <w:rFonts w:ascii="Calibri" w:hAnsi="Calibri" w:eastAsia="宋体"/>
      <w:sz w:val="21"/>
      <w:szCs w:val="22"/>
      <w:lang w:val="en-US" w:eastAsia="zh-CN" w:bidi="ar-SA"/>
    </w:rPr>
  </w:style>
  <w:style w:type="paragraph" w:styleId="1237" w:customStyle="1">
    <w:name w:val="列出段落"/>
    <w:basedOn w:val="955"/>
    <w:link w:val="1236"/>
    <w:uiPriority w:val="34"/>
    <w:qFormat/>
    <w:pPr>
      <w:ind w:firstLine="420"/>
    </w:pPr>
    <w:rPr>
      <w:rFonts w:ascii="Calibri" w:hAnsi="Calibri"/>
      <w:szCs w:val="22"/>
    </w:rPr>
  </w:style>
  <w:style w:type="character" w:styleId="1238" w:customStyle="1">
    <w:name w:val="标题 3 Char Char"/>
    <w:link w:val="955"/>
    <w:uiPriority w:val="0"/>
    <w:qFormat/>
    <w:rPr>
      <w:rFonts w:eastAsia="宋体"/>
      <w:b/>
      <w:bCs/>
      <w:sz w:val="32"/>
      <w:szCs w:val="32"/>
      <w:lang w:val="en-US" w:eastAsia="zh-CN" w:bidi="ar-SA"/>
    </w:rPr>
  </w:style>
  <w:style w:type="character" w:styleId="1239" w:customStyle="1">
    <w:name w:val="段1 Char"/>
    <w:link w:val="955"/>
    <w:uiPriority w:val="0"/>
    <w:qFormat/>
    <w:rPr>
      <w:rFonts w:ascii="宋体" w:eastAsia="宋体"/>
      <w:sz w:val="24"/>
      <w:lang w:val="en-US" w:eastAsia="zh-CN" w:bidi="ar-SA"/>
    </w:rPr>
  </w:style>
  <w:style w:type="character" w:styleId="1240" w:customStyle="1">
    <w:name w:val="chanpin拷贝"/>
    <w:basedOn w:val="1151"/>
    <w:link w:val="955"/>
    <w:uiPriority w:val="0"/>
    <w:qFormat/>
  </w:style>
  <w:style w:type="character" w:styleId="1241" w:customStyle="1">
    <w:name w:val="纯文本 Char1"/>
    <w:link w:val="955"/>
    <w:uiPriority w:val="0"/>
    <w:qFormat/>
    <w:rPr>
      <w:rFonts w:ascii="宋体" w:hAnsi="Courier New" w:eastAsia="宋体"/>
      <w:sz w:val="21"/>
      <w:lang w:val="en-US" w:eastAsia="zh-CN" w:bidi="ar-SA"/>
    </w:rPr>
  </w:style>
  <w:style w:type="character" w:styleId="1242" w:customStyle="1">
    <w:name w:val="apple-style-span"/>
    <w:link w:val="955"/>
    <w:uiPriority w:val="0"/>
    <w:qFormat/>
    <w:rPr>
      <w:rFonts w:cs="Times New Roman"/>
    </w:rPr>
  </w:style>
  <w:style w:type="paragraph" w:styleId="1243" w:customStyle="1">
    <w:name w:val="二级条标题"/>
    <w:basedOn w:val="1244"/>
    <w:next w:val="95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44" w:customStyle="1">
    <w:name w:val="一级条标题"/>
    <w:basedOn w:val="1245"/>
    <w:next w:val="955"/>
    <w:uiPriority w:val="0"/>
    <w:qFormat/>
    <w:pPr>
      <w:numPr>
        <w:ilvl w:val="1"/>
      </w:numPr>
      <w:ind w:left="0" w:hanging="840"/>
      <w:tabs>
        <w:tab w:val="left" w:pos="360" w:leader="none"/>
        <w:tab w:val="left" w:pos="840" w:leader="none"/>
      </w:tabs>
      <w:outlineLvl w:val="1"/>
    </w:pPr>
  </w:style>
  <w:style w:type="paragraph" w:styleId="1245" w:customStyle="1">
    <w:name w:val="章标题"/>
    <w:next w:val="955"/>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46" w:customStyle="1">
    <w:name w:val="font7"/>
    <w:basedOn w:val="955"/>
    <w:uiPriority w:val="0"/>
    <w:qFormat/>
    <w:pPr>
      <w:jc w:val="left"/>
      <w:spacing w:before="100" w:beforeAutospacing="1" w:after="100" w:afterAutospacing="1"/>
      <w:widowControl/>
    </w:pPr>
    <w:rPr>
      <w:rFonts w:eastAsia="Arial Unicode MS"/>
      <w:b/>
      <w:bCs/>
      <w:color w:val="000000"/>
      <w:sz w:val="20"/>
      <w:szCs w:val="20"/>
    </w:rPr>
  </w:style>
  <w:style w:type="paragraph" w:styleId="1247" w:customStyle="1">
    <w:name w:val="字元 字元"/>
    <w:basedOn w:val="955"/>
    <w:uiPriority w:val="0"/>
    <w:qFormat/>
    <w:rPr>
      <w:rFonts w:ascii="Tahoma" w:hAnsi="Tahoma"/>
      <w:sz w:val="24"/>
      <w:szCs w:val="20"/>
    </w:rPr>
  </w:style>
  <w:style w:type="paragraph" w:styleId="1248" w:customStyle="1">
    <w:name w:val="Char3 Char Char Char"/>
    <w:basedOn w:val="955"/>
    <w:uiPriority w:val="0"/>
    <w:qFormat/>
    <w:rPr>
      <w:rFonts w:ascii="Tahoma" w:hAnsi="Tahoma"/>
      <w:sz w:val="24"/>
      <w:szCs w:val="20"/>
    </w:rPr>
  </w:style>
  <w:style w:type="paragraph" w:styleId="1249" w:customStyle="1">
    <w:name w:val="font6"/>
    <w:basedOn w:val="955"/>
    <w:uiPriority w:val="0"/>
    <w:qFormat/>
    <w:pPr>
      <w:jc w:val="left"/>
      <w:spacing w:before="100" w:beforeAutospacing="1" w:after="100" w:afterAutospacing="1"/>
      <w:widowControl/>
    </w:pPr>
    <w:rPr>
      <w:rFonts w:ascii="宋体" w:hAnsi="宋体" w:cs="宋体"/>
      <w:sz w:val="20"/>
      <w:szCs w:val="20"/>
    </w:rPr>
  </w:style>
  <w:style w:type="paragraph" w:styleId="1250" w:customStyle="1">
    <w:name w:val="项目编号2"/>
    <w:basedOn w:val="1251"/>
    <w:uiPriority w:val="0"/>
    <w:qFormat/>
    <w:pPr>
      <w:numPr>
        <w:numId w:val="2"/>
      </w:numPr>
    </w:pPr>
  </w:style>
  <w:style w:type="paragraph" w:styleId="1251" w:customStyle="1">
    <w:name w:val="项目编号1"/>
    <w:basedOn w:val="955"/>
    <w:uiPriority w:val="0"/>
    <w:qFormat/>
    <w:pPr>
      <w:numPr>
        <w:ilvl w:val="0"/>
        <w:numId w:val="3"/>
      </w:numPr>
      <w:spacing w:before="100" w:beforeAutospacing="1" w:after="100" w:afterAutospacing="1" w:line="360" w:lineRule="auto"/>
    </w:pPr>
    <w:rPr>
      <w:sz w:val="24"/>
    </w:rPr>
  </w:style>
  <w:style w:type="paragraph" w:styleId="1252" w:customStyle="1">
    <w:name w:val="图中文字"/>
    <w:basedOn w:val="955"/>
    <w:uiPriority w:val="0"/>
    <w:qFormat/>
    <w:pPr>
      <w:jc w:val="center"/>
      <w:spacing w:line="0" w:lineRule="atLeast"/>
    </w:pPr>
    <w:rPr>
      <w:sz w:val="24"/>
      <w:szCs w:val="20"/>
    </w:rPr>
  </w:style>
  <w:style w:type="paragraph" w:styleId="1253" w:customStyle="1">
    <w:name w:val="xl46"/>
    <w:basedOn w:val="95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4" w:customStyle="1">
    <w:name w:val="xl25"/>
    <w:basedOn w:val="9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5" w:customStyle="1">
    <w:name w:val="Char2"/>
    <w:basedOn w:val="955"/>
    <w:uiPriority w:val="0"/>
    <w:qFormat/>
    <w:rPr>
      <w:rFonts w:ascii="Tahoma" w:hAnsi="Tahoma"/>
      <w:sz w:val="24"/>
      <w:szCs w:val="20"/>
    </w:rPr>
  </w:style>
  <w:style w:type="paragraph" w:styleId="1256" w:customStyle="1">
    <w:name w:val="xl35"/>
    <w:basedOn w:val="95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7" w:customStyle="1">
    <w:name w:val="xl40"/>
    <w:basedOn w:val="9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8" w:customStyle="1">
    <w:name w:val="xl52"/>
    <w:basedOn w:val="95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9" w:customStyle="1">
    <w:name w:val="xl43"/>
    <w:basedOn w:val="9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0" w:customStyle="1">
    <w:name w:val="background1"/>
    <w:basedOn w:val="955"/>
    <w:uiPriority w:val="0"/>
    <w:qFormat/>
    <w:pPr>
      <w:jc w:val="left"/>
      <w:spacing w:before="100" w:beforeAutospacing="1" w:after="100" w:afterAutospacing="1"/>
      <w:widowControl/>
    </w:pPr>
    <w:rPr>
      <w:rFonts w:ascii="宋体" w:hAnsi="宋体" w:cs="宋体"/>
      <w:sz w:val="24"/>
    </w:rPr>
  </w:style>
  <w:style w:type="paragraph" w:styleId="1261" w:customStyle="1">
    <w:name w:val="Char Char Char Char Char Char Char"/>
    <w:basedOn w:val="955"/>
    <w:uiPriority w:val="0"/>
    <w:qFormat/>
    <w:pPr>
      <w:ind w:firstLine="200"/>
      <w:spacing w:line="360" w:lineRule="auto"/>
    </w:pPr>
    <w:rPr>
      <w:rFonts w:eastAsia="仿宋_GB2312"/>
      <w:sz w:val="24"/>
    </w:rPr>
  </w:style>
  <w:style w:type="paragraph" w:styleId="1262" w:customStyle="1">
    <w:name w:val="xl38"/>
    <w:basedOn w:val="9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3" w:customStyle="1">
    <w:name w:val="xl36"/>
    <w:basedOn w:val="95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4" w:customStyle="1">
    <w:name w:val="正文 + 宋体"/>
    <w:basedOn w:val="955"/>
    <w:uiPriority w:val="0"/>
    <w:qFormat/>
    <w:pPr>
      <w:ind w:left="360" w:hanging="360"/>
      <w:jc w:val="left"/>
      <w:widowControl/>
    </w:pPr>
    <w:rPr>
      <w:rFonts w:ascii="宋体" w:hAnsi="宋体" w:cs="宋体"/>
      <w:b/>
      <w:bCs/>
      <w:color w:val="000000"/>
      <w:sz w:val="18"/>
      <w:szCs w:val="18"/>
    </w:rPr>
  </w:style>
  <w:style w:type="paragraph" w:styleId="1265" w:customStyle="1">
    <w:name w:val="正文列项_数字"/>
    <w:basedOn w:val="95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66" w:customStyle="1">
    <w:name w:val="xl39"/>
    <w:basedOn w:val="9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7" w:customStyle="1">
    <w:name w:val="xl37"/>
    <w:basedOn w:val="95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8" w:customStyle="1">
    <w:name w:val="xl32"/>
    <w:basedOn w:val="95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9" w:customStyle="1">
    <w:name w:val="font8"/>
    <w:basedOn w:val="955"/>
    <w:uiPriority w:val="0"/>
    <w:qFormat/>
    <w:pPr>
      <w:jc w:val="left"/>
      <w:spacing w:before="100" w:beforeAutospacing="1" w:after="100" w:afterAutospacing="1"/>
      <w:widowControl/>
    </w:pPr>
    <w:rPr>
      <w:sz w:val="36"/>
      <w:szCs w:val="36"/>
    </w:rPr>
  </w:style>
  <w:style w:type="paragraph" w:styleId="1270" w:customStyle="1">
    <w:name w:val="Char"/>
    <w:basedOn w:val="955"/>
    <w:uiPriority w:val="0"/>
    <w:qFormat/>
    <w:pPr>
      <w:tabs>
        <w:tab w:val="left" w:pos="360" w:leader="none"/>
      </w:tabs>
    </w:pPr>
    <w:rPr>
      <w:sz w:val="24"/>
    </w:rPr>
  </w:style>
  <w:style w:type="paragraph" w:styleId="1271" w:customStyle="1">
    <w:name w:val="Char Char Char Char Char Char Char Char Char Char Char Char Char Char Char Char"/>
    <w:basedOn w:val="955"/>
    <w:uiPriority w:val="0"/>
    <w:qFormat/>
    <w:pPr>
      <w:jc w:val="center"/>
      <w:spacing w:after="160" w:line="240" w:lineRule="exact"/>
      <w:widowControl/>
    </w:pPr>
    <w:rPr>
      <w:rFonts w:ascii="宋体" w:hAnsi="宋体"/>
      <w:b/>
      <w:sz w:val="30"/>
      <w:szCs w:val="30"/>
      <w:lang w:eastAsia="en-US"/>
    </w:rPr>
  </w:style>
  <w:style w:type="paragraph" w:styleId="1272" w:customStyle="1">
    <w:name w:val="xl45"/>
    <w:basedOn w:val="9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3" w:customStyle="1">
    <w:name w:val="Char Char1 Char Char Char Char Char Char"/>
    <w:basedOn w:val="955"/>
    <w:uiPriority w:val="0"/>
    <w:qFormat/>
    <w:pPr>
      <w:jc w:val="left"/>
      <w:spacing w:after="160" w:line="240" w:lineRule="exact"/>
      <w:widowControl/>
    </w:pPr>
    <w:rPr>
      <w:rFonts w:ascii="Verdana" w:hAnsi="Verdana" w:eastAsia="仿宋_GB2312"/>
      <w:sz w:val="24"/>
      <w:szCs w:val="20"/>
      <w:lang w:eastAsia="en-US"/>
    </w:rPr>
  </w:style>
  <w:style w:type="paragraph" w:styleId="1274" w:customStyle="1">
    <w:name w:val="Char Char1"/>
    <w:basedOn w:val="1166"/>
    <w:uiPriority w:val="0"/>
    <w:qFormat/>
    <w:rPr>
      <w:rFonts w:ascii="Tahoma" w:hAnsi="Tahoma"/>
      <w:sz w:val="24"/>
    </w:rPr>
  </w:style>
  <w:style w:type="paragraph" w:styleId="1275" w:customStyle="1">
    <w:name w:val="xl26"/>
    <w:basedOn w:val="9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6" w:customStyle="1">
    <w:name w:val="xl30"/>
    <w:basedOn w:val="9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7" w:customStyle="1">
    <w:name w:val="xl41"/>
    <w:basedOn w:val="95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8" w:customStyle="1">
    <w:name w:val="样式 宋体 五号 行距: 单倍行距"/>
    <w:basedOn w:val="955"/>
    <w:uiPriority w:val="0"/>
    <w:qFormat/>
    <w:pPr>
      <w:jc w:val="left"/>
    </w:pPr>
    <w:rPr>
      <w:rFonts w:ascii="宋体" w:hAnsi="宋体"/>
      <w:szCs w:val="20"/>
    </w:rPr>
  </w:style>
  <w:style w:type="paragraph" w:styleId="1279" w:customStyle="1">
    <w:name w:val="Char1 Char Char Char1"/>
    <w:basedOn w:val="955"/>
    <w:uiPriority w:val="0"/>
    <w:qFormat/>
    <w:rPr>
      <w:rFonts w:ascii="Tahoma" w:hAnsi="Tahoma" w:cs="仿宋_GB2312"/>
      <w:sz w:val="24"/>
      <w:szCs w:val="28"/>
    </w:rPr>
  </w:style>
  <w:style w:type="paragraph" w:styleId="1280" w:customStyle="1">
    <w:name w:val="四级条标题"/>
    <w:basedOn w:val="1281"/>
    <w:next w:val="955"/>
    <w:uiPriority w:val="0"/>
    <w:qFormat/>
    <w:pPr>
      <w:numPr>
        <w:ilvl w:val="4"/>
      </w:numPr>
      <w:ind w:left="0" w:hanging="840"/>
      <w:tabs>
        <w:tab w:val="left" w:pos="360" w:leader="none"/>
        <w:tab w:val="left" w:pos="840" w:leader="none"/>
      </w:tabs>
      <w:outlineLvl w:val="4"/>
    </w:pPr>
  </w:style>
  <w:style w:type="paragraph" w:styleId="1281" w:customStyle="1">
    <w:name w:val="三级条标题"/>
    <w:basedOn w:val="1243"/>
    <w:next w:val="955"/>
    <w:uiPriority w:val="0"/>
    <w:qFormat/>
    <w:pPr>
      <w:numPr>
        <w:ilvl w:val="3"/>
        <w:numId w:val="1"/>
      </w:numPr>
      <w:ind w:left="0" w:hanging="840"/>
      <w:outlineLvl w:val="3"/>
    </w:pPr>
  </w:style>
  <w:style w:type="paragraph" w:styleId="128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83" w:customStyle="1">
    <w:name w:val="样式 标题 2 + 宋体 五号 行距: 单倍行距"/>
    <w:basedOn w:val="1142"/>
    <w:uiPriority w:val="0"/>
    <w:qFormat/>
    <w:pPr>
      <w:numPr>
        <w:ilvl w:val="1"/>
        <w:numId w:val="4"/>
      </w:numPr>
      <w:jc w:val="left"/>
      <w:spacing w:before="260" w:after="260" w:line="240" w:lineRule="auto"/>
    </w:pPr>
    <w:rPr>
      <w:rFonts w:ascii="宋体" w:hAnsi="宋体" w:eastAsia="宋体"/>
      <w:bCs/>
      <w:sz w:val="21"/>
    </w:rPr>
  </w:style>
  <w:style w:type="paragraph" w:styleId="1284" w:customStyle="1">
    <w:name w:val="List Paragraph1"/>
    <w:basedOn w:val="955"/>
    <w:uiPriority w:val="0"/>
    <w:qFormat/>
    <w:pPr>
      <w:ind w:firstLine="420"/>
    </w:pPr>
    <w:rPr>
      <w:rFonts w:ascii="Calibri" w:hAnsi="Calibri"/>
      <w:szCs w:val="22"/>
    </w:rPr>
  </w:style>
  <w:style w:type="paragraph" w:styleId="1285" w:customStyle="1">
    <w:name w:val="项目符号1"/>
    <w:basedOn w:val="1286"/>
    <w:uiPriority w:val="0"/>
    <w:qFormat/>
    <w:pPr>
      <w:ind w:left="-25" w:firstLine="0"/>
    </w:pPr>
  </w:style>
  <w:style w:type="paragraph" w:styleId="1286" w:customStyle="1">
    <w:name w:val="正文文本样式"/>
    <w:basedOn w:val="955"/>
    <w:uiPriority w:val="0"/>
    <w:qFormat/>
    <w:pPr>
      <w:ind w:firstLine="482"/>
      <w:spacing w:line="360" w:lineRule="auto"/>
    </w:pPr>
    <w:rPr>
      <w:rFonts w:cs="宋体"/>
      <w:sz w:val="24"/>
      <w:szCs w:val="20"/>
    </w:rPr>
  </w:style>
  <w:style w:type="paragraph" w:styleId="1287" w:customStyle="1">
    <w:name w:val="xl27"/>
    <w:basedOn w:val="9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8" w:customStyle="1">
    <w:name w:val="font5"/>
    <w:basedOn w:val="955"/>
    <w:uiPriority w:val="0"/>
    <w:qFormat/>
    <w:pPr>
      <w:jc w:val="left"/>
      <w:spacing w:before="100" w:beforeAutospacing="1" w:after="100" w:afterAutospacing="1"/>
      <w:widowControl/>
    </w:pPr>
    <w:rPr>
      <w:rFonts w:ascii="宋体" w:hAnsi="宋体" w:cs="宋体"/>
      <w:sz w:val="18"/>
      <w:szCs w:val="18"/>
    </w:rPr>
  </w:style>
  <w:style w:type="paragraph" w:styleId="1289" w:customStyle="1">
    <w:name w:val="五级条标题"/>
    <w:basedOn w:val="1280"/>
    <w:next w:val="955"/>
    <w:uiPriority w:val="0"/>
    <w:qFormat/>
    <w:pPr>
      <w:numPr>
        <w:ilvl w:val="5"/>
      </w:numPr>
      <w:ind w:left="0" w:hanging="840"/>
      <w:outlineLvl w:val="5"/>
    </w:pPr>
  </w:style>
  <w:style w:type="paragraph" w:styleId="1290" w:customStyle="1">
    <w:name w:val="xl49"/>
    <w:basedOn w:val="9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1" w:customStyle="1">
    <w:name w:val="文档正文"/>
    <w:basedOn w:val="955"/>
    <w:uiPriority w:val="0"/>
    <w:qFormat/>
    <w:pPr>
      <w:spacing w:before="120" w:after="120" w:line="180" w:lineRule="auto"/>
    </w:pPr>
    <w:rPr>
      <w:rFonts w:ascii="Arial" w:hAnsi="Arial"/>
      <w:szCs w:val="20"/>
    </w:rPr>
  </w:style>
  <w:style w:type="paragraph" w:styleId="1292" w:customStyle="1">
    <w:name w:val="xl33"/>
    <w:basedOn w:val="9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3" w:customStyle="1">
    <w:name w:val="xl42"/>
    <w:basedOn w:val="9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4" w:customStyle="1">
    <w:name w:val="Char Char Char1 Char"/>
    <w:basedOn w:val="955"/>
    <w:uiPriority w:val="0"/>
    <w:qFormat/>
    <w:rPr>
      <w:rFonts w:ascii="Tahoma" w:hAnsi="Tahoma"/>
      <w:sz w:val="24"/>
      <w:szCs w:val="20"/>
    </w:rPr>
  </w:style>
  <w:style w:type="paragraph" w:styleId="1295" w:customStyle="1">
    <w:name w:val="xl44"/>
    <w:basedOn w:val="95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6" w:customStyle="1">
    <w:name w:val="1名"/>
    <w:basedOn w:val="955"/>
    <w:uiPriority w:val="0"/>
    <w:qFormat/>
    <w:pPr>
      <w:numPr>
        <w:ilvl w:val="0"/>
        <w:numId w:val="5"/>
      </w:numPr>
      <w:spacing w:before="120"/>
    </w:pPr>
    <w:rPr>
      <w:rFonts w:ascii="宋体"/>
      <w:sz w:val="28"/>
      <w:szCs w:val="20"/>
    </w:rPr>
  </w:style>
  <w:style w:type="paragraph" w:styleId="1297" w:customStyle="1">
    <w:name w:val="font9"/>
    <w:basedOn w:val="95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98" w:customStyle="1">
    <w:name w:val="Char Char Char1 Char1"/>
    <w:basedOn w:val="955"/>
    <w:uiPriority w:val="0"/>
    <w:qFormat/>
    <w:rPr>
      <w:rFonts w:ascii="Tahoma" w:hAnsi="Tahoma"/>
      <w:sz w:val="24"/>
      <w:szCs w:val="20"/>
    </w:rPr>
  </w:style>
  <w:style w:type="paragraph" w:styleId="1299" w:customStyle="1">
    <w:name w:val="Char Char Char Char Char Char Char Char Char Char"/>
    <w:basedOn w:val="955"/>
    <w:uiPriority w:val="0"/>
    <w:qFormat/>
  </w:style>
  <w:style w:type="paragraph" w:styleId="1300" w:customStyle="1">
    <w:name w:val="Char Char1 Char Char Char Char Char Char Char Char"/>
    <w:basedOn w:val="955"/>
    <w:uiPriority w:val="0"/>
    <w:qFormat/>
    <w:pPr>
      <w:jc w:val="left"/>
      <w:spacing w:after="160" w:line="240" w:lineRule="exact"/>
      <w:widowControl/>
    </w:pPr>
    <w:rPr>
      <w:rFonts w:ascii="Verdana" w:hAnsi="Verdana"/>
      <w:sz w:val="20"/>
      <w:szCs w:val="20"/>
      <w:lang w:eastAsia="en-US"/>
    </w:rPr>
  </w:style>
  <w:style w:type="paragraph" w:styleId="1301" w:customStyle="1">
    <w:name w:val="Char1"/>
    <w:basedOn w:val="955"/>
    <w:uiPriority w:val="0"/>
    <w:qFormat/>
    <w:pPr>
      <w:tabs>
        <w:tab w:val="left" w:pos="360" w:leader="none"/>
      </w:tabs>
    </w:pPr>
    <w:rPr>
      <w:sz w:val="24"/>
    </w:rPr>
  </w:style>
  <w:style w:type="paragraph" w:styleId="1302" w:customStyle="1">
    <w:name w:val="正文列项_字母"/>
    <w:basedOn w:val="95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03" w:customStyle="1">
    <w:name w:val="xl28"/>
    <w:basedOn w:val="9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4" w:customStyle="1">
    <w:name w:val="xl47"/>
    <w:basedOn w:val="95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5" w:customStyle="1">
    <w:name w:val="默认段落字体 Para Char Char Char Char"/>
    <w:basedOn w:val="955"/>
    <w:uiPriority w:val="0"/>
    <w:qFormat/>
    <w:rPr>
      <w:rFonts w:ascii="Arial" w:hAnsi="Arial" w:cs="Arial"/>
      <w:szCs w:val="21"/>
    </w:rPr>
  </w:style>
  <w:style w:type="paragraph" w:styleId="1306" w:customStyle="1">
    <w:name w:val="xl48"/>
    <w:basedOn w:val="9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7" w:customStyle="1">
    <w:name w:val="xl31"/>
    <w:basedOn w:val="95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8" w:customStyle="1">
    <w:name w:val="xl53"/>
    <w:basedOn w:val="9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9" w:customStyle="1">
    <w:name w:val="Char Char Char"/>
    <w:basedOn w:val="955"/>
    <w:uiPriority w:val="0"/>
    <w:qFormat/>
    <w:rPr>
      <w:rFonts w:ascii="Tahoma" w:hAnsi="Tahoma"/>
      <w:sz w:val="24"/>
      <w:szCs w:val="20"/>
    </w:rPr>
  </w:style>
  <w:style w:type="paragraph" w:styleId="1310" w:customStyle="1">
    <w:name w:val="xl50"/>
    <w:basedOn w:val="9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1" w:customStyle="1">
    <w:name w:val="缺省文本"/>
    <w:basedOn w:val="955"/>
    <w:uiPriority w:val="0"/>
    <w:qFormat/>
    <w:pPr>
      <w:jc w:val="left"/>
    </w:pPr>
    <w:rPr>
      <w:sz w:val="24"/>
    </w:rPr>
  </w:style>
  <w:style w:type="paragraph" w:styleId="1312" w:customStyle="1">
    <w:name w:val="Char Char Char1"/>
    <w:basedOn w:val="955"/>
    <w:uiPriority w:val="0"/>
    <w:qFormat/>
    <w:rPr>
      <w:rFonts w:ascii="Tahoma" w:hAnsi="Tahoma"/>
      <w:sz w:val="24"/>
      <w:szCs w:val="20"/>
    </w:rPr>
  </w:style>
  <w:style w:type="paragraph" w:styleId="1313" w:customStyle="1">
    <w:name w:val="Char Char Char Char Char Char Char1"/>
    <w:basedOn w:val="955"/>
    <w:uiPriority w:val="0"/>
    <w:qFormat/>
    <w:pPr>
      <w:ind w:firstLine="200"/>
      <w:spacing w:line="360" w:lineRule="auto"/>
    </w:pPr>
    <w:rPr>
      <w:rFonts w:eastAsia="仿宋_GB2312"/>
      <w:sz w:val="24"/>
    </w:rPr>
  </w:style>
  <w:style w:type="paragraph" w:styleId="1314" w:customStyle="1">
    <w:name w:val="xl51"/>
    <w:basedOn w:val="95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5" w:customStyle="1">
    <w:name w:val="样式2"/>
    <w:basedOn w:val="1203"/>
    <w:uiPriority w:val="0"/>
    <w:qFormat/>
    <w:pPr>
      <w:jc w:val="center"/>
      <w:spacing w:line="360" w:lineRule="auto"/>
    </w:pPr>
    <w:rPr>
      <w:sz w:val="24"/>
    </w:rPr>
  </w:style>
  <w:style w:type="paragraph" w:styleId="1316" w:customStyle="1">
    <w:name w:val="xl24"/>
    <w:basedOn w:val="9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7" w:customStyle="1">
    <w:name w:val="xl29"/>
    <w:basedOn w:val="9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8" w:customStyle="1">
    <w:name w:val="正文 + 楷体_GB2312"/>
    <w:basedOn w:val="955"/>
    <w:uiPriority w:val="0"/>
    <w:qFormat/>
    <w:pPr>
      <w:jc w:val="left"/>
      <w:widowControl/>
    </w:pPr>
    <w:rPr>
      <w:rFonts w:ascii="楷体_GB2312" w:eastAsia="楷体_GB2312" w:cs="Arial"/>
      <w:sz w:val="24"/>
    </w:rPr>
  </w:style>
  <w:style w:type="paragraph" w:styleId="1319" w:customStyle="1">
    <w:name w:val="xl34"/>
    <w:basedOn w:val="9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0" w:customStyle="1">
    <w:name w:val="1 Char Char Char Char"/>
    <w:basedOn w:val="955"/>
    <w:uiPriority w:val="0"/>
    <w:qFormat/>
    <w:rPr>
      <w:rFonts w:ascii="Tahoma" w:hAnsi="Tahoma"/>
      <w:sz w:val="24"/>
      <w:szCs w:val="20"/>
    </w:rPr>
  </w:style>
  <w:style w:type="paragraph" w:styleId="1321" w:customStyle="1">
    <w:name w:val="Default"/>
    <w:next w:val="1322"/>
    <w:uiPriority w:val="0"/>
    <w:qFormat/>
    <w:pPr>
      <w:widowControl w:val="off"/>
    </w:pPr>
    <w:rPr>
      <w:rFonts w:hint="default" w:ascii="Symbol" w:hAnsi="Symbol" w:eastAsia="宋体" w:cs="Symbol"/>
      <w:color w:val="000000"/>
      <w:sz w:val="24"/>
      <w:szCs w:val="24"/>
      <w:lang w:val="en-US" w:eastAsia="zh-CN" w:bidi="ar-SA"/>
    </w:rPr>
  </w:style>
  <w:style w:type="paragraph" w:styleId="1322" w:customStyle="1">
    <w:name w:val="目录 21"/>
    <w:next w:val="955"/>
    <w:uiPriority w:val="39"/>
    <w:qFormat/>
    <w:pPr>
      <w:ind w:left="420"/>
      <w:jc w:val="both"/>
      <w:spacing w:line="312" w:lineRule="auto"/>
      <w:widowControl w:val="off"/>
      <w:tabs>
        <w:tab w:val="right" w:pos="8937" w:leader="dot"/>
      </w:tabs>
    </w:pPr>
    <w:rPr>
      <w:rFonts w:hint="default" w:ascii="Times New Roman" w:hAnsi="Times New Roman" w:eastAsia="宋体" w:cs="Times New Roman"/>
      <w:sz w:val="21"/>
      <w:szCs w:val="24"/>
      <w:lang w:val="en-US" w:eastAsia="zh-CN" w:bidi="ar-SA"/>
    </w:rPr>
  </w:style>
  <w:style w:type="paragraph" w:styleId="1323" w:customStyle="1">
    <w:name w:val="列出段落1"/>
    <w:basedOn w:val="955"/>
    <w:uiPriority w:val="0"/>
    <w:qFormat/>
    <w:pPr>
      <w:ind w:firstLine="420"/>
    </w:pPr>
    <w:rPr>
      <w:rFonts w:ascii="Calibri" w:hAnsi="Calibri"/>
      <w:szCs w:val="22"/>
    </w:rPr>
  </w:style>
  <w:style w:type="paragraph" w:styleId="1324" w:customStyle="1">
    <w:name w:val="default"/>
    <w:basedOn w:val="955"/>
    <w:uiPriority w:val="0"/>
    <w:qFormat/>
    <w:pPr>
      <w:jc w:val="left"/>
      <w:spacing w:before="100" w:beforeAutospacing="1" w:after="100" w:afterAutospacing="1"/>
      <w:widowControl/>
    </w:pPr>
    <w:rPr>
      <w:rFonts w:ascii="宋体" w:hAnsi="宋体" w:cs="宋体"/>
      <w:sz w:val="24"/>
    </w:rPr>
  </w:style>
  <w:style w:type="paragraph" w:styleId="1325" w:customStyle="1">
    <w:name w:val="字元 字元1"/>
    <w:basedOn w:val="955"/>
    <w:uiPriority w:val="0"/>
    <w:qFormat/>
    <w:rPr>
      <w:rFonts w:ascii="Tahoma" w:hAnsi="Tahoma"/>
      <w:sz w:val="24"/>
      <w:szCs w:val="20"/>
    </w:rPr>
  </w:style>
  <w:style w:type="paragraph" w:styleId="1326" w:customStyle="1">
    <w:name w:val="_Style 160"/>
    <w:uiPriority w:val="0"/>
    <w:qFormat/>
    <w:rPr>
      <w:rFonts w:hint="default" w:ascii="Times New Roman" w:hAnsi="Times New Roman" w:eastAsia="宋体" w:cs="Times New Roman"/>
      <w:sz w:val="21"/>
      <w:szCs w:val="24"/>
      <w:lang w:val="en-US" w:eastAsia="zh-CN" w:bidi="ar-SA"/>
    </w:rPr>
  </w:style>
  <w:style w:type="paragraph" w:styleId="1327" w:customStyle="1">
    <w:name w:val="项目编号3"/>
    <w:basedOn w:val="1286"/>
    <w:uiPriority w:val="0"/>
    <w:qFormat/>
    <w:pPr>
      <w:numPr>
        <w:ilvl w:val="0"/>
        <w:numId w:val="6"/>
      </w:numPr>
    </w:pPr>
  </w:style>
  <w:style w:type="paragraph" w:styleId="1328" w:customStyle="1">
    <w:name w:val="Char21"/>
    <w:basedOn w:val="955"/>
    <w:uiPriority w:val="0"/>
    <w:qFormat/>
    <w:rPr>
      <w:rFonts w:ascii="Tahoma" w:hAnsi="Tahoma"/>
      <w:sz w:val="24"/>
      <w:szCs w:val="20"/>
    </w:rPr>
  </w:style>
  <w:style w:type="paragraph" w:styleId="1329" w:customStyle="1">
    <w:name w:val="表格文字"/>
    <w:basedOn w:val="1174"/>
    <w:uiPriority w:val="0"/>
    <w:qFormat/>
    <w:pPr>
      <w:ind w:firstLine="0"/>
      <w:spacing w:before="20" w:after="20" w:line="240" w:lineRule="auto"/>
    </w:pPr>
    <w:rPr>
      <w:rFonts w:ascii="Century Gothic" w:hAnsi="Century Gothic"/>
      <w:sz w:val="20"/>
      <w:szCs w:val="20"/>
    </w:rPr>
  </w:style>
  <w:style w:type="paragraph" w:styleId="1330" w:customStyle="1">
    <w:name w:val="Char Char Char Char Char Char Char Char Char Char1"/>
    <w:basedOn w:val="955"/>
    <w:uiPriority w:val="0"/>
    <w:qFormat/>
    <w:rPr>
      <w:rFonts w:ascii="宋体" w:hAnsi="宋体" w:cs="Courier New"/>
      <w:sz w:val="32"/>
      <w:szCs w:val="32"/>
    </w:rPr>
  </w:style>
  <w:style w:type="paragraph" w:styleId="1331" w:customStyle="1">
    <w:name w:val="正文文本样式 加粗"/>
    <w:basedOn w:val="1286"/>
    <w:uiPriority w:val="0"/>
    <w:qFormat/>
    <w:rPr>
      <w:b/>
    </w:rPr>
  </w:style>
  <w:style w:type="paragraph" w:styleId="1332" w:customStyle="1">
    <w:name w:val="Char2 Char Char Char Char Char Char"/>
    <w:basedOn w:val="955"/>
    <w:uiPriority w:val="0"/>
    <w:qFormat/>
    <w:pPr>
      <w:jc w:val="center"/>
      <w:spacing w:line="400" w:lineRule="exact"/>
      <w:widowControl/>
    </w:pPr>
  </w:style>
  <w:style w:type="paragraph" w:styleId="1333" w:customStyle="1">
    <w:name w:val="Char Char4"/>
    <w:basedOn w:val="955"/>
    <w:uiPriority w:val="0"/>
    <w:qFormat/>
    <w:pPr>
      <w:jc w:val="center"/>
      <w:spacing w:line="400" w:lineRule="exact"/>
      <w:widowControl/>
    </w:pPr>
  </w:style>
  <w:style w:type="paragraph" w:styleId="1334" w:customStyle="1">
    <w:name w:val="Char3 Char Char Char1"/>
    <w:basedOn w:val="955"/>
    <w:uiPriority w:val="0"/>
    <w:qFormat/>
    <w:rPr>
      <w:rFonts w:ascii="Tahoma" w:hAnsi="Tahoma"/>
      <w:sz w:val="24"/>
      <w:szCs w:val="20"/>
    </w:rPr>
  </w:style>
  <w:style w:type="paragraph" w:styleId="133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6" w:customStyle="1">
    <w:name w:val="22222222222222"/>
    <w:basedOn w:val="955"/>
    <w:uiPriority w:val="0"/>
    <w:qFormat/>
    <w:pPr>
      <w:ind w:firstLine="480"/>
      <w:jc w:val="left"/>
      <w:spacing w:line="360" w:lineRule="auto"/>
      <w:widowControl/>
    </w:pPr>
    <w:rPr>
      <w:color w:val="ff0000"/>
      <w:sz w:val="24"/>
      <w:szCs w:val="20"/>
    </w:rPr>
  </w:style>
  <w:style w:type="character" w:styleId="1337" w:customStyle="1">
    <w:name w:val="中等深浅网格 1 - 强调文字颜色 2 Char"/>
    <w:link w:val="1338"/>
    <w:uiPriority w:val="0"/>
    <w:qFormat/>
    <w:rPr>
      <w:sz w:val="21"/>
      <w:szCs w:val="24"/>
      <w:lang w:val="zh-CN" w:eastAsia="zh-CN" w:bidi="ar-SA"/>
    </w:rPr>
  </w:style>
  <w:style w:type="paragraph" w:styleId="1338" w:customStyle="1">
    <w:name w:val="1"/>
    <w:link w:val="1337"/>
    <w:uiPriority w:val="0"/>
    <w:qFormat/>
    <w:rPr>
      <w:rFonts w:hint="default" w:ascii="Times New Roman" w:hAnsi="Times New Roman" w:eastAsia="宋体" w:cs="Times New Roman"/>
      <w:sz w:val="21"/>
      <w:szCs w:val="24"/>
      <w:lang w:val="zh-CN" w:eastAsia="zh-CN" w:bidi="ar-SA"/>
    </w:rPr>
  </w:style>
  <w:style w:type="paragraph" w:styleId="1339" w:customStyle="1">
    <w:name w:val="图文"/>
    <w:basedOn w:val="955"/>
    <w:uiPriority w:val="0"/>
    <w:qFormat/>
    <w:pPr>
      <w:spacing w:after="50" w:line="360" w:lineRule="auto"/>
    </w:pPr>
    <w:rPr>
      <w:sz w:val="24"/>
    </w:rPr>
  </w:style>
  <w:style w:type="paragraph" w:styleId="1340" w:customStyle="1">
    <w:name w:val="xl23"/>
    <w:basedOn w:val="955"/>
    <w:uiPriority w:val="0"/>
    <w:qFormat/>
    <w:pPr>
      <w:spacing w:before="100" w:beforeAutospacing="1" w:after="100" w:afterAutospacing="1" w:line="360" w:lineRule="auto"/>
      <w:widowControl/>
    </w:pPr>
    <w:rPr>
      <w:sz w:val="24"/>
      <w:szCs w:val="20"/>
    </w:rPr>
  </w:style>
  <w:style w:type="paragraph" w:styleId="1341" w:customStyle="1">
    <w:name w:val="正文表格"/>
    <w:basedOn w:val="955"/>
    <w:link w:val="1342"/>
    <w:uiPriority w:val="0"/>
    <w:qFormat/>
    <w:pPr>
      <w:jc w:val="left"/>
    </w:pPr>
    <w:rPr>
      <w:rFonts w:ascii="宋体" w:hAnsi="宋体"/>
      <w:color w:val="000000"/>
      <w:szCs w:val="21"/>
    </w:rPr>
  </w:style>
  <w:style w:type="character" w:styleId="1342" w:customStyle="1">
    <w:name w:val="正文表格 Char"/>
    <w:link w:val="1341"/>
    <w:uiPriority w:val="0"/>
    <w:qFormat/>
    <w:rPr>
      <w:rFonts w:ascii="宋体" w:hAnsi="宋体"/>
      <w:color w:val="000000"/>
      <w:sz w:val="21"/>
      <w:szCs w:val="21"/>
    </w:rPr>
  </w:style>
  <w:style w:type="paragraph" w:styleId="1343" w:customStyle="1">
    <w:name w:val="正文重点"/>
    <w:basedOn w:val="955"/>
    <w:link w:val="1344"/>
    <w:uiPriority w:val="0"/>
    <w:qFormat/>
    <w:pPr>
      <w:ind w:firstLine="482"/>
      <w:jc w:val="left"/>
      <w:spacing w:line="360" w:lineRule="auto"/>
    </w:pPr>
    <w:rPr>
      <w:b/>
      <w:sz w:val="24"/>
      <w:szCs w:val="20"/>
    </w:rPr>
  </w:style>
  <w:style w:type="character" w:styleId="1344" w:customStyle="1">
    <w:name w:val="正文重点 Char"/>
    <w:link w:val="1343"/>
    <w:uiPriority w:val="0"/>
    <w:qFormat/>
    <w:rPr>
      <w:b/>
      <w:sz w:val="24"/>
    </w:rPr>
  </w:style>
  <w:style w:type="paragraph" w:styleId="1345" w:customStyle="1">
    <w:name w:val="标题1-附件"/>
    <w:basedOn w:val="1141"/>
    <w:uiPriority w:val="0"/>
    <w:qFormat/>
    <w:pPr>
      <w:jc w:val="left"/>
    </w:pPr>
    <w:rPr>
      <w:sz w:val="24"/>
      <w:szCs w:val="24"/>
    </w:rPr>
  </w:style>
  <w:style w:type="paragraph" w:styleId="1346" w:customStyle="1">
    <w:name w:val="正文小标题"/>
    <w:basedOn w:val="955"/>
    <w:next w:val="1143"/>
    <w:link w:val="1347"/>
    <w:uiPriority w:val="0"/>
    <w:qFormat/>
    <w:pPr>
      <w:ind w:firstLine="482"/>
      <w:jc w:val="left"/>
      <w:spacing w:before="312" w:after="312"/>
    </w:pPr>
    <w:rPr>
      <w:rFonts w:ascii="宋体" w:hAnsi="宋体"/>
      <w:b/>
      <w:i/>
      <w:color w:val="ff0000"/>
      <w:sz w:val="24"/>
      <w:szCs w:val="20"/>
    </w:rPr>
  </w:style>
  <w:style w:type="character" w:styleId="1347" w:customStyle="1">
    <w:name w:val="正文小标题 Char"/>
    <w:link w:val="1346"/>
    <w:uiPriority w:val="0"/>
    <w:qFormat/>
    <w:rPr>
      <w:rFonts w:ascii="宋体" w:hAnsi="宋体"/>
      <w:b/>
      <w:i/>
      <w:color w:val="ff0000"/>
      <w:sz w:val="24"/>
    </w:rPr>
  </w:style>
  <w:style w:type="paragraph" w:styleId="1348" w:customStyle="1">
    <w:name w:val="正文大标题"/>
    <w:basedOn w:val="1346"/>
    <w:next w:val="1143"/>
    <w:link w:val="1349"/>
    <w:uiPriority w:val="0"/>
    <w:qFormat/>
    <w:pPr>
      <w:jc w:val="center"/>
    </w:pPr>
    <w:rPr>
      <w:i w:val="0"/>
      <w:color w:val="000000"/>
      <w:sz w:val="28"/>
      <w:szCs w:val="21"/>
    </w:rPr>
  </w:style>
  <w:style w:type="character" w:styleId="1349" w:customStyle="1">
    <w:name w:val="正文大标题 Char"/>
    <w:link w:val="1348"/>
    <w:uiPriority w:val="0"/>
    <w:qFormat/>
    <w:rPr>
      <w:rFonts w:ascii="宋体" w:hAnsi="宋体"/>
      <w:b/>
      <w:color w:val="000000"/>
      <w:sz w:val="28"/>
      <w:szCs w:val="21"/>
    </w:rPr>
  </w:style>
  <w:style w:type="paragraph" w:styleId="1350" w:customStyle="1">
    <w:name w:val="注释"/>
    <w:basedOn w:val="955"/>
    <w:link w:val="1351"/>
    <w:uiPriority w:val="0"/>
    <w:qFormat/>
    <w:pPr>
      <w:ind w:left="420" w:hanging="420"/>
      <w:jc w:val="left"/>
    </w:pPr>
    <w:rPr>
      <w:rFonts w:ascii="宋体" w:hAnsi="宋体"/>
      <w:szCs w:val="21"/>
    </w:rPr>
  </w:style>
  <w:style w:type="character" w:styleId="1351" w:customStyle="1">
    <w:name w:val="注释 Char"/>
    <w:link w:val="1350"/>
    <w:uiPriority w:val="0"/>
    <w:qFormat/>
    <w:rPr>
      <w:rFonts w:ascii="宋体" w:hAnsi="宋体"/>
      <w:sz w:val="21"/>
      <w:szCs w:val="21"/>
    </w:rPr>
  </w:style>
  <w:style w:type="paragraph" w:styleId="1352" w:customStyle="1">
    <w:name w:val="正文须知-1级"/>
    <w:basedOn w:val="955"/>
    <w:next w:val="955"/>
    <w:uiPriority w:val="0"/>
    <w:qFormat/>
    <w:pPr>
      <w:numPr>
        <w:ilvl w:val="0"/>
        <w:numId w:val="7"/>
      </w:numPr>
      <w:spacing w:line="300" w:lineRule="auto"/>
    </w:pPr>
    <w:rPr>
      <w:rFonts w:ascii="宋体" w:hAnsi="Calibri"/>
      <w:sz w:val="24"/>
      <w:szCs w:val="21"/>
    </w:rPr>
  </w:style>
  <w:style w:type="paragraph" w:styleId="1353" w:customStyle="1">
    <w:name w:val="正文须知-2级"/>
    <w:basedOn w:val="955"/>
    <w:uiPriority w:val="0"/>
    <w:qFormat/>
    <w:pPr>
      <w:numPr>
        <w:ilvl w:val="1"/>
        <w:numId w:val="7"/>
      </w:numPr>
      <w:spacing w:line="300" w:lineRule="auto"/>
    </w:pPr>
    <w:rPr>
      <w:rFonts w:ascii="宋体" w:hAnsi="Calibri"/>
      <w:sz w:val="24"/>
      <w:szCs w:val="21"/>
    </w:rPr>
  </w:style>
  <w:style w:type="paragraph" w:styleId="1354" w:customStyle="1">
    <w:name w:val="正文须知-3级"/>
    <w:basedOn w:val="955"/>
    <w:uiPriority w:val="0"/>
    <w:qFormat/>
    <w:pPr>
      <w:numPr>
        <w:ilvl w:val="2"/>
        <w:numId w:val="7"/>
      </w:numPr>
      <w:ind w:hanging="355"/>
      <w:spacing w:line="300" w:lineRule="auto"/>
    </w:pPr>
    <w:rPr>
      <w:rFonts w:ascii="宋体" w:hAnsi="Calibri"/>
      <w:sz w:val="24"/>
      <w:szCs w:val="21"/>
    </w:rPr>
  </w:style>
  <w:style w:type="character" w:styleId="1355" w:customStyle="1">
    <w:name w:val="纯文本 字符"/>
    <w:link w:val="955"/>
    <w:uiPriority w:val="99"/>
    <w:qFormat/>
    <w:rPr>
      <w:rFonts w:ascii="宋体" w:hAnsi="Courier New" w:eastAsia="宋体" w:cs="Times New Roman"/>
      <w:sz w:val="21"/>
      <w:szCs w:val="21"/>
      <w:lang w:val="en-US" w:eastAsia="zh-CN" w:bidi="ar-SA"/>
    </w:rPr>
  </w:style>
  <w:style w:type="paragraph" w:styleId="1356" w:customStyle="1">
    <w:name w:val="表格1"/>
    <w:basedOn w:val="955"/>
    <w:uiPriority w:val="0"/>
    <w:qFormat/>
    <w:pPr>
      <w:ind w:firstLine="480"/>
      <w:jc w:val="center"/>
    </w:pPr>
    <w:rPr>
      <w:sz w:val="24"/>
      <w:szCs w:val="20"/>
    </w:rPr>
  </w:style>
  <w:style w:type="character" w:styleId="1357" w:customStyle="1">
    <w:name w:val="纯文本 字符1"/>
    <w:link w:val="955"/>
    <w:uiPriority w:val="0"/>
    <w:qFormat/>
    <w:rPr>
      <w:rFonts w:ascii="宋体" w:hAnsi="Courier New"/>
    </w:rPr>
  </w:style>
  <w:style w:type="character" w:styleId="1358" w:customStyle="1">
    <w:name w:val="bjh-p"/>
    <w:link w:val="955"/>
    <w:uiPriority w:val="0"/>
    <w:qFormat/>
  </w:style>
  <w:style w:type="paragraph" w:styleId="1359" w:customStyle="1">
    <w:name w:val="无标题条"/>
    <w:next w:val="955"/>
    <w:uiPriority w:val="0"/>
    <w:qFormat/>
    <w:pPr>
      <w:jc w:val="both"/>
    </w:pPr>
    <w:rPr>
      <w:rFonts w:hint="default" w:ascii="Times New Roman" w:hAnsi="Times New Roman" w:eastAsia="宋体" w:cs="Times New Roman"/>
      <w:sz w:val="21"/>
      <w:lang w:val="en-US" w:eastAsia="zh-CN" w:bidi="ar-SA"/>
    </w:rPr>
  </w:style>
  <w:style w:type="character" w:styleId="1360" w:customStyle="1">
    <w:name w:val="正文格式 Char"/>
    <w:link w:val="1361"/>
    <w:uiPriority w:val="0"/>
    <w:qFormat/>
    <w:rPr>
      <w:rFonts w:ascii="宋体" w:hAnsi="宋体"/>
      <w:sz w:val="24"/>
      <w:szCs w:val="24"/>
      <w:lang w:val="en-GB"/>
    </w:rPr>
  </w:style>
  <w:style w:type="paragraph" w:styleId="1361" w:customStyle="1">
    <w:name w:val="正文格式"/>
    <w:basedOn w:val="955"/>
    <w:link w:val="1360"/>
    <w:uiPriority w:val="0"/>
    <w:qFormat/>
    <w:pPr>
      <w:ind w:firstLine="480"/>
      <w:spacing w:line="360" w:lineRule="auto"/>
    </w:pPr>
    <w:rPr>
      <w:rFonts w:ascii="宋体" w:hAnsi="宋体"/>
      <w:sz w:val="24"/>
      <w:lang w:val="en-GB"/>
    </w:rPr>
  </w:style>
  <w:style w:type="character" w:styleId="1362" w:customStyle="1">
    <w:name w:val="标题 3 Char"/>
    <w:link w:val="955"/>
    <w:uiPriority w:val="0"/>
    <w:qFormat/>
    <w:rPr>
      <w:rFonts w:ascii="宋体" w:eastAsia="宋体"/>
      <w:b/>
      <w:sz w:val="24"/>
      <w:u w:val="single"/>
      <w:lang w:val="en-US" w:eastAsia="zh-CN" w:bidi="ar-SA"/>
    </w:rPr>
  </w:style>
  <w:style w:type="character" w:styleId="1363" w:customStyle="1">
    <w:name w:val="正文缩进 Char"/>
    <w:link w:val="955"/>
    <w:uiPriority w:val="0"/>
    <w:qFormat/>
    <w:rPr>
      <w:rFonts w:ascii="宋体" w:eastAsia="宋体"/>
      <w:sz w:val="24"/>
      <w:szCs w:val="24"/>
      <w:lang w:val="en-US" w:eastAsia="zh-CN" w:bidi="ar-SA"/>
    </w:rPr>
  </w:style>
  <w:style w:type="character" w:styleId="1364" w:customStyle="1">
    <w:name w:val="Char Char111"/>
    <w:link w:val="955"/>
    <w:uiPriority w:val="0"/>
    <w:qFormat/>
    <w:rPr>
      <w:rFonts w:ascii="宋体" w:eastAsia="宋体"/>
      <w:b/>
      <w:sz w:val="24"/>
      <w:u w:val="single"/>
      <w:lang w:val="en-US" w:eastAsia="zh-CN" w:bidi="ar-SA"/>
    </w:rPr>
  </w:style>
  <w:style w:type="character" w:styleId="1365" w:customStyle="1">
    <w:name w:val="正文文本缩进 Char"/>
    <w:link w:val="955"/>
    <w:uiPriority w:val="0"/>
    <w:qFormat/>
    <w:rPr>
      <w:rFonts w:eastAsia="宋体"/>
      <w:sz w:val="24"/>
      <w:szCs w:val="24"/>
      <w:lang w:val="en-US" w:eastAsia="zh-CN" w:bidi="ar-SA"/>
    </w:rPr>
  </w:style>
  <w:style w:type="character" w:styleId="1366" w:customStyle="1">
    <w:name w:val="列出段落 Char"/>
    <w:link w:val="955"/>
    <w:uiPriority w:val="0"/>
    <w:qFormat/>
    <w:rPr>
      <w:rFonts w:ascii="Calibri" w:hAnsi="Calibri" w:eastAsia="宋体"/>
      <w:sz w:val="21"/>
      <w:szCs w:val="22"/>
      <w:lang w:val="en-US" w:eastAsia="zh-CN" w:bidi="ar-SA"/>
    </w:rPr>
  </w:style>
  <w:style w:type="character" w:styleId="1367" w:customStyle="1">
    <w:name w:val="页眉 Char"/>
    <w:link w:val="955"/>
    <w:uiPriority w:val="0"/>
    <w:qFormat/>
    <w:rPr>
      <w:rFonts w:eastAsia="宋体"/>
      <w:sz w:val="18"/>
      <w:szCs w:val="18"/>
      <w:lang w:val="en-US" w:eastAsia="zh-CN" w:bidi="ar-SA"/>
    </w:rPr>
  </w:style>
  <w:style w:type="character" w:styleId="1368" w:customStyle="1">
    <w:name w:val="标题 2 Char"/>
    <w:link w:val="955"/>
    <w:uiPriority w:val="0"/>
    <w:qFormat/>
    <w:rPr>
      <w:rFonts w:ascii="Arial" w:hAnsi="Arial" w:eastAsia="黑体"/>
      <w:b/>
      <w:sz w:val="30"/>
      <w:lang w:val="en-US" w:eastAsia="zh-CN" w:bidi="ar-SA"/>
    </w:rPr>
  </w:style>
  <w:style w:type="paragraph" w:styleId="1369" w:customStyle="1">
    <w:name w:val="字元 字元2"/>
    <w:basedOn w:val="955"/>
    <w:uiPriority w:val="0"/>
    <w:qFormat/>
    <w:rPr>
      <w:rFonts w:ascii="Tahoma" w:hAnsi="Tahoma"/>
      <w:sz w:val="24"/>
      <w:szCs w:val="20"/>
    </w:rPr>
  </w:style>
  <w:style w:type="paragraph" w:styleId="1370" w:customStyle="1">
    <w:name w:val="Char3 Char Char Char2"/>
    <w:basedOn w:val="955"/>
    <w:uiPriority w:val="0"/>
    <w:qFormat/>
    <w:rPr>
      <w:rFonts w:ascii="Tahoma" w:hAnsi="Tahoma"/>
      <w:sz w:val="24"/>
      <w:szCs w:val="20"/>
    </w:rPr>
  </w:style>
  <w:style w:type="paragraph" w:styleId="1371" w:customStyle="1">
    <w:name w:val="正文文本缩进2"/>
    <w:basedOn w:val="955"/>
    <w:uiPriority w:val="0"/>
    <w:qFormat/>
    <w:pPr>
      <w:ind w:firstLine="480"/>
      <w:spacing w:line="480" w:lineRule="exact"/>
    </w:pPr>
    <w:rPr>
      <w:rFonts w:ascii="宋体" w:hAnsi="宋体"/>
      <w:sz w:val="24"/>
      <w:lang w:val="zh-CN" w:eastAsia="zh-CN"/>
    </w:rPr>
  </w:style>
  <w:style w:type="paragraph" w:styleId="1372" w:customStyle="1">
    <w:name w:val="Char3"/>
    <w:basedOn w:val="955"/>
    <w:uiPriority w:val="0"/>
    <w:qFormat/>
    <w:pPr>
      <w:tabs>
        <w:tab w:val="left" w:pos="360" w:leader="none"/>
      </w:tabs>
    </w:pPr>
    <w:rPr>
      <w:sz w:val="24"/>
    </w:rPr>
  </w:style>
  <w:style w:type="paragraph" w:styleId="1373" w:customStyle="1">
    <w:name w:val="Char Char Char Char Char Char Char Char Char Char Char Char Char Char Char Char1"/>
    <w:basedOn w:val="955"/>
    <w:uiPriority w:val="0"/>
    <w:qFormat/>
    <w:pPr>
      <w:jc w:val="center"/>
      <w:spacing w:after="160" w:line="240" w:lineRule="exact"/>
      <w:widowControl/>
    </w:pPr>
    <w:rPr>
      <w:rFonts w:ascii="宋体" w:hAnsi="宋体"/>
      <w:b/>
      <w:sz w:val="30"/>
      <w:szCs w:val="30"/>
      <w:lang w:eastAsia="en-US"/>
    </w:rPr>
  </w:style>
  <w:style w:type="paragraph" w:styleId="1374" w:customStyle="1">
    <w:name w:val="Char Char1 Char Char Char Char Char Char1"/>
    <w:basedOn w:val="955"/>
    <w:uiPriority w:val="0"/>
    <w:qFormat/>
    <w:pPr>
      <w:jc w:val="left"/>
      <w:spacing w:after="160" w:line="240" w:lineRule="exact"/>
      <w:widowControl/>
    </w:pPr>
    <w:rPr>
      <w:rFonts w:ascii="Verdana" w:hAnsi="Verdana" w:eastAsia="仿宋_GB2312"/>
      <w:sz w:val="24"/>
      <w:szCs w:val="20"/>
      <w:lang w:eastAsia="en-US"/>
    </w:rPr>
  </w:style>
  <w:style w:type="paragraph" w:styleId="1375" w:customStyle="1">
    <w:name w:val="列出段落2"/>
    <w:basedOn w:val="955"/>
    <w:uiPriority w:val="0"/>
    <w:qFormat/>
    <w:pPr>
      <w:ind w:firstLine="420"/>
    </w:pPr>
    <w:rPr>
      <w:rFonts w:ascii="Calibri" w:hAnsi="Calibri"/>
      <w:szCs w:val="22"/>
    </w:rPr>
  </w:style>
  <w:style w:type="paragraph" w:styleId="1376" w:customStyle="1">
    <w:name w:val="Char Char Char1 Char2"/>
    <w:basedOn w:val="955"/>
    <w:uiPriority w:val="0"/>
    <w:qFormat/>
    <w:rPr>
      <w:rFonts w:ascii="Tahoma" w:hAnsi="Tahoma"/>
      <w:sz w:val="24"/>
      <w:szCs w:val="20"/>
    </w:rPr>
  </w:style>
  <w:style w:type="paragraph" w:styleId="1377" w:customStyle="1">
    <w:name w:val="Char Char Char2"/>
    <w:basedOn w:val="955"/>
    <w:uiPriority w:val="0"/>
    <w:qFormat/>
    <w:rPr>
      <w:rFonts w:ascii="Tahoma" w:hAnsi="Tahoma"/>
      <w:sz w:val="24"/>
      <w:szCs w:val="20"/>
    </w:rPr>
  </w:style>
  <w:style w:type="paragraph" w:styleId="1378" w:customStyle="1">
    <w:name w:val="Char Char Char Char Char Char Char2"/>
    <w:basedOn w:val="955"/>
    <w:uiPriority w:val="0"/>
    <w:qFormat/>
    <w:pPr>
      <w:ind w:firstLine="200"/>
      <w:spacing w:line="360" w:lineRule="auto"/>
    </w:pPr>
    <w:rPr>
      <w:rFonts w:eastAsia="仿宋_GB2312"/>
      <w:sz w:val="24"/>
    </w:rPr>
  </w:style>
  <w:style w:type="paragraph" w:styleId="1379" w:customStyle="1">
    <w:name w:val="正文缩进2"/>
    <w:basedOn w:val="955"/>
    <w:uiPriority w:val="0"/>
    <w:qFormat/>
    <w:pPr>
      <w:ind w:firstLine="567"/>
      <w:spacing w:line="480" w:lineRule="exact"/>
      <w:widowControl/>
    </w:pPr>
    <w:rPr>
      <w:rFonts w:ascii="宋体"/>
      <w:color w:val="000000"/>
      <w:sz w:val="28"/>
      <w:szCs w:val="20"/>
      <w:lang w:val="zh-CN" w:eastAsia="zh-CN"/>
    </w:rPr>
  </w:style>
  <w:style w:type="paragraph" w:styleId="1380" w:customStyle="1">
    <w:name w:val="Revision"/>
    <w:uiPriority w:val="0"/>
    <w:qFormat/>
    <w:rPr>
      <w:rFonts w:hint="default" w:ascii="Times New Roman" w:hAnsi="Times New Roman" w:eastAsia="宋体" w:cs="Times New Roman"/>
      <w:sz w:val="21"/>
      <w:szCs w:val="24"/>
      <w:lang w:val="en-US" w:eastAsia="zh-CN" w:bidi="ar-SA"/>
    </w:rPr>
  </w:style>
  <w:style w:type="paragraph" w:styleId="1381" w:customStyle="1">
    <w:name w:val="Char22"/>
    <w:basedOn w:val="955"/>
    <w:uiPriority w:val="0"/>
    <w:qFormat/>
    <w:rPr>
      <w:rFonts w:ascii="Tahoma" w:hAnsi="Tahoma"/>
      <w:sz w:val="24"/>
      <w:szCs w:val="20"/>
    </w:rPr>
  </w:style>
  <w:style w:type="paragraph" w:styleId="1382" w:customStyle="1">
    <w:name w:val="Char Char Char Char Char Char Char Char Char Char2"/>
    <w:basedOn w:val="955"/>
    <w:uiPriority w:val="0"/>
    <w:qFormat/>
    <w:rPr>
      <w:rFonts w:ascii="宋体" w:hAnsi="宋体" w:cs="Courier New"/>
      <w:sz w:val="32"/>
      <w:szCs w:val="32"/>
    </w:rPr>
  </w:style>
  <w:style w:type="paragraph" w:styleId="1383" w:customStyle="1">
    <w:name w:val="Char2 Char Char Char Char Char Char1"/>
    <w:basedOn w:val="955"/>
    <w:uiPriority w:val="0"/>
    <w:qFormat/>
    <w:pPr>
      <w:jc w:val="center"/>
      <w:spacing w:line="400" w:lineRule="exact"/>
      <w:widowControl/>
    </w:pPr>
  </w:style>
  <w:style w:type="character" w:styleId="1384" w:customStyle="1">
    <w:name w:val="页脚 Char"/>
    <w:link w:val="955"/>
    <w:uiPriority w:val="0"/>
    <w:qFormat/>
    <w:rPr>
      <w:rFonts w:ascii="宋体" w:eastAsia="宋体"/>
      <w:sz w:val="18"/>
      <w:lang w:val="en-US" w:eastAsia="zh-CN" w:bidi="ar-SA"/>
    </w:rPr>
  </w:style>
  <w:style w:type="paragraph" w:styleId="1385" w:customStyle="1">
    <w:name w:val="Char Char41"/>
    <w:basedOn w:val="955"/>
    <w:uiPriority w:val="0"/>
    <w:qFormat/>
    <w:pPr>
      <w:jc w:val="center"/>
      <w:spacing w:line="400" w:lineRule="exact"/>
      <w:widowControl/>
    </w:pPr>
  </w:style>
  <w:style w:type="character" w:styleId="1386" w:customStyle="1">
    <w:name w:val="批注文字 Char"/>
    <w:link w:val="955"/>
    <w:uiPriority w:val="99"/>
    <w:qFormat/>
    <w:rPr>
      <w:sz w:val="21"/>
      <w:szCs w:val="24"/>
    </w:rPr>
  </w:style>
  <w:style w:type="character" w:styleId="1387" w:customStyle="1">
    <w:name w:val="标题 Char"/>
    <w:link w:val="955"/>
    <w:uiPriority w:val="0"/>
    <w:qFormat/>
    <w:rPr>
      <w:b/>
      <w:sz w:val="32"/>
    </w:rPr>
  </w:style>
  <w:style w:type="paragraph" w:styleId="1388" w:customStyle="1">
    <w:name w:val="图例"/>
    <w:basedOn w:val="955"/>
    <w:uiPriority w:val="0"/>
    <w:qFormat/>
    <w:pPr>
      <w:jc w:val="center"/>
      <w:spacing w:before="120" w:after="120" w:line="360" w:lineRule="auto"/>
    </w:pPr>
    <w:rPr>
      <w:rFonts w:eastAsia="仿宋_GB2312"/>
      <w:b/>
      <w:sz w:val="24"/>
      <w:szCs w:val="20"/>
    </w:rPr>
  </w:style>
  <w:style w:type="paragraph" w:styleId="1389" w:customStyle="1">
    <w:name w:val="Table Paragraph"/>
    <w:basedOn w:val="955"/>
    <w:uiPriority w:val="1"/>
    <w:qFormat/>
    <w:pPr>
      <w:jc w:val="left"/>
    </w:pPr>
    <w:rPr>
      <w:rFonts w:ascii="宋体" w:hAnsi="宋体" w:cs="宋体"/>
      <w:sz w:val="22"/>
      <w:szCs w:val="22"/>
      <w:lang w:eastAsia="en-US"/>
    </w:rPr>
  </w:style>
  <w:style w:type="table" w:styleId="1390" w:customStyle="1">
    <w:name w:val="Table Normal"/>
    <w:basedOn w:val="1152"/>
    <w:uiPriority w:val="2"/>
    <w:semiHidden/>
    <w:qFormat/>
    <w:pPr>
      <w:widowControl w:val="off"/>
    </w:pPr>
    <w:rPr>
      <w:rFonts w:ascii="Calibri" w:hAnsi="Calibri"/>
      <w:sz w:val="22"/>
      <w:szCs w:val="22"/>
      <w:lang w:val="en-US" w:eastAsia="en-US" w:bidi="ar-SA"/>
    </w:rPr>
    <w:tblPr/>
  </w:style>
  <w:style w:type="paragraph" w:styleId="1391" w:customStyle="1">
    <w:name w:val="成文日期"/>
    <w:basedOn w:val="955"/>
    <w:link w:val="1392"/>
    <w:uiPriority w:val="0"/>
    <w:qFormat/>
    <w:pPr>
      <w:ind w:right="400" w:firstLine="200"/>
      <w:jc w:val="right"/>
      <w:spacing w:line="570" w:lineRule="exact"/>
    </w:pPr>
    <w:rPr>
      <w:rFonts w:ascii="仿宋_GB2312" w:eastAsia="仿宋_GB2312"/>
      <w:sz w:val="32"/>
      <w:szCs w:val="20"/>
    </w:rPr>
  </w:style>
  <w:style w:type="character" w:styleId="1392" w:customStyle="1">
    <w:name w:val="成文日期 Char"/>
    <w:link w:val="1391"/>
    <w:uiPriority w:val="0"/>
    <w:qFormat/>
    <w:rPr>
      <w:rFonts w:ascii="仿宋_GB2312" w:eastAsia="仿宋_GB2312"/>
      <w:sz w:val="32"/>
    </w:rPr>
  </w:style>
  <w:style w:type="paragraph" w:styleId="1393" w:customStyle="1">
    <w:name w:val="正文字缩2字"/>
    <w:basedOn w:val="955"/>
    <w:uiPriority w:val="0"/>
    <w:qFormat/>
    <w:pPr>
      <w:ind w:left="200" w:firstLine="200"/>
      <w:spacing w:before="60" w:after="60" w:line="360" w:lineRule="auto"/>
    </w:pPr>
    <w:rPr>
      <w:rFonts w:ascii="Calibri" w:hAnsi="Calibri"/>
      <w:sz w:val="21"/>
      <w:szCs w:val="24"/>
    </w:rPr>
  </w:style>
  <w:style w:type="character" w:styleId="1394" w:customStyle="1">
    <w:name w:val="current"/>
    <w:basedOn w:val="1151"/>
    <w:link w:val="955"/>
    <w:uiPriority w:val="0"/>
    <w:qFormat/>
    <w:rPr>
      <w:b/>
      <w:bCs/>
      <w:color w:val="05a7d8"/>
      <w:sz w:val="18"/>
      <w:szCs w:val="18"/>
    </w:rPr>
  </w:style>
  <w:style w:type="character" w:styleId="1395" w:customStyle="1">
    <w:name w:val="l-btn-left"/>
    <w:basedOn w:val="1151"/>
    <w:link w:val="955"/>
    <w:uiPriority w:val="0"/>
    <w:qFormat/>
  </w:style>
  <w:style w:type="character" w:styleId="1396" w:customStyle="1">
    <w:name w:val="l-btn-text35"/>
    <w:basedOn w:val="1151"/>
    <w:link w:val="955"/>
    <w:uiPriority w:val="0"/>
    <w:qFormat/>
  </w:style>
  <w:style w:type="paragraph" w:styleId="1397" w:customStyle="1">
    <w:name w:val="纯文本1"/>
    <w:next w:val="1194"/>
    <w:uiPriority w:val="0"/>
    <w:qFormat/>
    <w:pPr>
      <w:jc w:val="both"/>
      <w:widowControl w:val="off"/>
    </w:pPr>
    <w:rPr>
      <w:rFonts w:hint="default" w:ascii="宋体" w:hAnsi="宋体" w:eastAsia="宋体" w:cs="Times New Roman"/>
      <w:sz w:val="26"/>
      <w:lang w:val="en-US" w:eastAsia="zh-CN" w:bidi="ar-SA"/>
    </w:rPr>
  </w:style>
  <w:style w:type="paragraph" w:styleId="1398" w:customStyle="1">
    <w:name w:val="Body text|1"/>
    <w:basedOn w:val="955"/>
    <w:uiPriority w:val="0"/>
    <w:qFormat/>
    <w:pPr>
      <w:jc w:val="left"/>
      <w:spacing w:line="372" w:lineRule="auto"/>
    </w:pPr>
    <w:rPr>
      <w:rFonts w:ascii="宋体" w:hAnsi="宋体" w:cs="宋体"/>
      <w:sz w:val="20"/>
    </w:rPr>
  </w:style>
  <w:style w:type="paragraph" w:styleId="1399" w:customStyle="1">
    <w:name w:val="Normal1"/>
    <w:uiPriority w:val="0"/>
    <w:qFormat/>
    <w:pPr>
      <w:jc w:val="both"/>
      <w:widowControl w:val="off"/>
    </w:pPr>
    <w:rPr>
      <w:rFonts w:hint="default" w:ascii="Times New Roman" w:hAnsi="Times New Roman" w:eastAsia="宋体" w:cs="Times New Roman"/>
      <w:szCs w:val="24"/>
      <w:lang w:val="en-US" w:eastAsia="zh-CN" w:bidi="ar-SA"/>
    </w:rPr>
  </w:style>
  <w:style w:type="paragraph" w:styleId="1400" w:customStyle="1">
    <w:name w:val="段"/>
    <w:next w:val="955"/>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40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首行缩进"/>
    <w:basedOn w:val="955"/>
    <w:uiPriority w:val="0"/>
    <w:qFormat/>
    <w:pPr>
      <w:ind w:firstLine="480"/>
    </w:pPr>
    <w:rPr>
      <w:rFonts w:ascii="Times New Roman" w:hAnsi="Times New Roman"/>
      <w:sz w:val="20"/>
      <w:szCs w:val="20"/>
      <w:lang w:val="zh-CN"/>
    </w:rPr>
  </w:style>
  <w:style w:type="numbering" w:styleId="14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蒋女士</cp:lastModifiedBy>
  <cp:revision>5</cp:revision>
  <dcterms:created xsi:type="dcterms:W3CDTF">2022-05-30T08:03:00Z</dcterms:created>
  <dcterms:modified xsi:type="dcterms:W3CDTF">2026-06-17T03:07:37Z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FEE6EBC761574B7E8B89969D9FE158AE_13</vt:lpwstr>
  </property>
  <property fmtid="{D5CDD505-2E9C-101B-9397-08002B2CF9AE}" pid="4" name="KSOTemplateDocerSaveRecord">
    <vt:lpwstr>eyJoZGlkIjoiYjU4ZjMwN2E3ZTFhM2RjMjM3ZmVhNGIxYTY3ZWM2MDQiLCJ1c2VySWQiOiIxMjg1ODY3MjUzIn0=</vt:lpwstr>
  </property>
</Properties>
</file>