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972"/>
        <w:ind w:firstLine="0"/>
        <w:jc w:val="both"/>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rPr>
          <w:rFonts w:hint="eastAsia" w:ascii="黑体" w:hAnsi="华文中宋" w:eastAsia="黑体"/>
          <w:bCs/>
          <w:color w:val="000000"/>
          <w:spacing w:val="20"/>
          <w:sz w:val="84"/>
          <w:szCs w:val="84"/>
          <w:highlight w:val="none"/>
        </w:rPr>
      </w:r>
      <w:r/>
    </w:p>
    <w:p>
      <w:pPr>
        <w:pStyle w:val="972"/>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97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7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7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83"/>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项目编号：JSZC-320200-JZCG-G2026-0042</w:t>
      </w:r>
      <w:r>
        <w:rPr>
          <w:rFonts w:hint="eastAsia" w:ascii="黑体" w:hAnsi="华文中宋" w:eastAsia="黑体"/>
          <w:bCs/>
          <w:color w:val="000000"/>
          <w:sz w:val="32"/>
          <w:szCs w:val="32"/>
          <w:highlight w:val="none"/>
        </w:rPr>
      </w:r>
      <w:r/>
    </w:p>
    <w:p>
      <w:pPr>
        <w:pStyle w:val="883"/>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项目名称：智慧住建（二期）信息化建设项目</w:t>
      </w:r>
      <w:r>
        <w:rPr>
          <w:rFonts w:hint="eastAsia" w:ascii="黑体" w:hAnsi="华文中宋" w:eastAsia="黑体"/>
          <w:bCs/>
          <w:color w:val="000000"/>
          <w:sz w:val="32"/>
          <w:szCs w:val="32"/>
          <w:highlight w:val="none"/>
        </w:rPr>
      </w:r>
      <w:r/>
    </w:p>
    <w:p>
      <w:pPr>
        <w:pStyle w:val="883"/>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采 购 人：无锡市住房和城乡建设局</w:t>
      </w:r>
      <w:r>
        <w:rPr>
          <w:rFonts w:hint="eastAsia" w:ascii="黑体" w:hAnsi="华文中宋" w:eastAsia="黑体"/>
          <w:bCs/>
          <w:color w:val="000000"/>
          <w:sz w:val="32"/>
          <w:szCs w:val="32"/>
          <w:highlight w:val="none"/>
        </w:rPr>
      </w:r>
      <w:r/>
    </w:p>
    <w:p>
      <w:pPr>
        <w:pStyle w:val="883"/>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2"/>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2"/>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883"/>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88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rPr>
      </w:r>
      <w:r/>
    </w:p>
    <w:p>
      <w:pPr>
        <w:pStyle w:val="88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rPr>
      </w:r>
      <w:r/>
    </w:p>
    <w:p>
      <w:pPr>
        <w:pStyle w:val="88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rPr>
      </w:r>
      <w:r/>
    </w:p>
    <w:p>
      <w:pPr>
        <w:pStyle w:val="88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rPr>
      </w:r>
      <w:r/>
    </w:p>
    <w:p>
      <w:pPr>
        <w:pStyle w:val="88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rPr>
      </w:r>
      <w:r/>
    </w:p>
    <w:p>
      <w:pPr>
        <w:pStyle w:val="88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rPr>
      </w:r>
      <w:r/>
    </w:p>
    <w:p>
      <w:pPr>
        <w:pStyle w:val="883"/>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r>
        <w:rPr>
          <w:rFonts w:hint="eastAsia" w:ascii="黑体" w:hAnsi="黑体" w:eastAsia="黑体"/>
          <w:color w:val="000000"/>
          <w:sz w:val="36"/>
          <w:szCs w:val="36"/>
          <w:highlight w:val="none"/>
        </w:rPr>
      </w:r>
      <w:r/>
    </w:p>
    <w:p>
      <w:pPr>
        <w:pStyle w:val="883"/>
        <w:ind w:firstLine="480"/>
        <w:spacing w:line="500" w:lineRule="exact"/>
        <w:rPr>
          <w:rFonts w:ascii="宋体" w:hAnsi="宋体"/>
          <w:color w:val="000000"/>
          <w:sz w:val="24"/>
          <w:szCs w:val="24"/>
          <w:highlight w:val="none"/>
          <w:shd w:val="clear" w:color="ffffff" w:fill="d9d9d9"/>
        </w:rPr>
      </w:pPr>
      <w:r/>
      <w:bookmarkEnd w:id="0"/>
      <w:r>
        <w:rPr>
          <w:rFonts w:hint="eastAsia" w:ascii="宋体" w:hAnsi="宋体"/>
          <w:color w:val="000000"/>
          <w:sz w:val="24"/>
          <w:szCs w:val="24"/>
          <w:highlight w:val="none"/>
        </w:rPr>
        <w:t xml:space="preserve">受无锡市住房和城乡建设局的委托，无锡市公共资源交易中心就智慧住建（二期）信息化建设项目（JSZC-320200-JZCG-G2026-0042）进行公开招标采购，欢迎符合条件的供应商投标。</w:t>
      </w:r>
      <w:r>
        <w:rPr>
          <w:rFonts w:ascii="宋体" w:hAnsi="宋体"/>
          <w:color w:val="000000"/>
          <w:sz w:val="24"/>
          <w:szCs w:val="24"/>
          <w:highlight w:val="none"/>
          <w:shd w:val="clear" w:color="ffffff" w:fill="d9d9d9"/>
        </w:rPr>
      </w:r>
      <w:r/>
    </w:p>
    <w:p>
      <w:pPr>
        <w:pStyle w:val="883"/>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883"/>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智慧住建（二期）信息化建设项目的潜在投标人应在“江苏政府采购网”自行浏览招标文件，如有投标意向须在本招标文件有效获取期内通过登录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w:t>
      </w:r>
      <w:r>
        <w:rPr>
          <w:rFonts w:ascii="宋体" w:hAnsi="宋体"/>
          <w:color w:val="000000"/>
          <w:sz w:val="24"/>
          <w:szCs w:val="24"/>
          <w:highlight w:val="none"/>
        </w:rPr>
        <w:t xml:space="preserve">省政府采购（苏采云）平台”</w:t>
      </w:r>
      <w:r>
        <w:rPr>
          <w:rFonts w:hint="eastAsia" w:ascii="宋体" w:hAnsi="宋体"/>
          <w:color w:val="000000"/>
          <w:sz w:val="24"/>
          <w:szCs w:val="24"/>
          <w:highlight w:val="none"/>
        </w:rPr>
        <w:t xml:space="preserve">下载的方式依法获取招标文件，并于提交投标文件截止时间</w:t>
      </w:r>
      <w:r>
        <w:rPr>
          <w:rFonts w:hint="eastAsia" w:ascii="宋体" w:hAnsi="宋体"/>
          <w:bCs/>
          <w:color w:val="000000"/>
          <w:sz w:val="24"/>
          <w:szCs w:val="24"/>
          <w:highlight w:val="none"/>
        </w:rPr>
        <w:t xml:space="preserve">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886"/>
        <w:ind w:firstLine="452"/>
        <w:keepLines w:val="0"/>
        <w:keepNext w:val="0"/>
        <w:spacing w:before="0" w:after="0" w:line="500" w:lineRule="exact"/>
        <w:rPr>
          <w:color w:val="000000"/>
          <w:sz w:val="30"/>
          <w:szCs w:val="30"/>
          <w:highlight w:val="none"/>
        </w:rPr>
      </w:pPr>
      <w:r/>
      <w:bookmarkStart w:id="6" w:name="_Toc28359002"/>
      <w:r/>
      <w:bookmarkStart w:id="7" w:name="_Toc38985263"/>
      <w:r/>
      <w:bookmarkStart w:id="8" w:name="_Toc35393790"/>
      <w:r/>
      <w:bookmarkStart w:id="9" w:name="_Toc28359079"/>
      <w:r/>
      <w:bookmarkStart w:id="10" w:name="_Toc35393621"/>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1.项目编号：JSZC-320200-JZCG-G2026-0042</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2.项目名称：智慧住建（二期）信息化建设项目</w:t>
      </w:r>
      <w:r>
        <w:rPr>
          <w:rFonts w:hint="eastAsia"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3.项目预算金额：262.58万元</w:t>
      </w:r>
      <w:r>
        <w:rPr>
          <w:rFonts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4.项目最高限价：262.58万元</w:t>
      </w:r>
      <w:r>
        <w:rPr>
          <w:rFonts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883"/>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886"/>
        <w:ind w:firstLine="452"/>
        <w:keepLines w:val="0"/>
        <w:keepNext w:val="0"/>
        <w:spacing w:before="0" w:after="0" w:line="500" w:lineRule="exact"/>
        <w:rPr>
          <w:color w:val="000000"/>
          <w:sz w:val="30"/>
          <w:szCs w:val="30"/>
          <w:highlight w:val="none"/>
        </w:rPr>
      </w:pPr>
      <w:r/>
      <w:bookmarkStart w:id="12" w:name="_Toc28359003"/>
      <w:r/>
      <w:bookmarkStart w:id="13" w:name="_Toc38985264"/>
      <w:r/>
      <w:bookmarkStart w:id="14" w:name="_Toc35393622"/>
      <w:r/>
      <w:bookmarkStart w:id="15" w:name="_Toc28359080"/>
      <w:r/>
      <w:bookmarkStart w:id="16" w:name="_Toc35393791"/>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883"/>
        <w:ind w:firstLine="480"/>
        <w:spacing w:line="500" w:lineRule="exact"/>
        <w:rPr>
          <w:rFonts w:ascii="宋体" w:hAnsi="宋体"/>
          <w:color w:val="000000"/>
          <w:sz w:val="24"/>
          <w:szCs w:val="24"/>
          <w:highlight w:val="none"/>
        </w:rPr>
      </w:pPr>
      <w:r/>
      <w:bookmarkStart w:id="17" w:name="_Toc28359004"/>
      <w:r/>
      <w:bookmarkStart w:id="18" w:name="_Toc38985265"/>
      <w:r/>
      <w:bookmarkStart w:id="19" w:name="_Toc35393623"/>
      <w:r/>
      <w:bookmarkStart w:id="20" w:name="_Toc35393792"/>
      <w:r/>
      <w:bookmarkStart w:id="21" w:name="_Toc28359081"/>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88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883"/>
        <w:ind w:firstLine="540"/>
        <w:spacing w:line="500" w:lineRule="exact"/>
        <w:rPr>
          <w:rFonts w:hint="eastAsia" w:ascii="宋体" w:hAnsi="宋体"/>
          <w:color w:val="000000"/>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olor w:val="000000"/>
          <w:sz w:val="24"/>
          <w:szCs w:val="24"/>
          <w:highlight w:val="none"/>
        </w:rPr>
      </w:r>
      <w:r/>
    </w:p>
    <w:p>
      <w:pPr>
        <w:pStyle w:val="883"/>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bCs/>
          <w:color w:val="000000"/>
          <w:sz w:val="24"/>
          <w:szCs w:val="24"/>
          <w:highlight w:val="none"/>
        </w:rPr>
      </w:r>
      <w:r/>
    </w:p>
    <w:p>
      <w:pPr>
        <w:pStyle w:val="883"/>
        <w:ind w:firstLine="540"/>
        <w:spacing w:line="500" w:lineRule="exact"/>
        <w:rPr>
          <w:rStyle w:val="961"/>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w:t>
      </w:r>
      <w:r>
        <w:rPr>
          <w:rFonts w:ascii="宋体" w:hAnsi="宋体"/>
          <w:color w:val="000000"/>
          <w:sz w:val="24"/>
          <w:szCs w:val="24"/>
          <w:highlight w:val="none"/>
        </w:rPr>
        <w:t xml:space="preserve">获取的</w:t>
      </w:r>
      <w:r>
        <w:rPr>
          <w:rFonts w:hint="eastAsia" w:ascii="宋体" w:hAnsi="宋体"/>
          <w:bCs/>
          <w:color w:val="000000"/>
          <w:sz w:val="24"/>
          <w:szCs w:val="24"/>
          <w:highlight w:val="none"/>
        </w:rPr>
        <w:t xml:space="preserve">招标文件，视为依法获取的招标文件。</w:t>
      </w:r>
      <w:r>
        <w:rPr>
          <w:rStyle w:val="961"/>
          <w:color w:val="000000"/>
          <w:highlight w:val="none"/>
        </w:rPr>
      </w:r>
      <w:r/>
    </w:p>
    <w:p>
      <w:pPr>
        <w:pStyle w:val="883"/>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88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rPr>
        <w:t xml:space="preserve">6年7月24日09点30</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86"/>
        <w:ind w:firstLine="452"/>
        <w:keepLines w:val="0"/>
        <w:keepNext w:val="0"/>
        <w:spacing w:before="0" w:after="0" w:line="500" w:lineRule="exact"/>
        <w:rPr>
          <w:color w:val="000000"/>
          <w:sz w:val="30"/>
          <w:szCs w:val="30"/>
          <w:highlight w:val="none"/>
        </w:rPr>
      </w:pPr>
      <w:r/>
      <w:bookmarkStart w:id="27" w:name="_Toc28359007"/>
      <w:r/>
      <w:bookmarkStart w:id="28" w:name="_Toc28359084"/>
      <w:r/>
      <w:bookmarkStart w:id="29" w:name="_Toc35393625"/>
      <w:r/>
      <w:bookmarkStart w:id="30" w:name="_Toc38985267"/>
      <w:r/>
      <w:bookmarkStart w:id="31" w:name="_Toc35393794"/>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883"/>
        <w:ind w:firstLine="480"/>
        <w:spacing w:line="500" w:lineRule="exact"/>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88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886"/>
        <w:ind w:firstLine="452"/>
        <w:keepLines w:val="0"/>
        <w:keepNext w:val="0"/>
        <w:spacing w:before="0" w:after="0" w:line="500" w:lineRule="exact"/>
        <w:rPr>
          <w:color w:val="000000"/>
          <w:sz w:val="30"/>
          <w:szCs w:val="30"/>
          <w:highlight w:val="none"/>
        </w:rPr>
      </w:pPr>
      <w:r/>
      <w:bookmarkStart w:id="35" w:name="_Toc35393796"/>
      <w:r/>
      <w:bookmarkStart w:id="36" w:name="_Toc35393627"/>
      <w:r/>
      <w:bookmarkStart w:id="37" w:name="_Toc38985269"/>
      <w:r/>
      <w:bookmarkStart w:id="38" w:name="_Toc28359085"/>
      <w:r/>
      <w:bookmarkStart w:id="39" w:name="_Toc28359008"/>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88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称：无锡市住房和城乡建设局（本级）</w:t>
      </w:r>
      <w:r>
        <w:rPr>
          <w:rFonts w:hint="eastAsia" w:ascii="宋体" w:hAnsi="宋体" w:cs="宋体"/>
          <w:color w:val="000000"/>
          <w:sz w:val="24"/>
          <w:szCs w:val="24"/>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址：观山路市民中心8号楼</w:t>
      </w:r>
      <w:r>
        <w:rPr>
          <w:rFonts w:ascii="宋体" w:hAnsi="宋体" w:cs="宋体"/>
          <w:color w:val="000000"/>
          <w:sz w:val="24"/>
          <w:szCs w:val="24"/>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86"/>
      <w:r/>
      <w:bookmarkStart w:id="41"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88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称：无锡市公共资源交易中心</w:t>
      </w:r>
      <w:r>
        <w:rPr>
          <w:rFonts w:hint="eastAsia" w:ascii="宋体" w:hAnsi="宋体" w:cs="宋体"/>
          <w:color w:val="000000"/>
          <w:sz w:val="24"/>
          <w:szCs w:val="24"/>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址：无锡市滨湖区观山路199号10号3楼</w:t>
      </w:r>
      <w:r>
        <w:rPr>
          <w:rFonts w:ascii="宋体" w:hAnsi="宋体" w:cs="宋体"/>
          <w:color w:val="000000"/>
          <w:sz w:val="24"/>
          <w:szCs w:val="24"/>
          <w:highlight w:val="none"/>
        </w:rPr>
      </w:r>
      <w:r/>
    </w:p>
    <w:p>
      <w:pPr>
        <w:pStyle w:val="88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88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8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采购人项目咨询联系人：王旭平；电话：0510-81823558</w:t>
      </w:r>
      <w:r>
        <w:rPr>
          <w:rFonts w:hint="eastAsia" w:ascii="宋体" w:hAnsi="宋体" w:cs="宋体"/>
          <w:color w:val="000000"/>
          <w:sz w:val="24"/>
          <w:szCs w:val="24"/>
          <w:highlight w:val="none"/>
        </w:rPr>
      </w:r>
      <w:r/>
    </w:p>
    <w:p>
      <w:pPr>
        <w:pStyle w:val="88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采购人质疑受理联系人：王旭平；电话：0510-81823558</w:t>
      </w:r>
      <w:r>
        <w:rPr>
          <w:rFonts w:hint="eastAsia" w:ascii="宋体" w:hAnsi="宋体" w:cs="宋体"/>
          <w:color w:val="000000"/>
          <w:sz w:val="24"/>
          <w:szCs w:val="24"/>
          <w:highlight w:val="none"/>
        </w:rPr>
      </w:r>
      <w:r/>
    </w:p>
    <w:p>
      <w:pPr>
        <w:pStyle w:val="88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交易中心项目联系人：黄若人；电话：0510-81827757</w:t>
      </w:r>
      <w:r>
        <w:rPr>
          <w:rFonts w:ascii="宋体" w:hAnsi="宋体" w:cs="宋体"/>
          <w:color w:val="000000"/>
          <w:sz w:val="24"/>
          <w:szCs w:val="24"/>
          <w:highlight w:val="none"/>
        </w:rPr>
      </w:r>
      <w:r/>
    </w:p>
    <w:p>
      <w:pPr>
        <w:pStyle w:val="88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883"/>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w:t>
      </w:r>
      <w:r>
        <w:rPr>
          <w:rFonts w:ascii="宋体" w:hAnsi="宋体"/>
          <w:color w:val="000000"/>
          <w:sz w:val="24"/>
          <w:szCs w:val="24"/>
          <w:highlight w:val="none"/>
        </w:rPr>
        <w:t xml:space="preserve">http://jszfcg.jsczt.cn/</w:t>
      </w:r>
      <w:r>
        <w:rPr>
          <w:rFonts w:hint="eastAsia" w:ascii="宋体" w:hAnsi="宋体"/>
          <w:color w:val="000000"/>
          <w:sz w:val="24"/>
          <w:szCs w:val="24"/>
          <w:highlight w:val="none"/>
        </w:rPr>
        <w:t xml:space="preserve">进入界面。</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w:t>
      </w:r>
      <w:r>
        <w:rPr>
          <w:rFonts w:ascii="宋体" w:hAnsi="宋体"/>
          <w:color w:val="000000"/>
          <w:sz w:val="24"/>
          <w:szCs w:val="24"/>
          <w:highlight w:val="none"/>
        </w:rPr>
        <w:t xml:space="preserve">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w:t>
      </w:r>
      <w:r>
        <w:rPr>
          <w:rFonts w:ascii="宋体" w:hAnsi="宋体"/>
          <w:color w:val="000000"/>
          <w:sz w:val="24"/>
          <w:szCs w:val="24"/>
          <w:highlight w:val="none"/>
        </w:rPr>
        <w:t xml:space="preserve">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83"/>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88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w:t>
      </w:r>
      <w:r>
        <w:rPr>
          <w:rFonts w:ascii="宋体" w:hAnsi="宋体"/>
          <w:color w:val="000000"/>
          <w:sz w:val="24"/>
          <w:szCs w:val="24"/>
          <w:highlight w:val="none"/>
        </w:rPr>
        <w:t xml:space="preserve">如确</w:t>
      </w:r>
      <w:r>
        <w:rPr>
          <w:rFonts w:ascii="宋体" w:hAnsi="宋体"/>
          <w:color w:val="000000"/>
          <w:sz w:val="24"/>
          <w:szCs w:val="24"/>
          <w:highlight w:val="none"/>
        </w:rPr>
        <w:t xml:space="preserve">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w:t>
      </w:r>
      <w:r>
        <w:rPr>
          <w:rFonts w:hint="eastAsia" w:ascii="宋体" w:hAnsi="宋体"/>
          <w:color w:val="000000"/>
          <w:sz w:val="24"/>
          <w:szCs w:val="24"/>
          <w:highlight w:val="none"/>
        </w:rPr>
        <w:t xml:space="preserve">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883"/>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（三）有关本次采购的事项若存在变动或修改，敬请及时关注无锡市公共资源交易中心在“江苏政府采购网”发布的更正公告。</w:t>
      </w:r>
      <w:r>
        <w:rPr>
          <w:rFonts w:hint="eastAsia" w:ascii="宋体" w:hAnsi="宋体"/>
          <w:bCs/>
          <w:color w:val="000000"/>
          <w:sz w:val="24"/>
          <w:szCs w:val="24"/>
          <w:highlight w:val="none"/>
        </w:rPr>
      </w:r>
      <w:r/>
    </w:p>
    <w:p>
      <w:pPr>
        <w:pStyle w:val="883"/>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rPr>
      </w:r>
      <w:r/>
    </w:p>
    <w:p>
      <w:pPr>
        <w:pStyle w:val="883"/>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883"/>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color w:val="000000"/>
          <w:sz w:val="36"/>
          <w:szCs w:val="36"/>
          <w:highlight w:val="none"/>
        </w:rPr>
        <w:t xml:space="preserve">投标人须知</w:t>
      </w:r>
      <w:bookmarkEnd w:id="43"/>
      <w:r/>
      <w:bookmarkEnd w:id="44"/>
      <w:r/>
      <w:bookmarkEnd w:id="45"/>
      <w:r/>
      <w:bookmarkEnd w:id="46"/>
      <w:r>
        <w:rPr>
          <w:rFonts w:hint="eastAsia" w:ascii="黑体" w:hAnsi="黑体" w:eastAsia="黑体"/>
          <w:color w:val="000000"/>
          <w:sz w:val="36"/>
          <w:szCs w:val="36"/>
          <w:highlight w:val="none"/>
        </w:rPr>
      </w:r>
      <w:r/>
    </w:p>
    <w:p>
      <w:pPr>
        <w:pStyle w:val="886"/>
        <w:ind w:firstLine="452"/>
        <w:keepLines w:val="0"/>
        <w:keepNext w:val="0"/>
        <w:spacing w:before="0" w:after="0" w:line="500" w:lineRule="exact"/>
        <w:rPr>
          <w:rFonts w:hint="eastAsia"/>
          <w:color w:val="000000"/>
          <w:sz w:val="30"/>
          <w:szCs w:val="30"/>
          <w:highlight w:val="none"/>
        </w:rPr>
      </w:pPr>
      <w:r/>
      <w:bookmarkStart w:id="47" w:name="_Toc20823275"/>
      <w:r/>
      <w:bookmarkStart w:id="48" w:name="_Toc16938519"/>
      <w:r/>
      <w:bookmarkStart w:id="49" w:name="_Toc513029203"/>
      <w:r/>
      <w:bookmarkStart w:id="50" w:name="_Toc120614214"/>
      <w:r>
        <w:rPr>
          <w:rFonts w:hint="eastAsia"/>
          <w:color w:val="000000"/>
          <w:sz w:val="30"/>
          <w:szCs w:val="30"/>
          <w:highlight w:val="none"/>
        </w:rPr>
        <w:t xml:space="preserve">一、总则</w:t>
      </w:r>
      <w:bookmarkEnd w:id="47"/>
      <w:r/>
      <w:bookmarkEnd w:id="48"/>
      <w:r/>
      <w:bookmarkEnd w:id="49"/>
      <w:r/>
      <w:bookmarkEnd w:id="50"/>
      <w:r>
        <w:rPr>
          <w:rFonts w:hint="eastAsia"/>
          <w:color w:val="000000"/>
          <w:sz w:val="30"/>
          <w:szCs w:val="30"/>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highlight w:val="none"/>
        </w:rPr>
        <w:t xml:space="preserve">1.招标方式</w:t>
      </w:r>
      <w:bookmarkEnd w:id="52"/>
      <w:r/>
      <w:bookmarkEnd w:id="53"/>
      <w:r/>
      <w:bookmarkEnd w:id="54"/>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hint="eastAsia"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55" w:name="_Toc20823277"/>
      <w:r/>
      <w:bookmarkStart w:id="56" w:name="_Toc16938521"/>
      <w:r/>
      <w:bookmarkStart w:id="57" w:name="_Toc513029205"/>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58" w:name="_Toc20823278"/>
      <w:r/>
      <w:bookmarkStart w:id="59" w:name="_Toc16938522"/>
      <w:r/>
      <w:bookmarkStart w:id="60" w:name="_Toc513029206"/>
      <w:r>
        <w:rPr>
          <w:rFonts w:hint="eastAsia" w:ascii="宋体" w:hAnsi="宋体" w:eastAsia="宋体"/>
          <w:bCs w:val="0"/>
          <w:color w:val="000000"/>
          <w:highlight w:val="none"/>
        </w:rPr>
        <w:t xml:space="preserve">3.适用法律</w:t>
      </w:r>
      <w:bookmarkEnd w:id="58"/>
      <w:r/>
      <w:bookmarkEnd w:id="59"/>
      <w:r/>
      <w:bookmarkEnd w:id="60"/>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hint="eastAsia"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61" w:name="_Toc513029207"/>
      <w:r/>
      <w:bookmarkStart w:id="62" w:name="_Toc16938523"/>
      <w:r/>
      <w:bookmarkStart w:id="63" w:name="_Toc20823279"/>
      <w:r/>
      <w:bookmarkStart w:id="64" w:name="_Toc462564067"/>
      <w:r>
        <w:rPr>
          <w:rFonts w:hint="eastAsia" w:ascii="宋体" w:hAnsi="宋体" w:eastAsia="宋体"/>
          <w:bCs w:val="0"/>
          <w:color w:val="000000"/>
          <w:highlight w:val="none"/>
        </w:rPr>
        <w:t xml:space="preserve">4.投标费用</w:t>
      </w:r>
      <w:bookmarkEnd w:id="61"/>
      <w:r/>
      <w:bookmarkEnd w:id="62"/>
      <w:r/>
      <w:bookmarkEnd w:id="63"/>
      <w:r/>
      <w:bookmarkEnd w:id="64"/>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rPr>
          <w:rFonts w:hint="eastAsia"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886"/>
        <w:ind w:firstLine="452"/>
        <w:keepLines w:val="0"/>
        <w:keepNext w:val="0"/>
        <w:spacing w:before="0" w:after="0" w:line="500" w:lineRule="exact"/>
        <w:rPr>
          <w:rFonts w:hint="eastAsia"/>
          <w:color w:val="000000"/>
          <w:sz w:val="30"/>
          <w:szCs w:val="30"/>
          <w:highlight w:val="none"/>
        </w:rPr>
      </w:pPr>
      <w:r/>
      <w:bookmarkStart w:id="65" w:name="_Toc16938525"/>
      <w:r/>
      <w:bookmarkStart w:id="66" w:name="_Toc20823281"/>
      <w:r/>
      <w:bookmarkStart w:id="67" w:name="_Toc120614215"/>
      <w:r/>
      <w:bookmarkStart w:id="68" w:name="_Toc513029209"/>
      <w:r>
        <w:rPr>
          <w:rFonts w:hint="eastAsia"/>
          <w:color w:val="000000"/>
          <w:sz w:val="30"/>
          <w:szCs w:val="30"/>
          <w:highlight w:val="none"/>
        </w:rPr>
        <w:t xml:space="preserve">二、招标文件</w:t>
      </w:r>
      <w:bookmarkEnd w:id="65"/>
      <w:r/>
      <w:bookmarkEnd w:id="66"/>
      <w:r/>
      <w:bookmarkEnd w:id="67"/>
      <w:r/>
      <w:bookmarkEnd w:id="68"/>
      <w:r>
        <w:rPr>
          <w:rFonts w:hint="eastAsia"/>
          <w:color w:val="000000"/>
          <w:sz w:val="30"/>
          <w:szCs w:val="30"/>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69" w:name="_Toc16938526"/>
      <w:r/>
      <w:bookmarkStart w:id="70" w:name="_Toc513029210"/>
      <w:r/>
      <w:bookmarkStart w:id="71" w:name="_Toc20823282"/>
      <w:r>
        <w:rPr>
          <w:rFonts w:hint="eastAsia" w:ascii="宋体" w:hAnsi="宋体" w:eastAsia="宋体"/>
          <w:bCs w:val="0"/>
          <w:color w:val="000000"/>
          <w:highlight w:val="none"/>
        </w:rPr>
        <w:t xml:space="preserve">6.招标文件构成</w:t>
      </w:r>
      <w:bookmarkEnd w:id="69"/>
      <w:r/>
      <w:bookmarkEnd w:id="70"/>
      <w:r/>
      <w:bookmarkEnd w:id="71"/>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83"/>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72" w:name="_Toc513029211"/>
      <w:r/>
      <w:bookmarkStart w:id="73" w:name="_Toc462564070"/>
      <w:r/>
      <w:bookmarkStart w:id="74" w:name="_Toc16938527"/>
      <w:r/>
      <w:bookmarkStart w:id="75" w:name="_Toc20823283"/>
      <w:r>
        <w:rPr>
          <w:rFonts w:hint="eastAsia" w:ascii="宋体" w:hAnsi="宋体" w:eastAsia="宋体"/>
          <w:bCs w:val="0"/>
          <w:color w:val="000000"/>
          <w:highlight w:val="none"/>
        </w:rPr>
        <w:t xml:space="preserve">7.招标文件的澄清</w:t>
      </w:r>
      <w:bookmarkEnd w:id="72"/>
      <w:r/>
      <w:bookmarkEnd w:id="73"/>
      <w:r/>
      <w:bookmarkEnd w:id="74"/>
      <w:r/>
      <w:bookmarkEnd w:id="75"/>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76" w:name="_Toc513029212"/>
      <w:r/>
      <w:bookmarkStart w:id="77" w:name="_Toc20823284"/>
      <w:r/>
      <w:bookmarkStart w:id="78" w:name="_Toc462564071"/>
      <w:r/>
      <w:bookmarkStart w:id="79" w:name="_Toc16938528"/>
      <w:r>
        <w:rPr>
          <w:rFonts w:hint="eastAsia" w:ascii="宋体" w:hAnsi="宋体" w:eastAsia="宋体"/>
          <w:bCs w:val="0"/>
          <w:color w:val="000000"/>
          <w:highlight w:val="none"/>
        </w:rPr>
        <w:t xml:space="preserve">8.招标文件的修改</w:t>
      </w:r>
      <w:bookmarkEnd w:id="76"/>
      <w:r/>
      <w:bookmarkEnd w:id="77"/>
      <w:r/>
      <w:bookmarkEnd w:id="78"/>
      <w:r/>
      <w:bookmarkEnd w:id="79"/>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none"/>
        </w:rPr>
      </w:r>
      <w:r/>
    </w:p>
    <w:p>
      <w:pPr>
        <w:pStyle w:val="886"/>
        <w:ind w:firstLine="452"/>
        <w:keepLines w:val="0"/>
        <w:keepNext w:val="0"/>
        <w:spacing w:before="0" w:after="0" w:line="500" w:lineRule="exact"/>
        <w:rPr>
          <w:rFonts w:hint="eastAsia"/>
          <w:color w:val="000000"/>
          <w:sz w:val="30"/>
          <w:szCs w:val="30"/>
          <w:highlight w:val="none"/>
        </w:rPr>
      </w:pPr>
      <w:r/>
      <w:bookmarkStart w:id="80" w:name="_Toc513029213"/>
      <w:r/>
      <w:bookmarkStart w:id="81" w:name="_Toc462564072"/>
      <w:r/>
      <w:bookmarkStart w:id="82" w:name="_Toc120614216"/>
      <w:r/>
      <w:bookmarkStart w:id="83" w:name="_Toc20823285"/>
      <w:r/>
      <w:bookmarkStart w:id="84" w:name="_Toc16938529"/>
      <w:r>
        <w:rPr>
          <w:rFonts w:hint="eastAsia"/>
          <w:color w:val="000000"/>
          <w:sz w:val="30"/>
          <w:szCs w:val="30"/>
          <w:highlight w:val="none"/>
        </w:rPr>
        <w:t xml:space="preserve">三、投标文件的编制</w:t>
      </w:r>
      <w:bookmarkEnd w:id="80"/>
      <w:r/>
      <w:bookmarkEnd w:id="81"/>
      <w:r/>
      <w:bookmarkEnd w:id="82"/>
      <w:r/>
      <w:bookmarkEnd w:id="83"/>
      <w:r/>
      <w:bookmarkEnd w:id="84"/>
      <w:r>
        <w:rPr>
          <w:rFonts w:hint="eastAsia"/>
          <w:color w:val="000000"/>
          <w:sz w:val="30"/>
          <w:szCs w:val="30"/>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85" w:name="_Toc462564073"/>
      <w:r/>
      <w:bookmarkStart w:id="86" w:name="_Toc20823286"/>
      <w:r/>
      <w:bookmarkStart w:id="87" w:name="_Toc513029214"/>
      <w:r/>
      <w:bookmarkStart w:id="88" w:name="_Toc16938530"/>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89" w:name="_Toc20823287"/>
      <w:r/>
      <w:bookmarkStart w:id="90" w:name="_Toc16938531"/>
      <w:r/>
      <w:bookmarkStart w:id="91" w:name="_Toc513029215"/>
      <w:r/>
      <w:bookmarkStart w:id="92" w:name="_Toc462564074"/>
      <w:r>
        <w:rPr>
          <w:rFonts w:hint="eastAsia" w:ascii="宋体" w:hAnsi="宋体" w:eastAsia="宋体"/>
          <w:bCs w:val="0"/>
          <w:color w:val="000000"/>
          <w:highlight w:val="none"/>
        </w:rPr>
        <w:t xml:space="preserve">10.投标文件构成</w:t>
      </w:r>
      <w:bookmarkEnd w:id="89"/>
      <w:r/>
      <w:bookmarkEnd w:id="90"/>
      <w:r/>
      <w:bookmarkEnd w:id="91"/>
      <w:r/>
      <w:bookmarkEnd w:id="92"/>
      <w:r>
        <w:rPr>
          <w:rFonts w:hint="eastAsia" w:ascii="宋体" w:hAnsi="宋体" w:eastAsia="宋体"/>
          <w:bCs w:val="0"/>
          <w:color w:val="000000"/>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hint="eastAsia"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93" w:name="_Hlt26670360"/>
      <w:r/>
      <w:bookmarkEnd w:id="93"/>
      <w:r/>
      <w:bookmarkStart w:id="94" w:name="_Hlt26668975"/>
      <w:r/>
      <w:bookmarkEnd w:id="94"/>
      <w:r/>
      <w:bookmarkStart w:id="95" w:name="_Hlt26954838"/>
      <w:r/>
      <w:bookmarkEnd w:id="95"/>
      <w:r/>
      <w:bookmarkStart w:id="96" w:name="_Toc513029219"/>
      <w:r/>
      <w:bookmarkStart w:id="97" w:name="_Toc14577357"/>
      <w:r/>
      <w:bookmarkStart w:id="98" w:name="_Toc49090509"/>
      <w:r/>
      <w:bookmarkStart w:id="99" w:name="_Toc513029216"/>
      <w:r/>
      <w:bookmarkStart w:id="100" w:name="_Toc14577354"/>
      <w:r/>
      <w:bookmarkStart w:id="101" w:name="_Toc49090507"/>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bookmarkEnd w:id="99"/>
      <w:r/>
      <w:bookmarkEnd w:id="100"/>
      <w:r/>
      <w:bookmarkEnd w:id="101"/>
      <w:r/>
      <w:bookmarkStart w:id="102" w:name="_Toc14577355"/>
      <w:r/>
      <w:bookmarkStart w:id="103" w:name="_Toc49090508"/>
      <w:r>
        <w:rPr>
          <w:rFonts w:hint="eastAsia" w:ascii="宋体" w:hAnsi="宋体"/>
          <w:bCs/>
          <w:color w:val="000000"/>
          <w:sz w:val="24"/>
          <w:highlight w:val="none"/>
        </w:rPr>
        <w:t xml:space="preserve">11.1投标人应按照法律法规、规章和规范性文件以及招标文件要求提交证明文件，证明其投标标的符合招标文件规定。</w:t>
      </w:r>
      <w:r>
        <w:rPr>
          <w:rFonts w:hint="eastAsia" w:ascii="宋体" w:hAnsi="宋体"/>
          <w:bCs/>
          <w:color w:val="000000"/>
          <w:sz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04" w:name="_Toc14577359"/>
      <w:r/>
      <w:bookmarkStart w:id="105" w:name="_Toc49090510"/>
      <w:r>
        <w:rPr>
          <w:rFonts w:hint="eastAsia" w:ascii="宋体" w:hAnsi="宋体" w:eastAsia="宋体"/>
          <w:bCs w:val="0"/>
          <w:color w:val="000000"/>
          <w:highlight w:val="none"/>
        </w:rPr>
        <w:t xml:space="preserve">12.投标函、承诺书和开标一览表</w:t>
      </w:r>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End w:id="104"/>
      <w:r/>
      <w:bookmarkEnd w:id="105"/>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08" w:name="_Hlt26668983"/>
      <w:r/>
      <w:bookmarkEnd w:id="108"/>
      <w:r/>
      <w:bookmarkStart w:id="109" w:name="_Hlt26670482"/>
      <w:r/>
      <w:bookmarkEnd w:id="109"/>
      <w:r/>
      <w:bookmarkStart w:id="110" w:name="_Hlt26954848"/>
      <w:r/>
      <w:bookmarkEnd w:id="110"/>
      <w:r/>
      <w:bookmarkStart w:id="111" w:name="_Hlt26670486"/>
      <w:r/>
      <w:bookmarkEnd w:id="111"/>
      <w:r/>
      <w:bookmarkStart w:id="112" w:name="_Hlt26954846"/>
      <w:r/>
      <w:bookmarkEnd w:id="112"/>
      <w:r/>
      <w:bookmarkStart w:id="113" w:name="_Hlt26954844"/>
      <w:r/>
      <w:bookmarkEnd w:id="113"/>
      <w:r/>
      <w:bookmarkStart w:id="114" w:name="_Hlt26670403"/>
      <w:r/>
      <w:bookmarkEnd w:id="114"/>
      <w:r/>
      <w:bookmarkStart w:id="115" w:name="_Hlt26954731"/>
      <w:r/>
      <w:bookmarkEnd w:id="115"/>
      <w:r/>
      <w:bookmarkStart w:id="116" w:name="_Hlt26954842"/>
      <w:r/>
      <w:bookmarkEnd w:id="116"/>
      <w:r/>
      <w:bookmarkStart w:id="117" w:name="_Hlt26670425"/>
      <w:r/>
      <w:bookmarkEnd w:id="117"/>
      <w:r>
        <w:rPr>
          <w:rFonts w:hint="eastAsia" w:ascii="宋体" w:hAnsi="宋体" w:eastAsia="宋体"/>
          <w:bCs w:val="0"/>
          <w:color w:val="000000"/>
          <w:highlight w:val="none"/>
        </w:rPr>
        <w:t xml:space="preserve">14.投标偏离表</w:t>
      </w:r>
      <w:r>
        <w:rPr>
          <w:rFonts w:hint="eastAsia" w:ascii="宋体" w:hAnsi="宋体" w:eastAsia="宋体"/>
          <w:bCs w:val="0"/>
          <w:color w:val="000000"/>
          <w:highlight w:val="none"/>
        </w:rPr>
      </w:r>
      <w:r/>
    </w:p>
    <w:p>
      <w:pPr>
        <w:pStyle w:val="883"/>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bCs w:val="0"/>
          <w:color w:val="000000"/>
          <w:highlight w:val="none"/>
        </w:rPr>
        <w:t xml:space="preserve">15.投标有效期</w:t>
      </w:r>
      <w:bookmarkEnd w:id="121"/>
      <w:r/>
      <w:bookmarkEnd w:id="122"/>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86"/>
        <w:ind w:firstLine="452"/>
        <w:keepLines w:val="0"/>
        <w:keepNext w:val="0"/>
        <w:spacing w:before="0" w:after="0" w:line="500" w:lineRule="exact"/>
        <w:rPr>
          <w:rFonts w:hint="eastAsia"/>
          <w:color w:val="000000"/>
          <w:sz w:val="30"/>
          <w:szCs w:val="30"/>
          <w:highlight w:val="none"/>
        </w:rPr>
      </w:pPr>
      <w:r/>
      <w:bookmarkStart w:id="123" w:name="_Hlt26954852"/>
      <w:r/>
      <w:bookmarkEnd w:id="123"/>
      <w:r/>
      <w:bookmarkStart w:id="124" w:name="_Hlt26954739"/>
      <w:r/>
      <w:bookmarkEnd w:id="124"/>
      <w:r/>
      <w:bookmarkStart w:id="125" w:name="_Toc16938540"/>
      <w:r/>
      <w:bookmarkStart w:id="126" w:name="_Toc513029224"/>
      <w:r/>
      <w:bookmarkStart w:id="127" w:name="_Toc120614217"/>
      <w:r/>
      <w:bookmarkStart w:id="128" w:name="_Toc20823296"/>
      <w:r>
        <w:rPr>
          <w:rFonts w:hint="eastAsia"/>
          <w:color w:val="000000"/>
          <w:sz w:val="30"/>
          <w:szCs w:val="30"/>
          <w:highlight w:val="none"/>
        </w:rPr>
        <w:t xml:space="preserve">四、投标文件的递交</w:t>
      </w:r>
      <w:bookmarkEnd w:id="125"/>
      <w:r/>
      <w:bookmarkEnd w:id="126"/>
      <w:r/>
      <w:bookmarkEnd w:id="127"/>
      <w:r/>
      <w:bookmarkEnd w:id="128"/>
      <w:r>
        <w:rPr>
          <w:rFonts w:hint="eastAsia"/>
          <w:color w:val="000000"/>
          <w:sz w:val="30"/>
          <w:szCs w:val="30"/>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29" w:name="_Toc16938541"/>
      <w:r/>
      <w:bookmarkStart w:id="130" w:name="_Toc513029225"/>
      <w:r/>
      <w:bookmarkStart w:id="131" w:name="_Toc462564084"/>
      <w:r/>
      <w:bookmarkStart w:id="132" w:name="_Toc20823297"/>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hint="eastAsia" w:ascii="宋体" w:hAnsi="宋体"/>
          <w:bCs/>
          <w:color w:val="000000"/>
          <w:sz w:val="24"/>
          <w:highlight w:val="none"/>
        </w:rPr>
      </w:r>
      <w:r/>
    </w:p>
    <w:p>
      <w:pPr>
        <w:pStyle w:val="997"/>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16938542"/>
      <w:r/>
      <w:bookmarkStart w:id="134" w:name="_Toc513029226"/>
      <w:r/>
      <w:bookmarkStart w:id="135" w:name="_Toc20823298"/>
      <w:r>
        <w:rPr>
          <w:rFonts w:hint="eastAsia" w:ascii="宋体" w:hAnsi="宋体"/>
          <w:bCs/>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36" w:name="_Toc513029227"/>
      <w:r/>
      <w:bookmarkStart w:id="137" w:name="_Toc16938543"/>
      <w:r/>
      <w:bookmarkStart w:id="138" w:name="_Toc20823299"/>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rPr>
          <w:rFonts w:hint="eastAsia" w:ascii="宋体" w:hAnsi="宋体"/>
          <w:bCs/>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39" w:name="_Toc16938544"/>
      <w:r/>
      <w:bookmarkStart w:id="140" w:name="_Toc513029228"/>
      <w:r/>
      <w:bookmarkStart w:id="141" w:name="_Toc20823300"/>
      <w:r>
        <w:rPr>
          <w:rFonts w:hint="eastAsia" w:ascii="宋体" w:hAnsi="宋体" w:eastAsia="宋体"/>
          <w:bCs w:val="0"/>
          <w:color w:val="000000"/>
          <w:highlight w:val="none"/>
        </w:rPr>
        <w:t xml:space="preserve">20.投标文件的撤回和修改</w:t>
      </w:r>
      <w:bookmarkEnd w:id="139"/>
      <w:r/>
      <w:bookmarkEnd w:id="140"/>
      <w:r/>
      <w:bookmarkEnd w:id="141"/>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hAnsi="宋体"/>
          <w:bCs/>
          <w:color w:val="000000"/>
          <w:sz w:val="24"/>
          <w:highlight w:val="none"/>
        </w:rPr>
      </w:r>
      <w:r/>
    </w:p>
    <w:p>
      <w:pPr>
        <w:pStyle w:val="886"/>
        <w:ind w:firstLine="452"/>
        <w:keepLines w:val="0"/>
        <w:keepNext w:val="0"/>
        <w:spacing w:before="0" w:after="0" w:line="500" w:lineRule="exact"/>
        <w:rPr>
          <w:rFonts w:hint="eastAsia"/>
          <w:color w:val="000000"/>
          <w:sz w:val="30"/>
          <w:szCs w:val="30"/>
          <w:highlight w:val="none"/>
        </w:rPr>
      </w:pPr>
      <w:r/>
      <w:bookmarkStart w:id="142" w:name="_Toc120614218"/>
      <w:r/>
      <w:bookmarkStart w:id="143" w:name="_Toc20823301"/>
      <w:r/>
      <w:bookmarkStart w:id="144" w:name="_Toc513029229"/>
      <w:r/>
      <w:bookmarkStart w:id="145" w:name="_Toc16938545"/>
      <w:r>
        <w:rPr>
          <w:rFonts w:hint="eastAsia"/>
          <w:color w:val="000000"/>
          <w:sz w:val="30"/>
          <w:szCs w:val="30"/>
          <w:highlight w:val="none"/>
        </w:rPr>
        <w:t xml:space="preserve">五、开标与评标</w:t>
      </w:r>
      <w:bookmarkEnd w:id="142"/>
      <w:r/>
      <w:bookmarkEnd w:id="143"/>
      <w:r/>
      <w:bookmarkEnd w:id="144"/>
      <w:r/>
      <w:bookmarkEnd w:id="145"/>
      <w:r>
        <w:rPr>
          <w:rFonts w:hint="eastAsia"/>
          <w:color w:val="000000"/>
          <w:sz w:val="30"/>
          <w:szCs w:val="30"/>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46" w:name="_Toc513029230"/>
      <w:r/>
      <w:bookmarkStart w:id="147" w:name="_Toc16938546"/>
      <w:r/>
      <w:bookmarkStart w:id="148" w:name="_Toc20823302"/>
      <w:r>
        <w:rPr>
          <w:rFonts w:hint="eastAsia" w:ascii="宋体" w:hAnsi="宋体" w:eastAsia="宋体"/>
          <w:bCs w:val="0"/>
          <w:color w:val="000000"/>
          <w:highlight w:val="none"/>
        </w:rPr>
        <w:t xml:space="preserve">21.开标</w:t>
      </w:r>
      <w:bookmarkEnd w:id="146"/>
      <w:r/>
      <w:bookmarkEnd w:id="147"/>
      <w:r/>
      <w:bookmarkEnd w:id="148"/>
      <w:r>
        <w:rPr>
          <w:rFonts w:hint="eastAsia" w:ascii="宋体" w:hAnsi="宋体" w:eastAsia="宋体"/>
          <w:bCs w:val="0"/>
          <w:color w:val="000000"/>
          <w:highlight w:val="none"/>
        </w:rPr>
      </w:r>
      <w:r/>
    </w:p>
    <w:p>
      <w:pPr>
        <w:pStyle w:val="883"/>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color w:val="000000"/>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hint="eastAsia" w:ascii="宋体" w:hAnsi="宋体"/>
          <w:color w:val="000000"/>
          <w:sz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49" w:name="_Toc16938547"/>
      <w:r/>
      <w:bookmarkStart w:id="150" w:name="_Toc513029231"/>
      <w:r/>
      <w:bookmarkStart w:id="151" w:name="_Toc20823303"/>
      <w:r>
        <w:rPr>
          <w:rFonts w:hint="eastAsia" w:ascii="宋体" w:hAnsi="宋体" w:eastAsia="宋体"/>
          <w:bCs w:val="0"/>
          <w:color w:val="000000"/>
          <w:highlight w:val="none"/>
        </w:rPr>
        <w:t xml:space="preserve">22.评标委员会</w:t>
      </w:r>
      <w:r>
        <w:rPr>
          <w:rFonts w:hint="eastAsia" w:ascii="宋体" w:hAnsi="宋体" w:eastAsia="宋体"/>
          <w:bCs w:val="0"/>
          <w:color w:val="000000"/>
          <w:highlight w:val="none"/>
        </w:rPr>
      </w:r>
      <w:r/>
    </w:p>
    <w:p>
      <w:pPr>
        <w:pStyle w:val="883"/>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rPr>
          <w:rFonts w:hint="eastAsia" w:ascii="宋体" w:hAnsi="宋体"/>
          <w:b/>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rPr>
          <w:rFonts w:hint="eastAsia"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bookmarkEnd w:id="149"/>
      <w:r/>
      <w:bookmarkEnd w:id="150"/>
      <w:r/>
      <w:bookmarkEnd w:id="151"/>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52" w:name="_Toc513029232"/>
      <w:r/>
      <w:bookmarkStart w:id="153" w:name="_Toc20823304"/>
      <w:r/>
      <w:bookmarkStart w:id="154" w:name="_Toc16938548"/>
      <w:r>
        <w:rPr>
          <w:rFonts w:hint="eastAsia" w:ascii="宋体" w:hAnsi="宋体" w:eastAsia="宋体"/>
          <w:bCs w:val="0"/>
          <w:color w:val="000000"/>
          <w:highlight w:val="none"/>
        </w:rPr>
        <w:t xml:space="preserve">24.投标文件的澄清</w:t>
      </w:r>
      <w:bookmarkEnd w:id="152"/>
      <w:r/>
      <w:bookmarkEnd w:id="153"/>
      <w:r/>
      <w:bookmarkEnd w:id="154"/>
      <w:r>
        <w:rPr>
          <w:rFonts w:hint="eastAsia" w:ascii="宋体" w:hAnsi="宋体" w:eastAsia="宋体"/>
          <w:bCs w:val="0"/>
          <w:color w:val="000000"/>
          <w:highlight w:val="none"/>
        </w:rPr>
      </w:r>
      <w:r/>
    </w:p>
    <w:p>
      <w:pPr>
        <w:pStyle w:val="883"/>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55" w:name="_Toc513029233"/>
      <w:r/>
      <w:bookmarkStart w:id="156" w:name="_Toc20823305"/>
      <w:r/>
      <w:bookmarkStart w:id="157" w:name="_Toc16938549"/>
      <w:r>
        <w:rPr>
          <w:rFonts w:hint="eastAsia" w:ascii="宋体" w:hAnsi="宋体" w:eastAsia="宋体"/>
          <w:bCs w:val="0"/>
          <w:color w:val="000000"/>
          <w:highlight w:val="none"/>
        </w:rPr>
        <w:t xml:space="preserve">25.对投标文件的初审</w:t>
      </w:r>
      <w:bookmarkEnd w:id="155"/>
      <w:r/>
      <w:bookmarkEnd w:id="156"/>
      <w:r/>
      <w:bookmarkEnd w:id="157"/>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hint="eastAsia" w:ascii="宋体" w:hAnsi="宋体"/>
          <w:bCs/>
          <w:color w:val="000000"/>
          <w:sz w:val="24"/>
          <w:highlight w:val="none"/>
        </w:rPr>
      </w:r>
      <w:r/>
    </w:p>
    <w:p>
      <w:pPr>
        <w:pStyle w:val="883"/>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hint="eastAsia" w:ascii="宋体" w:hAnsi="宋体" w:cs="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88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88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88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883"/>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883"/>
        <w:ind w:firstLine="420"/>
        <w:spacing w:line="500" w:lineRule="exact"/>
        <w:rPr>
          <w:rFonts w:hint="eastAsia" w:ascii="宋体" w:hAnsi="宋体"/>
          <w:color w:val="000000"/>
          <w:sz w:val="24"/>
          <w:highlight w:val="none"/>
        </w:rPr>
      </w:pPr>
      <w:r/>
      <w:bookmarkStart w:id="158" w:name="_Toc513029234"/>
      <w:r/>
      <w:bookmarkStart w:id="159" w:name="_Toc20823306"/>
      <w:r/>
      <w:bookmarkStart w:id="160" w:name="_Toc16938550"/>
      <w:r>
        <w:rPr>
          <w:rFonts w:hint="eastAsia" w:ascii="宋体" w:hAnsi="宋体"/>
          <w:color w:val="000000"/>
          <w:sz w:val="24"/>
          <w:highlight w:val="none"/>
        </w:rPr>
        <w:t xml:space="preserve">25.6投标人在开、评标全过程中应保持通信畅通，及时登录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rPr>
          <w:rFonts w:hint="eastAsia" w:ascii="宋体" w:hAnsi="宋体"/>
          <w:color w:val="000000"/>
          <w:sz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883"/>
        <w:ind w:left="479"/>
        <w:spacing w:line="500" w:lineRule="exact"/>
        <w:rPr>
          <w:rFonts w:hint="eastAsia" w:ascii="宋体" w:hAnsi="宋体"/>
          <w:bCs/>
          <w:color w:val="000000"/>
          <w:sz w:val="24"/>
          <w:highlight w:val="none"/>
        </w:rPr>
      </w:pPr>
      <w:r/>
      <w:bookmarkStart w:id="161" w:name="_Toc20823307"/>
      <w:r/>
      <w:bookmarkStart w:id="162" w:name="_Toc513029235"/>
      <w:r/>
      <w:bookmarkStart w:id="163" w:name="_Toc16938551"/>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26.1.22评标委员会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26.1.25其他法律法规及本招标文件规定的属于无效投标的情形。</w:t>
      </w:r>
      <w:r>
        <w:rPr>
          <w:rFonts w:hint="eastAsia" w:ascii="宋体" w:hAnsi="宋体"/>
          <w:bCs/>
          <w:color w:val="000000"/>
          <w:sz w:val="24"/>
          <w:highlight w:val="none"/>
        </w:rPr>
      </w:r>
      <w:r/>
    </w:p>
    <w:p>
      <w:pPr>
        <w:pStyle w:val="88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88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88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883"/>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88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883"/>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hint="eastAsia" w:ascii="宋体" w:hAnsi="宋体"/>
          <w:bCs/>
          <w:color w:val="000000"/>
          <w:sz w:val="24"/>
          <w:highlight w:val="none"/>
        </w:rPr>
      </w:r>
      <w:r/>
    </w:p>
    <w:p>
      <w:pPr>
        <w:pStyle w:val="88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886"/>
        <w:ind w:firstLine="452"/>
        <w:keepLines w:val="0"/>
        <w:keepNext w:val="0"/>
        <w:spacing w:before="0" w:after="0" w:line="500" w:lineRule="exact"/>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Pr>
          <w:rFonts w:hint="eastAsia"/>
          <w:color w:val="000000"/>
          <w:sz w:val="30"/>
          <w:szCs w:val="30"/>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Start w:id="165" w:name="_Toc513029238"/>
      <w:r/>
      <w:bookmarkStart w:id="166" w:name="_Toc20823310"/>
      <w:r/>
      <w:bookmarkStart w:id="167" w:name="_Toc16938554"/>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rPr>
          <w:rFonts w:hint="eastAsia" w:ascii="宋体" w:hAnsi="宋体" w:eastAsia="宋体"/>
          <w:bCs w:val="0"/>
          <w:color w:val="000000"/>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88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highlight w:val="none"/>
          <w:shd w:val="clear" w:color="ffffff" w:fill="d9d9d9"/>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883"/>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886"/>
        <w:ind w:firstLine="452"/>
        <w:keepLines w:val="0"/>
        <w:keepNext w:val="0"/>
        <w:spacing w:before="0" w:after="0" w:line="500" w:lineRule="exact"/>
        <w:rPr>
          <w:rFonts w:hint="eastAsia"/>
          <w:color w:val="000000"/>
          <w:sz w:val="30"/>
          <w:szCs w:val="30"/>
          <w:highlight w:val="none"/>
        </w:rPr>
      </w:pPr>
      <w:r/>
      <w:bookmarkStart w:id="169" w:name="_Toc120614220"/>
      <w:r/>
      <w:bookmarkStart w:id="170" w:name="_Toc16938552"/>
      <w:r/>
      <w:bookmarkStart w:id="171" w:name="_Toc20823308"/>
      <w:r/>
      <w:bookmarkStart w:id="172" w:name="_Toc513029236"/>
      <w:r>
        <w:rPr>
          <w:rFonts w:hint="eastAsia"/>
          <w:color w:val="000000"/>
          <w:sz w:val="30"/>
          <w:szCs w:val="30"/>
          <w:highlight w:val="none"/>
        </w:rPr>
        <w:t xml:space="preserve">七、授予合同</w:t>
      </w:r>
      <w:bookmarkEnd w:id="169"/>
      <w:r>
        <w:rPr>
          <w:rFonts w:hint="eastAsia"/>
          <w:color w:val="000000"/>
          <w:sz w:val="30"/>
          <w:szCs w:val="30"/>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color w:val="000000"/>
          <w:highlight w:val="none"/>
        </w:rPr>
        <w:t xml:space="preserve">30.签订合同</w:t>
      </w:r>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highlight w:val="none"/>
        </w:rPr>
      </w:r>
      <w:r/>
    </w:p>
    <w:p>
      <w:pPr>
        <w:pStyle w:val="883"/>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none"/>
        </w:rPr>
      </w:r>
      <w:r/>
    </w:p>
    <w:p>
      <w:pPr>
        <w:pStyle w:val="88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rPr>
          <w:rFonts w:hint="eastAsia" w:ascii="宋体" w:hAnsi="宋体" w:eastAsia="宋体"/>
          <w:bCs w:val="0"/>
          <w:color w:val="000000"/>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883"/>
        <w:jc w:val="center"/>
        <w:spacing w:line="500" w:lineRule="exact"/>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16938558"/>
      <w:r/>
      <w:bookmarkStart w:id="177" w:name="_Toc20823314"/>
      <w:r/>
      <w:bookmarkStart w:id="178" w:name="_Toc513029242"/>
      <w:r/>
      <w:bookmarkStart w:id="179" w:name="_Toc120614221"/>
      <w:r/>
      <w:bookmarkStart w:id="180" w:name="_Toc479757207"/>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rPr>
          <w:rFonts w:hint="eastAsia" w:ascii="黑体" w:hAnsi="黑体" w:eastAsia="黑体"/>
          <w:color w:val="000000"/>
          <w:sz w:val="36"/>
          <w:szCs w:val="36"/>
          <w:highlight w:val="none"/>
        </w:rPr>
      </w:r>
      <w:r/>
    </w:p>
    <w:p>
      <w:pPr>
        <w:pStyle w:val="883"/>
        <w:ind w:firstLine="480"/>
        <w:spacing w:line="400" w:lineRule="exact"/>
        <w:rPr>
          <w:rFonts w:hint="eastAsia" w:ascii="宋体" w:hAnsi="宋体"/>
          <w:bCs/>
          <w:color w:val="000000"/>
          <w:sz w:val="24"/>
          <w:highlight w:val="none"/>
        </w:rPr>
      </w:pPr>
      <w:r/>
      <w:bookmarkStart w:id="181" w:name="_Toc20823315"/>
      <w:r/>
      <w:bookmarkStart w:id="182" w:name="_Toc16938559"/>
      <w:r/>
      <w:bookmarkStart w:id="183" w:name="_Toc513029243"/>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883"/>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21"/>
        <w:spacing w:line="400" w:lineRule="exact"/>
        <w:rPr>
          <w:rFonts w:hAnsi="宋体"/>
          <w:color w:val="000000"/>
          <w:sz w:val="24"/>
          <w:szCs w:val="24"/>
          <w:highlight w:val="none"/>
        </w:rPr>
      </w:pPr>
      <w:r>
        <w:rPr>
          <w:rFonts w:hAnsi="宋体"/>
          <w:color w:val="000000"/>
          <w:sz w:val="24"/>
          <w:szCs w:val="24"/>
          <w:highlight w:val="none"/>
        </w:rPr>
        <w:t xml:space="preserve">项目名称：                                       项目编号：</w:t>
      </w:r>
      <w:r>
        <w:rPr>
          <w:rFonts w:hAnsi="宋体"/>
          <w:color w:val="000000"/>
          <w:sz w:val="24"/>
          <w:szCs w:val="24"/>
          <w:highlight w:val="none"/>
        </w:rPr>
      </w:r>
      <w:r/>
    </w:p>
    <w:p>
      <w:pPr>
        <w:pStyle w:val="921"/>
        <w:spacing w:line="400" w:lineRule="exact"/>
        <w:rPr>
          <w:rFonts w:hAnsi="宋体"/>
          <w:color w:val="000000"/>
          <w:sz w:val="24"/>
          <w:szCs w:val="24"/>
          <w:highlight w:val="none"/>
        </w:rPr>
      </w:pPr>
      <w:r>
        <w:rPr>
          <w:rFonts w:hAnsi="宋体"/>
          <w:color w:val="000000"/>
          <w:sz w:val="24"/>
          <w:szCs w:val="24"/>
          <w:highlight w:val="none"/>
        </w:rPr>
        <w:t xml:space="preserve">甲方：（买方、需方、采购人）_________</w:t>
      </w:r>
      <w:r>
        <w:rPr>
          <w:rFonts w:hAnsi="宋体"/>
          <w:color w:val="000000"/>
          <w:sz w:val="24"/>
          <w:szCs w:val="24"/>
          <w:highlight w:val="none"/>
        </w:rPr>
      </w:r>
      <w:r/>
    </w:p>
    <w:p>
      <w:pPr>
        <w:pStyle w:val="921"/>
        <w:spacing w:line="400" w:lineRule="exact"/>
        <w:rPr>
          <w:rFonts w:hint="eastAsia" w:hAnsi="宋体"/>
          <w:color w:val="000000"/>
          <w:sz w:val="24"/>
          <w:szCs w:val="24"/>
          <w:highlight w:val="none"/>
        </w:rPr>
      </w:pPr>
      <w:r>
        <w:rPr>
          <w:rFonts w:hAnsi="宋体"/>
          <w:color w:val="000000"/>
          <w:sz w:val="24"/>
          <w:szCs w:val="24"/>
          <w:highlight w:val="none"/>
        </w:rPr>
        <w:t xml:space="preserve">乙方：（卖方、供方、供应商）_________</w:t>
      </w:r>
      <w:r>
        <w:rPr>
          <w:rFonts w:hint="eastAsia" w:hAnsi="宋体"/>
          <w:color w:val="000000"/>
          <w:sz w:val="24"/>
          <w:szCs w:val="24"/>
          <w:highlight w:val="none"/>
        </w:rPr>
      </w:r>
      <w:r/>
    </w:p>
    <w:p>
      <w:pPr>
        <w:pStyle w:val="921"/>
        <w:ind w:firstLine="480"/>
        <w:spacing w:line="400" w:lineRule="exact"/>
        <w:rPr>
          <w:rFonts w:hAnsi="宋体"/>
          <w:b/>
          <w:color w:val="000000"/>
          <w:sz w:val="24"/>
          <w:szCs w:val="24"/>
          <w:highlight w:val="none"/>
        </w:rPr>
      </w:pPr>
      <w:r>
        <w:rPr>
          <w:rFonts w:hAnsi="宋体"/>
          <w:color w:val="000000"/>
          <w:sz w:val="24"/>
          <w:szCs w:val="24"/>
          <w:highlight w:val="none"/>
        </w:rPr>
        <w:t xml:space="preserve">甲、乙双方根据</w:t>
      </w:r>
      <w:r>
        <w:rPr>
          <w:rFonts w:hint="eastAsia" w:hAnsi="宋体"/>
          <w:color w:val="000000"/>
          <w:sz w:val="24"/>
          <w:szCs w:val="24"/>
          <w:highlight w:val="none"/>
        </w:rPr>
        <w:t xml:space="preserve">无锡市公共资源交易中心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1.3 标的数量（规模）：</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1.4 履行时间（期限）：</w:t>
      </w:r>
      <w:r>
        <w:rPr>
          <w:rFonts w:hint="eastAsia"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int="eastAsia" w:hAnsi="宋体"/>
          <w:color w:val="000000"/>
          <w:sz w:val="24"/>
          <w:szCs w:val="24"/>
          <w:highlight w:val="none"/>
        </w:rPr>
        <w:t xml:space="preserve">1.5 履行地点：</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6履行方式：</w:t>
      </w:r>
      <w:r>
        <w:rPr>
          <w:rFonts w:hAnsi="宋体"/>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2.1 本合同金额为（大写）： ____________</w:t>
      </w:r>
      <w:r>
        <w:rPr>
          <w:rFonts w:hint="eastAsia" w:hAnsi="宋体"/>
          <w:color w:val="000000"/>
          <w:sz w:val="24"/>
          <w:szCs w:val="24"/>
          <w:highlight w:val="none"/>
        </w:rPr>
        <w:t xml:space="preserve">圆</w:t>
      </w:r>
      <w:r>
        <w:rPr>
          <w:rFonts w:hAnsi="宋体"/>
          <w:color w:val="000000"/>
          <w:sz w:val="24"/>
          <w:szCs w:val="24"/>
          <w:highlight w:val="none"/>
        </w:rPr>
        <w:t xml:space="preserve">（______元）人民币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hAnsi="宋体"/>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rFonts w:hint="eastAsia"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921"/>
        <w:spacing w:line="400" w:lineRule="exact"/>
        <w:rPr>
          <w:rFonts w:hint="eastAsia" w:hAnsi="宋体"/>
          <w:color w:val="000000"/>
          <w:sz w:val="24"/>
          <w:szCs w:val="24"/>
          <w:highlight w:val="none"/>
        </w:rPr>
      </w:pPr>
      <w:r>
        <w:rPr>
          <w:rFonts w:hint="eastAsia" w:hAnsi="宋体"/>
          <w:color w:val="000000"/>
          <w:sz w:val="24"/>
          <w:szCs w:val="24"/>
          <w:highlight w:val="none"/>
        </w:rPr>
        <w:t xml:space="preserve">（注：采购项目如涉及采购标的的知识产权归属、处理的，如订购、设计、定制开发的信息化建设项目等，应当约定知识产权的归属和处理方式）</w:t>
      </w:r>
      <w:r>
        <w:rPr>
          <w:rFonts w:hint="eastAsia" w:hAnsi="宋体"/>
          <w:color w:val="000000"/>
          <w:sz w:val="24"/>
          <w:szCs w:val="24"/>
          <w:highlight w:val="none"/>
        </w:rPr>
      </w:r>
      <w:r/>
    </w:p>
    <w:p>
      <w:pPr>
        <w:pStyle w:val="921"/>
        <w:ind w:firstLine="482"/>
        <w:spacing w:line="400" w:lineRule="exact"/>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921"/>
        <w:ind w:firstLine="480"/>
        <w:spacing w:line="400" w:lineRule="exact"/>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rFonts w:hAnsi="宋体"/>
          <w:color w:val="000000"/>
          <w:sz w:val="24"/>
          <w:szCs w:val="24"/>
          <w:highlight w:val="none"/>
          <w:u w:val="singl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6.1 乙方交纳人民币__元作为本合同的履约保证金。</w:t>
      </w:r>
      <w:r>
        <w:rPr>
          <w:rFonts w:hint="eastAsia" w:hAnsi="宋体"/>
          <w:color w:val="000000"/>
          <w:sz w:val="24"/>
          <w:szCs w:val="24"/>
          <w:highlight w:val="none"/>
        </w:rPr>
        <w:t xml:space="preserve">（不得超过合同金额的10%）</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6.2合同履行结束后，甲方应及时退还交纳的履约保证金。</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6.2.1履约保证金退还方式：</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6.2.2履约保证金退还时间：</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6.2.3履约保证金退还条件：</w:t>
      </w:r>
      <w:r>
        <w:rPr>
          <w:rFonts w:hint="eastAsia"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int="eastAsia" w:hAnsi="宋体"/>
          <w:color w:val="000000"/>
          <w:sz w:val="24"/>
          <w:szCs w:val="24"/>
          <w:highlight w:val="none"/>
        </w:rPr>
        <w:t xml:space="preserve">6.2.4履约保证金不予退还的情形：</w:t>
      </w:r>
      <w:r>
        <w:rPr>
          <w:rFonts w:hAnsi="宋体"/>
          <w:color w:val="000000"/>
          <w:sz w:val="24"/>
          <w:szCs w:val="24"/>
          <w:highlight w:val="none"/>
        </w:rPr>
      </w:r>
      <w:r/>
    </w:p>
    <w:p>
      <w:pPr>
        <w:pStyle w:val="883"/>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88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88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highlight w:val="none"/>
        </w:rPr>
      </w:r>
      <w:r/>
    </w:p>
    <w:p>
      <w:pPr>
        <w:pStyle w:val="883"/>
        <w:ind w:firstLine="480"/>
        <w:spacing w:line="40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921"/>
        <w:ind w:firstLine="482"/>
        <w:spacing w:line="400" w:lineRule="exact"/>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921"/>
        <w:ind w:firstLine="480"/>
        <w:spacing w:line="400" w:lineRule="exact"/>
        <w:rPr>
          <w:rFonts w:hint="eastAsia" w:hAnsi="宋体"/>
          <w:bCs/>
          <w:color w:val="000000"/>
          <w:sz w:val="24"/>
          <w:szCs w:val="24"/>
          <w:highlight w:val="none"/>
        </w:rPr>
      </w:pPr>
      <w:r>
        <w:rPr>
          <w:rFonts w:hint="eastAsia" w:hAnsi="宋体"/>
          <w:bCs/>
          <w:color w:val="000000"/>
          <w:sz w:val="24"/>
          <w:szCs w:val="24"/>
          <w:highlight w:val="none"/>
        </w:rPr>
        <w:t xml:space="preserve">8</w:t>
      </w:r>
      <w:r>
        <w:rPr>
          <w:rFonts w:hAnsi="宋体"/>
          <w:bCs/>
          <w:color w:val="000000"/>
          <w:sz w:val="24"/>
          <w:szCs w:val="24"/>
          <w:highlight w:val="none"/>
        </w:rPr>
        <w:t xml:space="preserve">.1</w:t>
      </w:r>
      <w:r>
        <w:rPr>
          <w:rFonts w:hint="eastAsia" w:hAnsi="宋体"/>
          <w:bCs/>
          <w:color w:val="000000"/>
          <w:sz w:val="24"/>
          <w:szCs w:val="24"/>
          <w:highlight w:val="none"/>
        </w:rPr>
        <w:t xml:space="preserve">合同款项的支付方式及进度安排</w:t>
      </w:r>
      <w:r>
        <w:rPr>
          <w:rFonts w:hint="eastAsia" w:hAnsi="宋体"/>
          <w:bCs/>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8.1.1</w:t>
      </w:r>
      <w:r>
        <w:rPr>
          <w:rFonts w:hint="eastAsia" w:hAnsi="宋体" w:cs="Courier New"/>
          <w:bCs/>
          <w:color w:val="000000"/>
          <w:sz w:val="24"/>
          <w:szCs w:val="24"/>
          <w:highlight w:val="none"/>
        </w:rPr>
        <w:t xml:space="preserve">预付款支付时间：</w:t>
      </w:r>
      <w:r>
        <w:rPr>
          <w:rFonts w:hint="eastAsia" w:hAnsi="宋体" w:cs="Courier New"/>
          <w:bCs/>
          <w:color w:val="000000"/>
          <w:sz w:val="24"/>
          <w:szCs w:val="24"/>
          <w:highlight w:val="none"/>
          <w:u w:val="single"/>
        </w:rPr>
        <w:t xml:space="preserve">               </w:t>
      </w:r>
      <w:r>
        <w:rPr>
          <w:rFonts w:hint="eastAsia" w:hAnsi="宋体" w:cs="Courier New"/>
          <w:bCs/>
          <w:color w:val="000000"/>
          <w:sz w:val="24"/>
          <w:szCs w:val="24"/>
          <w:highlight w:val="none"/>
        </w:rPr>
        <w:t xml:space="preserve">，预付款支付比例：</w:t>
      </w:r>
      <w:r>
        <w:rPr>
          <w:rFonts w:hint="eastAsia" w:hAnsi="宋体" w:cs="Courier New"/>
          <w:bCs/>
          <w:color w:val="000000"/>
          <w:sz w:val="24"/>
          <w:szCs w:val="24"/>
          <w:highlight w:val="none"/>
          <w:u w:val="single"/>
        </w:rPr>
        <w:t xml:space="preserve">         </w:t>
      </w:r>
      <w:r>
        <w:rPr>
          <w:rFonts w:hint="eastAsia" w:hAnsi="宋体" w:cs="Courier New"/>
          <w:bCs/>
          <w:color w:val="000000"/>
          <w:sz w:val="24"/>
          <w:szCs w:val="24"/>
          <w:highlight w:val="none"/>
        </w:rPr>
        <w:t xml:space="preserve">。</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8.1.2</w:t>
      </w:r>
      <w:r>
        <w:rPr>
          <w:rFonts w:hint="eastAsia" w:hAnsi="宋体" w:cs="Courier New"/>
          <w:bCs/>
          <w:color w:val="000000"/>
          <w:sz w:val="24"/>
          <w:szCs w:val="24"/>
          <w:highlight w:val="none"/>
        </w:rPr>
        <w:t xml:space="preserve">尾款支付时间：</w:t>
      </w:r>
      <w:r>
        <w:rPr>
          <w:rFonts w:hint="eastAsia" w:hAnsi="宋体" w:cs="Courier New"/>
          <w:bCs/>
          <w:color w:val="000000"/>
          <w:sz w:val="24"/>
          <w:szCs w:val="24"/>
          <w:highlight w:val="none"/>
          <w:u w:val="single"/>
        </w:rPr>
        <w:t xml:space="preserve">                 </w:t>
      </w:r>
      <w:r>
        <w:rPr>
          <w:rFonts w:hint="eastAsia" w:hAnsi="宋体" w:cs="Courier New"/>
          <w:bCs/>
          <w:color w:val="000000"/>
          <w:sz w:val="24"/>
          <w:szCs w:val="24"/>
          <w:highlight w:val="none"/>
        </w:rPr>
        <w:t xml:space="preserve">。</w:t>
      </w:r>
      <w:r>
        <w:rPr>
          <w:rFonts w:hint="eastAsia" w:hAnsi="宋体"/>
          <w:color w:val="000000"/>
          <w:sz w:val="24"/>
          <w:szCs w:val="24"/>
          <w:highlight w:val="none"/>
        </w:rPr>
      </w:r>
      <w:r/>
    </w:p>
    <w:p>
      <w:pPr>
        <w:pStyle w:val="883"/>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注：（1）根据《关于做好政府采购支持企业发展有关事项的通知》（苏采购</w:t>
      </w:r>
      <w:r>
        <w:rPr>
          <w:rFonts w:hint="eastAsia" w:ascii="宋体" w:hAnsi="宋体" w:cs="Courier New"/>
          <w:bCs/>
          <w:color w:val="000000"/>
          <w:sz w:val="24"/>
          <w:szCs w:val="24"/>
          <w:highlight w:val="none"/>
        </w:rPr>
        <w:t xml:space="preserve">〔2020〕52</w:t>
      </w:r>
      <w:r>
        <w:rPr>
          <w:rFonts w:hint="eastAsia" w:ascii="宋体" w:hAnsi="宋体"/>
          <w:bCs/>
          <w:color w:val="000000"/>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color w:val="000000"/>
          <w:sz w:val="24"/>
          <w:szCs w:val="24"/>
          <w:highlight w:val="none"/>
        </w:rPr>
      </w:r>
      <w:r/>
    </w:p>
    <w:p>
      <w:pPr>
        <w:pStyle w:val="883"/>
        <w:spacing w:line="400" w:lineRule="exact"/>
        <w:rPr>
          <w:rFonts w:hint="eastAsia" w:ascii="宋体" w:hAnsi="宋体" w:cs="Courier New"/>
          <w:bCs/>
          <w:color w:val="000000"/>
          <w:sz w:val="24"/>
          <w:szCs w:val="24"/>
          <w:highlight w:val="none"/>
        </w:rPr>
      </w:pPr>
      <w:r>
        <w:rPr>
          <w:rFonts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t xml:space="preserve">2</w:t>
      </w:r>
      <w:r>
        <w:rPr>
          <w:rFonts w:ascii="宋体" w:hAnsi="宋体" w:cs="Courier New"/>
          <w:bCs/>
          <w:color w:val="000000"/>
          <w:sz w:val="24"/>
          <w:szCs w:val="24"/>
          <w:highlight w:val="none"/>
        </w:rPr>
        <w:t xml:space="preserve">）根据《</w:t>
      </w:r>
      <w:r>
        <w:rPr>
          <w:rFonts w:hint="eastAsia" w:ascii="宋体" w:hAnsi="宋体" w:cs="Courier New"/>
          <w:bCs/>
          <w:color w:val="000000"/>
          <w:sz w:val="24"/>
          <w:szCs w:val="24"/>
          <w:highlight w:val="none"/>
        </w:rPr>
        <w:t xml:space="preserve">关于进一步提高政府采购透明度和采购效率相关事项的通知</w:t>
      </w:r>
      <w:r>
        <w:rPr>
          <w:rFonts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t xml:space="preserve">财办库〔2023〕243号</w:t>
      </w:r>
      <w:r>
        <w:rPr>
          <w:rFonts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color w:val="000000"/>
          <w:sz w:val="24"/>
          <w:szCs w:val="24"/>
          <w:highlight w:val="none"/>
        </w:rPr>
      </w:r>
      <w:r/>
    </w:p>
    <w:p>
      <w:pPr>
        <w:pStyle w:val="883"/>
        <w:spacing w:line="400" w:lineRule="exact"/>
        <w:rPr>
          <w:rFonts w:hint="eastAsia" w:hAnsi="宋体"/>
          <w:bCs/>
          <w:color w:val="000000"/>
          <w:sz w:val="24"/>
          <w:szCs w:val="24"/>
          <w:highlight w:val="none"/>
        </w:rPr>
      </w:pPr>
      <w:r>
        <w:rPr>
          <w:rFonts w:hint="eastAsia" w:ascii="宋体" w:hAnsi="宋体" w:cs="Courier New"/>
          <w:bCs/>
          <w:color w:val="000000"/>
          <w:sz w:val="24"/>
          <w:szCs w:val="24"/>
          <w:highlight w:val="none"/>
        </w:rPr>
        <w:t xml:space="preserve">（3）</w:t>
      </w:r>
      <w:r>
        <w:rPr>
          <w:rFonts w:hint="eastAsia" w:ascii="宋体"/>
          <w:bCs/>
          <w:color w:val="000000"/>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color w:val="000000"/>
          <w:sz w:val="24"/>
          <w:szCs w:val="24"/>
          <w:highlight w:val="none"/>
        </w:rPr>
      </w:r>
      <w:r/>
    </w:p>
    <w:p>
      <w:pPr>
        <w:pStyle w:val="883"/>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883"/>
        <w:ind w:firstLine="480"/>
        <w:spacing w:line="40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rFonts w:hAnsi="宋体"/>
          <w:b/>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w:t>
      </w:r>
      <w:r>
        <w:rPr>
          <w:rFonts w:hint="eastAsia" w:hAnsi="宋体"/>
          <w:color w:val="000000"/>
          <w:sz w:val="24"/>
          <w:szCs w:val="24"/>
          <w:highlight w:val="none"/>
        </w:rPr>
        <w:t xml:space="preserve">，</w:t>
      </w:r>
      <w:r>
        <w:rPr>
          <w:rFonts w:hAnsi="宋体"/>
          <w:color w:val="000000"/>
          <w:sz w:val="24"/>
          <w:szCs w:val="24"/>
          <w:highlight w:val="none"/>
        </w:rPr>
        <w:t xml:space="preserve">甲方应按逾期付款总额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rFonts w:hAnsi="宋体"/>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rFonts w:hAnsi="宋体"/>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92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rFonts w:hint="eastAsia" w:hAnsi="宋体"/>
          <w:color w:val="000000"/>
          <w:sz w:val="24"/>
          <w:szCs w:val="24"/>
          <w:highlight w:val="none"/>
        </w:rPr>
      </w:r>
      <w:r/>
    </w:p>
    <w:p>
      <w:pPr>
        <w:pStyle w:val="92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、合同生效及其他</w:t>
      </w:r>
      <w:r>
        <w:rPr>
          <w:rFonts w:hAnsi="宋体"/>
          <w:b/>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《中华人民共和国民法典》《中华人民共和国政府采购法》等</w:t>
      </w:r>
      <w:r>
        <w:rPr>
          <w:rFonts w:hAnsi="宋体"/>
          <w:color w:val="000000"/>
          <w:sz w:val="24"/>
          <w:szCs w:val="24"/>
          <w:highlight w:val="none"/>
        </w:rPr>
        <w:t xml:space="preserve">有关条文执行。</w:t>
      </w:r>
      <w:r>
        <w:rPr>
          <w:rFonts w:hAnsi="宋体"/>
          <w:color w:val="000000"/>
          <w:sz w:val="24"/>
          <w:szCs w:val="24"/>
          <w:highlight w:val="none"/>
        </w:rPr>
      </w:r>
      <w:r/>
    </w:p>
    <w:p>
      <w:pPr>
        <w:pStyle w:val="92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 本合同正本一式</w:t>
      </w:r>
      <w:r>
        <w:rPr>
          <w:rFonts w:hint="eastAsia" w:hAnsi="宋体"/>
          <w:color w:val="000000"/>
          <w:sz w:val="24"/>
          <w:szCs w:val="24"/>
          <w:highlight w:val="none"/>
        </w:rPr>
        <w:t xml:space="preserve">两</w:t>
      </w:r>
      <w:r>
        <w:rPr>
          <w:rFonts w:hAnsi="宋体"/>
          <w:color w:val="000000"/>
          <w:sz w:val="24"/>
          <w:szCs w:val="24"/>
          <w:highlight w:val="none"/>
        </w:rPr>
        <w:t xml:space="preserve">份，具有同等法律效力，甲</w:t>
      </w:r>
      <w:r>
        <w:rPr>
          <w:rFonts w:hint="eastAsia" w:hAnsi="宋体"/>
          <w:color w:val="000000"/>
          <w:sz w:val="24"/>
          <w:szCs w:val="24"/>
          <w:highlight w:val="none"/>
        </w:rPr>
        <w:t xml:space="preserve">方、</w:t>
      </w:r>
      <w:r>
        <w:rPr>
          <w:rFonts w:hAnsi="宋体"/>
          <w:color w:val="000000"/>
          <w:sz w:val="24"/>
          <w:szCs w:val="24"/>
          <w:highlight w:val="none"/>
        </w:rPr>
        <w:t xml:space="preserve">乙方各执一份。</w:t>
      </w:r>
      <w:r>
        <w:rPr>
          <w:rFonts w:hAnsi="宋体"/>
          <w:color w:val="000000"/>
          <w:sz w:val="24"/>
          <w:szCs w:val="24"/>
          <w:highlight w:val="none"/>
        </w:rPr>
      </w:r>
      <w:r/>
    </w:p>
    <w:p>
      <w:pPr>
        <w:pStyle w:val="921"/>
        <w:ind w:left="480" w:hanging="480"/>
        <w:spacing w:line="400" w:lineRule="exact"/>
        <w:rPr>
          <w:rFonts w:hAnsi="宋体"/>
          <w:color w:val="000000"/>
          <w:sz w:val="24"/>
          <w:szCs w:val="24"/>
          <w:highlight w:val="none"/>
        </w:rPr>
      </w:pPr>
      <w:r>
        <w:rPr>
          <w:rFonts w:hAnsi="宋体"/>
          <w:color w:val="000000"/>
          <w:sz w:val="24"/>
          <w:szCs w:val="24"/>
          <w:highlight w:val="none"/>
        </w:rPr>
        <w:t xml:space="preserve">  甲方：                        乙方： </w:t>
      </w:r>
      <w:r>
        <w:rPr>
          <w:rFonts w:hAnsi="宋体"/>
          <w:color w:val="000000"/>
          <w:sz w:val="24"/>
          <w:szCs w:val="24"/>
          <w:highlight w:val="none"/>
        </w:rPr>
      </w:r>
      <w:r/>
    </w:p>
    <w:p>
      <w:pPr>
        <w:pStyle w:val="921"/>
        <w:spacing w:line="400" w:lineRule="exact"/>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rFonts w:hAnsi="宋体"/>
          <w:color w:val="000000"/>
          <w:sz w:val="24"/>
          <w:szCs w:val="24"/>
          <w:highlight w:val="none"/>
        </w:rPr>
      </w:r>
      <w:r/>
    </w:p>
    <w:p>
      <w:pPr>
        <w:pStyle w:val="921"/>
        <w:spacing w:line="400" w:lineRule="exact"/>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rFonts w:hAnsi="宋体"/>
          <w:color w:val="000000"/>
          <w:sz w:val="24"/>
          <w:szCs w:val="24"/>
          <w:highlight w:val="none"/>
        </w:rPr>
      </w:r>
      <w:r/>
    </w:p>
    <w:p>
      <w:pPr>
        <w:pStyle w:val="921"/>
        <w:ind w:firstLine="240"/>
        <w:spacing w:line="400" w:lineRule="exact"/>
        <w:rPr>
          <w:rFonts w:hint="eastAsia"/>
          <w:color w:val="000000"/>
          <w:highlight w:val="none"/>
        </w:rPr>
      </w:pPr>
      <w:r>
        <w:rPr>
          <w:rFonts w:hint="eastAsia" w:hAnsi="宋体"/>
          <w:color w:val="000000"/>
          <w:sz w:val="24"/>
          <w:szCs w:val="24"/>
          <w:highlight w:val="none"/>
        </w:rPr>
        <w:t xml:space="preserve">联系电话：                    联系电话：          </w:t>
      </w:r>
      <w:r>
        <w:rPr>
          <w:rFonts w:hint="eastAsia"/>
          <w:color w:val="000000"/>
          <w:highlight w:val="none"/>
        </w:rPr>
      </w:r>
      <w:r/>
    </w:p>
    <w:p>
      <w:pPr>
        <w:pStyle w:val="883"/>
        <w:ind w:firstLine="480"/>
        <w:spacing w:line="400" w:lineRule="exact"/>
        <w:rPr>
          <w:color w:val="000000"/>
          <w:sz w:val="24"/>
          <w:szCs w:val="24"/>
          <w:highlight w:val="none"/>
        </w:rPr>
      </w:pPr>
      <w:r>
        <w:rPr>
          <w:rFonts w:hint="eastAsia"/>
          <w:color w:val="000000"/>
          <w:sz w:val="24"/>
          <w:szCs w:val="24"/>
          <w:highlight w:val="none"/>
        </w:rPr>
        <w:t xml:space="preserve">                                </w:t>
      </w:r>
      <w:r>
        <w:rPr>
          <w:color w:val="000000"/>
          <w:sz w:val="24"/>
          <w:szCs w:val="24"/>
          <w:highlight w:val="none"/>
        </w:rPr>
        <w:t xml:space="preserve">签订日期：      年  </w:t>
      </w:r>
      <w:r>
        <w:rPr>
          <w:rFonts w:hint="eastAsia"/>
          <w:color w:val="000000"/>
          <w:sz w:val="24"/>
          <w:szCs w:val="24"/>
          <w:highlight w:val="none"/>
        </w:rPr>
        <w:t xml:space="preserve">  </w:t>
      </w:r>
      <w:r>
        <w:rPr>
          <w:color w:val="000000"/>
          <w:sz w:val="24"/>
          <w:szCs w:val="24"/>
          <w:highlight w:val="none"/>
        </w:rPr>
        <w:t xml:space="preserve">月  </w:t>
      </w:r>
      <w:r>
        <w:rPr>
          <w:rFonts w:hint="eastAsia"/>
          <w:color w:val="000000"/>
          <w:sz w:val="24"/>
          <w:szCs w:val="24"/>
          <w:highlight w:val="none"/>
        </w:rPr>
        <w:t xml:space="preserve"> </w:t>
      </w:r>
      <w:r>
        <w:rPr>
          <w:color w:val="000000"/>
          <w:sz w:val="24"/>
          <w:szCs w:val="24"/>
          <w:highlight w:val="none"/>
        </w:rPr>
        <w:t xml:space="preserve">日</w:t>
      </w:r>
      <w:r>
        <w:rPr>
          <w:color w:val="000000"/>
          <w:sz w:val="24"/>
          <w:szCs w:val="24"/>
          <w:highlight w:val="none"/>
        </w:rPr>
      </w:r>
      <w:r/>
    </w:p>
    <w:p>
      <w:pPr>
        <w:pStyle w:val="883"/>
        <w:jc w:val="center"/>
        <w:spacing w:line="500" w:lineRule="exact"/>
        <w:tabs>
          <w:tab w:val="left" w:pos="1440" w:leader="none"/>
        </w:tabs>
        <w:rPr>
          <w:rFonts w:hint="eastAsia" w:ascii="黑体" w:hAnsi="黑体" w:eastAsia="黑体"/>
          <w:color w:val="000000"/>
          <w:sz w:val="36"/>
          <w:szCs w:val="36"/>
          <w:highlight w:val="none"/>
        </w:rPr>
        <w:outlineLvl w:val="0"/>
      </w:pPr>
      <w:r>
        <w:rPr>
          <w:color w:val="000000"/>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color w:val="000000"/>
          <w:sz w:val="36"/>
          <w:szCs w:val="36"/>
          <w:highlight w:val="none"/>
        </w:rPr>
        <w:t xml:space="preserve">第</w:t>
      </w:r>
      <w:bookmarkEnd w:id="185"/>
      <w:r>
        <w:rPr>
          <w:rFonts w:hint="eastAsia" w:ascii="黑体" w:hAnsi="黑体" w:eastAsia="黑体"/>
          <w:color w:val="000000"/>
          <w:sz w:val="36"/>
          <w:szCs w:val="36"/>
          <w:highlight w:val="none"/>
        </w:rPr>
        <w:t xml:space="preserve">四章 采购需求</w:t>
      </w:r>
      <w:bookmarkEnd w:id="186"/>
      <w:r/>
      <w:bookmarkEnd w:id="187"/>
      <w:r/>
      <w:bookmarkEnd w:id="188"/>
      <w:r>
        <w:rPr>
          <w:rFonts w:hint="eastAsia" w:ascii="黑体" w:hAnsi="黑体" w:eastAsia="黑体"/>
          <w:color w:val="000000"/>
          <w:sz w:val="36"/>
          <w:szCs w:val="36"/>
          <w:highlight w:val="none"/>
        </w:rPr>
      </w:r>
      <w:r/>
    </w:p>
    <w:p>
      <w:pPr>
        <w:pStyle w:val="883"/>
        <w:ind w:firstLine="480"/>
        <w:jc w:val="left"/>
        <w:spacing w:line="360" w:lineRule="auto"/>
        <w:rPr>
          <w:rFonts w:hint="eastAsia" w:ascii="黑体" w:hAnsi="黑体" w:eastAsia="黑体"/>
          <w:color w:val="000000"/>
          <w:sz w:val="30"/>
          <w:szCs w:val="30"/>
          <w:highlight w:val="none"/>
        </w:rPr>
      </w:pPr>
      <w:r/>
      <w:bookmarkStart w:id="191" w:name="_Toc26554093"/>
      <w:r/>
      <w:bookmarkStart w:id="192" w:name="_Toc49090575"/>
      <w:r>
        <w:rPr>
          <w:rFonts w:hint="eastAsia" w:ascii="宋体" w:hAnsi="宋体"/>
          <w:color w:val="000000"/>
          <w:sz w:val="24"/>
          <w:szCs w:val="24"/>
          <w:highlight w:val="none"/>
        </w:rPr>
        <w:t xml:space="preserve">投标人所投</w:t>
      </w:r>
      <w:r>
        <w:rPr>
          <w:rFonts w:hint="eastAsia" w:ascii="宋体" w:hAnsi="宋体"/>
          <w:color w:val="000000"/>
          <w:sz w:val="24"/>
          <w:szCs w:val="24"/>
          <w:highlight w:val="none"/>
        </w:rPr>
        <w:t xml:space="preserve">内容必须满足以下要求，不得有负偏离。</w:t>
      </w:r>
      <w:r>
        <w:rPr>
          <w:rFonts w:hint="eastAsia" w:ascii="黑体" w:hAnsi="黑体" w:eastAsia="黑体"/>
          <w:color w:val="000000"/>
          <w:sz w:val="30"/>
          <w:szCs w:val="30"/>
          <w:highlight w:val="none"/>
        </w:rPr>
      </w:r>
      <w:r/>
    </w:p>
    <w:p>
      <w:pPr>
        <w:pStyle w:val="883"/>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本项目属性：服务类项目</w:t>
      </w:r>
      <w:r>
        <w:rPr>
          <w:rFonts w:hint="eastAsia" w:ascii="宋体" w:hAnsi="宋体"/>
          <w:b/>
          <w:color w:val="000000"/>
          <w:sz w:val="24"/>
          <w:szCs w:val="24"/>
          <w:highlight w:val="none"/>
        </w:rPr>
      </w:r>
      <w:r/>
    </w:p>
    <w:p>
      <w:pPr>
        <w:pStyle w:val="883"/>
        <w:ind w:firstLine="480"/>
        <w:spacing w:line="360" w:lineRule="auto"/>
        <w:rPr>
          <w:rFonts w:hint="eastAsia" w:ascii="宋体" w:hAnsi="宋体"/>
          <w:i/>
          <w:color w:val="000000"/>
          <w:sz w:val="24"/>
          <w:szCs w:val="24"/>
          <w:highlight w:val="none"/>
        </w:rPr>
      </w:pPr>
      <w:r>
        <w:rPr>
          <w:rFonts w:hint="eastAsia" w:ascii="宋体" w:hAnsi="宋体"/>
          <w:bCs/>
          <w:color w:val="000000"/>
          <w:sz w:val="24"/>
          <w:szCs w:val="24"/>
          <w:highlight w:val="none"/>
        </w:rPr>
        <w:t xml:space="preserve">本项目标的物所属行业：软件和信息技术服务业</w:t>
      </w:r>
      <w:r>
        <w:rPr>
          <w:rFonts w:hint="eastAsia" w:ascii="宋体" w:hAnsi="宋体"/>
          <w:i/>
          <w:color w:val="000000"/>
          <w:sz w:val="24"/>
          <w:szCs w:val="24"/>
          <w:highlight w:val="none"/>
        </w:rPr>
      </w:r>
      <w:r/>
    </w:p>
    <w:p>
      <w:pPr>
        <w:pStyle w:val="883"/>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hint="eastAsia" w:ascii="宋体" w:hAnsi="宋体"/>
          <w:b/>
          <w:color w:val="000000"/>
          <w:sz w:val="30"/>
          <w:szCs w:val="30"/>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一、建设目标</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36"/>
          <w:highlight w:val="none"/>
        </w:rPr>
      </w:pPr>
      <w:r>
        <w:rPr>
          <w:rFonts w:ascii="仿宋" w:hAnsi="仿宋" w:eastAsia="仿宋"/>
          <w:color w:val="000000"/>
          <w:sz w:val="28"/>
          <w:szCs w:val="36"/>
          <w:highlight w:val="none"/>
        </w:rPr>
        <w:t xml:space="preserve">本项目旨在建设“智慧住建</w:t>
      </w:r>
      <w:r>
        <w:rPr>
          <w:rFonts w:hint="eastAsia" w:ascii="仿宋" w:hAnsi="仿宋" w:eastAsia="仿宋"/>
          <w:color w:val="000000"/>
          <w:sz w:val="28"/>
          <w:szCs w:val="36"/>
          <w:highlight w:val="none"/>
        </w:rPr>
        <w:t xml:space="preserve">（</w:t>
      </w:r>
      <w:r>
        <w:rPr>
          <w:rFonts w:ascii="仿宋" w:hAnsi="仿宋" w:eastAsia="仿宋"/>
          <w:color w:val="000000"/>
          <w:sz w:val="28"/>
          <w:szCs w:val="36"/>
          <w:highlight w:val="none"/>
        </w:rPr>
        <w:t xml:space="preserve">二期</w:t>
      </w:r>
      <w:r>
        <w:rPr>
          <w:rFonts w:hint="eastAsia" w:ascii="仿宋" w:hAnsi="仿宋" w:eastAsia="仿宋"/>
          <w:color w:val="000000"/>
          <w:sz w:val="28"/>
          <w:szCs w:val="36"/>
          <w:highlight w:val="none"/>
        </w:rPr>
        <w:t xml:space="preserve">）</w:t>
      </w:r>
      <w:r>
        <w:rPr>
          <w:rFonts w:ascii="仿宋" w:hAnsi="仿宋" w:eastAsia="仿宋"/>
          <w:color w:val="000000"/>
          <w:sz w:val="28"/>
          <w:szCs w:val="36"/>
          <w:highlight w:val="none"/>
        </w:rPr>
        <w:t xml:space="preserve">”，聚焦信创改造、招投标监管、BIM审查升级及契税补贴管理四大方向。一是完成智慧住建业务平台等三大子系统在信创环境的适配改造，实现核心技术自主可控，强化网络与数据安全。二是构建招投标活动监管子系统，运用大数据技术加强交易监测分析，提升监管效能，优化营商环境。三是升级BIM施工图智能审查系统，对接工改3.0标准，拓展城市更新审查、电子发票管理等功能，提升审查效率与协同管理能力。四是新增“卖旧买新”契税补贴资格管理模块，落实本市商品房支持政策。通过以上举措，全面提升住建领域数字化监管与服务能力。</w:t>
      </w:r>
      <w:r>
        <w:rPr>
          <w:rFonts w:hint="eastAsia" w:ascii="仿宋" w:hAnsi="仿宋" w:eastAsia="仿宋"/>
          <w:color w:val="000000"/>
          <w:sz w:val="28"/>
          <w:szCs w:val="36"/>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二、建设内容</w:t>
      </w:r>
      <w:r>
        <w:rPr>
          <w:rFonts w:hint="eastAsia" w:ascii="仿宋" w:hAnsi="仿宋" w:eastAsia="仿宋"/>
          <w:b/>
          <w:bCs/>
          <w:color w:val="000000"/>
          <w:sz w:val="28"/>
          <w:szCs w:val="36"/>
          <w:highlight w:val="none"/>
        </w:rPr>
      </w:r>
      <w:r/>
    </w:p>
    <w:p>
      <w:pPr>
        <w:pStyle w:val="883"/>
        <w:ind w:firstLine="560"/>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t xml:space="preserve">本项目建设内容主要包括四个方面：一是完成智慧住建业务平台、建筑工地智慧监管子系统、无锡市城市基础设施配套费征收管理子系统</w:t>
      </w:r>
      <w:r>
        <w:rPr>
          <w:rFonts w:hint="eastAsia" w:ascii="仿宋" w:hAnsi="仿宋" w:eastAsia="仿宋" w:cs="仿宋"/>
          <w:color w:val="000000"/>
          <w:sz w:val="28"/>
          <w:szCs w:val="28"/>
          <w:highlight w:val="none"/>
        </w:rPr>
        <w:t xml:space="preserve">等3个现有系统</w:t>
      </w:r>
      <w:r>
        <w:rPr>
          <w:rFonts w:ascii="仿宋" w:hAnsi="仿宋" w:eastAsia="仿宋" w:cs="仿宋"/>
          <w:color w:val="000000"/>
          <w:sz w:val="28"/>
          <w:szCs w:val="28"/>
          <w:highlight w:val="none"/>
        </w:rPr>
        <w:t xml:space="preserve">的信创适配</w:t>
      </w:r>
      <w:r>
        <w:rPr>
          <w:rFonts w:hint="eastAsia" w:ascii="仿宋" w:hAnsi="仿宋" w:eastAsia="仿宋" w:cs="仿宋"/>
          <w:color w:val="000000"/>
          <w:sz w:val="28"/>
          <w:szCs w:val="28"/>
          <w:highlight w:val="none"/>
        </w:rPr>
        <w:t xml:space="preserve">改造</w:t>
      </w: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以及存量数据迁移</w:t>
      </w:r>
      <w:r>
        <w:rPr>
          <w:rFonts w:ascii="仿宋" w:hAnsi="仿宋" w:eastAsia="仿宋" w:cs="仿宋"/>
          <w:color w:val="000000"/>
          <w:sz w:val="28"/>
          <w:szCs w:val="28"/>
          <w:highlight w:val="none"/>
        </w:rPr>
        <w:t xml:space="preserve">。二是建设招投标活动监管子系统，深度融合现有</w:t>
      </w:r>
      <w:r>
        <w:rPr>
          <w:rFonts w:hint="eastAsia" w:ascii="仿宋" w:hAnsi="仿宋" w:eastAsia="仿宋" w:cs="仿宋"/>
          <w:color w:val="000000"/>
          <w:sz w:val="28"/>
          <w:szCs w:val="28"/>
          <w:highlight w:val="none"/>
        </w:rPr>
        <w:t xml:space="preserve">无锡市建设工程网上招投标系统（以下简称“招投标系统”）及无锡市建筑市场信用管理系统</w:t>
      </w:r>
      <w:r>
        <w:rPr>
          <w:rFonts w:ascii="仿宋" w:hAnsi="仿宋" w:eastAsia="仿宋" w:cs="仿宋"/>
          <w:color w:val="000000"/>
          <w:sz w:val="28"/>
          <w:szCs w:val="28"/>
          <w:highlight w:val="none"/>
        </w:rPr>
        <w:t xml:space="preserve">，开发投标文件特征码雷同分析、市场主体社团分析、智能辅助评标及转包分包大数据分析等功能，强化房屋建设工程招投标全过程监测与分析能力。三是对</w:t>
      </w:r>
      <w:r>
        <w:rPr>
          <w:rFonts w:hint="eastAsia" w:ascii="仿宋" w:hAnsi="仿宋" w:eastAsia="仿宋" w:cs="仿宋"/>
          <w:color w:val="000000"/>
          <w:sz w:val="28"/>
          <w:szCs w:val="28"/>
          <w:highlight w:val="none"/>
        </w:rPr>
        <w:t xml:space="preserve">现有</w:t>
      </w:r>
      <w:r>
        <w:rPr>
          <w:rFonts w:ascii="仿宋" w:hAnsi="仿宋" w:eastAsia="仿宋" w:cs="仿宋"/>
          <w:color w:val="000000"/>
          <w:sz w:val="28"/>
          <w:szCs w:val="28"/>
          <w:highlight w:val="none"/>
        </w:rPr>
        <w:t xml:space="preserve">BIM施工图智能审查子系统进行全面升级，包括建设工单管理、电子发票开具与下载、城市更新审查模块，</w:t>
      </w:r>
      <w:r>
        <w:rPr>
          <w:rFonts w:hint="eastAsia" w:ascii="仿宋" w:hAnsi="仿宋" w:eastAsia="仿宋"/>
          <w:color w:val="000000"/>
          <w:sz w:val="28"/>
          <w:szCs w:val="28"/>
          <w:highlight w:val="none"/>
        </w:rPr>
        <w:t xml:space="preserve">适配工程建设项目审批管理系统数据共享交换标准 3.0，</w:t>
      </w:r>
      <w:r>
        <w:rPr>
          <w:rFonts w:ascii="仿宋" w:hAnsi="仿宋" w:eastAsia="仿宋" w:cs="仿宋"/>
          <w:color w:val="000000"/>
          <w:sz w:val="28"/>
          <w:szCs w:val="28"/>
          <w:highlight w:val="none"/>
        </w:rPr>
        <w:t xml:space="preserve">实现与</w:t>
      </w:r>
      <w:r>
        <w:rPr>
          <w:rFonts w:hint="eastAsia" w:ascii="仿宋" w:hAnsi="仿宋" w:eastAsia="仿宋" w:cs="仿宋"/>
          <w:color w:val="000000"/>
          <w:sz w:val="28"/>
          <w:szCs w:val="28"/>
          <w:highlight w:val="none"/>
        </w:rPr>
        <w:t xml:space="preserve">无锡市数据局</w:t>
      </w:r>
      <w:r>
        <w:rPr>
          <w:rFonts w:ascii="仿宋" w:hAnsi="仿宋" w:eastAsia="仿宋" w:cs="仿宋"/>
          <w:color w:val="000000"/>
          <w:sz w:val="28"/>
          <w:szCs w:val="28"/>
          <w:highlight w:val="none"/>
        </w:rPr>
        <w:t xml:space="preserve">工改系统对接，新增一对一结构化整改回复、跨专业图纸关联变更和全过程图纸版本精细化管理功能。四是在</w:t>
      </w:r>
      <w:r>
        <w:rPr>
          <w:rFonts w:hint="eastAsia" w:ascii="仿宋" w:hAnsi="仿宋" w:eastAsia="仿宋" w:cs="仿宋"/>
          <w:color w:val="000000"/>
          <w:sz w:val="28"/>
          <w:szCs w:val="28"/>
          <w:highlight w:val="none"/>
        </w:rPr>
        <w:t xml:space="preserve">现有</w:t>
      </w:r>
      <w:r>
        <w:rPr>
          <w:rFonts w:ascii="仿宋" w:hAnsi="仿宋" w:eastAsia="仿宋" w:cs="仿宋"/>
          <w:color w:val="000000"/>
          <w:sz w:val="28"/>
          <w:szCs w:val="28"/>
          <w:highlight w:val="none"/>
        </w:rPr>
        <w:t xml:space="preserve">商品房备案子系统中开发“卖旧买新”契税补贴资格管理模块，涵盖存量房与商品房信息管理、家庭成员认定、补贴申请审核、发放管理及撤销等功能，实现契税补贴政策全流程线上办理与管理。</w:t>
      </w:r>
      <w:r>
        <w:rPr>
          <w:rFonts w:ascii="仿宋" w:hAnsi="仿宋" w:eastAsia="仿宋" w:cs="仿宋"/>
          <w:color w:val="000000"/>
          <w:sz w:val="28"/>
          <w:szCs w:val="28"/>
          <w:highlight w:val="none"/>
        </w:rPr>
      </w:r>
      <w:r/>
    </w:p>
    <w:p>
      <w:pPr>
        <w:pStyle w:val="883"/>
        <w:ind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采购清单包括：</w:t>
      </w:r>
      <w:r>
        <w:rPr>
          <w:rFonts w:ascii="仿宋" w:hAnsi="仿宋" w:eastAsia="仿宋" w:cs="仿宋"/>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544"/>
        <w:gridCol w:w="1140"/>
        <w:gridCol w:w="1834"/>
        <w:gridCol w:w="1834"/>
      </w:tblGrid>
      <w:tr>
        <w:trPr/>
        <w:tc>
          <w:tcPr>
            <w:tcW w:w="817"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354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标的名称</w:t>
            </w:r>
            <w:r>
              <w:rPr>
                <w:rFonts w:hint="eastAsia" w:ascii="仿宋" w:hAnsi="仿宋" w:eastAsia="仿宋" w:cs="仿宋"/>
                <w:color w:val="000000"/>
                <w:sz w:val="28"/>
                <w:szCs w:val="28"/>
                <w:highlight w:val="none"/>
              </w:rPr>
            </w:r>
            <w:r/>
          </w:p>
        </w:tc>
        <w:tc>
          <w:tcPr>
            <w:tcW w:w="1140"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所属行业</w:t>
            </w:r>
            <w:r>
              <w:rPr>
                <w:rFonts w:hint="eastAsia" w:ascii="仿宋" w:hAnsi="仿宋" w:eastAsia="仿宋" w:cs="仿宋"/>
                <w:color w:val="000000"/>
                <w:sz w:val="28"/>
                <w:szCs w:val="28"/>
                <w:highlight w:val="none"/>
              </w:rPr>
            </w:r>
            <w:r/>
          </w:p>
        </w:tc>
      </w:tr>
      <w:tr>
        <w:trPr/>
        <w:tc>
          <w:tcPr>
            <w:tcW w:w="817"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354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智慧住建业务平台</w:t>
            </w:r>
            <w:r>
              <w:rPr>
                <w:rFonts w:hint="eastAsia" w:ascii="仿宋" w:hAnsi="仿宋" w:eastAsia="仿宋" w:cs="仿宋"/>
                <w:color w:val="000000"/>
                <w:sz w:val="28"/>
                <w:szCs w:val="28"/>
                <w:highlight w:val="none"/>
              </w:rPr>
              <w:t xml:space="preserve">信创改造</w:t>
            </w:r>
            <w:r>
              <w:rPr>
                <w:rFonts w:hint="eastAsia" w:ascii="仿宋" w:hAnsi="仿宋" w:eastAsia="仿宋" w:cs="仿宋"/>
                <w:color w:val="000000"/>
                <w:sz w:val="28"/>
                <w:szCs w:val="28"/>
                <w:highlight w:val="none"/>
              </w:rPr>
            </w:r>
            <w:r/>
          </w:p>
        </w:tc>
        <w:tc>
          <w:tcPr>
            <w:tcW w:w="1140"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883"/>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软件和</w:t>
            </w:r>
            <w:r>
              <w:rPr>
                <w:rFonts w:hint="eastAsia" w:ascii="仿宋" w:hAnsi="仿宋" w:eastAsia="仿宋" w:cs="仿宋"/>
                <w:color w:val="000000"/>
                <w:sz w:val="28"/>
                <w:szCs w:val="28"/>
                <w:highlight w:val="none"/>
              </w:rPr>
              <w:t xml:space="preserve">信息技术</w:t>
            </w:r>
            <w:r>
              <w:rPr>
                <w:rFonts w:hint="eastAsia" w:ascii="仿宋" w:hAnsi="仿宋" w:eastAsia="仿宋" w:cs="仿宋"/>
                <w:color w:val="000000"/>
                <w:sz w:val="28"/>
                <w:szCs w:val="28"/>
                <w:highlight w:val="none"/>
                <w:lang w:val="en-US" w:eastAsia="zh-CN"/>
              </w:rPr>
              <w:t xml:space="preserve">服务业</w:t>
            </w:r>
            <w:r>
              <w:rPr>
                <w:rFonts w:hint="eastAsia" w:ascii="仿宋" w:hAnsi="仿宋" w:eastAsia="仿宋" w:cs="仿宋"/>
                <w:color w:val="000000"/>
                <w:sz w:val="28"/>
                <w:szCs w:val="28"/>
                <w:highlight w:val="none"/>
                <w:lang w:val="en-US" w:eastAsia="zh-CN"/>
              </w:rPr>
            </w:r>
            <w:r/>
          </w:p>
        </w:tc>
      </w:tr>
      <w:tr>
        <w:trPr/>
        <w:tc>
          <w:tcPr>
            <w:tcW w:w="817"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W w:w="354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建筑工地智慧监管子系统</w:t>
            </w:r>
            <w:r>
              <w:rPr>
                <w:rFonts w:hint="eastAsia" w:ascii="仿宋" w:hAnsi="仿宋" w:eastAsia="仿宋" w:cs="仿宋"/>
                <w:color w:val="000000"/>
                <w:sz w:val="28"/>
                <w:szCs w:val="28"/>
                <w:highlight w:val="none"/>
              </w:rPr>
              <w:t xml:space="preserve">信创改造</w:t>
            </w:r>
            <w:r>
              <w:rPr>
                <w:rFonts w:hint="eastAsia" w:ascii="仿宋" w:hAnsi="仿宋" w:eastAsia="仿宋" w:cs="仿宋"/>
                <w:color w:val="000000"/>
                <w:sz w:val="28"/>
                <w:szCs w:val="28"/>
                <w:highlight w:val="none"/>
              </w:rPr>
            </w:r>
            <w:r/>
          </w:p>
        </w:tc>
        <w:tc>
          <w:tcPr>
            <w:tcW w:w="1140"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软件和</w:t>
            </w:r>
            <w:r>
              <w:rPr>
                <w:rFonts w:hint="eastAsia" w:ascii="仿宋" w:hAnsi="仿宋" w:eastAsia="仿宋" w:cs="仿宋"/>
                <w:color w:val="000000"/>
                <w:sz w:val="28"/>
                <w:szCs w:val="28"/>
                <w:highlight w:val="none"/>
              </w:rPr>
              <w:t xml:space="preserve">信息技术</w:t>
            </w:r>
            <w:r>
              <w:rPr>
                <w:rFonts w:hint="eastAsia" w:ascii="仿宋" w:hAnsi="仿宋" w:eastAsia="仿宋" w:cs="仿宋"/>
                <w:color w:val="000000"/>
                <w:sz w:val="28"/>
                <w:szCs w:val="28"/>
                <w:highlight w:val="none"/>
                <w:lang w:val="en-US" w:eastAsia="zh-CN"/>
              </w:rPr>
              <w:t xml:space="preserve">服务业</w:t>
            </w:r>
            <w:r>
              <w:rPr>
                <w:rFonts w:hint="eastAsia" w:ascii="仿宋" w:hAnsi="仿宋" w:eastAsia="仿宋" w:cs="仿宋"/>
                <w:color w:val="000000"/>
                <w:sz w:val="28"/>
                <w:szCs w:val="28"/>
                <w:highlight w:val="none"/>
              </w:rPr>
            </w:r>
            <w:r/>
          </w:p>
        </w:tc>
      </w:tr>
      <w:tr>
        <w:trPr/>
        <w:tc>
          <w:tcPr>
            <w:tcW w:w="817"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W w:w="354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无锡市城市基础设施配套费征收管理子系统</w:t>
            </w:r>
            <w:r>
              <w:rPr>
                <w:rFonts w:hint="eastAsia" w:ascii="仿宋" w:hAnsi="仿宋" w:eastAsia="仿宋" w:cs="仿宋"/>
                <w:color w:val="000000"/>
                <w:sz w:val="28"/>
                <w:szCs w:val="28"/>
                <w:highlight w:val="none"/>
              </w:rPr>
              <w:t xml:space="preserve">信创改造</w:t>
            </w:r>
            <w:r>
              <w:rPr>
                <w:rFonts w:hint="eastAsia" w:ascii="仿宋" w:hAnsi="仿宋" w:eastAsia="仿宋" w:cs="仿宋"/>
                <w:color w:val="000000"/>
                <w:sz w:val="28"/>
                <w:szCs w:val="28"/>
                <w:highlight w:val="none"/>
              </w:rPr>
            </w:r>
            <w:r/>
          </w:p>
        </w:tc>
        <w:tc>
          <w:tcPr>
            <w:tcW w:w="1140"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软件和</w:t>
            </w:r>
            <w:r>
              <w:rPr>
                <w:rFonts w:hint="eastAsia" w:ascii="仿宋" w:hAnsi="仿宋" w:eastAsia="仿宋" w:cs="仿宋"/>
                <w:color w:val="000000"/>
                <w:sz w:val="28"/>
                <w:szCs w:val="28"/>
                <w:highlight w:val="none"/>
              </w:rPr>
              <w:t xml:space="preserve">信息技术</w:t>
            </w:r>
            <w:r>
              <w:rPr>
                <w:rFonts w:hint="eastAsia" w:ascii="仿宋" w:hAnsi="仿宋" w:eastAsia="仿宋" w:cs="仿宋"/>
                <w:color w:val="000000"/>
                <w:sz w:val="28"/>
                <w:szCs w:val="28"/>
                <w:highlight w:val="none"/>
                <w:lang w:val="en-US" w:eastAsia="zh-CN"/>
              </w:rPr>
              <w:t xml:space="preserve">服务业</w:t>
            </w:r>
            <w:r>
              <w:rPr>
                <w:rFonts w:hint="eastAsia" w:ascii="仿宋" w:hAnsi="仿宋" w:eastAsia="仿宋" w:cs="仿宋"/>
                <w:color w:val="000000"/>
                <w:sz w:val="28"/>
                <w:szCs w:val="28"/>
                <w:highlight w:val="none"/>
              </w:rPr>
            </w:r>
            <w:r/>
          </w:p>
        </w:tc>
      </w:tr>
      <w:tr>
        <w:trPr/>
        <w:tc>
          <w:tcPr>
            <w:tcW w:w="817"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rPr>
            </w:r>
            <w:r/>
          </w:p>
        </w:tc>
        <w:tc>
          <w:tcPr>
            <w:tcW w:w="354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招投标活动监管子系统</w:t>
            </w:r>
            <w:r>
              <w:rPr>
                <w:rFonts w:hint="eastAsia" w:ascii="仿宋" w:hAnsi="仿宋" w:eastAsia="仿宋" w:cs="仿宋"/>
                <w:color w:val="000000"/>
                <w:sz w:val="28"/>
                <w:szCs w:val="28"/>
                <w:highlight w:val="none"/>
              </w:rPr>
            </w:r>
            <w:r/>
          </w:p>
        </w:tc>
        <w:tc>
          <w:tcPr>
            <w:tcW w:w="1140"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软件和</w:t>
            </w:r>
            <w:r>
              <w:rPr>
                <w:rFonts w:hint="eastAsia" w:ascii="仿宋" w:hAnsi="仿宋" w:eastAsia="仿宋" w:cs="仿宋"/>
                <w:color w:val="000000"/>
                <w:sz w:val="28"/>
                <w:szCs w:val="28"/>
                <w:highlight w:val="none"/>
              </w:rPr>
              <w:t xml:space="preserve">信息技术</w:t>
            </w:r>
            <w:r>
              <w:rPr>
                <w:rFonts w:hint="eastAsia" w:ascii="仿宋" w:hAnsi="仿宋" w:eastAsia="仿宋" w:cs="仿宋"/>
                <w:color w:val="000000"/>
                <w:sz w:val="28"/>
                <w:szCs w:val="28"/>
                <w:highlight w:val="none"/>
                <w:lang w:val="en-US" w:eastAsia="zh-CN"/>
              </w:rPr>
              <w:t xml:space="preserve">服务业</w:t>
            </w:r>
            <w:r>
              <w:rPr>
                <w:rFonts w:hint="eastAsia" w:ascii="仿宋" w:hAnsi="仿宋" w:eastAsia="仿宋" w:cs="仿宋"/>
                <w:color w:val="000000"/>
                <w:sz w:val="28"/>
                <w:szCs w:val="28"/>
                <w:highlight w:val="none"/>
              </w:rPr>
            </w:r>
            <w:r/>
          </w:p>
        </w:tc>
      </w:tr>
      <w:tr>
        <w:trPr/>
        <w:tc>
          <w:tcPr>
            <w:tcW w:w="817"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r>
            <w:r/>
          </w:p>
        </w:tc>
        <w:tc>
          <w:tcPr>
            <w:tcW w:w="354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BIM施工图智能审查子系统</w:t>
            </w:r>
            <w:r>
              <w:rPr>
                <w:rFonts w:hint="eastAsia" w:ascii="仿宋" w:hAnsi="仿宋" w:eastAsia="仿宋" w:cs="仿宋"/>
                <w:color w:val="000000"/>
                <w:sz w:val="28"/>
                <w:szCs w:val="28"/>
                <w:highlight w:val="none"/>
              </w:rPr>
              <w:t xml:space="preserve">升级</w:t>
            </w:r>
            <w:r>
              <w:rPr>
                <w:rFonts w:hint="eastAsia" w:ascii="仿宋" w:hAnsi="仿宋" w:eastAsia="仿宋" w:cs="仿宋"/>
                <w:color w:val="000000"/>
                <w:sz w:val="28"/>
                <w:szCs w:val="28"/>
                <w:highlight w:val="none"/>
              </w:rPr>
            </w:r>
            <w:r/>
          </w:p>
        </w:tc>
        <w:tc>
          <w:tcPr>
            <w:tcW w:w="1140"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软件和</w:t>
            </w:r>
            <w:r>
              <w:rPr>
                <w:rFonts w:hint="eastAsia" w:ascii="仿宋" w:hAnsi="仿宋" w:eastAsia="仿宋" w:cs="仿宋"/>
                <w:color w:val="000000"/>
                <w:sz w:val="28"/>
                <w:szCs w:val="28"/>
                <w:highlight w:val="none"/>
              </w:rPr>
              <w:t xml:space="preserve">信息技术</w:t>
            </w:r>
            <w:r>
              <w:rPr>
                <w:rFonts w:hint="eastAsia" w:ascii="仿宋" w:hAnsi="仿宋" w:eastAsia="仿宋" w:cs="仿宋"/>
                <w:color w:val="000000"/>
                <w:sz w:val="28"/>
                <w:szCs w:val="28"/>
                <w:highlight w:val="none"/>
                <w:lang w:val="en-US" w:eastAsia="zh-CN"/>
              </w:rPr>
              <w:t xml:space="preserve">服务业</w:t>
            </w:r>
            <w:r>
              <w:rPr>
                <w:rFonts w:hint="eastAsia" w:ascii="仿宋" w:hAnsi="仿宋" w:eastAsia="仿宋" w:cs="仿宋"/>
                <w:color w:val="000000"/>
                <w:sz w:val="28"/>
                <w:szCs w:val="28"/>
                <w:highlight w:val="none"/>
              </w:rPr>
            </w:r>
            <w:r/>
          </w:p>
        </w:tc>
      </w:tr>
      <w:tr>
        <w:trPr/>
        <w:tc>
          <w:tcPr>
            <w:tcW w:w="817"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rPr>
            </w:r>
            <w:r/>
          </w:p>
        </w:tc>
        <w:tc>
          <w:tcPr>
            <w:tcW w:w="3544" w:type="dxa"/>
            <w:vAlign w:val="top"/>
            <w:textDirection w:val="lrTb"/>
            <w:noWrap w:val="false"/>
          </w:tcPr>
          <w:p>
            <w:pPr>
              <w:pStyle w:val="883"/>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t xml:space="preserve">商品房备案子系统</w:t>
            </w:r>
            <w:r>
              <w:rPr>
                <w:rFonts w:hint="eastAsia" w:ascii="仿宋" w:hAnsi="仿宋" w:eastAsia="仿宋" w:cs="仿宋"/>
                <w:color w:val="000000"/>
                <w:sz w:val="28"/>
                <w:szCs w:val="28"/>
                <w:highlight w:val="none"/>
              </w:rPr>
              <w:t xml:space="preserve">升级</w:t>
            </w:r>
            <w:r>
              <w:rPr>
                <w:rFonts w:ascii="仿宋" w:hAnsi="仿宋" w:eastAsia="仿宋" w:cs="仿宋"/>
                <w:color w:val="000000"/>
                <w:sz w:val="28"/>
                <w:szCs w:val="28"/>
                <w:highlight w:val="none"/>
              </w:rPr>
            </w:r>
            <w:r/>
          </w:p>
        </w:tc>
        <w:tc>
          <w:tcPr>
            <w:tcW w:w="1140"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软件和</w:t>
            </w:r>
            <w:r>
              <w:rPr>
                <w:rFonts w:hint="eastAsia" w:ascii="仿宋" w:hAnsi="仿宋" w:eastAsia="仿宋" w:cs="仿宋"/>
                <w:color w:val="000000"/>
                <w:sz w:val="28"/>
                <w:szCs w:val="28"/>
                <w:highlight w:val="none"/>
              </w:rPr>
              <w:t xml:space="preserve">信息技术</w:t>
            </w:r>
            <w:r>
              <w:rPr>
                <w:rFonts w:hint="eastAsia" w:ascii="仿宋" w:hAnsi="仿宋" w:eastAsia="仿宋" w:cs="仿宋"/>
                <w:color w:val="000000"/>
                <w:sz w:val="28"/>
                <w:szCs w:val="28"/>
                <w:highlight w:val="none"/>
                <w:lang w:val="en-US" w:eastAsia="zh-CN"/>
              </w:rPr>
              <w:t xml:space="preserve">服务业</w:t>
            </w:r>
            <w:r>
              <w:rPr>
                <w:rFonts w:hint="eastAsia" w:ascii="仿宋" w:hAnsi="仿宋" w:eastAsia="仿宋" w:cs="仿宋"/>
                <w:color w:val="000000"/>
                <w:sz w:val="28"/>
                <w:szCs w:val="28"/>
                <w:highlight w:val="none"/>
              </w:rPr>
            </w:r>
            <w:r/>
          </w:p>
        </w:tc>
      </w:tr>
    </w:tbl>
    <w:p>
      <w:pPr>
        <w:pStyle w:val="88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2.1智慧住建业务平台信创改造</w:t>
      </w:r>
      <w:r>
        <w:rPr>
          <w:rFonts w:hint="eastAsia" w:ascii="仿宋" w:hAnsi="仿宋" w:eastAsia="仿宋"/>
          <w:b/>
          <w:bCs/>
          <w:color w:val="000000"/>
          <w:sz w:val="28"/>
          <w:szCs w:val="36"/>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2.1.1操作系统替换与适配 </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智慧住建业务平台</w:t>
      </w:r>
      <w:r>
        <w:rPr>
          <w:rFonts w:hint="eastAsia" w:ascii="仿宋" w:hAnsi="仿宋" w:eastAsia="仿宋"/>
          <w:color w:val="000000"/>
          <w:sz w:val="28"/>
          <w:szCs w:val="28"/>
          <w:highlight w:val="none"/>
        </w:rPr>
        <w:t xml:space="preserve">现部署于5台服务器上</w:t>
      </w:r>
      <w:r>
        <w:rPr>
          <w:rFonts w:hint="eastAsia" w:ascii="仿宋" w:hAnsi="仿宋" w:eastAsia="仿宋"/>
          <w:color w:val="000000"/>
          <w:sz w:val="28"/>
          <w:szCs w:val="28"/>
          <w:highlight w:val="none"/>
        </w:rPr>
        <w:t xml:space="preserve">（应用服务器2台,</w:t>
      </w:r>
      <w:r>
        <w:rPr>
          <w:rFonts w:hint="eastAsia" w:ascii="仿宋" w:hAnsi="仿宋" w:eastAsia="仿宋" w:cs="宋体"/>
          <w:color w:val="000000"/>
          <w:sz w:val="28"/>
          <w:szCs w:val="28"/>
          <w:highlight w:val="none"/>
        </w:rPr>
        <w:t xml:space="preserve">反向代理服务器1台，数据库服务器1台，文件服务器1台），</w:t>
      </w:r>
      <w:r>
        <w:rPr>
          <w:rFonts w:hint="eastAsia" w:ascii="仿宋" w:hAnsi="仿宋" w:eastAsia="仿宋" w:cs="宋体"/>
          <w:color w:val="000000"/>
          <w:sz w:val="28"/>
          <w:szCs w:val="28"/>
          <w:highlight w:val="none"/>
        </w:rPr>
        <w:t xml:space="preserve">均使用</w:t>
      </w:r>
      <w:r>
        <w:rPr>
          <w:rFonts w:hint="eastAsia" w:ascii="仿宋" w:hAnsi="仿宋" w:eastAsia="仿宋" w:cs="宋体"/>
          <w:color w:val="000000"/>
          <w:sz w:val="28"/>
          <w:szCs w:val="28"/>
          <w:highlight w:val="none"/>
        </w:rPr>
        <w:t xml:space="preserve">Windows Server 2012操作系统，计划替换为国产操作系统，</w:t>
      </w:r>
      <w:r>
        <w:rPr>
          <w:rFonts w:ascii="仿宋" w:hAnsi="仿宋" w:eastAsia="仿宋" w:cs="宋体"/>
          <w:color w:val="000000"/>
          <w:sz w:val="28"/>
          <w:szCs w:val="28"/>
          <w:highlight w:val="none"/>
        </w:rPr>
        <w:t xml:space="preserve">具体型号以合同为准</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rPr>
      </w:r>
      <w:r/>
    </w:p>
    <w:p>
      <w:pPr>
        <w:pStyle w:val="883"/>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目标云主机资源及操作系统由采购单位提供，</w:t>
      </w:r>
      <w:r>
        <w:rPr>
          <w:rFonts w:ascii="仿宋" w:hAnsi="仿宋" w:eastAsia="仿宋" w:cs="宋体"/>
          <w:color w:val="000000"/>
          <w:sz w:val="28"/>
          <w:szCs w:val="28"/>
          <w:highlight w:val="none"/>
        </w:rPr>
        <w:t xml:space="preserve">本项目仅承担操作系统替换适配、应用系统适配</w:t>
      </w:r>
      <w:r>
        <w:rPr>
          <w:rFonts w:hint="eastAsia" w:ascii="仿宋" w:hAnsi="仿宋" w:eastAsia="仿宋" w:cs="宋体"/>
          <w:color w:val="000000"/>
          <w:sz w:val="28"/>
          <w:szCs w:val="28"/>
          <w:highlight w:val="none"/>
        </w:rPr>
        <w:t xml:space="preserve">和</w:t>
      </w:r>
      <w:r>
        <w:rPr>
          <w:rFonts w:ascii="仿宋" w:hAnsi="仿宋" w:eastAsia="仿宋" w:cs="宋体"/>
          <w:color w:val="000000"/>
          <w:sz w:val="28"/>
          <w:szCs w:val="28"/>
          <w:highlight w:val="none"/>
        </w:rPr>
        <w:t xml:space="preserve">迁移</w:t>
      </w:r>
      <w:r>
        <w:rPr>
          <w:rFonts w:hint="eastAsia" w:ascii="仿宋" w:hAnsi="仿宋" w:eastAsia="仿宋" w:cs="宋体"/>
          <w:color w:val="000000"/>
          <w:sz w:val="28"/>
          <w:szCs w:val="28"/>
          <w:highlight w:val="none"/>
        </w:rPr>
        <w:t xml:space="preserve">、</w:t>
      </w:r>
      <w:r>
        <w:rPr>
          <w:rFonts w:ascii="仿宋" w:hAnsi="仿宋" w:eastAsia="仿宋" w:cs="宋体"/>
          <w:color w:val="000000"/>
          <w:sz w:val="28"/>
          <w:szCs w:val="28"/>
          <w:highlight w:val="none"/>
        </w:rPr>
        <w:t xml:space="preserve">业务验证工作</w:t>
      </w:r>
      <w:r>
        <w:rPr>
          <w:rFonts w:hint="eastAsia" w:ascii="仿宋" w:hAnsi="仿宋" w:eastAsia="仿宋" w:cs="宋体"/>
          <w:color w:val="000000"/>
          <w:sz w:val="28"/>
          <w:szCs w:val="28"/>
          <w:highlight w:val="none"/>
        </w:rPr>
        <w:t xml:space="preserve">，不涉及云资源及操作系统采购</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rPr>
      </w:r>
      <w:r/>
    </w:p>
    <w:p>
      <w:pPr>
        <w:pStyle w:val="883"/>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（1）系统环境适配</w:t>
      </w:r>
      <w:r>
        <w:rPr>
          <w:rFonts w:hint="eastAsia" w:ascii="仿宋" w:hAnsi="仿宋" w:eastAsia="仿宋"/>
          <w:b/>
          <w:bCs/>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将Windows环境下的服务配置、启动脚本、权限管理等迁移至麒麟操作系统，需重构服务管理机制。</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（2）文件系统调整</w:t>
      </w:r>
      <w:r>
        <w:rPr>
          <w:rFonts w:hint="eastAsia" w:ascii="仿宋" w:hAnsi="仿宋" w:eastAsia="仿宋"/>
          <w:b/>
          <w:bCs/>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路径分隔符、文件权限、目录结构等适配工作。</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2.1.2数据库迁移</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将智慧住建平台现有MS SQL Server数据库（</w:t>
      </w:r>
      <w:r>
        <w:rPr>
          <w:rFonts w:ascii="仿宋" w:hAnsi="仿宋" w:eastAsia="仿宋"/>
          <w:color w:val="000000"/>
          <w:sz w:val="28"/>
          <w:szCs w:val="28"/>
          <w:highlight w:val="none"/>
        </w:rPr>
        <w:t xml:space="preserve">含两个后台数据库实例，分别是业务数据库和治理数据库</w:t>
      </w:r>
      <w:r>
        <w:rPr>
          <w:rFonts w:hint="eastAsia" w:ascii="仿宋" w:hAnsi="仿宋" w:eastAsia="仿宋"/>
          <w:color w:val="000000"/>
          <w:sz w:val="28"/>
          <w:szCs w:val="28"/>
          <w:highlight w:val="none"/>
        </w:rPr>
        <w:t xml:space="preserve">）迁移到达梦数据库。数据库迁移工作主要包括数据库结构迁移、全量数据迁移、数据一致性验证。</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目标数据库软件由采购单位提供，本项目不涉及数据库采购。</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数据库结构迁移包括（但不限于）：</w:t>
      </w:r>
      <w:r>
        <w:rPr>
          <w:rFonts w:ascii="仿宋" w:hAnsi="仿宋" w:eastAsia="仿宋"/>
          <w:color w:val="000000"/>
          <w:sz w:val="28"/>
          <w:szCs w:val="28"/>
          <w:highlight w:val="none"/>
        </w:rPr>
        <w:t xml:space="preserve">表结构迁移</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索引迁移</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约束迁移</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程序对象迁移</w:t>
      </w:r>
      <w:r>
        <w:rPr>
          <w:rFonts w:hint="eastAsia" w:ascii="仿宋" w:hAnsi="仿宋" w:eastAsia="仿宋"/>
          <w:color w:val="000000"/>
          <w:sz w:val="28"/>
          <w:szCs w:val="28"/>
          <w:highlight w:val="none"/>
        </w:rPr>
        <w:t xml:space="preserve">等，并对结构迁移进行验证。</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全量数据迁移：智慧住建平台设计时因系统内部有大量的数据汇聚和治理，考虑将业务数据和治理数据分别存储为两个数据库实例，数据迁移时也需要对2个数据库实例分别迁移。</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数据一致性验证：</w:t>
      </w:r>
      <w:r>
        <w:rPr>
          <w:rFonts w:ascii="仿宋" w:hAnsi="仿宋" w:eastAsia="仿宋"/>
          <w:color w:val="000000"/>
          <w:sz w:val="28"/>
          <w:szCs w:val="28"/>
          <w:highlight w:val="none"/>
        </w:rPr>
        <w:t xml:space="preserve">迁移完成后，检查达梦数据库中迁移的数据是否与SQL Server数据库中的原始数据一致。</w:t>
      </w:r>
      <w:r>
        <w:rPr>
          <w:rFonts w:hint="eastAsia" w:ascii="仿宋" w:hAnsi="仿宋" w:eastAsia="仿宋"/>
          <w:color w:val="000000"/>
          <w:sz w:val="28"/>
          <w:szCs w:val="28"/>
          <w:highlight w:val="none"/>
        </w:rPr>
        <w:t xml:space="preserve">需</w:t>
      </w:r>
      <w:r>
        <w:rPr>
          <w:rFonts w:ascii="仿宋" w:hAnsi="仿宋" w:eastAsia="仿宋"/>
          <w:color w:val="000000"/>
          <w:sz w:val="28"/>
          <w:szCs w:val="28"/>
          <w:highlight w:val="none"/>
        </w:rPr>
        <w:t xml:space="preserve">建立从基础到业务的全方位数据一致性验证体系，</w:t>
      </w:r>
      <w:r>
        <w:rPr>
          <w:rFonts w:hint="eastAsia" w:ascii="仿宋" w:hAnsi="仿宋" w:eastAsia="仿宋"/>
          <w:color w:val="000000"/>
          <w:sz w:val="28"/>
          <w:szCs w:val="28"/>
          <w:highlight w:val="none"/>
        </w:rPr>
        <w:t xml:space="preserve">对比迁移前后关键表行数、字段值（如用户表、业务流水表），</w:t>
      </w:r>
      <w:r>
        <w:rPr>
          <w:rFonts w:ascii="仿宋" w:hAnsi="仿宋" w:eastAsia="仿宋"/>
          <w:color w:val="000000"/>
          <w:sz w:val="28"/>
          <w:szCs w:val="28"/>
          <w:highlight w:val="none"/>
        </w:rPr>
        <w:t xml:space="preserve">确保迁移数据的完整性和准确性</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highlight w:val="none"/>
        </w:rPr>
        <w:t xml:space="preserve">数据不一致分类处理方案</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针对</w:t>
      </w:r>
      <w:r>
        <w:rPr>
          <w:rFonts w:hint="eastAsia" w:ascii="仿宋" w:hAnsi="仿宋" w:eastAsia="仿宋"/>
          <w:color w:val="000000"/>
          <w:sz w:val="28"/>
          <w:szCs w:val="28"/>
          <w:highlight w:val="none"/>
        </w:rPr>
        <w:t xml:space="preserve">数据迁移可能存在</w:t>
      </w:r>
      <w:r>
        <w:rPr>
          <w:rFonts w:ascii="仿宋" w:hAnsi="仿宋" w:eastAsia="仿宋"/>
          <w:color w:val="000000"/>
          <w:sz w:val="28"/>
          <w:szCs w:val="28"/>
          <w:highlight w:val="none"/>
        </w:rPr>
        <w:t xml:space="preserve">不同类型的不一致问题，制定分级处理策略，确保问题快速有效解决</w:t>
      </w:r>
      <w:r>
        <w:rPr>
          <w:rFonts w:hint="eastAsia" w:ascii="仿宋" w:hAnsi="仿宋" w:eastAsia="仿宋"/>
          <w:color w:val="000000"/>
          <w:sz w:val="28"/>
          <w:szCs w:val="28"/>
          <w:highlight w:val="none"/>
        </w:rPr>
        <w:t xml:space="preserve">，制定完备的</w:t>
      </w:r>
      <w:r>
        <w:rPr>
          <w:rFonts w:ascii="仿宋" w:hAnsi="仿宋" w:eastAsia="仿宋"/>
          <w:color w:val="000000"/>
          <w:sz w:val="28"/>
          <w:szCs w:val="28"/>
          <w:highlight w:val="none"/>
        </w:rPr>
        <w:t xml:space="preserve">应急处理</w:t>
      </w:r>
      <w:r>
        <w:rPr>
          <w:rFonts w:hint="eastAsia" w:ascii="仿宋" w:hAnsi="仿宋" w:eastAsia="仿宋"/>
          <w:color w:val="000000"/>
          <w:sz w:val="28"/>
          <w:szCs w:val="28"/>
          <w:highlight w:val="none"/>
        </w:rPr>
        <w:t xml:space="preserve">方案。</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具体迁移计划：</w:t>
      </w:r>
      <w:r>
        <w:rPr>
          <w:rFonts w:ascii="仿宋" w:hAnsi="仿宋" w:eastAsia="仿宋"/>
          <w:color w:val="000000"/>
          <w:sz w:val="28"/>
          <w:szCs w:val="28"/>
          <w:highlight w:val="none"/>
        </w:rPr>
        <w:t xml:space="preserve">基于政务系统</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特点，制定详细的迁移时间计划</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2.1.3 应用系统适配</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基于现有智慧住建系统源代码（Java B/S架构）进行适配改造，包括但不限于：</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SQL 语句适配：</w:t>
      </w:r>
      <w:r>
        <w:rPr>
          <w:rFonts w:hint="eastAsia" w:ascii="仿宋" w:hAnsi="仿宋" w:eastAsia="仿宋"/>
          <w:color w:val="000000"/>
          <w:sz w:val="28"/>
          <w:szCs w:val="28"/>
          <w:highlight w:val="none"/>
        </w:rPr>
        <w:t xml:space="preserve">按照达梦数据库的语法，对ORM框架及原生SQL进行相应适配修改。</w:t>
      </w:r>
      <w:r>
        <w:rPr>
          <w:rFonts w:hint="eastAsia" w:ascii="仿宋" w:hAnsi="仿宋" w:eastAsia="仿宋"/>
          <w:b/>
          <w:bCs/>
          <w:color w:val="000000"/>
          <w:sz w:val="28"/>
          <w:szCs w:val="28"/>
          <w:highlight w:val="none"/>
        </w:rPr>
      </w:r>
      <w:r/>
    </w:p>
    <w:p>
      <w:pPr>
        <w:pStyle w:val="883"/>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跨平台适配：</w:t>
      </w:r>
      <w:r>
        <w:rPr>
          <w:rFonts w:hint="eastAsia" w:ascii="仿宋" w:hAnsi="仿宋" w:eastAsia="仿宋"/>
          <w:color w:val="000000"/>
          <w:sz w:val="28"/>
          <w:szCs w:val="28"/>
          <w:highlight w:val="none"/>
        </w:rPr>
        <w:t xml:space="preserve">文件路径修改、操作系统命令适配等。替换或重新编译依赖的依赖库、第三方工具：确保与迁移的目标操作系统兼容；检查并修改Windows平台特有API调用，确保Java应用在适配环境下正常运行。</w:t>
      </w:r>
      <w:r>
        <w:rPr>
          <w:rFonts w:hint="eastAsia" w:ascii="仿宋" w:hAnsi="仿宋" w:eastAsia="仿宋"/>
          <w:b/>
          <w:bCs/>
          <w:color w:val="000000"/>
          <w:sz w:val="28"/>
          <w:szCs w:val="28"/>
          <w:highlight w:val="none"/>
        </w:rPr>
      </w:r>
      <w:r/>
    </w:p>
    <w:p>
      <w:pPr>
        <w:pStyle w:val="883"/>
        <w:ind w:firstLine="562"/>
        <w:spacing w:line="520" w:lineRule="exact"/>
        <w:rPr>
          <w:rFonts w:hint="eastAsia" w:ascii="仿宋" w:hAnsi="仿宋" w:eastAsia="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
          <w:bCs/>
          <w:color w:val="000000"/>
          <w:sz w:val="28"/>
          <w:szCs w:val="28"/>
          <w:highlight w:val="none"/>
        </w:rPr>
        <w:t xml:space="preserve">中间件适配：</w:t>
      </w:r>
      <w:r>
        <w:rPr>
          <w:rFonts w:hint="eastAsia" w:ascii="仿宋" w:hAnsi="仿宋" w:eastAsia="仿宋"/>
          <w:color w:val="000000"/>
          <w:sz w:val="28"/>
          <w:szCs w:val="28"/>
          <w:highlight w:val="none"/>
        </w:rPr>
        <w:t xml:space="preserve">智慧住建用到Spring、Nginx、Redis、MinIO等各类中间件，确保操作系统适配。</w:t>
      </w:r>
      <w:r>
        <w:rPr>
          <w:rFonts w:hint="eastAsia" w:ascii="仿宋" w:hAnsi="仿宋" w:eastAsia="仿宋"/>
          <w:b/>
          <w:bCs/>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性能优化：复杂页面查询：针对业务表数据量超过百万级别的、以及级联表大于两张表的查询进行慢SQL分析，并进行相关优化。</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统计分析：对智慧住建业务平台驾驶舱页面进行慢SQL分析，并进行相关优化。</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系统测试：系统迁移后完成</w:t>
      </w:r>
      <w:r>
        <w:rPr>
          <w:rFonts w:ascii="仿宋" w:hAnsi="仿宋" w:eastAsia="仿宋"/>
          <w:color w:val="000000"/>
          <w:sz w:val="28"/>
          <w:szCs w:val="28"/>
          <w:highlight w:val="none"/>
        </w:rPr>
        <w:t xml:space="preserve">数据一致性验证</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管理端</w:t>
      </w:r>
      <w:r>
        <w:rPr>
          <w:rFonts w:hint="eastAsia" w:ascii="仿宋" w:hAnsi="仿宋" w:eastAsia="仿宋"/>
          <w:color w:val="000000"/>
          <w:sz w:val="28"/>
          <w:szCs w:val="28"/>
          <w:highlight w:val="none"/>
        </w:rPr>
        <w:t xml:space="preserve">及企业端功能测试、</w:t>
      </w:r>
      <w:r>
        <w:rPr>
          <w:rFonts w:ascii="仿宋" w:hAnsi="仿宋" w:eastAsia="仿宋"/>
          <w:color w:val="000000"/>
          <w:sz w:val="28"/>
          <w:szCs w:val="28"/>
          <w:highlight w:val="none"/>
        </w:rPr>
        <w:t xml:space="preserve">API测试</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性能测试</w:t>
      </w:r>
      <w:r>
        <w:rPr>
          <w:rFonts w:hint="eastAsia" w:ascii="仿宋" w:hAnsi="仿宋" w:eastAsia="仿宋"/>
          <w:color w:val="000000"/>
          <w:sz w:val="28"/>
          <w:szCs w:val="28"/>
          <w:highlight w:val="none"/>
        </w:rPr>
        <w:t xml:space="preserve">、浏览器兼容测试、解决第三方安全测试发现的网络安全漏洞。</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2.1.4 网络安全加固</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智慧住建平台</w:t>
      </w:r>
      <w:r>
        <w:rPr>
          <w:rFonts w:ascii="仿宋" w:hAnsi="仿宋" w:eastAsia="仿宋"/>
          <w:color w:val="000000"/>
          <w:sz w:val="28"/>
          <w:szCs w:val="28"/>
          <w:highlight w:val="none"/>
        </w:rPr>
        <w:t xml:space="preserve">遵循“边界防护、应用加固、数据安全”的核心理念，设计三层防护架构</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接入层安全（API网关层）：作为系统对外第一道防线，负责统一入口管理、流量管控、粗粒度身份认证、防恶意扫描、防DDoS攻击及API收敛。</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w:t>
      </w:r>
      <w:r>
        <w:rPr>
          <w:rFonts w:ascii="仿宋" w:hAnsi="仿宋" w:eastAsia="仿宋"/>
          <w:color w:val="000000"/>
          <w:sz w:val="28"/>
          <w:szCs w:val="28"/>
          <w:highlight w:val="none"/>
        </w:rPr>
        <w:t xml:space="preserve">应用层安全（后端服务层）：业务安全的核心，实现细粒度访问控制、业务逻辑安全、应用层限流、关键流程加固。</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ascii="仿宋" w:hAnsi="仿宋" w:eastAsia="仿宋"/>
          <w:color w:val="000000"/>
          <w:sz w:val="28"/>
          <w:szCs w:val="28"/>
          <w:highlight w:val="none"/>
        </w:rPr>
        <w:t xml:space="preserve">数据层安全（数据存储与传输层）：最后一道防线，保护核心数据资产，实现敏感数据非必要不采集、展示脱敏化、传输加密（TLS），必要时存储加密。</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基于以上安全架构，HTTP请求</w:t>
      </w:r>
      <w:r>
        <w:rPr>
          <w:rFonts w:ascii="仿宋" w:hAnsi="仿宋" w:eastAsia="仿宋"/>
          <w:color w:val="000000"/>
          <w:sz w:val="28"/>
          <w:szCs w:val="28"/>
          <w:highlight w:val="none"/>
        </w:rPr>
        <w:t xml:space="preserve">的流转路径和安全组件的拦截点</w:t>
      </w:r>
      <w:r>
        <w:rPr>
          <w:rFonts w:hint="eastAsia" w:ascii="仿宋" w:hAnsi="仿宋" w:eastAsia="仿宋"/>
          <w:color w:val="000000"/>
          <w:sz w:val="28"/>
          <w:szCs w:val="28"/>
          <w:highlight w:val="none"/>
        </w:rPr>
        <w:t xml:space="preserve">如下：</w:t>
      </w:r>
      <w:r>
        <w:rPr>
          <w:rFonts w:ascii="仿宋" w:hAnsi="仿宋" w:eastAsia="仿宋"/>
          <w:color w:val="000000"/>
          <w:sz w:val="28"/>
          <w:szCs w:val="28"/>
          <w:highlight w:val="none"/>
        </w:rPr>
        <w:t xml:space="preserve">互联网用户 -&gt; Nginx (静态资源) -&gt; API网关 (统一认证、限流、防扫描) -&gt; 后端</w:t>
      </w:r>
      <w:r>
        <w:rPr>
          <w:rFonts w:hint="eastAsia" w:ascii="仿宋" w:hAnsi="仿宋" w:eastAsia="仿宋"/>
          <w:color w:val="000000"/>
          <w:sz w:val="28"/>
          <w:szCs w:val="28"/>
          <w:highlight w:val="none"/>
        </w:rPr>
        <w:t xml:space="preserve">数据接口</w:t>
      </w:r>
      <w:r>
        <w:rPr>
          <w:rFonts w:ascii="仿宋" w:hAnsi="仿宋" w:eastAsia="仿宋"/>
          <w:color w:val="000000"/>
          <w:sz w:val="28"/>
          <w:szCs w:val="28"/>
          <w:highlight w:val="none"/>
        </w:rPr>
        <w:t xml:space="preserve"> (权限校验中间件、业务逻辑、数据脱敏) -&gt; 数据库</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2.1.4.1 API安全网关管控</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通过API安全网关实现以下安全能力</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路由与API收敛：</w:t>
      </w:r>
      <w:r>
        <w:rPr>
          <w:rFonts w:ascii="仿宋" w:hAnsi="仿宋" w:eastAsia="仿宋"/>
          <w:color w:val="000000"/>
          <w:sz w:val="28"/>
          <w:szCs w:val="28"/>
          <w:highlight w:val="none"/>
        </w:rPr>
        <w:t xml:space="preserve">将后端服务的API地址统一收敛为少数入口地址，减少攻击面。</w:t>
      </w:r>
      <w:r>
        <w:rPr>
          <w:rFonts w:hint="eastAsia" w:ascii="仿宋" w:hAnsi="仿宋" w:eastAsia="仿宋"/>
          <w:color w:val="000000"/>
          <w:sz w:val="28"/>
          <w:szCs w:val="28"/>
          <w:highlight w:val="none"/>
        </w:rPr>
      </w:r>
      <w:r/>
    </w:p>
    <w:p>
      <w:pPr>
        <w:pStyle w:val="883"/>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网关层限流（粗粒度）：</w:t>
      </w:r>
      <w:r>
        <w:rPr>
          <w:rFonts w:ascii="仿宋" w:hAnsi="仿宋" w:eastAsia="仿宋"/>
          <w:color w:val="000000"/>
          <w:sz w:val="28"/>
          <w:szCs w:val="28"/>
          <w:highlight w:val="none"/>
        </w:rPr>
        <w:t xml:space="preserve">支持按IP地址、API路径、客户端标识等多维度设置请求速率阈值（如单IP每分钟最多100次请求），防止恶意爬虫和资源耗尽攻击。</w:t>
      </w:r>
      <w:r>
        <w:rPr>
          <w:rFonts w:hint="eastAsia" w:ascii="仿宋" w:hAnsi="仿宋" w:eastAsia="仿宋"/>
          <w:color w:val="000000"/>
          <w:sz w:val="28"/>
          <w:szCs w:val="28"/>
          <w:highlight w:val="none"/>
        </w:rPr>
      </w:r>
      <w:r/>
    </w:p>
    <w:p>
      <w:pPr>
        <w:pStyle w:val="883"/>
        <w:ind w:firstLine="562"/>
        <w:spacing w:line="520" w:lineRule="exact"/>
        <w:tabs>
          <w:tab w:val="left" w:pos="720" w:leader="none"/>
        </w:tabs>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统一身份认证：</w:t>
      </w:r>
      <w:r>
        <w:rPr>
          <w:rFonts w:ascii="仿宋" w:hAnsi="仿宋" w:eastAsia="仿宋"/>
          <w:color w:val="000000"/>
          <w:sz w:val="28"/>
          <w:szCs w:val="28"/>
          <w:highlight w:val="none"/>
        </w:rPr>
        <w:t xml:space="preserve">在网关层集中验证客户端身份</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确保只有登录用户才能访问 API，防止匿名访问</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tabs>
          <w:tab w:val="left" w:pos="720" w:leader="none"/>
        </w:tabs>
        <w:rPr>
          <w:rFonts w:hint="eastAsia" w:ascii="仿宋" w:hAnsi="仿宋" w:eastAsia="仿宋"/>
          <w:b/>
          <w:bCs/>
          <w:color w:val="000000"/>
          <w:sz w:val="28"/>
          <w:szCs w:val="28"/>
          <w:highlight w:val="none"/>
        </w:rPr>
      </w:pPr>
      <w:r>
        <w:rPr>
          <w:rFonts w:ascii="仿宋" w:hAnsi="仿宋" w:eastAsia="仿宋"/>
          <w:b/>
          <w:bCs/>
          <w:color w:val="000000"/>
          <w:sz w:val="28"/>
          <w:szCs w:val="28"/>
          <w:highlight w:val="none"/>
        </w:rPr>
        <w:t xml:space="preserve">统一权限校验</w:t>
      </w:r>
      <w:r>
        <w:rPr>
          <w:rFonts w:ascii="仿宋" w:hAnsi="仿宋" w:eastAsia="仿宋"/>
          <w:color w:val="000000"/>
          <w:sz w:val="28"/>
          <w:szCs w:val="28"/>
          <w:highlight w:val="none"/>
        </w:rPr>
        <w:t xml:space="preserve">：在网关层校验客户端是否有权访问特定API，实现垂直越权防护。支持为每个API接口绑定允许访问的角色或用户组，并通过调用后端权限服务实时校验当前用户权限</w:t>
      </w:r>
      <w:r>
        <w:rPr>
          <w:rFonts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rPr>
      </w:r>
      <w:r/>
    </w:p>
    <w:p>
      <w:pPr>
        <w:pStyle w:val="883"/>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扫描行为检测与阻断</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t xml:space="preserve">通过规则引擎检测短时间内请求大量不同路径、连续访问无效路径、请求头特征符合扫描工具指纹等异常行为；对疑似扫描请求返回统一状态码和虚假响应体，干扰攻击判断；对多次触发扫描行为的IP实施渐进式惩罚（临时封禁或永久加入黑名单）。</w:t>
      </w:r>
      <w:r>
        <w:rPr>
          <w:rFonts w:hint="eastAsia" w:ascii="仿宋" w:hAnsi="仿宋" w:eastAsia="仿宋"/>
          <w:color w:val="000000"/>
          <w:sz w:val="28"/>
          <w:szCs w:val="28"/>
          <w:highlight w:val="none"/>
        </w:rPr>
      </w:r>
      <w:r/>
    </w:p>
    <w:p>
      <w:pPr>
        <w:pStyle w:val="883"/>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实时告警与联动</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t xml:space="preserve">检测到异常行为时，通过短信、邮件或企业微信等方式实时通知运维人员，并自动执行防护动作（如临时封禁IP、下调限流阈值）</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与现有架构平滑集成：</w:t>
      </w:r>
      <w:r>
        <w:rPr>
          <w:rFonts w:ascii="仿宋" w:hAnsi="仿宋" w:eastAsia="仿宋"/>
          <w:color w:val="000000"/>
          <w:sz w:val="28"/>
          <w:szCs w:val="28"/>
          <w:highlight w:val="none"/>
        </w:rPr>
        <w:t xml:space="preserve">支持与现有Nginx等前端接入层协同部署，通常方案为Nginx作为最前端处理SSL卸载和静态文件，将API请求反向代理至API安全网关集群</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2.1.4.2 身份认证与访问控制强化</w:t>
      </w:r>
      <w:r>
        <w:rPr>
          <w:rFonts w:hint="eastAsia" w:ascii="仿宋" w:hAnsi="仿宋" w:eastAsia="仿宋"/>
          <w:b/>
          <w:bCs/>
          <w:color w:val="000000"/>
          <w:sz w:val="28"/>
          <w:szCs w:val="36"/>
          <w:highlight w:val="none"/>
        </w:rPr>
      </w:r>
      <w:r/>
    </w:p>
    <w:p>
      <w:pPr>
        <w:pStyle w:val="883"/>
        <w:ind w:firstLine="560"/>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聚焦于应用层（应用加固）的身份认证与访问控制，通过对后端业务系统源代码和架构的直接优化，解决权限控制失效的根本问题。</w:t>
      </w:r>
      <w:r>
        <w:rPr>
          <w:rFonts w:hint="eastAsia" w:ascii="仿宋" w:hAnsi="仿宋" w:eastAsia="仿宋"/>
          <w:color w:val="000000"/>
          <w:sz w:val="28"/>
          <w:szCs w:val="28"/>
          <w:highlight w:val="none"/>
        </w:rPr>
      </w:r>
      <w:r/>
    </w:p>
    <w:p>
      <w:pPr>
        <w:pStyle w:val="883"/>
        <w:ind w:firstLine="560"/>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统一权限校验组件：构建非侵入式、强制性的安全校验执行框架，确保所有请求在进入业务代码前完成身份上下文建立，并根据方法声明的权限要求自动执行访问控制决策</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0"/>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精细化权限模型：采用基于角色（RBAC）与基于属性（ABAC）相结合的混合模型。以RBAC作为功能权限骨架，定义稳定的角色体系（管理员、经办员、普通用户等）及其对功能模块的访问资格；以ABAC实现数据级权限控制（如“仅本人数据”）。需形成详细的权限矩阵表，明确每个API接口所需的角色组合与数据权限规则</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全量API接口改造</w:t>
      </w:r>
      <w:r>
        <w:rPr>
          <w:rFonts w:ascii="仿宋" w:hAnsi="仿宋" w:eastAsia="仿宋"/>
          <w:color w:val="000000"/>
          <w:sz w:val="28"/>
          <w:szCs w:val="28"/>
          <w:highlight w:val="none"/>
        </w:rPr>
        <w:t xml:space="preserve">：对智慧住建平台所有后端API接口（约100余个）进行代码审核与改造，集成统一权限校验组件，确保所有请求在进入业务逻辑前必须经过访问权限强制校验</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越权测试验证</w:t>
      </w:r>
      <w:r>
        <w:rPr>
          <w:rFonts w:ascii="仿宋" w:hAnsi="仿宋" w:eastAsia="仿宋"/>
          <w:color w:val="000000"/>
          <w:sz w:val="28"/>
          <w:szCs w:val="28"/>
          <w:highlight w:val="none"/>
        </w:rPr>
        <w:t xml:space="preserve">：制定覆盖垂直越权和水平越权场景的测试用例，通过自动化测试、第三方渗透测试等多种手段验证权限控制有效性</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2.1.4.3关键业务流程加固</w:t>
      </w:r>
      <w:r>
        <w:rPr>
          <w:rFonts w:hint="eastAsia" w:ascii="仿宋" w:hAnsi="仿宋" w:eastAsia="仿宋"/>
          <w:b/>
          <w:bCs/>
          <w:color w:val="000000"/>
          <w:sz w:val="28"/>
          <w:szCs w:val="36"/>
          <w:highlight w:val="none"/>
        </w:rPr>
      </w:r>
      <w:r/>
    </w:p>
    <w:p>
      <w:pPr>
        <w:pStyle w:val="883"/>
        <w:ind w:firstLine="560"/>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聚焦应用层关键业务流程安全，通过优化后端业务代码，实现对业务逻辑层面特定风险的深度防护</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人工审核功能</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t xml:space="preserve">针对高频次、异地、异常时间段的注册、忘记密码等敏感操作行为，开发后端监控与人工审核功能，提供管理界面、审核流程和消息通知机制，形成“人技结合”的主动防御闭环</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应用层细粒度限流</w:t>
      </w:r>
      <w:r>
        <w:rPr>
          <w:rFonts w:ascii="仿宋" w:hAnsi="仿宋" w:eastAsia="仿宋"/>
          <w:color w:val="000000"/>
          <w:sz w:val="28"/>
          <w:szCs w:val="28"/>
          <w:highlight w:val="none"/>
        </w:rPr>
        <w:t xml:space="preserve">：在业务代码中，对登录、密码重置等核心接口实现按用户名、手机号等维度的精细化限流，与网关层限流形成互补，防范撞库、恶意扫描等攻击</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tabs>
          <w:tab w:val="left" w:pos="720" w:leader="none"/>
        </w:tabs>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IDS告警优化：</w:t>
      </w:r>
      <w:r>
        <w:rPr>
          <w:rFonts w:ascii="仿宋" w:hAnsi="仿宋" w:eastAsia="仿宋"/>
          <w:color w:val="000000"/>
          <w:sz w:val="28"/>
          <w:szCs w:val="28"/>
          <w:highlight w:val="none"/>
        </w:rPr>
        <w:t xml:space="preserve">优化前后端调用机制（如API聚合、按需加载），减少前端界面无效API调用导致的IDS误报，提升安全告警精准度</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2.1.4.4 个人信息保护合规升级</w:t>
      </w:r>
      <w:r>
        <w:rPr>
          <w:rFonts w:hint="eastAsia" w:ascii="仿宋" w:hAnsi="仿宋" w:eastAsia="仿宋"/>
          <w:b/>
          <w:bCs/>
          <w:color w:val="000000"/>
          <w:sz w:val="28"/>
          <w:szCs w:val="36"/>
          <w:highlight w:val="none"/>
        </w:rPr>
      </w:r>
      <w:r/>
    </w:p>
    <w:p>
      <w:pPr>
        <w:pStyle w:val="883"/>
        <w:ind w:firstLine="560"/>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聚焦于数据层管控，确保平台符合《</w:t>
      </w:r>
      <w:r>
        <w:rPr>
          <w:rFonts w:hint="eastAsia" w:ascii="仿宋" w:hAnsi="仿宋" w:eastAsia="仿宋"/>
          <w:color w:val="000000"/>
          <w:sz w:val="28"/>
          <w:szCs w:val="28"/>
          <w:highlight w:val="none"/>
        </w:rPr>
        <w:t xml:space="preserve">中华人民共和国</w:t>
      </w:r>
      <w:r>
        <w:rPr>
          <w:rFonts w:ascii="仿宋" w:hAnsi="仿宋" w:eastAsia="仿宋"/>
          <w:color w:val="000000"/>
          <w:sz w:val="28"/>
          <w:szCs w:val="28"/>
          <w:highlight w:val="none"/>
        </w:rPr>
        <w:t xml:space="preserve">个人信息保护法》等法律法规要求，核心目标是实现数据采集最小化、展示脱敏化、管控精细化</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tabs>
          <w:tab w:val="left" w:pos="720" w:leader="none"/>
        </w:tabs>
        <w:rPr>
          <w:rFonts w:hint="eastAsia" w:ascii="仿宋" w:hAnsi="仿宋" w:eastAsia="仿宋"/>
          <w:b/>
          <w:bCs/>
          <w:color w:val="000000"/>
          <w:sz w:val="28"/>
          <w:szCs w:val="28"/>
          <w:highlight w:val="none"/>
        </w:rPr>
      </w:pPr>
      <w:r>
        <w:rPr>
          <w:rFonts w:ascii="仿宋" w:hAnsi="仿宋" w:eastAsia="仿宋"/>
          <w:b/>
          <w:bCs/>
          <w:color w:val="000000"/>
          <w:sz w:val="28"/>
          <w:szCs w:val="28"/>
          <w:highlight w:val="none"/>
        </w:rPr>
        <w:t xml:space="preserve">数据资产梳理与分类分级</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t xml:space="preserve">采用业务流与数据流双维度梳理法，形成《数据资产清单》与《数据字典与分类分级清单》，明确数据字段的分类等级、责任人及安全管控基线（如C3级数据必须强制脱敏）</w:t>
      </w:r>
      <w:r>
        <w:rPr>
          <w:rFonts w:hint="eastAsia" w:ascii="仿宋" w:hAnsi="仿宋" w:eastAsia="仿宋"/>
          <w:color w:val="000000"/>
          <w:sz w:val="28"/>
          <w:szCs w:val="28"/>
          <w:highlight w:val="none"/>
        </w:rPr>
        <w:t xml:space="preserve">。</w:t>
      </w:r>
      <w:r>
        <w:rPr>
          <w:rFonts w:hint="eastAsia" w:ascii="仿宋" w:hAnsi="仿宋" w:eastAsia="仿宋"/>
          <w:b/>
          <w:bCs/>
          <w:color w:val="000000"/>
          <w:sz w:val="28"/>
          <w:szCs w:val="28"/>
          <w:highlight w:val="none"/>
        </w:rPr>
      </w:r>
      <w:r/>
    </w:p>
    <w:p>
      <w:pPr>
        <w:pStyle w:val="883"/>
        <w:ind w:firstLine="562"/>
        <w:spacing w:line="520" w:lineRule="exact"/>
        <w:tabs>
          <w:tab w:val="left" w:pos="720" w:leader="none"/>
        </w:tabs>
        <w:rPr>
          <w:rFonts w:hint="eastAsia" w:ascii="仿宋" w:hAnsi="仿宋" w:eastAsia="仿宋"/>
          <w:b/>
          <w:bCs/>
          <w:color w:val="000000"/>
          <w:sz w:val="28"/>
          <w:szCs w:val="28"/>
          <w:highlight w:val="none"/>
        </w:rPr>
      </w:pPr>
      <w:r>
        <w:rPr>
          <w:rFonts w:ascii="仿宋" w:hAnsi="仿宋" w:eastAsia="仿宋"/>
          <w:b/>
          <w:bCs/>
          <w:color w:val="000000"/>
          <w:sz w:val="28"/>
          <w:szCs w:val="28"/>
          <w:highlight w:val="none"/>
        </w:rPr>
        <w:t xml:space="preserve">个人信息采集最小化</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t xml:space="preserve">对平台现有API接口进行合规性评估，评估内容包括采集必要性（字段是否为业务所必需）、目的符合性（与用户授权范围一致）。对于无法通过必要性审查的个人信息字段或业务功能已下线的接口，予以删除或下线，形成《API合规整改报告》</w:t>
      </w:r>
      <w:r>
        <w:rPr>
          <w:rFonts w:hint="eastAsia" w:ascii="仿宋" w:hAnsi="仿宋" w:eastAsia="仿宋"/>
          <w:color w:val="000000"/>
          <w:sz w:val="28"/>
          <w:szCs w:val="28"/>
          <w:highlight w:val="none"/>
        </w:rPr>
        <w:t xml:space="preserve">。</w:t>
      </w:r>
      <w:r>
        <w:rPr>
          <w:rFonts w:hint="eastAsia" w:ascii="仿宋" w:hAnsi="仿宋" w:eastAsia="仿宋"/>
          <w:b/>
          <w:bCs/>
          <w:color w:val="000000"/>
          <w:sz w:val="28"/>
          <w:szCs w:val="28"/>
          <w:highlight w:val="none"/>
        </w:rPr>
      </w:r>
      <w:r/>
    </w:p>
    <w:p>
      <w:pPr>
        <w:pStyle w:val="883"/>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数据脱敏组件</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t xml:space="preserve">构建统一、灵活、高效的数据脱敏能力，支持多种可配置的脱敏算法（如替换、哈希、偏移、泛化等）</w:t>
      </w:r>
      <w:r>
        <w:rPr>
          <w:rFonts w:hint="eastAsia" w:ascii="仿宋" w:hAnsi="仿宋" w:eastAsia="仿宋"/>
          <w:color w:val="000000"/>
          <w:sz w:val="28"/>
          <w:szCs w:val="28"/>
          <w:highlight w:val="none"/>
        </w:rPr>
        <w:t xml:space="preserve">。技术要求（1）</w:t>
      </w:r>
      <w:r>
        <w:rPr>
          <w:rFonts w:ascii="仿宋" w:hAnsi="仿宋" w:eastAsia="仿宋"/>
          <w:b/>
          <w:bCs/>
          <w:color w:val="000000"/>
          <w:sz w:val="28"/>
          <w:szCs w:val="28"/>
          <w:highlight w:val="none"/>
        </w:rPr>
        <w:t xml:space="preserve">无侵入性</w:t>
      </w:r>
      <w:r>
        <w:rPr>
          <w:rFonts w:ascii="仿宋" w:hAnsi="仿宋" w:eastAsia="仿宋"/>
          <w:color w:val="000000"/>
          <w:sz w:val="28"/>
          <w:szCs w:val="28"/>
          <w:highlight w:val="none"/>
        </w:rPr>
        <w:t xml:space="preserve">：通过切面技术自动拦截返回数据，在序列化前对指定字段进行脱敏，无需修改原有业务逻辑</w:t>
      </w:r>
      <w:r>
        <w:rPr>
          <w:rFonts w:hint="eastAsia" w:ascii="仿宋" w:hAnsi="仿宋" w:eastAsia="仿宋"/>
          <w:color w:val="000000"/>
          <w:sz w:val="28"/>
          <w:szCs w:val="28"/>
          <w:highlight w:val="none"/>
        </w:rPr>
        <w:t xml:space="preserve">；（2）</w:t>
      </w:r>
      <w:r>
        <w:rPr>
          <w:rFonts w:ascii="仿宋" w:hAnsi="仿宋" w:eastAsia="仿宋"/>
          <w:b/>
          <w:bCs/>
          <w:color w:val="000000"/>
          <w:sz w:val="28"/>
          <w:szCs w:val="28"/>
          <w:highlight w:val="none"/>
        </w:rPr>
        <w:t xml:space="preserve">灵活配置</w:t>
      </w:r>
      <w:r>
        <w:rPr>
          <w:rFonts w:ascii="仿宋" w:hAnsi="仿宋" w:eastAsia="仿宋"/>
          <w:color w:val="000000"/>
          <w:sz w:val="28"/>
          <w:szCs w:val="28"/>
          <w:highlight w:val="none"/>
        </w:rPr>
        <w:t xml:space="preserve">：脱敏规则支持通过配置中心动态管理和调整。</w:t>
      </w:r>
      <w:r>
        <w:rPr>
          <w:rFonts w:hint="eastAsia" w:ascii="仿宋" w:hAnsi="仿宋" w:eastAsia="仿宋"/>
          <w:color w:val="000000"/>
          <w:sz w:val="28"/>
          <w:szCs w:val="28"/>
          <w:highlight w:val="none"/>
        </w:rPr>
      </w:r>
      <w:r/>
    </w:p>
    <w:p>
      <w:pPr>
        <w:pStyle w:val="883"/>
        <w:ind w:firstLine="562"/>
        <w:spacing w:line="520" w:lineRule="exact"/>
        <w:tabs>
          <w:tab w:val="left" w:pos="720" w:leader="none"/>
        </w:tabs>
        <w:rPr>
          <w:rFonts w:hint="eastAsia" w:ascii="仿宋" w:hAnsi="仿宋" w:eastAsia="仿宋"/>
          <w:b/>
          <w:bCs/>
          <w:color w:val="000000"/>
          <w:sz w:val="28"/>
          <w:szCs w:val="28"/>
          <w:highlight w:val="none"/>
        </w:rPr>
      </w:pPr>
      <w:r>
        <w:rPr>
          <w:rFonts w:ascii="仿宋" w:hAnsi="仿宋" w:eastAsia="仿宋"/>
          <w:b/>
          <w:bCs/>
          <w:color w:val="000000"/>
          <w:sz w:val="28"/>
          <w:szCs w:val="28"/>
          <w:highlight w:val="none"/>
        </w:rPr>
        <w:t xml:space="preserve">接口集成改造</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t xml:space="preserve">将脱敏能力系统性集成到应用架构中，对所有涉及查询、列表展示、导出个人信息的后端接口进行改造，形成端到端的数据展示安全闭环</w:t>
      </w:r>
      <w:r>
        <w:rPr>
          <w:rFonts w:hint="eastAsia" w:ascii="仿宋" w:hAnsi="仿宋" w:eastAsia="仿宋"/>
          <w:color w:val="000000"/>
          <w:sz w:val="28"/>
          <w:szCs w:val="28"/>
          <w:highlight w:val="none"/>
        </w:rPr>
        <w:t xml:space="preserve">。</w:t>
      </w:r>
      <w:r>
        <w:rPr>
          <w:rFonts w:hint="eastAsia" w:ascii="仿宋" w:hAnsi="仿宋" w:eastAsia="仿宋"/>
          <w:b/>
          <w:bCs/>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2.1.4.5</w:t>
      </w:r>
      <w:r>
        <w:rPr>
          <w:rFonts w:hint="eastAsia" w:ascii="仿宋" w:hAnsi="仿宋" w:eastAsia="仿宋"/>
          <w:b/>
          <w:bCs/>
          <w:color w:val="000000"/>
          <w:sz w:val="28"/>
          <w:szCs w:val="36"/>
          <w:highlight w:val="none"/>
        </w:rPr>
        <w:t xml:space="preserve"> 密码应用安全性评估改造</w:t>
      </w:r>
      <w:r>
        <w:rPr>
          <w:rFonts w:hint="eastAsia" w:ascii="仿宋" w:hAnsi="仿宋" w:eastAsia="仿宋"/>
          <w:b/>
          <w:bCs/>
          <w:color w:val="000000"/>
          <w:sz w:val="28"/>
          <w:szCs w:val="36"/>
          <w:highlight w:val="none"/>
        </w:rPr>
      </w:r>
      <w:r/>
    </w:p>
    <w:p>
      <w:pPr>
        <w:pStyle w:val="883"/>
        <w:ind w:firstLine="560"/>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聚焦数据层密码技术应用，确保重要业务数据和个人信息的机密性、完整性、不可否认性，满足国家密码应用安全性评估要求</w:t>
      </w:r>
      <w:r>
        <w:rPr>
          <w:rFonts w:hint="eastAsia" w:ascii="仿宋" w:hAnsi="仿宋" w:eastAsia="仿宋"/>
          <w:color w:val="000000"/>
          <w:sz w:val="28"/>
          <w:szCs w:val="28"/>
          <w:highlight w:val="none"/>
        </w:rPr>
        <w:t xml:space="preserve">。应用改造主要包含如下内容：</w:t>
      </w:r>
      <w:r>
        <w:rPr>
          <w:rFonts w:hint="eastAsia" w:ascii="仿宋" w:hAnsi="仿宋" w:eastAsia="仿宋"/>
          <w:color w:val="000000"/>
          <w:sz w:val="28"/>
          <w:szCs w:val="28"/>
          <w:highlight w:val="none"/>
        </w:rPr>
      </w:r>
      <w:r/>
    </w:p>
    <w:p>
      <w:pPr>
        <w:pStyle w:val="883"/>
        <w:ind w:firstLine="560"/>
        <w:spacing w:line="520" w:lineRule="exact"/>
        <w:tabs>
          <w:tab w:val="left" w:pos="72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身份认证：采用密码技术对登录用户进行身份鉴别，保证用户身份真实性。</w:t>
      </w:r>
      <w:r>
        <w:rPr>
          <w:rFonts w:hint="eastAsia" w:ascii="仿宋" w:hAnsi="仿宋" w:eastAsia="仿宋"/>
          <w:color w:val="000000"/>
          <w:sz w:val="28"/>
          <w:szCs w:val="28"/>
          <w:highlight w:val="none"/>
        </w:rPr>
      </w:r>
      <w:r/>
    </w:p>
    <w:p>
      <w:pPr>
        <w:pStyle w:val="883"/>
        <w:ind w:firstLine="560"/>
        <w:spacing w:line="520" w:lineRule="exact"/>
        <w:tabs>
          <w:tab w:val="left" w:pos="72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访问控制信息完整性：</w:t>
      </w:r>
      <w:r>
        <w:rPr>
          <w:rFonts w:ascii="仿宋" w:hAnsi="仿宋" w:eastAsia="仿宋"/>
          <w:color w:val="000000"/>
          <w:sz w:val="28"/>
          <w:szCs w:val="28"/>
          <w:highlight w:val="none"/>
        </w:rPr>
        <w:t xml:space="preserve">对数据库权限列表等访问控制信息进行签名保护，保证存储时的完整性</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0"/>
        <w:spacing w:line="520" w:lineRule="exact"/>
        <w:tabs>
          <w:tab w:val="left" w:pos="72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重要数据完整性：</w:t>
      </w:r>
      <w:r>
        <w:rPr>
          <w:rFonts w:ascii="仿宋" w:hAnsi="仿宋" w:eastAsia="仿宋"/>
          <w:color w:val="000000"/>
          <w:sz w:val="28"/>
          <w:szCs w:val="28"/>
          <w:highlight w:val="none"/>
        </w:rPr>
        <w:t xml:space="preserve">对重要业务数据、系统日志等进行签名保存，确保完整性</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0"/>
        <w:spacing w:line="520" w:lineRule="exact"/>
        <w:tabs>
          <w:tab w:val="left" w:pos="72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供应商需同步提供密码技术应用服务，确保可通过密码应用安全性评估。</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2.1.4.6</w:t>
      </w:r>
      <w:r>
        <w:rPr>
          <w:rFonts w:hint="eastAsia" w:ascii="仿宋" w:hAnsi="仿宋" w:eastAsia="仿宋"/>
          <w:b/>
          <w:bCs/>
          <w:color w:val="000000"/>
          <w:sz w:val="28"/>
          <w:szCs w:val="36"/>
          <w:highlight w:val="none"/>
        </w:rPr>
        <w:t xml:space="preserve"> Web应用高可用建设</w:t>
      </w:r>
      <w:r>
        <w:rPr>
          <w:rFonts w:hint="eastAsia" w:ascii="仿宋" w:hAnsi="仿宋" w:eastAsia="仿宋"/>
          <w:b/>
          <w:bCs/>
          <w:color w:val="000000"/>
          <w:sz w:val="28"/>
          <w:szCs w:val="36"/>
          <w:highlight w:val="none"/>
        </w:rPr>
      </w:r>
      <w:r/>
    </w:p>
    <w:p>
      <w:pPr>
        <w:pStyle w:val="883"/>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应用集群部署：</w:t>
      </w:r>
      <w:r>
        <w:rPr>
          <w:rFonts w:ascii="仿宋" w:hAnsi="仿宋" w:eastAsia="仿宋"/>
          <w:color w:val="000000"/>
          <w:sz w:val="28"/>
          <w:szCs w:val="28"/>
          <w:highlight w:val="none"/>
        </w:rPr>
        <w:t xml:space="preserve">部署至少两台应用服务器，运行完全相同的应用环境，消除单点故障。</w:t>
      </w:r>
      <w:r>
        <w:rPr>
          <w:rFonts w:hint="eastAsia" w:ascii="仿宋" w:hAnsi="仿宋" w:eastAsia="仿宋"/>
          <w:color w:val="000000"/>
          <w:sz w:val="28"/>
          <w:szCs w:val="28"/>
          <w:highlight w:val="none"/>
        </w:rPr>
      </w:r>
      <w:r/>
    </w:p>
    <w:p>
      <w:pPr>
        <w:pStyle w:val="883"/>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负载均衡配置：</w:t>
      </w:r>
      <w:r>
        <w:rPr>
          <w:rFonts w:ascii="仿宋" w:hAnsi="仿宋" w:eastAsia="仿宋"/>
          <w:color w:val="000000"/>
          <w:sz w:val="28"/>
          <w:szCs w:val="28"/>
          <w:highlight w:val="none"/>
        </w:rPr>
        <w:t xml:space="preserve">采用负载均衡器作为流量统一入口，配置健康检查机制，自动检测后端服务器健康状态，自动剔除故障节点，将流量分发到健康实例，保障业务连续性和高可用性。</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2.1.5 施工许可证数据对接调整</w:t>
      </w:r>
      <w:r>
        <w:rPr>
          <w:rFonts w:hint="eastAsia" w:ascii="仿宋" w:hAnsi="仿宋" w:eastAsia="仿宋"/>
          <w:b/>
          <w:bCs/>
          <w:color w:val="000000"/>
          <w:sz w:val="28"/>
          <w:szCs w:val="36"/>
          <w:highlight w:val="none"/>
        </w:rPr>
      </w:r>
      <w:r/>
    </w:p>
    <w:p>
      <w:pPr>
        <w:pStyle w:val="883"/>
        <w:ind w:firstLine="560"/>
        <w:spacing w:line="520" w:lineRule="exact"/>
        <w:tabs>
          <w:tab w:val="left" w:pos="720" w:leader="none"/>
        </w:tabs>
        <w:rPr>
          <w:rFonts w:hint="eastAsia" w:ascii="宋体" w:hAnsi="宋体" w:cs="宋体"/>
          <w:color w:val="000000"/>
          <w:highlight w:val="none"/>
        </w:rPr>
      </w:pPr>
      <w:r>
        <w:rPr>
          <w:rFonts w:hint="eastAsia" w:ascii="仿宋" w:hAnsi="仿宋" w:eastAsia="仿宋"/>
          <w:color w:val="000000"/>
          <w:sz w:val="28"/>
          <w:szCs w:val="28"/>
          <w:highlight w:val="none"/>
        </w:rPr>
        <w:t xml:space="preserve">智慧住建平台实时对接江苏省住建厅施工许可系统，通过数据接口抓取施工许可证、安监、质监信息。省施工许可系统于2025年7月份进行升级，升级后数据接口不再兼容之前的接口版本，需重新对接抓取数据入库。</w:t>
      </w:r>
      <w:r>
        <w:rPr>
          <w:rFonts w:hint="eastAsia" w:ascii="宋体" w:hAnsi="宋体" w:cs="宋体"/>
          <w:color w:val="000000"/>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2.2建筑工地智慧监管子系统信创改造</w:t>
      </w:r>
      <w:r>
        <w:rPr>
          <w:rFonts w:hint="eastAsia" w:ascii="仿宋" w:hAnsi="仿宋" w:eastAsia="仿宋"/>
          <w:b/>
          <w:bCs/>
          <w:color w:val="000000"/>
          <w:sz w:val="28"/>
          <w:szCs w:val="36"/>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2.2.1操作系统替换与适配 </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建筑工地智慧监管子系统</w:t>
      </w:r>
      <w:r>
        <w:rPr>
          <w:rFonts w:hint="eastAsia" w:ascii="仿宋" w:hAnsi="仿宋" w:eastAsia="仿宋"/>
          <w:color w:val="000000"/>
          <w:sz w:val="28"/>
          <w:szCs w:val="28"/>
          <w:highlight w:val="none"/>
        </w:rPr>
        <w:t xml:space="preserve">现部署于2台服务器上</w:t>
      </w:r>
      <w:r>
        <w:rPr>
          <w:rFonts w:hint="eastAsia" w:ascii="仿宋" w:hAnsi="仿宋" w:eastAsia="仿宋"/>
          <w:color w:val="000000"/>
          <w:sz w:val="28"/>
          <w:szCs w:val="28"/>
          <w:highlight w:val="none"/>
        </w:rPr>
        <w:t xml:space="preserve">，应用核心服务器1台</w:t>
      </w:r>
      <w:r>
        <w:rPr>
          <w:rFonts w:hint="eastAsia" w:ascii="仿宋" w:hAnsi="仿宋" w:eastAsia="仿宋" w:cs="宋体"/>
          <w:color w:val="000000"/>
          <w:sz w:val="28"/>
          <w:szCs w:val="28"/>
          <w:highlight w:val="none"/>
        </w:rPr>
        <w:t xml:space="preserve">为Windows Server 2008 </w:t>
      </w:r>
      <w:r>
        <w:rPr>
          <w:rFonts w:hint="eastAsia" w:ascii="仿宋" w:hAnsi="仿宋" w:eastAsia="仿宋"/>
          <w:color w:val="000000"/>
          <w:sz w:val="28"/>
          <w:szCs w:val="28"/>
          <w:highlight w:val="none"/>
        </w:rPr>
        <w:t xml:space="preserve">,</w:t>
      </w:r>
      <w:r>
        <w:rPr>
          <w:rFonts w:hint="eastAsia" w:ascii="仿宋" w:hAnsi="仿宋" w:eastAsia="仿宋" w:cs="宋体"/>
          <w:color w:val="000000"/>
          <w:sz w:val="28"/>
          <w:szCs w:val="28"/>
          <w:highlight w:val="none"/>
        </w:rPr>
        <w:t xml:space="preserve">数据库服务器1台为Ubuntu Server 22.04 LTS，操作系统计划替换为国产操作系统，</w:t>
      </w:r>
      <w:r>
        <w:rPr>
          <w:rFonts w:ascii="仿宋" w:hAnsi="仿宋" w:eastAsia="仿宋" w:cs="宋体"/>
          <w:color w:val="000000"/>
          <w:sz w:val="28"/>
          <w:szCs w:val="28"/>
          <w:highlight w:val="none"/>
        </w:rPr>
        <w:t xml:space="preserve">具体型号以合同为准</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rPr>
      </w:r>
      <w:r/>
    </w:p>
    <w:p>
      <w:pPr>
        <w:pStyle w:val="883"/>
        <w:ind w:firstLine="560"/>
        <w:spacing w:line="520" w:lineRule="exact"/>
        <w:rPr>
          <w:rFonts w:hint="eastAsia" w:ascii="仿宋" w:hAnsi="仿宋" w:cs="仿宋"/>
          <w:color w:val="000000"/>
          <w:sz w:val="28"/>
          <w:szCs w:val="28"/>
          <w:highlight w:val="none"/>
        </w:rPr>
      </w:pPr>
      <w:r>
        <w:rPr>
          <w:rFonts w:hint="eastAsia" w:ascii="仿宋" w:hAnsi="仿宋" w:eastAsia="仿宋" w:cs="宋体"/>
          <w:color w:val="000000"/>
          <w:sz w:val="28"/>
          <w:szCs w:val="28"/>
          <w:highlight w:val="none"/>
        </w:rPr>
        <w:t xml:space="preserve">目标云主机资源及操作系统由采购单位提供，</w:t>
      </w:r>
      <w:r>
        <w:rPr>
          <w:rFonts w:ascii="仿宋" w:hAnsi="仿宋" w:eastAsia="仿宋" w:cs="宋体"/>
          <w:color w:val="000000"/>
          <w:sz w:val="28"/>
          <w:szCs w:val="28"/>
          <w:highlight w:val="none"/>
        </w:rPr>
        <w:t xml:space="preserve">本项目仅承担操作系统替换适配、应用迁移</w:t>
      </w:r>
      <w:r>
        <w:rPr>
          <w:rFonts w:hint="eastAsia" w:ascii="仿宋" w:hAnsi="仿宋" w:eastAsia="仿宋" w:cs="宋体"/>
          <w:color w:val="000000"/>
          <w:sz w:val="28"/>
          <w:szCs w:val="28"/>
          <w:highlight w:val="none"/>
        </w:rPr>
        <w:t xml:space="preserve">信创云主机</w:t>
      </w:r>
      <w:r>
        <w:rPr>
          <w:rFonts w:ascii="仿宋" w:hAnsi="仿宋" w:eastAsia="仿宋" w:cs="宋体"/>
          <w:color w:val="000000"/>
          <w:sz w:val="28"/>
          <w:szCs w:val="28"/>
          <w:highlight w:val="none"/>
        </w:rPr>
        <w:t xml:space="preserve">及业务验证工作</w:t>
      </w:r>
      <w:r>
        <w:rPr>
          <w:rFonts w:hint="eastAsia" w:ascii="仿宋" w:hAnsi="仿宋" w:eastAsia="仿宋" w:cs="宋体"/>
          <w:color w:val="000000"/>
          <w:sz w:val="28"/>
          <w:szCs w:val="28"/>
          <w:highlight w:val="none"/>
        </w:rPr>
        <w:t xml:space="preserve">，不涉及云资源及操作系统采购。</w:t>
      </w:r>
      <w:r>
        <w:rPr>
          <w:rFonts w:hint="eastAsia" w:ascii="仿宋" w:hAnsi="仿宋" w:cs="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系统环境适配：</w:t>
      </w:r>
      <w:r>
        <w:rPr>
          <w:rFonts w:hint="eastAsia" w:ascii="仿宋" w:hAnsi="仿宋" w:eastAsia="仿宋"/>
          <w:color w:val="000000"/>
          <w:sz w:val="28"/>
          <w:szCs w:val="28"/>
          <w:highlight w:val="none"/>
        </w:rPr>
        <w:t xml:space="preserve">将Windows/Ubuntu环境下的服务配置、启动脚本、权限管理等迁移至目标操作系统，需重构服务管理机制。</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文件系统调整：</w:t>
      </w:r>
      <w:r>
        <w:rPr>
          <w:rFonts w:hint="eastAsia" w:ascii="仿宋" w:hAnsi="仿宋" w:eastAsia="仿宋"/>
          <w:color w:val="000000"/>
          <w:sz w:val="28"/>
          <w:szCs w:val="28"/>
          <w:highlight w:val="none"/>
        </w:rPr>
        <w:t xml:space="preserve">路径分隔符、文件权限、目录结构等适配工作。</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2.2.2数据库迁移</w:t>
      </w:r>
      <w:r>
        <w:rPr>
          <w:rFonts w:hint="eastAsia" w:ascii="仿宋" w:hAnsi="仿宋" w:eastAsia="仿宋"/>
          <w:b/>
          <w:bCs/>
          <w:color w:val="000000"/>
          <w:sz w:val="28"/>
          <w:szCs w:val="36"/>
          <w:highlight w:val="none"/>
        </w:rPr>
      </w:r>
      <w:r/>
    </w:p>
    <w:p>
      <w:pPr>
        <w:pStyle w:val="883"/>
        <w:ind w:firstLine="560"/>
        <w:rPr>
          <w:rFonts w:hint="eastAsia" w:ascii="仿宋" w:hAnsi="仿宋" w:eastAsia="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highlight w:val="none"/>
        </w:rPr>
        <w:t xml:space="preserve">本政务系统源端为单个MySQL 5.7数据库</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参照"智慧住建平台数据库迁移"</w:t>
      </w:r>
      <w:r>
        <w:rPr>
          <w:rFonts w:hint="eastAsia" w:ascii="仿宋" w:hAnsi="仿宋" w:eastAsia="仿宋"/>
          <w:color w:val="000000"/>
          <w:sz w:val="28"/>
          <w:szCs w:val="28"/>
          <w:highlight w:val="none"/>
        </w:rPr>
        <w:t xml:space="preserve">部分</w:t>
      </w:r>
      <w:r>
        <w:rPr>
          <w:rFonts w:ascii="仿宋" w:hAnsi="仿宋" w:eastAsia="仿宋"/>
          <w:color w:val="000000"/>
          <w:sz w:val="28"/>
          <w:szCs w:val="28"/>
          <w:highlight w:val="none"/>
        </w:rPr>
        <w:t xml:space="preserve">的</w:t>
      </w:r>
      <w:r>
        <w:rPr>
          <w:rFonts w:hint="eastAsia" w:ascii="仿宋" w:hAnsi="仿宋" w:eastAsia="仿宋"/>
          <w:color w:val="000000"/>
          <w:sz w:val="28"/>
          <w:szCs w:val="28"/>
          <w:highlight w:val="none"/>
        </w:rPr>
        <w:t xml:space="preserve">技术要求</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完成建筑工地智慧监管平台的数据库迁移，迁移目标</w:t>
      </w:r>
      <w:r>
        <w:rPr>
          <w:rFonts w:ascii="仿宋" w:hAnsi="仿宋" w:eastAsia="仿宋"/>
          <w:color w:val="000000"/>
          <w:sz w:val="28"/>
          <w:szCs w:val="28"/>
          <w:highlight w:val="none"/>
        </w:rPr>
        <w:t xml:space="preserve">达梦数据库</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rPr>
      </w:r>
      <w:r/>
    </w:p>
    <w:p>
      <w:pPr>
        <w:pStyle w:val="883"/>
        <w:ind w:firstLine="560"/>
        <w:rPr>
          <w:rFonts w:hint="eastAsia" w:ascii="仿宋" w:hAnsi="仿宋" w:eastAsia="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highlight w:val="none"/>
        </w:rPr>
        <w:t xml:space="preserve">目标数据库软件由采购单位提供，本项目不涉及数据库采购。</w:t>
      </w:r>
      <w:r>
        <w:rPr>
          <w:rFonts w:hint="eastAsia" w:ascii="仿宋" w:hAnsi="仿宋" w:eastAsia="仿宋"/>
          <w:b/>
          <w:bCs/>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2.2.3 应用系统适配</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基于现有建筑工地智慧监管系统源代码（Java B/S架构）进行适配改造，包括但不限于：</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SQL语句适配：</w:t>
      </w:r>
      <w:r>
        <w:rPr>
          <w:rFonts w:hint="eastAsia" w:ascii="仿宋" w:hAnsi="仿宋" w:eastAsia="仿宋"/>
          <w:color w:val="000000"/>
          <w:sz w:val="28"/>
          <w:szCs w:val="28"/>
          <w:highlight w:val="none"/>
        </w:rPr>
        <w:t xml:space="preserve">按照达梦数据库的语法，对ORM框架及原生SQL进行相应适配修改。</w:t>
      </w:r>
      <w:r>
        <w:rPr>
          <w:rFonts w:hint="eastAsia" w:ascii="仿宋" w:hAnsi="仿宋" w:eastAsia="仿宋"/>
          <w:b/>
          <w:bCs/>
          <w:color w:val="000000"/>
          <w:sz w:val="28"/>
          <w:szCs w:val="28"/>
          <w:highlight w:val="none"/>
        </w:rPr>
      </w:r>
      <w:r/>
    </w:p>
    <w:p>
      <w:pPr>
        <w:pStyle w:val="883"/>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跨平台适配：</w:t>
      </w:r>
      <w:r>
        <w:rPr>
          <w:rFonts w:hint="eastAsia" w:ascii="仿宋" w:hAnsi="仿宋" w:eastAsia="仿宋"/>
          <w:color w:val="000000"/>
          <w:sz w:val="28"/>
          <w:szCs w:val="28"/>
          <w:highlight w:val="none"/>
        </w:rPr>
        <w:t xml:space="preserve">文件路径修改、操作系统命令适配等。替换或重新编译依赖的依赖库、第三方工具：确保与迁移的目标操作系统兼容；检查并修改Windows平台特有API调用，确保Java应用在适配环境下正常运行。</w:t>
      </w:r>
      <w:r>
        <w:rPr>
          <w:rFonts w:hint="eastAsia" w:ascii="仿宋" w:hAnsi="仿宋" w:eastAsia="仿宋"/>
          <w:b/>
          <w:bCs/>
          <w:color w:val="000000"/>
          <w:sz w:val="28"/>
          <w:szCs w:val="28"/>
          <w:highlight w:val="none"/>
        </w:rPr>
      </w:r>
      <w:r/>
    </w:p>
    <w:p>
      <w:pPr>
        <w:pStyle w:val="883"/>
        <w:ind w:firstLine="562"/>
        <w:spacing w:line="520" w:lineRule="exact"/>
        <w:rPr>
          <w:rFonts w:hint="eastAsia" w:ascii="仿宋" w:hAnsi="仿宋" w:eastAsia="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
          <w:bCs/>
          <w:color w:val="000000"/>
          <w:sz w:val="28"/>
          <w:szCs w:val="28"/>
          <w:highlight w:val="none"/>
        </w:rPr>
        <w:t xml:space="preserve">中间件适配：</w:t>
      </w:r>
      <w:r>
        <w:rPr>
          <w:rFonts w:hint="eastAsia" w:ascii="仿宋" w:hAnsi="仿宋" w:eastAsia="仿宋"/>
          <w:color w:val="000000"/>
          <w:sz w:val="28"/>
          <w:szCs w:val="28"/>
          <w:highlight w:val="none"/>
        </w:rPr>
        <w:t xml:space="preserve">建筑工地智慧监管系统主要用到Spring中间件需适配</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性能优化：（1）复杂页面查询：针对业务表数据量超过百万级别的、以及级联表大于两张表的查询进行慢SQL分析，并进行相关优化。（2）统计分析：对现有统计分析功能进行慢SQL分析，并进行相关优化。</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系统测试：系统迁移后参照智慧住建平台技术要求，完成相关测试验证。</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2.2.4 密码应用安全性评估改造</w:t>
      </w:r>
      <w:r>
        <w:rPr>
          <w:rFonts w:hint="eastAsia" w:ascii="仿宋" w:hAnsi="仿宋" w:eastAsia="仿宋"/>
          <w:b/>
          <w:bCs/>
          <w:color w:val="000000"/>
          <w:sz w:val="28"/>
          <w:szCs w:val="36"/>
          <w:highlight w:val="none"/>
        </w:rPr>
      </w:r>
      <w:r/>
    </w:p>
    <w:p>
      <w:pPr>
        <w:pStyle w:val="883"/>
        <w:ind w:firstLine="560"/>
        <w:spacing w:line="520" w:lineRule="exact"/>
        <w:tabs>
          <w:tab w:val="left" w:pos="720" w:leader="none"/>
        </w:tabs>
        <w:rPr>
          <w:rFonts w:hint="eastAsia" w:ascii="仿宋" w:hAnsi="仿宋" w:eastAsia="仿宋" w:cs="Calibri"/>
          <w:bCs/>
          <w:color w:val="000000"/>
          <w:sz w:val="28"/>
          <w:szCs w:val="28"/>
          <w:highlight w:val="none"/>
        </w:rPr>
      </w:pPr>
      <w:r>
        <w:rPr>
          <w:rFonts w:hint="eastAsia" w:ascii="仿宋" w:hAnsi="仿宋" w:eastAsia="仿宋" w:cs="Calibri"/>
          <w:bCs/>
          <w:color w:val="000000"/>
          <w:sz w:val="28"/>
          <w:szCs w:val="28"/>
          <w:highlight w:val="none"/>
        </w:rPr>
        <w:t xml:space="preserve">建筑工地智慧监管子系统</w:t>
      </w:r>
      <w:r>
        <w:rPr>
          <w:rFonts w:hint="eastAsia" w:ascii="仿宋" w:hAnsi="仿宋" w:eastAsia="仿宋"/>
          <w:bCs/>
          <w:color w:val="000000"/>
          <w:sz w:val="28"/>
          <w:szCs w:val="28"/>
          <w:highlight w:val="none"/>
        </w:rPr>
        <w:t xml:space="preserve">密码应用安全性评估改造</w:t>
      </w:r>
      <w:r>
        <w:rPr>
          <w:rFonts w:hint="eastAsia" w:ascii="仿宋" w:hAnsi="仿宋" w:eastAsia="仿宋" w:cs="Calibri"/>
          <w:bCs/>
          <w:color w:val="000000"/>
          <w:sz w:val="28"/>
          <w:szCs w:val="28"/>
          <w:highlight w:val="none"/>
        </w:rPr>
        <w:t xml:space="preserve">参照智慧住建密码应用安全性评估相关要求。</w:t>
      </w:r>
      <w:r>
        <w:rPr>
          <w:rFonts w:hint="eastAsia" w:ascii="仿宋" w:hAnsi="仿宋" w:eastAsia="仿宋" w:cs="Calibri"/>
          <w:bCs/>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2.3无锡市城市基础设施配套费征收管理子系统信创改造</w:t>
      </w:r>
      <w:r>
        <w:rPr>
          <w:rFonts w:hint="eastAsia" w:ascii="仿宋" w:hAnsi="仿宋" w:eastAsia="仿宋"/>
          <w:b/>
          <w:bCs/>
          <w:color w:val="000000"/>
          <w:sz w:val="28"/>
          <w:szCs w:val="36"/>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2.3.1操作系统替换与适配 </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配套费征收管理子系统系统</w:t>
      </w:r>
      <w:r>
        <w:rPr>
          <w:rFonts w:hint="eastAsia" w:ascii="仿宋" w:hAnsi="仿宋" w:eastAsia="仿宋"/>
          <w:color w:val="000000"/>
          <w:sz w:val="28"/>
          <w:szCs w:val="28"/>
          <w:highlight w:val="none"/>
        </w:rPr>
        <w:t xml:space="preserve">现部署于2台服务器上</w:t>
      </w:r>
      <w:r>
        <w:rPr>
          <w:rFonts w:hint="eastAsia" w:ascii="仿宋" w:hAnsi="仿宋" w:eastAsia="仿宋"/>
          <w:color w:val="000000"/>
          <w:sz w:val="28"/>
          <w:szCs w:val="28"/>
          <w:highlight w:val="none"/>
        </w:rPr>
        <w:t xml:space="preserve">，都是Windows 2012 Server</w:t>
      </w:r>
      <w:r>
        <w:rPr>
          <w:rFonts w:hint="eastAsia" w:ascii="仿宋" w:hAnsi="仿宋" w:eastAsia="仿宋" w:cs="宋体"/>
          <w:color w:val="000000"/>
          <w:sz w:val="28"/>
          <w:szCs w:val="28"/>
          <w:highlight w:val="none"/>
        </w:rPr>
        <w:t xml:space="preserve">，计划替换为国产操作系统，</w:t>
      </w:r>
      <w:r>
        <w:rPr>
          <w:rFonts w:ascii="仿宋" w:hAnsi="仿宋" w:eastAsia="仿宋" w:cs="宋体"/>
          <w:color w:val="000000"/>
          <w:sz w:val="28"/>
          <w:szCs w:val="28"/>
          <w:highlight w:val="none"/>
        </w:rPr>
        <w:t xml:space="preserve">具体型号以合同为准</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rPr>
      </w:r>
      <w:r/>
    </w:p>
    <w:p>
      <w:pPr>
        <w:pStyle w:val="883"/>
        <w:ind w:firstLine="560"/>
        <w:spacing w:line="520" w:lineRule="exact"/>
        <w:rPr>
          <w:rFonts w:hint="eastAsia" w:ascii="仿宋" w:hAnsi="仿宋" w:cs="仿宋"/>
          <w:color w:val="000000"/>
          <w:sz w:val="28"/>
          <w:szCs w:val="28"/>
          <w:highlight w:val="none"/>
        </w:rPr>
      </w:pPr>
      <w:r>
        <w:rPr>
          <w:rFonts w:hint="eastAsia" w:ascii="仿宋" w:hAnsi="仿宋" w:eastAsia="仿宋" w:cs="宋体"/>
          <w:color w:val="000000"/>
          <w:sz w:val="28"/>
          <w:szCs w:val="28"/>
          <w:highlight w:val="none"/>
        </w:rPr>
        <w:t xml:space="preserve">目标云主机资源及操作系统由采购单位提供，</w:t>
      </w:r>
      <w:r>
        <w:rPr>
          <w:rFonts w:ascii="仿宋" w:hAnsi="仿宋" w:eastAsia="仿宋" w:cs="宋体"/>
          <w:color w:val="000000"/>
          <w:sz w:val="28"/>
          <w:szCs w:val="28"/>
          <w:highlight w:val="none"/>
        </w:rPr>
        <w:t xml:space="preserve">本项目仅承担操作系统替换适配、应用迁移</w:t>
      </w:r>
      <w:r>
        <w:rPr>
          <w:rFonts w:hint="eastAsia" w:ascii="仿宋" w:hAnsi="仿宋" w:eastAsia="仿宋" w:cs="宋体"/>
          <w:color w:val="000000"/>
          <w:sz w:val="28"/>
          <w:szCs w:val="28"/>
          <w:highlight w:val="none"/>
        </w:rPr>
        <w:t xml:space="preserve">信创云主机</w:t>
      </w:r>
      <w:r>
        <w:rPr>
          <w:rFonts w:ascii="仿宋" w:hAnsi="仿宋" w:eastAsia="仿宋" w:cs="宋体"/>
          <w:color w:val="000000"/>
          <w:sz w:val="28"/>
          <w:szCs w:val="28"/>
          <w:highlight w:val="none"/>
        </w:rPr>
        <w:t xml:space="preserve">及业务验证工作</w:t>
      </w:r>
      <w:r>
        <w:rPr>
          <w:rFonts w:hint="eastAsia" w:ascii="仿宋" w:hAnsi="仿宋" w:eastAsia="仿宋" w:cs="宋体"/>
          <w:color w:val="000000"/>
          <w:sz w:val="28"/>
          <w:szCs w:val="28"/>
          <w:highlight w:val="none"/>
        </w:rPr>
        <w:t xml:space="preserve">，不涉及云资源及操作系统采购。</w:t>
      </w:r>
      <w:r>
        <w:rPr>
          <w:rFonts w:hint="eastAsia" w:ascii="仿宋" w:hAnsi="仿宋" w:cs="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系统环境适配：</w:t>
      </w:r>
      <w:r>
        <w:rPr>
          <w:rFonts w:hint="eastAsia" w:ascii="仿宋" w:hAnsi="仿宋" w:eastAsia="仿宋"/>
          <w:color w:val="000000"/>
          <w:sz w:val="28"/>
          <w:szCs w:val="28"/>
          <w:highlight w:val="none"/>
        </w:rPr>
        <w:t xml:space="preserve">将Windows环境下的服务配置、启动脚本、权限管理等迁移至目标操作系统，需重构服务管理机制。</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文件系统调整：</w:t>
      </w:r>
      <w:r>
        <w:rPr>
          <w:rFonts w:hint="eastAsia" w:ascii="仿宋" w:hAnsi="仿宋" w:eastAsia="仿宋"/>
          <w:color w:val="000000"/>
          <w:sz w:val="28"/>
          <w:szCs w:val="28"/>
          <w:highlight w:val="none"/>
        </w:rPr>
        <w:t xml:space="preserve">路径分隔符、文件权限、目录结构等适配工作。</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2.3.2数据库迁移</w:t>
      </w:r>
      <w:r>
        <w:rPr>
          <w:rFonts w:hint="eastAsia" w:ascii="仿宋" w:hAnsi="仿宋" w:eastAsia="仿宋"/>
          <w:b/>
          <w:bCs/>
          <w:color w:val="000000"/>
          <w:sz w:val="28"/>
          <w:szCs w:val="36"/>
          <w:highlight w:val="none"/>
        </w:rPr>
      </w:r>
      <w:r/>
    </w:p>
    <w:p>
      <w:pPr>
        <w:pStyle w:val="883"/>
        <w:ind w:firstLine="560"/>
        <w:rPr>
          <w:rFonts w:hint="eastAsia" w:ascii="仿宋" w:hAnsi="仿宋" w:eastAsia="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highlight w:val="none"/>
        </w:rPr>
        <w:t xml:space="preserve">本政务系统源端为单个MariaDB 10.6.23数据库</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参照"智慧住建平台数据库迁移"</w:t>
      </w:r>
      <w:r>
        <w:rPr>
          <w:rFonts w:hint="eastAsia" w:ascii="仿宋" w:hAnsi="仿宋" w:eastAsia="仿宋"/>
          <w:color w:val="000000"/>
          <w:sz w:val="28"/>
          <w:szCs w:val="28"/>
          <w:highlight w:val="none"/>
        </w:rPr>
        <w:t xml:space="preserve">部分</w:t>
      </w:r>
      <w:r>
        <w:rPr>
          <w:rFonts w:ascii="仿宋" w:hAnsi="仿宋" w:eastAsia="仿宋"/>
          <w:color w:val="000000"/>
          <w:sz w:val="28"/>
          <w:szCs w:val="28"/>
          <w:highlight w:val="none"/>
        </w:rPr>
        <w:t xml:space="preserve">的</w:t>
      </w:r>
      <w:r>
        <w:rPr>
          <w:rFonts w:hint="eastAsia" w:ascii="仿宋" w:hAnsi="仿宋" w:eastAsia="仿宋"/>
          <w:color w:val="000000"/>
          <w:sz w:val="28"/>
          <w:szCs w:val="28"/>
          <w:highlight w:val="none"/>
        </w:rPr>
        <w:t xml:space="preserve">技术要求</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完成配套费征收管理子系统的数据库迁移，迁移目标</w:t>
      </w:r>
      <w:r>
        <w:rPr>
          <w:rFonts w:ascii="仿宋" w:hAnsi="仿宋" w:eastAsia="仿宋"/>
          <w:color w:val="000000"/>
          <w:sz w:val="28"/>
          <w:szCs w:val="28"/>
          <w:highlight w:val="none"/>
        </w:rPr>
        <w:t xml:space="preserve">达梦数据库</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rPr>
      </w:r>
      <w:r/>
    </w:p>
    <w:p>
      <w:pPr>
        <w:pStyle w:val="883"/>
        <w:ind w:firstLine="560"/>
        <w:rPr>
          <w:rFonts w:hint="eastAsia" w:ascii="仿宋" w:hAnsi="仿宋" w:eastAsia="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highlight w:val="none"/>
        </w:rPr>
        <w:t xml:space="preserve">目标数据库软件由采购单位提供，本项目不涉及数据库采购。</w:t>
      </w:r>
      <w:r>
        <w:rPr>
          <w:rFonts w:hint="eastAsia" w:ascii="仿宋" w:hAnsi="仿宋" w:eastAsia="仿宋"/>
          <w:b/>
          <w:bCs/>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2.3.3 应用系统适配</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基于现有配套费征收管理子系统源代码（Java B/S架构）进行适配改造，包括但不限于：</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SQL 语句适配：</w:t>
      </w:r>
      <w:r>
        <w:rPr>
          <w:rFonts w:hint="eastAsia" w:ascii="仿宋" w:hAnsi="仿宋" w:eastAsia="仿宋"/>
          <w:color w:val="000000"/>
          <w:sz w:val="28"/>
          <w:szCs w:val="28"/>
          <w:highlight w:val="none"/>
        </w:rPr>
        <w:t xml:space="preserve">按照达梦数据库的语法，对ORM框架及原生SQL进行相应适配修改。</w:t>
      </w:r>
      <w:r>
        <w:rPr>
          <w:rFonts w:hint="eastAsia" w:ascii="仿宋" w:hAnsi="仿宋" w:eastAsia="仿宋"/>
          <w:b/>
          <w:bCs/>
          <w:color w:val="000000"/>
          <w:sz w:val="28"/>
          <w:szCs w:val="28"/>
          <w:highlight w:val="none"/>
        </w:rPr>
      </w:r>
      <w:r/>
    </w:p>
    <w:p>
      <w:pPr>
        <w:pStyle w:val="883"/>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跨平台适配：</w:t>
      </w:r>
      <w:r>
        <w:rPr>
          <w:rFonts w:hint="eastAsia" w:ascii="仿宋" w:hAnsi="仿宋" w:eastAsia="仿宋"/>
          <w:color w:val="000000"/>
          <w:sz w:val="28"/>
          <w:szCs w:val="28"/>
          <w:highlight w:val="none"/>
        </w:rPr>
        <w:t xml:space="preserve">文件路径修改、操作系统命令适配等。替换或重新编译依赖的依赖库、第三方工具：确保与迁移的目标操作系统兼容；检查并修改Windows平台特有API调用，确保Java应用在适配环境下正常运行。</w:t>
      </w:r>
      <w:r>
        <w:rPr>
          <w:rFonts w:hint="eastAsia" w:ascii="仿宋" w:hAnsi="仿宋" w:eastAsia="仿宋"/>
          <w:b/>
          <w:bCs/>
          <w:color w:val="000000"/>
          <w:sz w:val="28"/>
          <w:szCs w:val="28"/>
          <w:highlight w:val="none"/>
        </w:rPr>
      </w:r>
      <w:r/>
    </w:p>
    <w:p>
      <w:pPr>
        <w:pStyle w:val="883"/>
        <w:ind w:firstLine="562"/>
        <w:spacing w:line="520" w:lineRule="exact"/>
        <w:rPr>
          <w:rFonts w:hint="eastAsia" w:ascii="仿宋" w:hAnsi="仿宋" w:eastAsia="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
          <w:bCs/>
          <w:color w:val="000000"/>
          <w:sz w:val="28"/>
          <w:szCs w:val="28"/>
          <w:highlight w:val="none"/>
        </w:rPr>
        <w:t xml:space="preserve">中间件适配：</w:t>
      </w:r>
      <w:r>
        <w:rPr>
          <w:rFonts w:hint="eastAsia" w:ascii="仿宋" w:hAnsi="仿宋" w:eastAsia="仿宋"/>
          <w:color w:val="000000"/>
          <w:sz w:val="28"/>
          <w:szCs w:val="28"/>
          <w:highlight w:val="none"/>
        </w:rPr>
        <w:t xml:space="preserve">配套费征收管理子系统主要用到Spring中间件需适配</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性能优化：（1）复杂页面查询：针对业务表数据量超过百万级别的、以及级联表大于两张表的查询进行慢SQL分析，并进行相关优化。（2）统计分析：对现有统计分析功能进行慢SQL分析，并进行相关优化。</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系统测试：系统迁移后参照智慧住建平台技术要求，完成相关测试验证。</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2.3.4 密码应用安全性评估改造</w:t>
      </w:r>
      <w:r>
        <w:rPr>
          <w:rFonts w:hint="eastAsia" w:ascii="仿宋" w:hAnsi="仿宋" w:eastAsia="仿宋"/>
          <w:b/>
          <w:bCs/>
          <w:color w:val="000000"/>
          <w:sz w:val="28"/>
          <w:szCs w:val="36"/>
          <w:highlight w:val="none"/>
        </w:rPr>
      </w:r>
      <w:r/>
    </w:p>
    <w:p>
      <w:pPr>
        <w:pStyle w:val="883"/>
        <w:ind w:firstLine="560"/>
        <w:spacing w:line="520" w:lineRule="exact"/>
        <w:tabs>
          <w:tab w:val="left" w:pos="720" w:leader="none"/>
        </w:tabs>
        <w:rPr>
          <w:rFonts w:hint="eastAsia" w:ascii="仿宋" w:hAnsi="仿宋" w:eastAsia="仿宋" w:cs="Calibri"/>
          <w:color w:val="000000"/>
          <w:sz w:val="28"/>
          <w:szCs w:val="28"/>
          <w:highlight w:val="none"/>
        </w:rPr>
      </w:pPr>
      <w:r>
        <w:rPr>
          <w:rFonts w:hint="eastAsia" w:ascii="仿宋" w:hAnsi="仿宋" w:eastAsia="仿宋"/>
          <w:color w:val="000000"/>
          <w:sz w:val="28"/>
          <w:szCs w:val="28"/>
          <w:highlight w:val="none"/>
        </w:rPr>
        <w:t xml:space="preserve">配套费征收管理子系统密码应用安全性评估改造</w:t>
      </w:r>
      <w:r>
        <w:rPr>
          <w:rFonts w:hint="eastAsia" w:ascii="仿宋" w:hAnsi="仿宋" w:eastAsia="仿宋" w:cs="Calibri"/>
          <w:color w:val="000000"/>
          <w:sz w:val="28"/>
          <w:szCs w:val="28"/>
          <w:highlight w:val="none"/>
        </w:rPr>
        <w:t xml:space="preserve">参照智慧住建密码应用安全性评估相关要求。</w:t>
      </w:r>
      <w:r>
        <w:rPr>
          <w:rFonts w:hint="eastAsia" w:ascii="仿宋" w:hAnsi="仿宋" w:eastAsia="仿宋" w:cs="Calibri"/>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2.4招标投标活动监管子系统</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落实国家关于加快招标投标领域人工智能推广应用的部署，</w:t>
      </w:r>
      <w:r>
        <w:rPr>
          <w:rFonts w:hint="eastAsia" w:ascii="仿宋" w:hAnsi="仿宋" w:eastAsia="仿宋"/>
          <w:color w:val="000000"/>
          <w:sz w:val="28"/>
          <w:szCs w:val="28"/>
          <w:highlight w:val="none"/>
        </w:rPr>
        <w:t xml:space="preserve">构建工程招投标智能监管系统，运用自然语言处理与图神经网络技术，深度分析投标文件语义特征与企业关联关系。提取文本特征相似度，自动识别投标文件雷同性；通过专家评分离散度分析，识别“人情分”“倾向分”；整合企业、人员等多维数据构建知识图谱，智能识别隐性关联企业，预警围标串标风险。</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该子系统建设将基于市信创</w:t>
      </w:r>
      <w:r>
        <w:rPr>
          <w:rFonts w:hint="eastAsia" w:ascii="仿宋" w:hAnsi="仿宋" w:eastAsia="仿宋"/>
          <w:color w:val="000000"/>
          <w:sz w:val="28"/>
          <w:szCs w:val="28"/>
          <w:highlight w:val="none"/>
        </w:rPr>
        <w:t xml:space="preserve">政务</w:t>
      </w:r>
      <w:r>
        <w:rPr>
          <w:rFonts w:ascii="仿宋" w:hAnsi="仿宋" w:eastAsia="仿宋"/>
          <w:color w:val="000000"/>
          <w:sz w:val="28"/>
          <w:szCs w:val="28"/>
          <w:highlight w:val="none"/>
        </w:rPr>
        <w:t xml:space="preserve">云环境，采用国产操作系统与国产数据库等关键技术，确保全面符合国家信创标准与规范</w:t>
      </w:r>
      <w:r>
        <w:rPr>
          <w:rFonts w:hint="eastAsia" w:ascii="仿宋" w:hAnsi="仿宋" w:eastAsia="仿宋"/>
          <w:color w:val="000000"/>
          <w:sz w:val="28"/>
          <w:szCs w:val="28"/>
          <w:highlight w:val="none"/>
        </w:rPr>
        <w:t xml:space="preserve">，具体功能模块如下：</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基于市信创</w:t>
      </w:r>
      <w:r>
        <w:rPr>
          <w:rFonts w:hint="eastAsia" w:ascii="仿宋" w:hAnsi="仿宋" w:eastAsia="仿宋"/>
          <w:color w:val="000000"/>
          <w:sz w:val="28"/>
          <w:szCs w:val="28"/>
          <w:highlight w:val="none"/>
        </w:rPr>
        <w:t xml:space="preserve">政务</w:t>
      </w:r>
      <w:r>
        <w:rPr>
          <w:rFonts w:ascii="仿宋" w:hAnsi="仿宋" w:eastAsia="仿宋"/>
          <w:color w:val="000000"/>
          <w:sz w:val="28"/>
          <w:szCs w:val="28"/>
          <w:highlight w:val="none"/>
        </w:rPr>
        <w:t xml:space="preserve">云环境，采用国产操作系统与国产数据库等关键技术，建设招标投标活动监管子系统，</w:t>
      </w:r>
      <w:r>
        <w:rPr>
          <w:rFonts w:hint="eastAsia" w:ascii="仿宋" w:hAnsi="仿宋" w:eastAsia="仿宋"/>
          <w:color w:val="000000"/>
          <w:sz w:val="28"/>
          <w:szCs w:val="28"/>
          <w:highlight w:val="none"/>
        </w:rPr>
        <w:t xml:space="preserve">通过对招投标信息进行数据分析，形成投标文件特征码雷同性等各类分析结果，</w:t>
      </w:r>
      <w:r>
        <w:rPr>
          <w:rFonts w:ascii="仿宋" w:hAnsi="仿宋" w:eastAsia="仿宋"/>
          <w:color w:val="000000"/>
          <w:sz w:val="28"/>
          <w:szCs w:val="28"/>
          <w:highlight w:val="none"/>
        </w:rPr>
        <w:t xml:space="preserve">实现对串通投标行为的“事前预警、事中监控、事后追溯”，并将分析结果推送至无锡市建筑市场信用监管平台统一展现。</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2.4.1投标文件特征码雷同性分析</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实现所有标段中所有投标文件制作机器码、预算编制软件密码锁号、上传投标文件IP地址的一致性分析。具体功能要求如下</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文件制作机器码雷同性分析。</w:t>
      </w:r>
      <w:r>
        <w:rPr>
          <w:rFonts w:hint="eastAsia" w:ascii="仿宋" w:hAnsi="仿宋" w:eastAsia="仿宋"/>
          <w:color w:val="000000"/>
          <w:sz w:val="28"/>
          <w:szCs w:val="28"/>
          <w:highlight w:val="none"/>
        </w:rPr>
        <w:t xml:space="preserve">包括（1）同标段机器码雷同：</w:t>
      </w:r>
      <w:r>
        <w:rPr>
          <w:rFonts w:ascii="仿宋" w:hAnsi="仿宋" w:eastAsia="仿宋"/>
          <w:color w:val="000000"/>
          <w:sz w:val="28"/>
          <w:szCs w:val="28"/>
          <w:highlight w:val="none"/>
        </w:rPr>
        <w:t xml:space="preserve">以标段为分析对象，分析投标单位利用同一台电脑制作标书的行为，挖掘存在机器码雷同的投标人及标段信息</w:t>
      </w:r>
      <w:r>
        <w:rPr>
          <w:rFonts w:hint="eastAsia" w:ascii="仿宋" w:hAnsi="仿宋" w:eastAsia="仿宋"/>
          <w:color w:val="000000"/>
          <w:sz w:val="28"/>
          <w:szCs w:val="28"/>
          <w:highlight w:val="none"/>
        </w:rPr>
        <w:t xml:space="preserve">；（2）异标段机器码雷同：</w:t>
      </w:r>
      <w:r>
        <w:rPr>
          <w:rFonts w:ascii="仿宋" w:hAnsi="仿宋" w:eastAsia="仿宋"/>
          <w:color w:val="000000"/>
          <w:sz w:val="28"/>
          <w:szCs w:val="28"/>
          <w:highlight w:val="none"/>
        </w:rPr>
        <w:t xml:space="preserve">以两家单位为分析对象，分析投标单位在不同标段下使用过同一台电脑制作标书的行为</w:t>
      </w:r>
      <w:r>
        <w:rPr>
          <w:rFonts w:hint="eastAsia" w:ascii="仿宋" w:hAnsi="仿宋" w:eastAsia="仿宋"/>
          <w:color w:val="000000"/>
          <w:sz w:val="28"/>
          <w:szCs w:val="28"/>
          <w:highlight w:val="none"/>
        </w:rPr>
        <w:t xml:space="preserve">；（3）机器码抱团分析：以机器码为分析对象，挖掘多家单位共同使用过同一台电脑的行为。</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文件创建标识码雷同性分析。</w:t>
      </w:r>
      <w:r>
        <w:rPr>
          <w:rFonts w:ascii="仿宋" w:hAnsi="仿宋" w:eastAsia="仿宋"/>
          <w:color w:val="000000"/>
          <w:sz w:val="28"/>
          <w:szCs w:val="28"/>
          <w:highlight w:val="none"/>
        </w:rPr>
        <w:t xml:space="preserve">采集同一个项目下所有投标单位电子标书的文件创建标识码信息</w:t>
      </w:r>
      <w:r>
        <w:rPr>
          <w:rFonts w:hint="eastAsia" w:ascii="仿宋" w:hAnsi="仿宋" w:eastAsia="仿宋"/>
          <w:color w:val="000000"/>
          <w:sz w:val="28"/>
          <w:szCs w:val="28"/>
          <w:highlight w:val="none"/>
        </w:rPr>
        <w:t xml:space="preserve">（在公共资源交易中心专用制作软件中新建标书时自动生成的识别号）</w:t>
      </w:r>
      <w:r>
        <w:rPr>
          <w:rFonts w:ascii="仿宋" w:hAnsi="仿宋" w:eastAsia="仿宋"/>
          <w:color w:val="000000"/>
          <w:sz w:val="28"/>
          <w:szCs w:val="28"/>
          <w:highlight w:val="none"/>
        </w:rPr>
        <w:t xml:space="preserve">，分析投标单位利用同一份标书进行修改上传的行为</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标书上传IP雷同性分析。</w:t>
      </w:r>
      <w:r>
        <w:rPr>
          <w:rFonts w:hint="eastAsia" w:ascii="仿宋" w:hAnsi="仿宋" w:eastAsia="仿宋"/>
          <w:color w:val="000000"/>
          <w:sz w:val="28"/>
          <w:szCs w:val="28"/>
          <w:highlight w:val="none"/>
        </w:rPr>
        <w:t xml:space="preserve">包括（1）同标段上传IP雷同：以标段为分析对象，分析投标单位在同一网络环境上传电子标书的异常行为；（2）异标段上传IP雷同：以两家单位为分析对象，分析投标单位在不同标段下使用过同一IP上传标书的行为；（3）上传IP抱团分析：以上传IP为分析对象，挖掘多家单位共同使用过同一IP上传标书的行为。</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远程解密I</w:t>
      </w:r>
      <w:r>
        <w:rPr>
          <w:rFonts w:hint="eastAsia" w:ascii="仿宋" w:hAnsi="仿宋" w:eastAsia="仿宋"/>
          <w:b/>
          <w:bCs/>
          <w:color w:val="000000"/>
          <w:sz w:val="28"/>
          <w:szCs w:val="28"/>
          <w:highlight w:val="none"/>
        </w:rPr>
        <w:t xml:space="preserve">P雷同性分析。</w:t>
      </w:r>
      <w:r>
        <w:rPr>
          <w:rFonts w:hint="eastAsia" w:ascii="仿宋" w:hAnsi="仿宋" w:eastAsia="仿宋"/>
          <w:color w:val="000000"/>
          <w:sz w:val="28"/>
          <w:szCs w:val="28"/>
          <w:highlight w:val="none"/>
        </w:rPr>
        <w:t xml:space="preserve">包括（1）</w:t>
      </w:r>
      <w:r>
        <w:rPr>
          <w:rFonts w:ascii="仿宋" w:hAnsi="仿宋" w:eastAsia="仿宋"/>
          <w:color w:val="000000"/>
          <w:sz w:val="28"/>
          <w:szCs w:val="28"/>
          <w:highlight w:val="none"/>
        </w:rPr>
        <w:t xml:space="preserve">同标段解密IP雷同：以标段为分析对象，分析投标单位在同一网络环境远程解密标书的异常行为</w:t>
      </w:r>
      <w:r>
        <w:rPr>
          <w:rFonts w:hint="eastAsia" w:ascii="仿宋" w:hAnsi="仿宋" w:eastAsia="仿宋"/>
          <w:color w:val="000000"/>
          <w:sz w:val="28"/>
          <w:szCs w:val="28"/>
          <w:highlight w:val="none"/>
        </w:rPr>
        <w:t xml:space="preserve">；（2）</w:t>
      </w:r>
      <w:r>
        <w:rPr>
          <w:rFonts w:ascii="仿宋" w:hAnsi="仿宋" w:eastAsia="仿宋"/>
          <w:color w:val="000000"/>
          <w:sz w:val="28"/>
          <w:szCs w:val="28"/>
          <w:highlight w:val="none"/>
        </w:rPr>
        <w:t xml:space="preserve">异标段解密IP雷同：以两家单位为分析对象，分析投标单位在不同标段下使用过同一IP远程解密标书的行为</w:t>
      </w:r>
      <w:r>
        <w:rPr>
          <w:rFonts w:hint="eastAsia" w:ascii="仿宋" w:hAnsi="仿宋" w:eastAsia="仿宋"/>
          <w:color w:val="000000"/>
          <w:sz w:val="28"/>
          <w:szCs w:val="28"/>
          <w:highlight w:val="none"/>
        </w:rPr>
        <w:t xml:space="preserve">；（3）</w:t>
      </w:r>
      <w:r>
        <w:rPr>
          <w:rFonts w:ascii="仿宋" w:hAnsi="仿宋" w:eastAsia="仿宋"/>
          <w:color w:val="000000"/>
          <w:sz w:val="28"/>
          <w:szCs w:val="28"/>
          <w:highlight w:val="none"/>
        </w:rPr>
        <w:t xml:space="preserve">解密IP抱团分析：以解密IP为分析对象，挖掘多家单位共同使用过同一IP远程解密标书的行为</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文件下载IP</w:t>
      </w:r>
      <w:r>
        <w:rPr>
          <w:rFonts w:hint="eastAsia" w:ascii="仿宋" w:hAnsi="仿宋" w:eastAsia="仿宋"/>
          <w:b/>
          <w:bCs/>
          <w:color w:val="000000"/>
          <w:sz w:val="28"/>
          <w:szCs w:val="28"/>
          <w:highlight w:val="none"/>
        </w:rPr>
        <w:t xml:space="preserve">雷同性分析。</w:t>
      </w:r>
      <w:r>
        <w:rPr>
          <w:rFonts w:hint="eastAsia" w:ascii="仿宋" w:hAnsi="仿宋" w:eastAsia="仿宋"/>
          <w:color w:val="000000"/>
          <w:sz w:val="28"/>
          <w:szCs w:val="28"/>
          <w:highlight w:val="none"/>
        </w:rPr>
        <w:t xml:space="preserve">包括（1）</w:t>
      </w:r>
      <w:r>
        <w:rPr>
          <w:rFonts w:ascii="仿宋" w:hAnsi="仿宋" w:eastAsia="仿宋"/>
          <w:color w:val="000000"/>
          <w:sz w:val="28"/>
          <w:szCs w:val="28"/>
          <w:highlight w:val="none"/>
        </w:rPr>
        <w:t xml:space="preserve">同标段下载IP雷同：以标段为分析对象，分析投标单位在同一网络环境下载招标文件的异常行为</w:t>
      </w:r>
      <w:r>
        <w:rPr>
          <w:rFonts w:hint="eastAsia" w:ascii="仿宋" w:hAnsi="仿宋" w:eastAsia="仿宋"/>
          <w:color w:val="000000"/>
          <w:sz w:val="28"/>
          <w:szCs w:val="28"/>
          <w:highlight w:val="none"/>
        </w:rPr>
        <w:t xml:space="preserve">；（2）</w:t>
      </w:r>
      <w:r>
        <w:rPr>
          <w:rFonts w:ascii="仿宋" w:hAnsi="仿宋" w:eastAsia="仿宋"/>
          <w:color w:val="000000"/>
          <w:sz w:val="28"/>
          <w:szCs w:val="28"/>
          <w:highlight w:val="none"/>
        </w:rPr>
        <w:t xml:space="preserve">下载IP抱团分析：以下载IP为分析对象，挖掘多家单位共同使用过同一下载IP的行为</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文件下载机器码雷同</w:t>
      </w:r>
      <w:r>
        <w:rPr>
          <w:rFonts w:hint="eastAsia" w:ascii="仿宋" w:hAnsi="仿宋" w:eastAsia="仿宋"/>
          <w:b/>
          <w:bCs/>
          <w:color w:val="000000"/>
          <w:sz w:val="28"/>
          <w:szCs w:val="28"/>
          <w:highlight w:val="none"/>
        </w:rPr>
        <w:t xml:space="preserve">性分析。</w:t>
      </w:r>
      <w:r>
        <w:rPr>
          <w:rFonts w:ascii="仿宋" w:hAnsi="仿宋" w:eastAsia="仿宋"/>
          <w:color w:val="000000"/>
          <w:sz w:val="28"/>
          <w:szCs w:val="28"/>
          <w:highlight w:val="none"/>
        </w:rPr>
        <w:t xml:space="preserve">分析投标单位利用同一台电脑下载标书，挖掘出存在同下载MAC雷同的异常记录</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预警信息定期推送。</w:t>
      </w:r>
      <w:r>
        <w:rPr>
          <w:rFonts w:hint="eastAsia" w:ascii="仿宋" w:hAnsi="仿宋" w:eastAsia="仿宋"/>
          <w:color w:val="000000"/>
          <w:sz w:val="28"/>
          <w:szCs w:val="28"/>
          <w:highlight w:val="none"/>
        </w:rPr>
        <w:t xml:space="preserve">集中项目各个阶段的预警线索进行预警处理、追溯，并支持提供线索分析报告。</w:t>
      </w:r>
      <w:r>
        <w:rPr>
          <w:rFonts w:ascii="仿宋" w:hAnsi="仿宋" w:eastAsia="仿宋"/>
          <w:color w:val="000000"/>
          <w:sz w:val="28"/>
          <w:szCs w:val="28"/>
          <w:highlight w:val="none"/>
        </w:rPr>
        <w:t xml:space="preserve">围绕分析主体建模，计算预警指数，按照预警指数高低进行风险预警，推送给住建局相关部门。同时支持生成“一键式”串通投标线索分析报告</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与无锡市公共资源交易中心招投标系统数据对接。</w:t>
      </w:r>
      <w:r>
        <w:rPr>
          <w:rFonts w:hint="eastAsia" w:ascii="仿宋" w:hAnsi="仿宋" w:eastAsia="仿宋"/>
          <w:color w:val="000000"/>
          <w:sz w:val="28"/>
          <w:szCs w:val="28"/>
          <w:highlight w:val="none"/>
        </w:rPr>
        <w:t xml:space="preserve">获取每个项目从招标、投标到开标、评标及后续的合同备案的全过程数据，包含标段信息、投标人信息、标书文件制作机器码、文件创建标识码、标书上传IP数据的全过程招投标数据。</w:t>
      </w:r>
      <w:r>
        <w:rPr>
          <w:rFonts w:ascii="仿宋" w:hAnsi="仿宋" w:eastAsia="仿宋"/>
          <w:color w:val="000000"/>
          <w:sz w:val="28"/>
          <w:szCs w:val="28"/>
          <w:highlight w:val="none"/>
        </w:rPr>
        <w:t xml:space="preserve">通过精准捕捉数据点，全面识别潜在的不正当竞争行为或串通投标现象。</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与</w:t>
      </w:r>
      <w:r>
        <w:rPr>
          <w:rFonts w:hint="eastAsia" w:ascii="仿宋" w:hAnsi="仿宋" w:eastAsia="仿宋"/>
          <w:color w:val="000000"/>
          <w:sz w:val="28"/>
          <w:szCs w:val="28"/>
          <w:highlight w:val="none"/>
        </w:rPr>
        <w:t xml:space="preserve">无锡市公共资源交易</w:t>
      </w:r>
      <w:r>
        <w:rPr>
          <w:rFonts w:ascii="仿宋" w:hAnsi="仿宋" w:eastAsia="仿宋"/>
          <w:color w:val="000000"/>
          <w:sz w:val="28"/>
          <w:szCs w:val="28"/>
          <w:highlight w:val="none"/>
        </w:rPr>
        <w:t xml:space="preserve">评标系统对接，</w:t>
      </w:r>
      <w:r>
        <w:rPr>
          <w:rFonts w:hint="eastAsia" w:ascii="仿宋" w:hAnsi="仿宋" w:eastAsia="仿宋"/>
          <w:color w:val="000000"/>
          <w:sz w:val="28"/>
          <w:szCs w:val="28"/>
          <w:highlight w:val="none"/>
        </w:rPr>
        <w:t xml:space="preserve">将标书文件制作机器码、文件创建标识码、标书上传IP雷同性分析结果信息回传至评标系统</w:t>
      </w:r>
      <w:r>
        <w:rPr>
          <w:rFonts w:ascii="仿宋" w:hAnsi="仿宋" w:eastAsia="仿宋"/>
          <w:color w:val="000000"/>
          <w:sz w:val="28"/>
          <w:szCs w:val="28"/>
          <w:highlight w:val="none"/>
        </w:rPr>
        <w:t xml:space="preserve">，评标专家可直接在评标流程中查看分析结果，提升评标过程的透明度和效率</w:t>
      </w:r>
      <w:r>
        <w:rPr>
          <w:rFonts w:hint="eastAsia" w:ascii="仿宋" w:hAnsi="仿宋" w:eastAsia="仿宋"/>
          <w:color w:val="000000"/>
          <w:sz w:val="28"/>
          <w:szCs w:val="28"/>
          <w:highlight w:val="none"/>
        </w:rPr>
        <w:t xml:space="preserve">。按照类似要求，与宜兴市、江阴市公共资源交易中心招投标系统实现数据对接。</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2.4.2市场主体社团分析</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通过对海量历史交易数据的深入挖掘分析，建立预警模型，多维度深度分析招标人、招标代理机构、中标人、评标专家相互之间的关系。具体功能要求如下</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投标人抱团亲密度分析。</w:t>
      </w:r>
      <w:r>
        <w:rPr>
          <w:rFonts w:hint="eastAsia" w:ascii="仿宋" w:hAnsi="仿宋" w:eastAsia="仿宋"/>
          <w:color w:val="000000"/>
          <w:sz w:val="28"/>
          <w:szCs w:val="28"/>
          <w:highlight w:val="none"/>
        </w:rPr>
        <w:t xml:space="preserve">依托交易历史投标数据，运用抱团亲密度算法，探知大型复杂投标网络中投标人之间抱团投标的行为。支持对团中单位进一步筛选，缩小抱团范围，锁定可疑项目及可疑投标人。</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招标人与中标人关系分析。</w:t>
      </w:r>
      <w:r>
        <w:rPr>
          <w:rFonts w:hint="eastAsia" w:ascii="仿宋" w:hAnsi="仿宋" w:eastAsia="仿宋"/>
          <w:color w:val="000000"/>
          <w:sz w:val="28"/>
          <w:szCs w:val="28"/>
          <w:highlight w:val="none"/>
        </w:rPr>
        <w:t xml:space="preserve">从招标人视角出发，通过对招标人发布的项目、投标人投标聚集度、投标人中标聚集度指标进行综合分析，挖掘招标人与中标人之间潜在的关联关系。</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招标人与投标人关系分析。</w:t>
      </w:r>
      <w:r>
        <w:rPr>
          <w:rFonts w:hint="eastAsia" w:ascii="仿宋" w:hAnsi="仿宋" w:eastAsia="仿宋"/>
          <w:color w:val="000000"/>
          <w:sz w:val="28"/>
          <w:szCs w:val="28"/>
          <w:highlight w:val="none"/>
        </w:rPr>
        <w:t xml:space="preserve">从招标人视角出发，通过对招标情况、投标人数与最多投标次数投标人在招标项目内的投标率信息等指标进行综合分析，挖掘招标人与投标人之间潜在的关联关系。</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招标人与招标代理关系分析。</w:t>
      </w:r>
      <w:r>
        <w:rPr>
          <w:rFonts w:hint="eastAsia" w:ascii="仿宋" w:hAnsi="仿宋" w:eastAsia="仿宋"/>
          <w:color w:val="000000"/>
          <w:sz w:val="28"/>
          <w:szCs w:val="28"/>
          <w:highlight w:val="none"/>
        </w:rPr>
        <w:t xml:space="preserve">分析招标代理在中介选聘过程中，总是同时报名且同时被招标人选中的异常现象，以此判定招标代理之间或者招标代理与招标人之间潜在的关联关系。</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中标人与招标代理关系分析。</w:t>
      </w:r>
      <w:r>
        <w:rPr>
          <w:rFonts w:hint="eastAsia" w:ascii="仿宋" w:hAnsi="仿宋" w:eastAsia="仿宋"/>
          <w:color w:val="000000"/>
          <w:sz w:val="28"/>
          <w:szCs w:val="28"/>
          <w:highlight w:val="none"/>
        </w:rPr>
        <w:t xml:space="preserve">从招标代理视角出发，通过对招标代理发布的项目、投标人投标聚集度、投标人中标聚集度指标进行综合分析，挖掘招标代理与中标人之间潜在的关联关系。</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专家抱团关系分析。</w:t>
      </w:r>
      <w:r>
        <w:rPr>
          <w:rFonts w:hint="eastAsia" w:ascii="仿宋" w:hAnsi="仿宋" w:eastAsia="仿宋"/>
          <w:color w:val="000000"/>
          <w:sz w:val="28"/>
          <w:szCs w:val="28"/>
          <w:highlight w:val="none"/>
        </w:rPr>
        <w:t xml:space="preserve">与无锡市、江阴市、宜兴市公共资源交易中心招投标系统对接，获取所有项目的评标全过程数据（包含专家名称、专家身份证号码、专家评标时间、供应商投标信息、专家打分信息等），从专家共同参与评标次数、共同倾向性打分等维度进行深入分析。</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专家与投标人关系分析。</w:t>
      </w:r>
      <w:r>
        <w:rPr>
          <w:rFonts w:hint="eastAsia" w:ascii="仿宋" w:hAnsi="仿宋" w:eastAsia="仿宋"/>
          <w:color w:val="000000"/>
          <w:sz w:val="28"/>
          <w:szCs w:val="28"/>
          <w:highlight w:val="none"/>
        </w:rPr>
        <w:t xml:space="preserve">分析评标专家与投标人之间是否存在不公正的评标情况、专家与投标人之间是否存在不正常的交易行为。</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专家与招标人关系分析。</w:t>
      </w:r>
      <w:r>
        <w:rPr>
          <w:rFonts w:hint="eastAsia" w:ascii="仿宋" w:hAnsi="仿宋" w:eastAsia="仿宋"/>
          <w:color w:val="000000"/>
          <w:sz w:val="28"/>
          <w:szCs w:val="28"/>
          <w:highlight w:val="none"/>
        </w:rPr>
        <w:t xml:space="preserve">分析评标专家与招标人之间是否存在不公正的招标情况、专家与招标人之间是否存在不规范的交易行为，从而产生指定投标人中标的情况。</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专家与招标代理关系分析。</w:t>
      </w:r>
      <w:r>
        <w:rPr>
          <w:rFonts w:hint="eastAsia" w:ascii="仿宋" w:hAnsi="仿宋" w:eastAsia="仿宋"/>
          <w:color w:val="000000"/>
          <w:sz w:val="28"/>
          <w:szCs w:val="28"/>
          <w:highlight w:val="none"/>
        </w:rPr>
        <w:t xml:space="preserve">分析评标专家与招标代理之间是否存在不公正的招标情况、专家与招标代理之间是否存在不规范的交易行为。</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邀请招标单位亲密度分析。</w:t>
      </w:r>
      <w:r>
        <w:rPr>
          <w:rFonts w:ascii="仿宋" w:hAnsi="仿宋" w:eastAsia="仿宋"/>
          <w:color w:val="000000"/>
          <w:sz w:val="28"/>
          <w:szCs w:val="28"/>
          <w:highlight w:val="none"/>
        </w:rPr>
        <w:t xml:space="preserve">与无锡市、江阴市、宜兴市公共资源交易中心招投标系统对接，获取所有邀请招标项目信息。对当前招标人邀请招标次数占其总招标次数的占比率进行排序，同时对参与率较高单位的中标率进行分析。若参与率高且中标率远高于其正常中标率，则进行预警。根据当前招标人下邀请招标中标率由高到低排序，挖掘存在围串标风险的线索</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社团写真分析。</w:t>
      </w:r>
      <w:r>
        <w:rPr>
          <w:rFonts w:ascii="仿宋" w:hAnsi="仿宋" w:eastAsia="仿宋"/>
          <w:color w:val="000000"/>
          <w:sz w:val="28"/>
          <w:szCs w:val="28"/>
          <w:highlight w:val="none"/>
        </w:rPr>
        <w:t xml:space="preserve">构建基于投标人行为关系网络的风险分析模型</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主体行为关系网络</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通过分析投标人之间的直接与间接关联，形成完整的关联图谱；</w:t>
      </w:r>
      <w:r>
        <w:rPr>
          <w:rFonts w:hint="eastAsia" w:ascii="仿宋" w:hAnsi="仿宋" w:eastAsia="仿宋"/>
          <w:color w:val="000000"/>
          <w:sz w:val="28"/>
          <w:szCs w:val="28"/>
          <w:highlight w:val="none"/>
        </w:rPr>
        <w:t xml:space="preserve">（2）</w:t>
      </w:r>
      <w:r>
        <w:rPr>
          <w:rFonts w:ascii="仿宋" w:hAnsi="仿宋" w:eastAsia="仿宋"/>
          <w:color w:val="000000"/>
          <w:sz w:val="28"/>
          <w:szCs w:val="28"/>
          <w:highlight w:val="none"/>
        </w:rPr>
        <w:t xml:space="preserve">风险量化机制</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对存在间接行为雷同的主体进行风险赋分。若投标人与多家单位存在间接雷同，则形成行为链，分数累计后形成较高的风险得分，成为主要分析节点；</w:t>
      </w:r>
      <w:r>
        <w:rPr>
          <w:rFonts w:hint="eastAsia" w:ascii="仿宋" w:hAnsi="仿宋" w:eastAsia="仿宋"/>
          <w:color w:val="000000"/>
          <w:sz w:val="28"/>
          <w:szCs w:val="28"/>
          <w:highlight w:val="none"/>
        </w:rPr>
        <w:t xml:space="preserve">（3）社团</w:t>
      </w:r>
      <w:r>
        <w:rPr>
          <w:rFonts w:ascii="仿宋" w:hAnsi="仿宋" w:eastAsia="仿宋"/>
          <w:color w:val="000000"/>
          <w:sz w:val="28"/>
          <w:szCs w:val="28"/>
          <w:highlight w:val="none"/>
        </w:rPr>
        <w:t xml:space="preserve">信息挖掘</w:t>
      </w:r>
      <w:r>
        <w:rPr>
          <w:rFonts w:hint="eastAsia" w:ascii="仿宋" w:hAnsi="仿宋" w:eastAsia="仿宋"/>
          <w:color w:val="000000"/>
          <w:sz w:val="28"/>
          <w:szCs w:val="28"/>
          <w:highlight w:val="none"/>
        </w:rPr>
        <w:t xml:space="preserve">：以当前单位为中心的社团好友关系网络，重点突出属于社团成员的标识，从投标人角度展现相关社团信息，挖掘是否存在投标人围标团伙。</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2.4.3智能辅助评标分析</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在公共资源交易中心招投标系统中建设智慧辅助评标分析子系统</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并将分析结果推送至招投标活动监管子系统统一展现。</w:t>
      </w:r>
      <w:r>
        <w:rPr>
          <w:rFonts w:ascii="仿宋" w:hAnsi="仿宋" w:eastAsia="仿宋"/>
          <w:color w:val="000000"/>
          <w:sz w:val="28"/>
          <w:szCs w:val="28"/>
          <w:highlight w:val="none"/>
        </w:rPr>
        <w:t xml:space="preserve">在评标阶段对投标文件中经济标的清单综合单价组成明细进行雷同性比对分析，对技术标的图片和PDF文档的文字进行识别、提取和雷同性比对分析。对不同投标人的投标文件异常一致的（如查重率大于阈值</w:t>
      </w:r>
      <w:r>
        <w:rPr>
          <w:rFonts w:hint="eastAsia" w:ascii="仿宋" w:hAnsi="仿宋" w:eastAsia="仿宋"/>
          <w:color w:val="000000"/>
          <w:sz w:val="28"/>
          <w:szCs w:val="28"/>
          <w:highlight w:val="none"/>
        </w:rPr>
        <w:t xml:space="preserve">，可配置</w:t>
      </w:r>
      <w:r>
        <w:rPr>
          <w:rFonts w:ascii="仿宋" w:hAnsi="仿宋" w:eastAsia="仿宋"/>
          <w:color w:val="000000"/>
          <w:sz w:val="28"/>
          <w:szCs w:val="28"/>
          <w:highlight w:val="none"/>
        </w:rPr>
        <w:t xml:space="preserve">），系统自动提醒评标委员会按无效标予以否决。具体功能要求如下</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技术标雷同性分析。</w:t>
      </w:r>
      <w:r>
        <w:rPr>
          <w:rFonts w:hint="eastAsia" w:ascii="仿宋" w:hAnsi="仿宋" w:eastAsia="仿宋" w:cs="仿宋"/>
          <w:color w:val="000000"/>
          <w:sz w:val="28"/>
          <w:szCs w:val="28"/>
          <w:highlight w:val="none"/>
        </w:rPr>
        <w:t xml:space="preserve">（1）技术标图片文字识别：支持对技术标文件中的图片（含扫描件、照片等）进行文字识别，识别内容包括中文、英文、数字及常见符号。（2）技术标PDF文字提取：支持从PDF文件中直接提取文本信息（非图片型PDF）以及通过OCR识别图片型PDF中的文字。（3）雷同性分析：采用文本相似度比对技术，分析同一个项目下所有投标人投标文件技术标内容描述的相似度。</w:t>
      </w: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商务标错误点雷同性分析。</w:t>
      </w:r>
      <w:r>
        <w:rPr>
          <w:rFonts w:hint="eastAsia" w:ascii="仿宋" w:hAnsi="仿宋" w:eastAsia="仿宋" w:cs="仿宋"/>
          <w:color w:val="000000"/>
          <w:sz w:val="28"/>
          <w:szCs w:val="28"/>
          <w:highlight w:val="none"/>
        </w:rPr>
        <w:t xml:space="preserve">对同一项目下所有投标文件商务标进行分析，分析所有投标文件商务标中出现的错误点（如计算错误、漏项、格式错误、逻辑错误等）是否存在雷同。</w:t>
      </w: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分项清单定额组成雷同分析。</w:t>
      </w:r>
      <w:r>
        <w:rPr>
          <w:rFonts w:hint="eastAsia" w:ascii="仿宋" w:hAnsi="仿宋" w:eastAsia="仿宋" w:cs="仿宋"/>
          <w:color w:val="000000"/>
          <w:sz w:val="28"/>
          <w:szCs w:val="28"/>
          <w:highlight w:val="none"/>
        </w:rPr>
        <w:t xml:space="preserve">通过分析标段内多家投标单位工程量清单所属定额组成一致性比例过高的异常情况，挖掘两家单位之间在制作标书时可能存在抄袭的问题。</w:t>
      </w: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单位工程不可竞争费雷同分析。</w:t>
      </w:r>
      <w:r>
        <w:rPr>
          <w:rFonts w:hint="eastAsia" w:ascii="仿宋" w:hAnsi="仿宋" w:eastAsia="仿宋" w:cs="仿宋"/>
          <w:color w:val="000000"/>
          <w:sz w:val="28"/>
          <w:szCs w:val="28"/>
          <w:highlight w:val="none"/>
        </w:rPr>
        <w:t xml:space="preserve">分析同标段情况下多家单位在某些相同单位工程的不可竞争费用合计值雷同的异常现象。</w:t>
      </w: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单位工程综合合价归零分析。</w:t>
      </w:r>
      <w:r>
        <w:rPr>
          <w:rFonts w:hint="eastAsia" w:ascii="仿宋" w:hAnsi="仿宋" w:eastAsia="仿宋" w:cs="仿宋"/>
          <w:color w:val="000000"/>
          <w:sz w:val="28"/>
          <w:szCs w:val="28"/>
          <w:highlight w:val="none"/>
        </w:rPr>
        <w:t xml:space="preserve">分析同标段情况下一家或者多家单位在某些相同单位工程的合价为零的异常现象。</w:t>
      </w: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分项清单综合合价归零分析。</w:t>
      </w:r>
      <w:r>
        <w:rPr>
          <w:rFonts w:hint="eastAsia" w:ascii="仿宋" w:hAnsi="仿宋" w:eastAsia="仿宋" w:cs="仿宋"/>
          <w:color w:val="000000"/>
          <w:sz w:val="28"/>
          <w:szCs w:val="28"/>
          <w:highlight w:val="none"/>
        </w:rPr>
        <w:t xml:space="preserve">分析同标段情况下多家单位在某些相同分部分项清单的综合合价为零的异常现象。</w:t>
      </w: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分项清单综合单价不平衡分析。</w:t>
      </w:r>
      <w:r>
        <w:rPr>
          <w:rFonts w:hint="eastAsia" w:ascii="仿宋" w:hAnsi="仿宋" w:eastAsia="仿宋" w:cs="仿宋"/>
          <w:color w:val="000000"/>
          <w:sz w:val="28"/>
          <w:szCs w:val="28"/>
          <w:highlight w:val="none"/>
        </w:rPr>
        <w:t xml:space="preserve">分析同标段情况下出现某分项清单综合单价相比同组报价中位值偏离度过大或者过小的异常现象。</w:t>
      </w: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投标文件编制异常分析。</w:t>
      </w:r>
      <w:r>
        <w:rPr>
          <w:rFonts w:hint="eastAsia" w:ascii="仿宋" w:hAnsi="仿宋" w:eastAsia="仿宋" w:cs="仿宋"/>
          <w:color w:val="000000"/>
          <w:sz w:val="28"/>
          <w:szCs w:val="28"/>
          <w:highlight w:val="none"/>
        </w:rPr>
        <w:t xml:space="preserve">对标段内所有投标文件的页数进行对比分析，检查是否存在投标文件内容过于简单的异常情况。页数偏离率计算公式：（平均页数 - 投标文件页数）/ 平均页数。系统支持设置页数偏离率阈值（可配置），当某投标文件的页数偏离率低于阈值（即页数明显偏少）时进行预警。按标段中出现的异常单位数由多到少排序，展示本标段中投标文件平均页数、最少页数、异常单位数、异常单位名称、页数偏离率等信息。</w:t>
      </w: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暗标异常内容分析。</w:t>
      </w:r>
      <w:r>
        <w:rPr>
          <w:rFonts w:hint="eastAsia" w:ascii="仿宋" w:hAnsi="仿宋" w:eastAsia="仿宋" w:cs="仿宋"/>
          <w:color w:val="000000"/>
          <w:sz w:val="28"/>
          <w:szCs w:val="28"/>
          <w:highlight w:val="none"/>
        </w:rPr>
        <w:t xml:space="preserve">分析PDF文本内容是否存在特殊字符、敏感词、不合理空格、非正常换行等异常内容。针对存在暗标异常内容的标段进行预警，按标段中出现的异常单位数由多到少进行排序，展示异常单位名称、异常内容类型及具体异常内容。</w:t>
      </w: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公司名称异常分析。</w:t>
      </w:r>
      <w:r>
        <w:rPr>
          <w:rFonts w:hint="eastAsia" w:ascii="仿宋" w:hAnsi="仿宋" w:eastAsia="仿宋" w:cs="仿宋"/>
          <w:color w:val="000000"/>
          <w:sz w:val="28"/>
          <w:szCs w:val="28"/>
          <w:highlight w:val="none"/>
        </w:rPr>
        <w:t xml:space="preserve">分析标段内所有投标文件内容，检查是否存在投标文件中出现其他投标人公司名称的异常情况。通过以投标人为分析单位展现投标文件中出现其他投标人公司的异常单位，分析出现过的投标文件异常次数、异常投标文件名称、投标文件中出现其他公司名称的次数以及其他公司的名称等。</w:t>
      </w: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cs="仿宋"/>
          <w:b/>
          <w:bCs/>
          <w:color w:val="000000"/>
          <w:sz w:val="28"/>
          <w:szCs w:val="36"/>
          <w:highlight w:val="none"/>
        </w:rPr>
      </w:pPr>
      <w:r>
        <w:rPr>
          <w:rFonts w:hint="eastAsia" w:ascii="仿宋" w:hAnsi="仿宋" w:eastAsia="仿宋" w:cs="仿宋"/>
          <w:b/>
          <w:bCs/>
          <w:color w:val="000000"/>
          <w:sz w:val="28"/>
          <w:szCs w:val="36"/>
          <w:highlight w:val="none"/>
        </w:rPr>
        <w:t xml:space="preserve">2.4.4 转包违法分包大数据分析</w:t>
      </w:r>
      <w:r>
        <w:rPr>
          <w:rFonts w:hint="eastAsia" w:ascii="仿宋" w:hAnsi="仿宋" w:eastAsia="仿宋" w:cs="仿宋"/>
          <w:b/>
          <w:bCs/>
          <w:color w:val="000000"/>
          <w:sz w:val="28"/>
          <w:szCs w:val="36"/>
          <w:highlight w:val="none"/>
        </w:rPr>
      </w:r>
      <w:r/>
    </w:p>
    <w:p>
      <w:pPr>
        <w:pStyle w:val="88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汇集招投标系统信息、质安监一体化平台信息、实名制系统、四库一平台等信息，对企业投标情况、中标情况、管理人员到岗考勤情况和投标项目经理、项目管理人员一定时期内频繁变更情况进行大数据分析，排查转包和违法分包线索。具体功能要求如下：</w:t>
      </w: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投标价格分析。</w:t>
      </w:r>
      <w:r>
        <w:rPr>
          <w:rFonts w:hint="eastAsia" w:ascii="仿宋" w:hAnsi="仿宋" w:eastAsia="仿宋" w:cs="仿宋"/>
          <w:color w:val="000000"/>
          <w:sz w:val="28"/>
          <w:szCs w:val="28"/>
          <w:highlight w:val="none"/>
        </w:rPr>
        <w:t xml:space="preserve">（1）投标总价偏离度分析：识别多家单位报价集中在最高限价浮动区域的异常情况；（2）主体偏离度分析：以投标单位为分析对象，采用离散度分析法，分析在离散度区间内该投标单位投标报价的异常情况；（3）投标总价等比浮动异常分析：分析同标段若干家投标单位报价出现有规律性等比浮动的异常现象；（4）异常低价中标：针对项目的中标价格进行分析，以中标价和控制价计算下浮率。系统支持设定下浮率阈值，项目的中标价下浮率超过阈值时触发预警通知，告知相关监管人员。</w:t>
      </w: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专家指标分析</w:t>
      </w:r>
      <w:r>
        <w:rPr>
          <w:rFonts w:hint="eastAsia" w:ascii="仿宋" w:hAnsi="仿宋" w:eastAsia="仿宋" w:cs="仿宋"/>
          <w:color w:val="000000"/>
          <w:sz w:val="28"/>
          <w:szCs w:val="28"/>
          <w:highlight w:val="none"/>
        </w:rPr>
        <w:t xml:space="preserve">。（1）专家打分倾向性分析：通过对每一位专家参与的评标项目打分倾向性进行分析，打击专家与投标人由于利益关联发生的串通行为；（2）投标人得分异常分析：分析中标单位通过组织围标使自己在最终得分或商务得分中处于高得分状态的异常情况，包含投标人最终得分异常和投标人商务标得分异常，由此筛选出重点需要监控的单位与标段对象。</w:t>
      </w: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投标人指标分析</w:t>
      </w:r>
      <w:r>
        <w:rPr>
          <w:rFonts w:hint="eastAsia" w:ascii="仿宋" w:hAnsi="仿宋" w:eastAsia="仿宋" w:cs="仿宋"/>
          <w:color w:val="000000"/>
          <w:sz w:val="28"/>
          <w:szCs w:val="28"/>
          <w:highlight w:val="none"/>
        </w:rPr>
        <w:t xml:space="preserve">。（1）全主体IP雷同分析：以全主体IP地址为分析对象，展示所有雷同的IP地址、触发的IP地址雷同类型（登录IP、投标IP、解密IP、下载标书IP地址等）、雷同IP地址的使用单位名称以及操作时间。（2）全主体联系电话雷同分析：以联系电话为分析对象，展示该联系号码联系人的类型（专家、招标代理、投标人联系号码等）、联系人姓名、联系电话雷同数量、雷同单位名称等，挖掘存在围串标风险的线索。</w:t>
      </w:r>
      <w:r>
        <w:rPr>
          <w:rFonts w:hint="eastAsia" w:ascii="仿宋" w:hAnsi="仿宋" w:eastAsia="仿宋" w:cs="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cs="仿宋"/>
          <w:b/>
          <w:bCs/>
          <w:color w:val="000000"/>
          <w:sz w:val="28"/>
          <w:szCs w:val="28"/>
          <w:highlight w:val="none"/>
        </w:rPr>
        <w:t xml:space="preserve">异常流程分析</w:t>
      </w:r>
      <w:r>
        <w:rPr>
          <w:rFonts w:hint="eastAsia" w:ascii="仿宋" w:hAnsi="仿宋" w:eastAsia="仿宋" w:cs="仿宋"/>
          <w:color w:val="000000"/>
          <w:sz w:val="28"/>
          <w:szCs w:val="28"/>
          <w:highlight w:val="none"/>
        </w:rPr>
        <w:t xml:space="preserve">：分析投诉质疑内容，发现潜在违法违规；分析投标单位数异常偏少、招标失败后重新招标、单位废标率异常、招标流程超期延</w:t>
      </w:r>
      <w:r>
        <w:rPr>
          <w:rFonts w:ascii="仿宋" w:hAnsi="仿宋" w:eastAsia="仿宋"/>
          <w:color w:val="000000"/>
          <w:sz w:val="28"/>
          <w:szCs w:val="28"/>
          <w:highlight w:val="none"/>
        </w:rPr>
        <w:t xml:space="preserve">期、项目异常重置后最高得分单位变更等情况，识别围串标高风险行为。</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异常人员分析</w:t>
      </w:r>
      <w:r>
        <w:rPr>
          <w:rFonts w:ascii="仿宋" w:hAnsi="仿宋" w:eastAsia="仿宋"/>
          <w:color w:val="000000"/>
          <w:sz w:val="28"/>
          <w:szCs w:val="28"/>
          <w:highlight w:val="none"/>
        </w:rPr>
        <w:t xml:space="preserve">：分析投标（询标）联系人雷同的标段，挖掘同一联系人被多家单位共同使用、或两个单位在不同标段多次使用相同联系人的情况，发现围串标团伙。</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异常行为分析</w:t>
      </w:r>
      <w:r>
        <w:rPr>
          <w:rFonts w:ascii="仿宋" w:hAnsi="仿宋" w:eastAsia="仿宋"/>
          <w:color w:val="000000"/>
          <w:sz w:val="28"/>
          <w:szCs w:val="28"/>
          <w:highlight w:val="none"/>
        </w:rPr>
        <w:t xml:space="preserve">：挖掘投标次数多且中标率远高于平均值的潜在围标人，以及中标率极低但注册地中标率高的潜在陪标人；分析第一顺位中标候选人主动弃标、中标结果公示与候选人公示不一致等异常；分析企业注册地与上传IP地址不一致的标书上传行为；分析已上传标书但刻意不参与解密、下载标书后大量弃标等异常行为。</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转包及违法分包分析</w:t>
      </w:r>
      <w:r>
        <w:rPr>
          <w:rFonts w:ascii="仿宋" w:hAnsi="仿宋" w:eastAsia="仿宋"/>
          <w:color w:val="000000"/>
          <w:sz w:val="28"/>
          <w:szCs w:val="28"/>
          <w:highlight w:val="none"/>
        </w:rPr>
        <w:t xml:space="preserve">：通过实时监控、异常识别与智能告警，监测资金流动、合同执行等异常；结合历史案例建立风险评估模型，综合承包商及分包商的财务、业绩、信誉等多维数据进行动态评估；运用图数据库挖掘项目参与方之间的关联关系，识别利益输送；建立分级预警机制；分析关键岗位人员（技术负责人、安全员等）变更频率及跨单位频繁变更情况，与实名制系统对接，自动合规检查并预警。</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2.4.5招标投标统计报表</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获取全市房屋建筑和市政基础工程招标投标过程</w:t>
      </w:r>
      <w:r>
        <w:rPr>
          <w:rFonts w:hint="eastAsia" w:ascii="仿宋" w:hAnsi="仿宋" w:eastAsia="仿宋"/>
          <w:color w:val="000000"/>
          <w:sz w:val="28"/>
          <w:szCs w:val="28"/>
          <w:highlight w:val="none"/>
        </w:rPr>
        <w:t xml:space="preserve">中各类</w:t>
      </w:r>
      <w:r>
        <w:rPr>
          <w:rFonts w:ascii="仿宋" w:hAnsi="仿宋" w:eastAsia="仿宋"/>
          <w:color w:val="000000"/>
          <w:sz w:val="28"/>
          <w:szCs w:val="28"/>
          <w:highlight w:val="none"/>
        </w:rPr>
        <w:t xml:space="preserve">数据，生成涵盖项目数量、招标金额、投标单位数量、中标金额等关键指标的统计报表，支持按月度、季度、年度等周期生成，并支持导出为Excel、PDF等格式。具体功能要求如下</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中标候选人技术经济信用得分分析：</w:t>
      </w:r>
      <w:r>
        <w:rPr>
          <w:rFonts w:ascii="仿宋" w:hAnsi="仿宋" w:eastAsia="仿宋"/>
          <w:color w:val="000000"/>
          <w:sz w:val="28"/>
          <w:szCs w:val="28"/>
          <w:highlight w:val="none"/>
        </w:rPr>
        <w:t xml:space="preserve">针对施工及工程总承包项目，收集中标候选人在技术方案、经济报价、信用记录等方面的得分，通过柱状图、折线图、雷达图等可视化手段展示得分分布与变化趋势，支持同一项目内不同候选人的横向对比及不同项目间同类候选人的纵向对比。</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本外地企业中标率分析：</w:t>
      </w:r>
      <w:r>
        <w:rPr>
          <w:rFonts w:ascii="仿宋" w:hAnsi="仿宋" w:eastAsia="仿宋"/>
          <w:color w:val="000000"/>
          <w:sz w:val="28"/>
          <w:szCs w:val="28"/>
          <w:highlight w:val="none"/>
        </w:rPr>
        <w:t xml:space="preserve">按房屋建筑工程、市政基础设施工程等类型，分别统计本地企业与外地企业的中标数量及中标率，生成对比报表，清晰展示不同工程类型中本外地企业中标率的差异。</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民营国有企业中标率分析：</w:t>
      </w:r>
      <w:r>
        <w:rPr>
          <w:rFonts w:ascii="仿宋" w:hAnsi="仿宋" w:eastAsia="仿宋"/>
          <w:color w:val="000000"/>
          <w:sz w:val="28"/>
          <w:szCs w:val="28"/>
          <w:highlight w:val="none"/>
        </w:rPr>
        <w:t xml:space="preserve">基于民营企业和国有企业类别信息，统计各类工程中两类企业的中标数量及中标率，呈现市场竞争表现差异，并支持按时间维度分析中标率变化趋势。</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大中小型企业中标率分析：</w:t>
      </w:r>
      <w:r>
        <w:rPr>
          <w:rFonts w:ascii="仿宋" w:hAnsi="仿宋" w:eastAsia="仿宋"/>
          <w:color w:val="000000"/>
          <w:sz w:val="28"/>
          <w:szCs w:val="28"/>
          <w:highlight w:val="none"/>
        </w:rPr>
        <w:t xml:space="preserve">借助大中小型企业类别数据，按工程类型分别统计大型、中型、小型企业的中标数量及中标率，通过图表展示不同规模企业在各类工程中的中标率分布。</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企业主体库数据治理：</w:t>
      </w:r>
      <w:r>
        <w:rPr>
          <w:rFonts w:ascii="仿宋" w:hAnsi="仿宋" w:eastAsia="仿宋"/>
          <w:color w:val="000000"/>
          <w:sz w:val="28"/>
          <w:szCs w:val="28"/>
          <w:highlight w:val="none"/>
        </w:rPr>
        <w:t xml:space="preserve">为支撑上述分析功能，对企业库数据进行治理，获取本地、外地、民营、国有、大中小型企业的类别数据，确保分类准确、数据可用。</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2.4.6分析结果展现</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将以上分析结果，整合到无锡市建筑市场信用监管平台统一展现。</w:t>
      </w:r>
      <w:r>
        <w:rPr>
          <w:rFonts w:ascii="仿宋" w:hAnsi="仿宋" w:eastAsia="仿宋"/>
          <w:color w:val="000000"/>
          <w:sz w:val="28"/>
          <w:szCs w:val="28"/>
          <w:highlight w:val="none"/>
        </w:rPr>
        <w:t xml:space="preserve">具体功能要求如下</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投标文件特征码雷同性分析结果数据展现。包含</w:t>
      </w:r>
      <w:r>
        <w:rPr>
          <w:rFonts w:ascii="仿宋" w:hAnsi="仿宋" w:eastAsia="仿宋"/>
          <w:color w:val="000000"/>
          <w:sz w:val="28"/>
          <w:szCs w:val="28"/>
          <w:highlight w:val="none"/>
        </w:rPr>
        <w:t xml:space="preserve">文件制作机器码雷同性分析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文件创建标识码雷同性分析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标书上传IP雷同性分析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远程解密IP雷同性分析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文件下载IP雷同性分析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文件下载机器码雷同</w:t>
      </w:r>
      <w:r>
        <w:rPr>
          <w:rFonts w:hint="eastAsia" w:ascii="仿宋" w:hAnsi="仿宋" w:eastAsia="仿宋"/>
          <w:color w:val="000000"/>
          <w:sz w:val="28"/>
          <w:szCs w:val="28"/>
          <w:highlight w:val="none"/>
        </w:rPr>
        <w:t xml:space="preserve">性分析、</w:t>
      </w:r>
      <w:r>
        <w:rPr>
          <w:rFonts w:ascii="仿宋" w:hAnsi="仿宋" w:eastAsia="仿宋"/>
          <w:color w:val="000000"/>
          <w:sz w:val="28"/>
          <w:szCs w:val="28"/>
          <w:highlight w:val="none"/>
        </w:rPr>
        <w:t xml:space="preserve">预警信息</w:t>
      </w:r>
      <w:r>
        <w:rPr>
          <w:rFonts w:hint="eastAsia" w:ascii="仿宋" w:hAnsi="仿宋" w:eastAsia="仿宋"/>
          <w:color w:val="000000"/>
          <w:sz w:val="28"/>
          <w:szCs w:val="28"/>
          <w:highlight w:val="none"/>
        </w:rPr>
        <w:t xml:space="preserve">等7类页面展现。</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社团分析结果展现。</w:t>
      </w:r>
      <w:r>
        <w:rPr>
          <w:rFonts w:ascii="仿宋" w:hAnsi="仿宋" w:eastAsia="仿宋"/>
          <w:color w:val="000000"/>
          <w:sz w:val="28"/>
          <w:szCs w:val="28"/>
          <w:highlight w:val="none"/>
        </w:rPr>
        <w:t xml:space="preserve">提供可视化的展示页面，根据抱团行为分析的结果，</w:t>
      </w:r>
      <w:r>
        <w:rPr>
          <w:rFonts w:hint="eastAsia" w:ascii="仿宋" w:hAnsi="仿宋" w:eastAsia="仿宋"/>
          <w:color w:val="000000"/>
          <w:sz w:val="28"/>
          <w:szCs w:val="28"/>
          <w:highlight w:val="none"/>
        </w:rPr>
        <w:t xml:space="preserve">直观</w:t>
      </w:r>
      <w:r>
        <w:rPr>
          <w:rFonts w:ascii="仿宋" w:hAnsi="仿宋" w:eastAsia="仿宋"/>
          <w:color w:val="000000"/>
          <w:sz w:val="28"/>
          <w:szCs w:val="28"/>
          <w:highlight w:val="none"/>
        </w:rPr>
        <w:t xml:space="preserve">的展示各投标单位之间的抱团亲密情况</w:t>
      </w:r>
      <w:r>
        <w:rPr>
          <w:rFonts w:hint="eastAsia" w:ascii="仿宋" w:hAnsi="仿宋" w:eastAsia="仿宋"/>
          <w:color w:val="000000"/>
          <w:sz w:val="28"/>
          <w:szCs w:val="28"/>
          <w:highlight w:val="none"/>
        </w:rPr>
        <w:t xml:space="preserve">。包含</w:t>
      </w:r>
      <w:r>
        <w:rPr>
          <w:rFonts w:ascii="仿宋" w:hAnsi="仿宋" w:eastAsia="仿宋"/>
          <w:color w:val="000000"/>
          <w:sz w:val="28"/>
          <w:szCs w:val="28"/>
          <w:highlight w:val="none"/>
        </w:rPr>
        <w:t xml:space="preserve">招标人与中标人关系分析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招标人与投标人关系分析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招标人与招标代理关系分析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招标代理与中标人关系分析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专家与专家抱团关系分析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专家和投标人关系</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专家和招标人关系</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专家和招标代理关系</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邀请招标单位亲密度分析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社团写真分析</w:t>
      </w:r>
      <w:r>
        <w:rPr>
          <w:rFonts w:hint="eastAsia" w:ascii="仿宋" w:hAnsi="仿宋" w:eastAsia="仿宋"/>
          <w:color w:val="000000"/>
          <w:sz w:val="28"/>
          <w:szCs w:val="28"/>
          <w:highlight w:val="none"/>
        </w:rPr>
        <w:t xml:space="preserve">等10类页面展现。</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智能辅助评标分析结果展现。包含</w:t>
      </w:r>
      <w:r>
        <w:rPr>
          <w:rFonts w:ascii="仿宋" w:hAnsi="仿宋" w:eastAsia="仿宋"/>
          <w:color w:val="000000"/>
          <w:sz w:val="28"/>
          <w:szCs w:val="28"/>
          <w:highlight w:val="none"/>
        </w:rPr>
        <w:t xml:space="preserve">技术标雷同性分析、商务标错误雷同性分析、分项清单定额组成雷同分析、单位工程不可竞争费雷同分析、单位工程综合合价归零分析、分项清单综合合价归零分析、分项清单综合单价不平衡分析、投标文件编制异常分析、暗标异常内容分析、公司名称异常分析</w:t>
      </w:r>
      <w:r>
        <w:rPr>
          <w:rFonts w:hint="eastAsia" w:ascii="仿宋" w:hAnsi="仿宋" w:eastAsia="仿宋"/>
          <w:color w:val="000000"/>
          <w:sz w:val="28"/>
          <w:szCs w:val="28"/>
          <w:highlight w:val="none"/>
        </w:rPr>
        <w:t xml:space="preserve">等10类页面展现。</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转包违法分包大数据分析结果展现。包含</w:t>
      </w:r>
      <w:r>
        <w:rPr>
          <w:rFonts w:ascii="仿宋" w:hAnsi="仿宋" w:eastAsia="仿宋"/>
          <w:color w:val="000000"/>
          <w:sz w:val="28"/>
          <w:szCs w:val="28"/>
          <w:highlight w:val="none"/>
        </w:rPr>
        <w:t xml:space="preserve">投标价格分析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专家指标分析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投标人指标分析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异常流程分析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异常人员分析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异常行为分析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转包及违法分包分析</w:t>
      </w:r>
      <w:r>
        <w:rPr>
          <w:rFonts w:hint="eastAsia" w:ascii="仿宋" w:hAnsi="仿宋" w:eastAsia="仿宋"/>
          <w:color w:val="000000"/>
          <w:sz w:val="28"/>
          <w:szCs w:val="28"/>
          <w:highlight w:val="none"/>
        </w:rPr>
        <w:t xml:space="preserve">等7类页面展现。</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招标投标统计分析结果展现。包含</w:t>
      </w:r>
      <w:r>
        <w:rPr>
          <w:rFonts w:ascii="仿宋" w:hAnsi="仿宋" w:eastAsia="仿宋"/>
          <w:color w:val="000000"/>
          <w:sz w:val="28"/>
          <w:szCs w:val="28"/>
          <w:highlight w:val="none"/>
        </w:rPr>
        <w:t xml:space="preserve">中标候选人技术经济信用得分分析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本外地企业中标率分析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民营国有企业中标率分析</w:t>
      </w:r>
      <w:r>
        <w:rPr>
          <w:rFonts w:hint="eastAsia" w:ascii="仿宋" w:hAnsi="仿宋" w:eastAsia="仿宋"/>
          <w:color w:val="000000"/>
          <w:sz w:val="28"/>
          <w:szCs w:val="28"/>
          <w:highlight w:val="none"/>
        </w:rPr>
        <w:t xml:space="preserve">、大中小型企业中标率分析等4类页面展现。</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2.5升级BIM施工图智能审查子系统</w:t>
      </w:r>
      <w:r>
        <w:rPr>
          <w:rFonts w:hint="eastAsia" w:ascii="仿宋" w:hAnsi="仿宋" w:eastAsia="仿宋"/>
          <w:b/>
          <w:bCs/>
          <w:color w:val="000000"/>
          <w:sz w:val="28"/>
          <w:szCs w:val="36"/>
          <w:highlight w:val="none"/>
        </w:rPr>
      </w:r>
      <w:r/>
    </w:p>
    <w:p>
      <w:pPr>
        <w:pStyle w:val="883"/>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基于现有BIM施工图智能审查系统源代码，对相关功能模块进行升级优化。</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2.5.1审图业务工单管理</w:t>
      </w:r>
      <w:r>
        <w:rPr>
          <w:rFonts w:hint="eastAsia" w:ascii="仿宋" w:hAnsi="仿宋" w:eastAsia="仿宋"/>
          <w:b/>
          <w:bCs/>
          <w:color w:val="000000"/>
          <w:sz w:val="28"/>
          <w:szCs w:val="36"/>
          <w:highlight w:val="none"/>
        </w:rPr>
      </w:r>
      <w:r/>
    </w:p>
    <w:p>
      <w:pPr>
        <w:pStyle w:val="1000"/>
        <w:ind w:firstLine="560"/>
        <w:spacing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新增工单申请功能（包含字段工单标题、工单类型、紧急程度、申请</w:t>
      </w:r>
      <w:r>
        <w:rPr>
          <w:rFonts w:ascii="仿宋" w:hAnsi="仿宋" w:eastAsia="仿宋" w:cs="Times New Roman"/>
          <w:color w:val="000000"/>
          <w:sz w:val="28"/>
          <w:szCs w:val="28"/>
          <w:highlight w:val="none"/>
        </w:rPr>
        <w:t xml:space="preserve">部门/申请人</w:t>
      </w: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详细描述</w:t>
      </w: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关联客户/项目</w:t>
      </w: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期望完成日期</w:t>
      </w:r>
      <w:r>
        <w:rPr>
          <w:rFonts w:hint="eastAsia" w:ascii="仿宋" w:hAnsi="仿宋" w:eastAsia="仿宋" w:cs="Times New Roman"/>
          <w:color w:val="000000"/>
          <w:sz w:val="28"/>
          <w:szCs w:val="28"/>
          <w:highlight w:val="none"/>
        </w:rPr>
        <w:t xml:space="preserve">等</w:t>
      </w:r>
      <w:r>
        <w:rPr>
          <w:rFonts w:hint="eastAsia" w:ascii="仿宋" w:hAnsi="仿宋" w:eastAsia="仿宋" w:cs="Times New Roman"/>
          <w:color w:val="000000"/>
          <w:sz w:val="28"/>
          <w:szCs w:val="28"/>
          <w:highlight w:val="none"/>
        </w:rPr>
        <w:t xml:space="preserve">）、新增工单附件上传功能（支持PDF、word、Excel、JPG等常见格式）、新增工单审批功能（支持按顺序串行审批和多人并行审批）、新增工单附件查看功能（可在线查看PDF等常见格式，可下载）、新增工单归档功能（对已完成的工单进行规范化管理，将其移出活跃工单列表，移至独立的“归档库”或通过高级筛选器中的“已归档”状态进行查询，所有数据仅供查阅，不允许再编辑）、新增工单检索功能（支持对工单标题和工单内容等进行模糊查询，高亮显示匹配的关键字）、新增权限控制功能（主任室可查看所有工单、科室负责人查看本科室工单）。</w:t>
      </w:r>
      <w:r>
        <w:rPr>
          <w:rFonts w:hint="eastAsia" w:ascii="仿宋" w:hAnsi="仿宋" w:eastAsia="仿宋" w:cs="Times New Roman"/>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2.5.2工改3.0数据标准改造</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对照《工程建设项目审批管理系统数据共享交换标准3.0》要求，梳理并制定BIM审图系统与工程审批系统的对接接口标准，实现施工图审查与第三阶段审批事项的融合办理。本项目建设方负责开发BIM审图系统与外部系统的对接适配，外部系统（一站式申报系统、一体化平台等）需提供相应接口，具体对接要求如下</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业务流程对接</w:t>
      </w:r>
      <w:r>
        <w:rPr>
          <w:rFonts w:ascii="仿宋" w:hAnsi="仿宋" w:eastAsia="仿宋"/>
          <w:color w:val="000000"/>
          <w:sz w:val="28"/>
          <w:szCs w:val="28"/>
          <w:highlight w:val="none"/>
        </w:rPr>
        <w:t xml:space="preserve">：一站式申报系统在第三阶段申请时，将项目基本信息、单体工程信息、勘察设计合同信息、规划许可证扫描件及申请编号推送至审图系统，并单点登录至审图系统完成资料上传。审图系统及时反馈提交与受理状态。</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审查过程反馈</w:t>
      </w:r>
      <w:r>
        <w:rPr>
          <w:rFonts w:ascii="仿宋" w:hAnsi="仿宋" w:eastAsia="仿宋"/>
          <w:color w:val="000000"/>
          <w:sz w:val="28"/>
          <w:szCs w:val="28"/>
          <w:highlight w:val="none"/>
        </w:rPr>
        <w:t xml:space="preserve">：程序性审查发现问题时，调用消息反馈接口告知建设单位；技术性审查及复审阶段，待审查全部结束后，一次性将问题反馈至建设单位。</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审图结果推送</w:t>
      </w:r>
      <w:r>
        <w:rPr>
          <w:rFonts w:ascii="仿宋" w:hAnsi="仿宋" w:eastAsia="仿宋"/>
          <w:color w:val="000000"/>
          <w:sz w:val="28"/>
          <w:szCs w:val="28"/>
          <w:highlight w:val="none"/>
        </w:rPr>
        <w:t xml:space="preserve">：审查合格书办结后，向一体化平台推送合格书信息、专业技术人员明细表、违反强制性标准情况，并按单体工程反馈审图合格书编号及技术参数，同时通过消息接口告知建设单位及审批系统。</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接口技术</w:t>
      </w:r>
      <w:r>
        <w:rPr>
          <w:rFonts w:ascii="仿宋" w:hAnsi="仿宋" w:eastAsia="仿宋"/>
          <w:b/>
          <w:bCs/>
          <w:color w:val="000000"/>
          <w:sz w:val="28"/>
          <w:szCs w:val="28"/>
          <w:highlight w:val="none"/>
        </w:rPr>
        <w:t xml:space="preserve">要求</w:t>
      </w:r>
      <w:r>
        <w:rPr>
          <w:rFonts w:ascii="仿宋" w:hAnsi="仿宋" w:eastAsia="仿宋"/>
          <w:color w:val="000000"/>
          <w:sz w:val="28"/>
          <w:szCs w:val="28"/>
          <w:highlight w:val="none"/>
        </w:rPr>
        <w:t xml:space="preserve">：提供基础数据推送、单点登录审图系统、数据传送、数据获取、消息反馈、单体工程参数更新</w:t>
      </w:r>
      <w:r>
        <w:rPr>
          <w:rFonts w:hint="eastAsia" w:ascii="仿宋" w:hAnsi="仿宋" w:eastAsia="仿宋"/>
          <w:color w:val="000000"/>
          <w:sz w:val="28"/>
          <w:szCs w:val="28"/>
          <w:highlight w:val="none"/>
        </w:rPr>
        <w:t xml:space="preserve">等相关接口</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2.5.3电子发票管理</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实现施工图审查业务中电子发票的自动开具、推送、查看、下载及归档管理，覆盖建设单位与审查机构两端。</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建设单位开票信息管理</w:t>
      </w:r>
      <w:r>
        <w:rPr>
          <w:rFonts w:ascii="仿宋" w:hAnsi="仿宋" w:eastAsia="仿宋"/>
          <w:color w:val="000000"/>
          <w:sz w:val="28"/>
          <w:szCs w:val="28"/>
          <w:highlight w:val="none"/>
        </w:rPr>
        <w:t xml:space="preserve">：提供标准化表单供建设单位录入/编辑单位名称、纳税人识别号、地址电话、开户银行及账号等信息，前端对纳税人识别号格式进行校验，提交时通过第三方接口（如工商信息API）核验关键信息真实性，或支持手动审核流程。</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审查机构自动开票</w:t>
      </w:r>
      <w:r>
        <w:rPr>
          <w:rFonts w:ascii="仿宋" w:hAnsi="仿宋" w:eastAsia="仿宋"/>
          <w:color w:val="000000"/>
          <w:sz w:val="28"/>
          <w:szCs w:val="28"/>
          <w:highlight w:val="none"/>
        </w:rPr>
        <w:t xml:space="preserve">：在业务完成后，支持一键或按规则自动触发开票流程，调用第三方发票系统接口完成电子发票开具，并自动记录发票号码、开票日期、金额、税率等明细信息。</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电子发票自动推送</w:t>
      </w:r>
      <w:r>
        <w:rPr>
          <w:rFonts w:ascii="仿宋" w:hAnsi="仿宋" w:eastAsia="仿宋"/>
          <w:color w:val="000000"/>
          <w:sz w:val="28"/>
          <w:szCs w:val="28"/>
          <w:highlight w:val="none"/>
        </w:rPr>
        <w:t xml:space="preserve">：发票开具成功后，系统自动将电子发票推送至建设单位（通过邮箱、短信等方式），确保建设单位及时获取。</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建设单位发票中心</w:t>
      </w:r>
      <w:r>
        <w:rPr>
          <w:rFonts w:ascii="仿宋" w:hAnsi="仿宋" w:eastAsia="仿宋"/>
          <w:color w:val="000000"/>
          <w:sz w:val="28"/>
          <w:szCs w:val="28"/>
          <w:highlight w:val="none"/>
        </w:rPr>
        <w:t xml:space="preserve">：为建设单位提供统一的“我的发票”功能模块，支持在线预览已开具的电子发票。</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电子发票下载</w:t>
      </w:r>
      <w:r>
        <w:rPr>
          <w:rFonts w:ascii="仿宋" w:hAnsi="仿宋" w:eastAsia="仿宋"/>
          <w:color w:val="000000"/>
          <w:sz w:val="28"/>
          <w:szCs w:val="28"/>
          <w:highlight w:val="none"/>
        </w:rPr>
        <w:t xml:space="preserve">：支持建设单位在线下载电子发票PDF文件，文件命名规则为“{单位名称}{发票号码}{开票日期}.pdf”，便于本地保存与管理。</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审查机构发票归档</w:t>
      </w:r>
      <w:r>
        <w:rPr>
          <w:rFonts w:ascii="仿宋" w:hAnsi="仿宋" w:eastAsia="仿宋"/>
          <w:color w:val="000000"/>
          <w:sz w:val="28"/>
          <w:szCs w:val="28"/>
          <w:highlight w:val="none"/>
        </w:rPr>
        <w:t xml:space="preserve">：为审查机构提供发票数据的归档、查询及统计功能，支持手动或按规则（如开票超过1年）将发票标记为“已归档”状态，对不同状态的发票设置差异化管理策略（如归档后仅支持查看，不支持修改），满足内部财务管理与审计要求。</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2.5.4城市更新改造项目审查管理</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实现城市更新改造项目全流程在线管理，涵盖项目登记、图纸上传、报审、受理、收费、任务分派、技术审查、意见管理、告知书办理及图纸盖章归档等环节。</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项目登记</w:t>
      </w:r>
      <w:r>
        <w:rPr>
          <w:rFonts w:ascii="仿宋" w:hAnsi="仿宋" w:eastAsia="仿宋"/>
          <w:color w:val="000000"/>
          <w:sz w:val="28"/>
          <w:szCs w:val="28"/>
          <w:highlight w:val="none"/>
        </w:rPr>
        <w:t xml:space="preserve">：提供城市更新改造项目登记功能，建设单位选择“设计-南京既有建筑改造工程”类别，填报项目基本信息（项目名称、代码、所属地区等）、项目概况（工程类别、改造类别、设计等级、建筑面积等）及单体工程信息，提交至设计单位。</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图纸上传</w:t>
      </w:r>
      <w:r>
        <w:rPr>
          <w:rFonts w:ascii="仿宋" w:hAnsi="仿宋" w:eastAsia="仿宋"/>
          <w:color w:val="000000"/>
          <w:sz w:val="28"/>
          <w:szCs w:val="28"/>
          <w:highlight w:val="none"/>
        </w:rPr>
        <w:t xml:space="preserve">：设计单位按照技术材料清单上传设计文件后，提交返回建设单位。</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项目报审</w:t>
      </w:r>
      <w:r>
        <w:rPr>
          <w:rFonts w:ascii="仿宋" w:hAnsi="仿宋" w:eastAsia="仿宋"/>
          <w:color w:val="000000"/>
          <w:sz w:val="28"/>
          <w:szCs w:val="28"/>
          <w:highlight w:val="none"/>
        </w:rPr>
        <w:t xml:space="preserve">：建设单位补充确认材料无误后，将项目送审至中心窗口。</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项目受理</w:t>
      </w:r>
      <w:r>
        <w:rPr>
          <w:rFonts w:ascii="仿宋" w:hAnsi="仿宋" w:eastAsia="仿宋"/>
          <w:color w:val="000000"/>
          <w:sz w:val="28"/>
          <w:szCs w:val="28"/>
          <w:highlight w:val="none"/>
        </w:rPr>
        <w:t xml:space="preserve">：对政策性材料和技术性材料进行收件核查，材料齐全且符合要求的及时受理；材料不全或不符合要求的一次性告知并反馈。技术服务不通过的项目，提交整改文件后及时受理回复。</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技术服务收费</w:t>
      </w:r>
      <w:r>
        <w:rPr>
          <w:rFonts w:ascii="仿宋" w:hAnsi="仿宋" w:eastAsia="仿宋"/>
          <w:color w:val="000000"/>
          <w:sz w:val="28"/>
          <w:szCs w:val="28"/>
          <w:highlight w:val="none"/>
        </w:rPr>
        <w:t xml:space="preserve">：项目受理后，在规定时限内出具《技术服务收费单》，受理一次回复前完成收费确认。</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任务分派</w:t>
      </w:r>
      <w:r>
        <w:rPr>
          <w:rFonts w:ascii="仿宋" w:hAnsi="仿宋" w:eastAsia="仿宋"/>
          <w:color w:val="000000"/>
          <w:sz w:val="28"/>
          <w:szCs w:val="28"/>
          <w:highlight w:val="none"/>
        </w:rPr>
        <w:t xml:space="preserve">：从中心全职专家或“市既有建筑维修改造项目施工图设计论证专家库”中为项目选取审查专家，明确技术审查时限。</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技术审查</w:t>
      </w:r>
      <w:r>
        <w:rPr>
          <w:rFonts w:ascii="仿宋" w:hAnsi="仿宋" w:eastAsia="仿宋"/>
          <w:color w:val="000000"/>
          <w:sz w:val="28"/>
          <w:szCs w:val="28"/>
          <w:highlight w:val="none"/>
        </w:rPr>
        <w:t xml:space="preserve">：收到图纸等材料后，按要求开展技术性审查，在8个工作日内提交技术服务意见。</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意见管理</w:t>
      </w:r>
      <w:r>
        <w:rPr>
          <w:rFonts w:ascii="仿宋" w:hAnsi="仿宋" w:eastAsia="仿宋"/>
          <w:color w:val="000000"/>
          <w:sz w:val="28"/>
          <w:szCs w:val="28"/>
          <w:highlight w:val="none"/>
        </w:rPr>
        <w:t xml:space="preserve">：各专业技术服务意见提交后，对《意见书》进行校核、审核和审定，并加盖技术服务专用章。</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告知书办理</w:t>
      </w:r>
      <w:r>
        <w:rPr>
          <w:rFonts w:ascii="仿宋" w:hAnsi="仿宋" w:eastAsia="仿宋"/>
          <w:color w:val="000000"/>
          <w:sz w:val="28"/>
          <w:szCs w:val="28"/>
          <w:highlight w:val="none"/>
        </w:rPr>
        <w:t xml:space="preserve">：技术性审查通过且政策性材料审核通过后，办理《施工图设计文件技术审查通过告知书》，审批后加盖公章。</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图纸盖章及归档</w:t>
      </w:r>
      <w:r>
        <w:rPr>
          <w:rFonts w:ascii="仿宋" w:hAnsi="仿宋" w:eastAsia="仿宋"/>
          <w:color w:val="000000"/>
          <w:sz w:val="28"/>
          <w:szCs w:val="28"/>
          <w:highlight w:val="none"/>
        </w:rPr>
        <w:t xml:space="preserve">：对通过技术性审查的项目，图纸加盖技术服务专用章（长条章）并按规定归档。</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2.5.5一对一整改回复</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实现审查意见的结构化逐条在线回复，支持设计单位精准整改、审查人员高效复核，提升审查意见回复的完整性与准确性。</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一对一在线回复</w:t>
      </w:r>
      <w:r>
        <w:rPr>
          <w:rFonts w:ascii="仿宋" w:hAnsi="仿宋" w:eastAsia="仿宋"/>
          <w:color w:val="000000"/>
          <w:sz w:val="28"/>
          <w:szCs w:val="28"/>
          <w:highlight w:val="none"/>
        </w:rPr>
        <w:t xml:space="preserve">：审查机构完成图纸审查并发放审查意见书后，设计单位需对审查人员提出的每条意见逐项在线回复，进行详细说明。系统提供结构化回复界面，确保意见无遗漏。</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自动生成审查回复意见书</w:t>
      </w:r>
      <w:r>
        <w:rPr>
          <w:rFonts w:ascii="仿宋" w:hAnsi="仿宋" w:eastAsia="仿宋"/>
          <w:color w:val="000000"/>
          <w:sz w:val="28"/>
          <w:szCs w:val="28"/>
          <w:highlight w:val="none"/>
        </w:rPr>
        <w:t xml:space="preserve">：系统根据设计单位填写的结构化回复数据，自动生成审查回复意见书，由设计单位盖章后上传，有效规避遗漏回复，提高回复准确性。</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精准定位图纸变更部位</w:t>
      </w:r>
      <w:r>
        <w:rPr>
          <w:rFonts w:ascii="仿宋" w:hAnsi="仿宋" w:eastAsia="仿宋"/>
          <w:color w:val="000000"/>
          <w:sz w:val="28"/>
          <w:szCs w:val="28"/>
          <w:highlight w:val="none"/>
        </w:rPr>
        <w:t xml:space="preserve">：支持两种查看方式——审查人员打开图纸后双击批注标识，在批注旁弹出意见明细及回复内容；或双击审查意见列表，快速打开对应图纸并精准定位批注部位，便于确认整改是否到位，提高审查效率。</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批量替换图纸</w:t>
      </w:r>
      <w:r>
        <w:rPr>
          <w:rFonts w:ascii="仿宋" w:hAnsi="仿宋" w:eastAsia="仿宋"/>
          <w:color w:val="000000"/>
          <w:sz w:val="28"/>
          <w:szCs w:val="28"/>
          <w:highlight w:val="none"/>
        </w:rPr>
        <w:t xml:space="preserve">：设计单位可按专业批量选取需整改的图纸文件，系统根据图纸名称属性自动匹配上一轮图纸并建立关联关系，对匹配存在问题的图纸进行预警提示，实现批量整改替换。</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2.5.6跨专业关联图纸协同管理</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实现跨专业图纸变更的协同管理，支持变更申请、专业审核、轮次更新、图纸整改、版本追溯等功能，保障多专业间图纸变更的协调一致。</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发起关联图纸变更申请</w:t>
      </w:r>
      <w:r>
        <w:rPr>
          <w:rFonts w:ascii="仿宋" w:hAnsi="仿宋" w:eastAsia="仿宋"/>
          <w:color w:val="000000"/>
          <w:sz w:val="28"/>
          <w:szCs w:val="28"/>
          <w:highlight w:val="none"/>
        </w:rPr>
        <w:t xml:space="preserve">：项目管理人可在项目详情页、图纸库或具体图纸详情页发起关联变更，填写变更申请单，包含项目信息、变更所涉专业、图纸编号及名称、当前轮次、变更原因等内容。</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专业总工审核</w:t>
      </w:r>
      <w:r>
        <w:rPr>
          <w:rFonts w:ascii="仿宋" w:hAnsi="仿宋" w:eastAsia="仿宋"/>
          <w:color w:val="000000"/>
          <w:sz w:val="28"/>
          <w:szCs w:val="28"/>
          <w:highlight w:val="none"/>
        </w:rPr>
        <w:t xml:space="preserve">：专业总工在待办任务中查看变更申请，进入审核详情页进行审核。</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系统自动轮次更新与状态流转</w:t>
      </w:r>
      <w:r>
        <w:rPr>
          <w:rFonts w:ascii="仿宋" w:hAnsi="仿宋" w:eastAsia="仿宋"/>
          <w:color w:val="000000"/>
          <w:sz w:val="28"/>
          <w:szCs w:val="28"/>
          <w:highlight w:val="none"/>
        </w:rPr>
        <w:t xml:space="preserve">：所有关联专业总工审批通过后，系统自动为所有关联图纸创建新的协同轮次（与变更申请单号绑定），并将变更单状态更新为“待整改”，自动通知关联专业设计人员进入整改环节。</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设计院替换关联图纸</w:t>
      </w:r>
      <w:r>
        <w:rPr>
          <w:rFonts w:ascii="仿宋" w:hAnsi="仿宋" w:eastAsia="仿宋"/>
          <w:color w:val="000000"/>
          <w:sz w:val="28"/>
          <w:szCs w:val="28"/>
          <w:highlight w:val="none"/>
        </w:rPr>
        <w:t xml:space="preserve">：设计院在“待整改”任务列表中查看需整改图纸，通过上传新版本功能替换图纸，系统自动继承原图纸元数据并附上新的协同轮次号，保留所有历史版本以确保可追溯。</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提交整改进入审查</w:t>
      </w:r>
      <w:r>
        <w:rPr>
          <w:rFonts w:ascii="仿宋" w:hAnsi="仿宋" w:eastAsia="仿宋"/>
          <w:color w:val="000000"/>
          <w:sz w:val="28"/>
          <w:szCs w:val="28"/>
          <w:highlight w:val="none"/>
        </w:rPr>
        <w:t xml:space="preserve">：设计院上传整改图纸及回复意见书后，提交整改，任务状态变更为“已整改”，重新进入审查环节。</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操作日志记录</w:t>
      </w:r>
      <w:r>
        <w:rPr>
          <w:rFonts w:ascii="仿宋" w:hAnsi="仿宋" w:eastAsia="仿宋"/>
          <w:color w:val="000000"/>
          <w:sz w:val="28"/>
          <w:szCs w:val="28"/>
          <w:highlight w:val="none"/>
        </w:rPr>
        <w:t xml:space="preserve">：为每一条关联图纸变更申请建立独立完整的操作日志，记录从创建到关闭的关键操作，包括操作时间、操作人、操作内容及备注意见，确保全过程可追溯。</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2.5.7全过程图纸版本更替管理</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实现图纸版本更替的全流程闭环管理，涵盖换图申请、审核审批、图纸替换、项目提交及历史追溯，确保图纸版本变更过程规范、可追溯。</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审查人员发起换图申请</w:t>
      </w:r>
      <w:r>
        <w:rPr>
          <w:rFonts w:ascii="仿宋" w:hAnsi="仿宋" w:eastAsia="仿宋"/>
          <w:color w:val="000000"/>
          <w:sz w:val="28"/>
          <w:szCs w:val="28"/>
          <w:highlight w:val="none"/>
        </w:rPr>
        <w:t xml:space="preserve">：审查人员在图纸列表或图纸详情页发起换图申请，系统自动带入项目名称、编号、图纸编号及版本、申请人等基础信息，提交后申请状态变更为“待审核”。</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审查机构端换图申请审核</w:t>
      </w:r>
      <w:r>
        <w:rPr>
          <w:rFonts w:ascii="仿宋" w:hAnsi="仿宋" w:eastAsia="仿宋"/>
          <w:color w:val="000000"/>
          <w:sz w:val="28"/>
          <w:szCs w:val="28"/>
          <w:highlight w:val="none"/>
        </w:rPr>
        <w:t xml:space="preserve">：审核人在“待我审核”列表中查看申请，进入详情页进行审核。审核通过则流转至下一环节（待审批）；驳回须填写具体理由，申请状态变更为“已驳回”，退回申请人。</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审查机构端换图申请审批</w:t>
      </w:r>
      <w:r>
        <w:rPr>
          <w:rFonts w:ascii="仿宋" w:hAnsi="仿宋" w:eastAsia="仿宋"/>
          <w:color w:val="000000"/>
          <w:sz w:val="28"/>
          <w:szCs w:val="28"/>
          <w:highlight w:val="none"/>
        </w:rPr>
        <w:t xml:space="preserve">：审批人在“待我审批”列表中查看申请，集中展示申请信息及审核意见。批准则状态变更为“已批准，待替换”，系统自动通知设计单位；拒绝须填写专业审批意见，状态变更为“已拒绝”，流程终止并通知相关方。</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设计单位端图纸替换</w:t>
      </w:r>
      <w:r>
        <w:rPr>
          <w:rFonts w:ascii="仿宋" w:hAnsi="仿宋" w:eastAsia="仿宋"/>
          <w:color w:val="000000"/>
          <w:sz w:val="28"/>
          <w:szCs w:val="28"/>
          <w:highlight w:val="none"/>
        </w:rPr>
        <w:t xml:space="preserve">：设计单位收到替换待办通知后，进入替换确认页面查看申请详情及审批意见，点击“确认替换”后系统自动执行：将当前版本移至历史版本库并标注替换标签，新图纸文件设置为当前有效版本，申请状态更新为“已替换完成”，并建立新版本与换图流程的关联记录。</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换图项目提交</w:t>
      </w:r>
      <w:r>
        <w:rPr>
          <w:rFonts w:ascii="仿宋" w:hAnsi="仿宋" w:eastAsia="仿宋"/>
          <w:color w:val="000000"/>
          <w:sz w:val="28"/>
          <w:szCs w:val="28"/>
          <w:highlight w:val="none"/>
        </w:rPr>
        <w:t xml:space="preserve">：图纸替换完成后，将此次变更作为正式项目节点提交，触发后续工作流（如重新审查、归档等）。</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换图项目历史追溯查询</w:t>
      </w:r>
      <w:r>
        <w:rPr>
          <w:rFonts w:ascii="仿宋" w:hAnsi="仿宋" w:eastAsia="仿宋"/>
          <w:color w:val="000000"/>
          <w:sz w:val="28"/>
          <w:szCs w:val="28"/>
          <w:highlight w:val="none"/>
        </w:rPr>
        <w:t xml:space="preserve">：提供独立的“变更历史”查询模块，支持按条件查询换图流程记录，展示项目名称、图纸编号、变更版本、申请人、申请时间、最终状态等信息。</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2.6“卖旧买新”契税补贴资格管理功能模块</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在商品房备案系统中扩建“卖旧买新”契税补贴资格管理功能模块，实现存量房信息管理、商品房信息管理、不动产登记信息管理、家庭成员信息管理、契税补贴业务管理、商品房合同变更注销接口、权限管理及表格打印导出等功能，支撑契税补贴资格审核、业务办理与发放全过程。</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存量房信息管理</w:t>
      </w:r>
      <w:r>
        <w:rPr>
          <w:rFonts w:ascii="仿宋" w:hAnsi="仿宋" w:eastAsia="仿宋"/>
          <w:color w:val="000000"/>
          <w:sz w:val="28"/>
          <w:szCs w:val="28"/>
          <w:highlight w:val="none"/>
        </w:rPr>
        <w:t xml:space="preserve">：支持录入存量房买卖合同编号及出卖方姓名，通过网签备案验证接口核验合同真实性，验证成功后展示房屋坐落、面积、买卖双方、网签备案时间及合同状态；通过转移登记核验接口查询不动产登记状态，对2023年1月1日后完成转移登记的，展示转移登记时间及原产权人、现产权人信息。</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商品房信息管理</w:t>
      </w:r>
      <w:r>
        <w:rPr>
          <w:rFonts w:ascii="仿宋" w:hAnsi="仿宋" w:eastAsia="仿宋"/>
          <w:color w:val="000000"/>
          <w:sz w:val="28"/>
          <w:szCs w:val="28"/>
          <w:highlight w:val="none"/>
        </w:rPr>
        <w:t xml:space="preserve">：支持录入商品房买卖合同备案号及买受方姓名，通过网签备案验证接口核验合同真实性，对2024年5月1日后网签备案的，展示房屋坐落、面积、买卖双方、网签备案时间及合同状态。</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不动产登记信息管理</w:t>
      </w:r>
      <w:r>
        <w:rPr>
          <w:rFonts w:ascii="仿宋" w:hAnsi="仿宋" w:eastAsia="仿宋"/>
          <w:color w:val="000000"/>
          <w:sz w:val="28"/>
          <w:szCs w:val="28"/>
          <w:highlight w:val="none"/>
        </w:rPr>
        <w:t xml:space="preserve">：通过转移登记核验接口查询不动产登记状态，对已登记的展示转移登记时间及房屋产权人信息。</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家庭成员信息管理</w:t>
      </w:r>
      <w:r>
        <w:rPr>
          <w:rFonts w:ascii="仿宋" w:hAnsi="仿宋" w:eastAsia="仿宋"/>
          <w:color w:val="000000"/>
          <w:sz w:val="28"/>
          <w:szCs w:val="28"/>
          <w:highlight w:val="none"/>
        </w:rPr>
        <w:t xml:space="preserve">：支持补充录入申请人家庭成员信息，通过家庭成员姓名及证件号码查询同一新建商品住房项目下2024年5月1日后的商品房合同网签注销记录并展示。</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契税补贴业务管理</w:t>
      </w:r>
      <w:r>
        <w:rPr>
          <w:rFonts w:ascii="仿宋" w:hAnsi="仿宋" w:eastAsia="仿宋"/>
          <w:color w:val="000000"/>
          <w:sz w:val="28"/>
          <w:szCs w:val="28"/>
          <w:highlight w:val="none"/>
        </w:rPr>
        <w:t xml:space="preserve">：包含银行账户信息管理（增删改）、契税补贴业务撤销管理（审核并撤销）、契税补贴业务审核管理、契税补贴发放管理（审核通过后公示）、申请表打印管理。进入资格审核确认页面后，汇总展示查验获取的关键信息，审核人员选择“通过”或“不通过”，审核通过的系统自动生成业务编号，支持后续查询。</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商品房合同变更注销信息接口</w:t>
      </w:r>
      <w:r>
        <w:rPr>
          <w:rFonts w:ascii="仿宋" w:hAnsi="仿宋" w:eastAsia="仿宋"/>
          <w:color w:val="000000"/>
          <w:sz w:val="28"/>
          <w:szCs w:val="28"/>
          <w:highlight w:val="none"/>
        </w:rPr>
        <w:t xml:space="preserve">：提供查询商品房合同变更和注销记录的功能接口。</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权限管理</w:t>
      </w:r>
      <w:r>
        <w:rPr>
          <w:rFonts w:ascii="仿宋" w:hAnsi="仿宋" w:eastAsia="仿宋"/>
          <w:color w:val="000000"/>
          <w:sz w:val="28"/>
          <w:szCs w:val="28"/>
          <w:highlight w:val="none"/>
        </w:rPr>
        <w:t xml:space="preserve">：增加菜单权限管理功能，支持对各区住建局工作人员进行权限分配管理。</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表格打印及导出</w:t>
      </w:r>
      <w:r>
        <w:rPr>
          <w:rFonts w:ascii="仿宋" w:hAnsi="仿宋" w:eastAsia="仿宋"/>
          <w:color w:val="000000"/>
          <w:sz w:val="28"/>
          <w:szCs w:val="28"/>
          <w:highlight w:val="none"/>
        </w:rPr>
        <w:t xml:space="preserve">：支持各类表格的打印与导出功能，提供标准模板。</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政策补贴标准</w:t>
      </w:r>
      <w:r>
        <w:rPr>
          <w:rFonts w:ascii="仿宋" w:hAnsi="仿宋" w:eastAsia="仿宋"/>
          <w:color w:val="000000"/>
          <w:sz w:val="28"/>
          <w:szCs w:val="28"/>
          <w:highlight w:val="none"/>
        </w:rPr>
        <w:t xml:space="preserve">：系统需内嵌政策规则——出售自有住房时间须在2023年1月1日后，购买新建商品住房时间须在2024年5月1日后；2024年5月1日至8月31日购买新房的，给予契税50%补贴（144平方米及以上再给予50%）；2024年9月1日至12月31日购买新房的，给予契税40%补贴（144平方米及以上再给予40%）；单套补贴总额最高不超过10万元。系统自动根据购房时间、建筑面积计算补贴金额，并支持取得不动产权证未满2年的商品住房转让情形。</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三、系统性能需求</w:t>
      </w:r>
      <w:r>
        <w:rPr>
          <w:rFonts w:hint="eastAsia" w:ascii="仿宋" w:hAnsi="仿宋" w:eastAsia="仿宋"/>
          <w:b/>
          <w:bCs/>
          <w:color w:val="000000"/>
          <w:sz w:val="28"/>
          <w:szCs w:val="36"/>
          <w:highlight w:val="none"/>
        </w:rPr>
      </w:r>
      <w:r/>
    </w:p>
    <w:p>
      <w:pPr>
        <w:pStyle w:val="888"/>
        <w:ind w:firstLine="420"/>
        <w:spacing w:line="520" w:lineRule="exact"/>
        <w:rPr>
          <w:rFonts w:hint="eastAsia" w:ascii="仿宋" w:hAnsi="仿宋" w:eastAsia="仿宋"/>
          <w:color w:val="000000"/>
          <w:highlight w:val="none"/>
        </w:rPr>
      </w:pPr>
      <w:r>
        <w:rPr>
          <w:rFonts w:hint="eastAsia" w:ascii="仿宋" w:hAnsi="仿宋" w:eastAsia="仿宋"/>
          <w:color w:val="000000"/>
          <w:highlight w:val="none"/>
        </w:rPr>
        <w:t xml:space="preserve">智慧住建业务平台性能需求如下：</w:t>
      </w:r>
      <w:r>
        <w:rPr>
          <w:rFonts w:hint="eastAsia" w:ascii="仿宋" w:hAnsi="仿宋" w:eastAsia="仿宋"/>
          <w:color w:val="000000"/>
          <w:highlight w:val="none"/>
        </w:rPr>
      </w:r>
      <w:r/>
    </w:p>
    <w:tbl>
      <w:tblPr>
        <w:tblW w:w="8730" w:type="dxa"/>
        <w:tblInd w:w="-60" w:type="dxa"/>
        <w:tblLayout w:type="autofit"/>
        <w:tblCellMar>
          <w:left w:w="60" w:type="dxa"/>
          <w:top w:w="60" w:type="dxa"/>
          <w:right w:w="60" w:type="dxa"/>
          <w:bottom w:w="45" w:type="dxa"/>
        </w:tblCellMar>
        <w:tblLook w:val="04A0" w:firstRow="1" w:lastRow="0" w:firstColumn="1" w:lastColumn="0" w:noHBand="0" w:noVBand="1"/>
      </w:tblPr>
      <w:tblGrid>
        <w:gridCol w:w="2656"/>
        <w:gridCol w:w="6074"/>
      </w:tblGrid>
      <w:tr>
        <w:trPr>
          <w:trHeight w:val="405"/>
        </w:trPr>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项目</w:t>
            </w:r>
            <w:r>
              <w:rPr>
                <w:rFonts w:hint="eastAsia" w:ascii="仿宋" w:hAnsi="仿宋" w:eastAsia="仿宋" w:cs="宋体"/>
                <w:color w:val="000000"/>
                <w:sz w:val="24"/>
                <w:szCs w:val="24"/>
                <w:highlight w:val="none"/>
              </w:rPr>
            </w:r>
            <w:r/>
          </w:p>
        </w:tc>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指标</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200个，各类企业用户</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峰值并发用户数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500个</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&lt;5秒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页面加载最大时间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&lt;10秒</w:t>
            </w:r>
            <w:r>
              <w:rPr>
                <w:rFonts w:hint="eastAsia" w:ascii="仿宋" w:hAnsi="仿宋" w:eastAsia="仿宋" w:cs="宋体"/>
                <w:color w:val="000000"/>
                <w:sz w:val="24"/>
                <w:szCs w:val="24"/>
                <w:highlight w:val="none"/>
              </w:rPr>
            </w:r>
            <w:r/>
          </w:p>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复杂报表&lt;30秒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系统可用率</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&gt;95%</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浏览器支持</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支持Edge，Chrome，Firefox，</w:t>
            </w:r>
            <w:r>
              <w:rPr>
                <w:rFonts w:ascii="仿宋" w:hAnsi="仿宋" w:eastAsia="仿宋" w:cs="宋体"/>
                <w:color w:val="000000"/>
                <w:sz w:val="24"/>
                <w:szCs w:val="24"/>
                <w:highlight w:val="none"/>
              </w:rPr>
              <w:t xml:space="preserve">奇安信</w:t>
            </w:r>
            <w:r>
              <w:rPr>
                <w:rFonts w:hint="eastAsia" w:ascii="仿宋" w:hAnsi="仿宋" w:eastAsia="仿宋" w:cs="宋体"/>
                <w:color w:val="000000"/>
                <w:sz w:val="24"/>
                <w:szCs w:val="24"/>
                <w:highlight w:val="none"/>
              </w:rPr>
              <w:t xml:space="preserve">，360等主流浏览器较新版本</w:t>
            </w:r>
            <w:r>
              <w:rPr>
                <w:rFonts w:hint="eastAsia" w:ascii="仿宋" w:hAnsi="仿宋" w:eastAsia="仿宋" w:cs="宋体"/>
                <w:color w:val="000000"/>
                <w:sz w:val="24"/>
                <w:szCs w:val="24"/>
                <w:highlight w:val="none"/>
              </w:rPr>
            </w:r>
            <w:r/>
          </w:p>
        </w:tc>
      </w:tr>
    </w:tbl>
    <w:p>
      <w:pPr>
        <w:pStyle w:val="888"/>
        <w:ind w:firstLine="420"/>
        <w:spacing w:line="520" w:lineRule="exact"/>
        <w:rPr>
          <w:rFonts w:hint="eastAsia" w:ascii="仿宋" w:hAnsi="仿宋" w:eastAsia="仿宋"/>
          <w:color w:val="000000"/>
          <w:highlight w:val="none"/>
        </w:rPr>
      </w:pPr>
      <w:r>
        <w:rPr>
          <w:rFonts w:hint="eastAsia" w:ascii="仿宋" w:hAnsi="仿宋" w:eastAsia="仿宋"/>
          <w:color w:val="000000"/>
          <w:highlight w:val="none"/>
        </w:rPr>
        <w:t xml:space="preserve">建筑工地智慧监管子系统性能需求如下：</w:t>
      </w:r>
      <w:r>
        <w:rPr>
          <w:rFonts w:hint="eastAsia" w:ascii="仿宋" w:hAnsi="仿宋" w:eastAsia="仿宋"/>
          <w:color w:val="000000"/>
          <w:highlight w:val="none"/>
        </w:rPr>
      </w:r>
      <w:r/>
    </w:p>
    <w:tbl>
      <w:tblPr>
        <w:tblW w:w="8730" w:type="dxa"/>
        <w:tblInd w:w="-60" w:type="dxa"/>
        <w:tblLayout w:type="autofit"/>
        <w:tblCellMar>
          <w:left w:w="60" w:type="dxa"/>
          <w:top w:w="60" w:type="dxa"/>
          <w:right w:w="60" w:type="dxa"/>
          <w:bottom w:w="45" w:type="dxa"/>
        </w:tblCellMar>
        <w:tblLook w:val="04A0" w:firstRow="1" w:lastRow="0" w:firstColumn="1" w:lastColumn="0" w:noHBand="0" w:noVBand="1"/>
      </w:tblPr>
      <w:tblGrid>
        <w:gridCol w:w="2656"/>
        <w:gridCol w:w="6074"/>
      </w:tblGrid>
      <w:tr>
        <w:trPr>
          <w:trHeight w:val="405"/>
        </w:trPr>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项目</w:t>
            </w:r>
            <w:r>
              <w:rPr>
                <w:rFonts w:hint="eastAsia" w:ascii="仿宋" w:hAnsi="仿宋" w:eastAsia="仿宋" w:cs="宋体"/>
                <w:color w:val="000000"/>
                <w:sz w:val="24"/>
                <w:szCs w:val="24"/>
                <w:highlight w:val="none"/>
              </w:rPr>
            </w:r>
            <w:r/>
          </w:p>
        </w:tc>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指标</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883"/>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并发用户数</w:t>
            </w:r>
            <w:r>
              <w:rPr>
                <w:rFonts w:hint="eastAsia" w:ascii="仿宋" w:hAnsi="仿宋" w:eastAsia="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883"/>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10个，主要是内部用户使用</w:t>
            </w:r>
            <w:r>
              <w:rPr>
                <w:rFonts w:hint="eastAsia" w:ascii="仿宋" w:hAnsi="仿宋" w:eastAsia="仿宋"/>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883"/>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峰值并发用户数</w:t>
            </w:r>
            <w:r>
              <w:rPr>
                <w:rFonts w:hint="eastAsia" w:ascii="仿宋" w:hAnsi="仿宋" w:eastAsia="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883"/>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20个</w:t>
            </w:r>
            <w:r>
              <w:rPr>
                <w:rFonts w:hint="eastAsia" w:ascii="仿宋" w:hAnsi="仿宋" w:eastAsia="仿宋"/>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883"/>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页面加载时间</w:t>
            </w:r>
            <w:r>
              <w:rPr>
                <w:rFonts w:hint="eastAsia" w:ascii="仿宋" w:hAnsi="仿宋" w:eastAsia="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883"/>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&lt;5秒</w:t>
            </w:r>
            <w:r>
              <w:rPr>
                <w:rFonts w:hint="eastAsia" w:ascii="仿宋" w:hAnsi="仿宋" w:eastAsia="仿宋"/>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883"/>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页面加载最大时间</w:t>
            </w:r>
            <w:r>
              <w:rPr>
                <w:rFonts w:hint="eastAsia" w:ascii="仿宋" w:hAnsi="仿宋" w:eastAsia="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883"/>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&lt;10秒</w:t>
            </w:r>
            <w:r>
              <w:rPr>
                <w:rFonts w:hint="eastAsia" w:ascii="仿宋" w:hAnsi="仿宋" w:eastAsia="仿宋"/>
                <w:color w:val="000000"/>
                <w:sz w:val="24"/>
                <w:szCs w:val="24"/>
                <w:highlight w:val="none"/>
              </w:rPr>
            </w:r>
            <w:r/>
          </w:p>
          <w:p>
            <w:pPr>
              <w:pStyle w:val="883"/>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复杂报表&lt;30秒</w:t>
            </w:r>
            <w:r>
              <w:rPr>
                <w:rFonts w:hint="eastAsia" w:ascii="仿宋" w:hAnsi="仿宋" w:eastAsia="仿宋"/>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883"/>
              <w:jc w:val="center"/>
              <w:spacing w:line="520" w:lineRule="exact"/>
              <w:rPr>
                <w:rFonts w:hint="eastAsia" w:ascii="仿宋" w:hAnsi="仿宋" w:eastAsia="仿宋"/>
                <w:color w:val="000000"/>
                <w:sz w:val="24"/>
                <w:szCs w:val="24"/>
                <w:highlight w:val="none"/>
              </w:rPr>
            </w:pPr>
            <w:r>
              <w:rPr>
                <w:rFonts w:ascii="仿宋" w:hAnsi="仿宋" w:eastAsia="仿宋"/>
                <w:color w:val="000000"/>
                <w:sz w:val="24"/>
                <w:szCs w:val="24"/>
                <w:highlight w:val="none"/>
              </w:rPr>
              <w:t xml:space="preserve">系统可用率</w:t>
            </w:r>
            <w:r>
              <w:rPr>
                <w:rFonts w:hint="eastAsia" w:ascii="仿宋" w:hAnsi="仿宋" w:eastAsia="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883"/>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&gt;95%</w:t>
            </w:r>
            <w:r>
              <w:rPr>
                <w:rFonts w:hint="eastAsia" w:ascii="仿宋" w:hAnsi="仿宋" w:eastAsia="仿宋"/>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883"/>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浏览器支持</w:t>
            </w:r>
            <w:r>
              <w:rPr>
                <w:rFonts w:hint="eastAsia" w:ascii="仿宋" w:hAnsi="仿宋" w:eastAsia="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883"/>
              <w:jc w:val="center"/>
              <w:spacing w:line="520" w:lineRule="exact"/>
              <w:rPr>
                <w:rFonts w:hint="eastAsia" w:ascii="仿宋" w:hAnsi="仿宋" w:eastAsia="仿宋"/>
                <w:color w:val="000000"/>
                <w:sz w:val="24"/>
                <w:szCs w:val="24"/>
                <w:highlight w:val="none"/>
              </w:rPr>
            </w:pPr>
            <w:r>
              <w:rPr>
                <w:rFonts w:hint="eastAsia" w:ascii="仿宋" w:hAnsi="仿宋" w:eastAsia="仿宋" w:cs="宋体"/>
                <w:color w:val="000000"/>
                <w:sz w:val="24"/>
                <w:szCs w:val="24"/>
                <w:highlight w:val="none"/>
              </w:rPr>
              <w:t xml:space="preserve">支持Edge，Chrome，Firefox，</w:t>
            </w:r>
            <w:r>
              <w:rPr>
                <w:rFonts w:ascii="仿宋" w:hAnsi="仿宋" w:eastAsia="仿宋" w:cs="宋体"/>
                <w:color w:val="000000"/>
                <w:sz w:val="24"/>
                <w:szCs w:val="24"/>
                <w:highlight w:val="none"/>
              </w:rPr>
              <w:t xml:space="preserve">奇安信</w:t>
            </w:r>
            <w:r>
              <w:rPr>
                <w:rFonts w:hint="eastAsia" w:ascii="仿宋" w:hAnsi="仿宋" w:eastAsia="仿宋" w:cs="宋体"/>
                <w:color w:val="000000"/>
                <w:sz w:val="24"/>
                <w:szCs w:val="24"/>
                <w:highlight w:val="none"/>
              </w:rPr>
              <w:t xml:space="preserve">，360等主流浏览器较新版本</w:t>
            </w:r>
            <w:r>
              <w:rPr>
                <w:rFonts w:hint="eastAsia" w:ascii="仿宋" w:hAnsi="仿宋" w:eastAsia="仿宋"/>
                <w:color w:val="000000"/>
                <w:sz w:val="24"/>
                <w:szCs w:val="24"/>
                <w:highlight w:val="none"/>
              </w:rPr>
            </w:r>
            <w:r/>
          </w:p>
        </w:tc>
      </w:tr>
    </w:tbl>
    <w:p>
      <w:pPr>
        <w:pStyle w:val="888"/>
        <w:ind w:firstLine="420"/>
        <w:spacing w:line="520" w:lineRule="exact"/>
        <w:rPr>
          <w:rFonts w:hint="eastAsia" w:ascii="仿宋" w:hAnsi="仿宋" w:eastAsia="仿宋"/>
          <w:color w:val="000000"/>
          <w:highlight w:val="none"/>
        </w:rPr>
      </w:pPr>
      <w:r>
        <w:rPr>
          <w:rFonts w:hint="eastAsia" w:ascii="仿宋" w:hAnsi="仿宋" w:eastAsia="仿宋"/>
          <w:color w:val="000000"/>
          <w:highlight w:val="none"/>
        </w:rPr>
        <w:t xml:space="preserve">城市基础设施配套费征收系统性能需求如下：</w:t>
      </w:r>
      <w:r>
        <w:rPr>
          <w:rFonts w:hint="eastAsia" w:ascii="仿宋" w:hAnsi="仿宋" w:eastAsia="仿宋"/>
          <w:color w:val="000000"/>
          <w:highlight w:val="none"/>
        </w:rPr>
      </w:r>
      <w:r/>
    </w:p>
    <w:tbl>
      <w:tblPr>
        <w:tblW w:w="8730" w:type="dxa"/>
        <w:jc w:val="center"/>
        <w:tblInd w:w="-60" w:type="dxa"/>
        <w:tblLayout w:type="autofit"/>
        <w:tblCellMar>
          <w:left w:w="60" w:type="dxa"/>
          <w:top w:w="60" w:type="dxa"/>
          <w:right w:w="60" w:type="dxa"/>
          <w:bottom w:w="45" w:type="dxa"/>
        </w:tblCellMar>
        <w:tblLook w:val="04A0" w:firstRow="1" w:lastRow="0" w:firstColumn="1" w:lastColumn="0" w:noHBand="0" w:noVBand="1"/>
      </w:tblPr>
      <w:tblGrid>
        <w:gridCol w:w="2656"/>
        <w:gridCol w:w="6074"/>
      </w:tblGrid>
      <w:tr>
        <w:trPr>
          <w:trHeight w:val="405"/>
        </w:trPr>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项目</w:t>
            </w:r>
            <w:r>
              <w:rPr>
                <w:rFonts w:hint="eastAsia" w:ascii="仿宋" w:hAnsi="仿宋" w:eastAsia="仿宋" w:cs="宋体"/>
                <w:color w:val="000000"/>
                <w:sz w:val="24"/>
                <w:szCs w:val="24"/>
                <w:highlight w:val="none"/>
              </w:rPr>
            </w:r>
            <w:r/>
          </w:p>
        </w:tc>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指标</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10个，主要是内部用户使用</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峰值并发用户数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20个</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&lt;5秒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页面加载最大时间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&lt;10秒</w:t>
            </w:r>
            <w:r>
              <w:rPr>
                <w:rFonts w:hint="eastAsia" w:ascii="仿宋" w:hAnsi="仿宋" w:eastAsia="仿宋" w:cs="宋体"/>
                <w:color w:val="000000"/>
                <w:sz w:val="24"/>
                <w:szCs w:val="24"/>
                <w:highlight w:val="none"/>
              </w:rPr>
            </w:r>
            <w:r/>
          </w:p>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复杂报表&lt;30秒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系统可用率</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&gt;95%</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浏览器支持</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支持Edge，Chrome，Firefox，</w:t>
            </w:r>
            <w:r>
              <w:rPr>
                <w:rFonts w:ascii="仿宋" w:hAnsi="仿宋" w:eastAsia="仿宋" w:cs="宋体"/>
                <w:color w:val="000000"/>
                <w:sz w:val="24"/>
                <w:szCs w:val="24"/>
                <w:highlight w:val="none"/>
              </w:rPr>
              <w:t xml:space="preserve">奇安信</w:t>
            </w:r>
            <w:r>
              <w:rPr>
                <w:rFonts w:hint="eastAsia" w:ascii="仿宋" w:hAnsi="仿宋" w:eastAsia="仿宋" w:cs="宋体"/>
                <w:color w:val="000000"/>
                <w:sz w:val="24"/>
                <w:szCs w:val="24"/>
                <w:highlight w:val="none"/>
              </w:rPr>
              <w:t xml:space="preserve">，360等主流浏览器较新版本</w:t>
            </w:r>
            <w:r>
              <w:rPr>
                <w:rFonts w:hint="eastAsia" w:ascii="仿宋" w:hAnsi="仿宋" w:eastAsia="仿宋" w:cs="宋体"/>
                <w:color w:val="000000"/>
                <w:sz w:val="24"/>
                <w:szCs w:val="24"/>
                <w:highlight w:val="none"/>
              </w:rPr>
            </w:r>
            <w:r/>
          </w:p>
        </w:tc>
      </w:tr>
    </w:tbl>
    <w:p>
      <w:pPr>
        <w:pStyle w:val="887"/>
        <w:ind w:left="480"/>
        <w:spacing w:line="520" w:lineRule="exact"/>
        <w:rPr>
          <w:rFonts w:hint="eastAsia" w:ascii="仿宋" w:hAnsi="仿宋" w:eastAsia="仿宋"/>
          <w:b w:val="0"/>
          <w:bCs w:val="0"/>
          <w:color w:val="000000"/>
          <w:highlight w:val="none"/>
        </w:rPr>
      </w:pPr>
      <w:r/>
      <w:bookmarkStart w:id="193" w:name="_Toc197530852"/>
      <w:r>
        <w:rPr>
          <w:rFonts w:hint="eastAsia" w:ascii="仿宋" w:hAnsi="仿宋" w:eastAsia="仿宋"/>
          <w:b w:val="0"/>
          <w:bCs w:val="0"/>
          <w:color w:val="000000"/>
          <w:highlight w:val="none"/>
        </w:rPr>
        <w:t xml:space="preserve">招投标活动监管</w:t>
      </w:r>
      <w:bookmarkEnd w:id="193"/>
      <w:r>
        <w:rPr>
          <w:rFonts w:hint="eastAsia" w:ascii="仿宋" w:hAnsi="仿宋" w:eastAsia="仿宋"/>
          <w:b w:val="0"/>
          <w:bCs w:val="0"/>
          <w:color w:val="000000"/>
          <w:highlight w:val="none"/>
        </w:rPr>
        <w:t xml:space="preserve">子系统性能需求如下：</w:t>
      </w:r>
      <w:r>
        <w:rPr>
          <w:rFonts w:hint="eastAsia" w:ascii="仿宋" w:hAnsi="仿宋" w:eastAsia="仿宋"/>
          <w:b w:val="0"/>
          <w:bCs w:val="0"/>
          <w:color w:val="000000"/>
          <w:highlight w:val="none"/>
        </w:rPr>
      </w:r>
      <w:r/>
    </w:p>
    <w:tbl>
      <w:tblPr>
        <w:tblW w:w="8730" w:type="dxa"/>
        <w:tblInd w:w="-60" w:type="dxa"/>
        <w:tblLayout w:type="autofit"/>
        <w:tblCellMar>
          <w:left w:w="60" w:type="dxa"/>
          <w:top w:w="60" w:type="dxa"/>
          <w:right w:w="60" w:type="dxa"/>
          <w:bottom w:w="45" w:type="dxa"/>
        </w:tblCellMar>
        <w:tblLook w:val="04A0" w:firstRow="1" w:lastRow="0" w:firstColumn="1" w:lastColumn="0" w:noHBand="0" w:noVBand="1"/>
      </w:tblPr>
      <w:tblGrid>
        <w:gridCol w:w="2806"/>
        <w:gridCol w:w="5924"/>
      </w:tblGrid>
      <w:tr>
        <w:trPr>
          <w:trHeight w:val="405"/>
        </w:trPr>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806"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项目</w:t>
            </w:r>
            <w:r>
              <w:rPr>
                <w:rFonts w:hint="eastAsia" w:ascii="仿宋" w:hAnsi="仿宋" w:eastAsia="仿宋" w:cs="宋体"/>
                <w:color w:val="000000"/>
                <w:sz w:val="24"/>
                <w:szCs w:val="24"/>
                <w:highlight w:val="none"/>
              </w:rPr>
            </w:r>
            <w:r/>
          </w:p>
        </w:tc>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924"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指标</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806"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924"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10个，主要是内部用户使用</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806"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峰值并发用户数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924"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20个</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806"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924"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&lt;5秒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806"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页面加载最大时间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924"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&lt;10秒</w:t>
            </w:r>
            <w:r>
              <w:rPr>
                <w:rFonts w:hint="eastAsia" w:ascii="仿宋" w:hAnsi="仿宋" w:eastAsia="仿宋" w:cs="宋体"/>
                <w:color w:val="000000"/>
                <w:sz w:val="24"/>
                <w:szCs w:val="24"/>
                <w:highlight w:val="none"/>
              </w:rPr>
            </w:r>
            <w:r/>
          </w:p>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复杂报表&lt;30秒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806"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系统可用率</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924"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&gt;95%</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806"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浏览器支持</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924"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支持Edge，Chrome，Firefox，</w:t>
            </w:r>
            <w:r>
              <w:rPr>
                <w:rFonts w:ascii="仿宋" w:hAnsi="仿宋" w:eastAsia="仿宋" w:cs="宋体"/>
                <w:color w:val="000000"/>
                <w:sz w:val="24"/>
                <w:szCs w:val="24"/>
                <w:highlight w:val="none"/>
              </w:rPr>
              <w:t xml:space="preserve">奇安信</w:t>
            </w:r>
            <w:r>
              <w:rPr>
                <w:rFonts w:hint="eastAsia" w:ascii="仿宋" w:hAnsi="仿宋" w:eastAsia="仿宋" w:cs="宋体"/>
                <w:color w:val="000000"/>
                <w:sz w:val="24"/>
                <w:szCs w:val="24"/>
                <w:highlight w:val="none"/>
              </w:rPr>
              <w:t xml:space="preserve">，360等主流浏览器较新版本</w:t>
            </w:r>
            <w:r>
              <w:rPr>
                <w:rFonts w:hint="eastAsia" w:ascii="仿宋" w:hAnsi="仿宋" w:eastAsia="仿宋" w:cs="宋体"/>
                <w:color w:val="000000"/>
                <w:sz w:val="24"/>
                <w:szCs w:val="24"/>
                <w:highlight w:val="none"/>
              </w:rPr>
            </w:r>
            <w:r/>
          </w:p>
        </w:tc>
      </w:tr>
    </w:tbl>
    <w:p>
      <w:pPr>
        <w:pStyle w:val="887"/>
        <w:ind w:left="480"/>
        <w:spacing w:line="520" w:lineRule="exact"/>
        <w:rPr>
          <w:rFonts w:hint="eastAsia" w:ascii="仿宋" w:hAnsi="仿宋" w:eastAsia="仿宋"/>
          <w:b w:val="0"/>
          <w:bCs w:val="0"/>
          <w:color w:val="000000"/>
          <w:highlight w:val="none"/>
        </w:rPr>
      </w:pPr>
      <w:r/>
      <w:bookmarkStart w:id="194" w:name="_Toc197530853"/>
      <w:r>
        <w:rPr>
          <w:rFonts w:hint="eastAsia" w:ascii="仿宋" w:hAnsi="仿宋" w:eastAsia="仿宋"/>
          <w:b w:val="0"/>
          <w:bCs w:val="0"/>
          <w:color w:val="000000"/>
          <w:highlight w:val="none"/>
        </w:rPr>
        <w:t xml:space="preserve">升级BIM施工图智能审查子系统</w:t>
      </w:r>
      <w:bookmarkEnd w:id="194"/>
      <w:r>
        <w:rPr>
          <w:rFonts w:hint="eastAsia" w:ascii="仿宋" w:hAnsi="仿宋" w:eastAsia="仿宋"/>
          <w:b w:val="0"/>
          <w:bCs w:val="0"/>
          <w:color w:val="000000"/>
          <w:highlight w:val="none"/>
        </w:rPr>
        <w:t xml:space="preserve">性能需求如下：</w:t>
      </w:r>
      <w:r>
        <w:rPr>
          <w:rFonts w:hint="eastAsia" w:ascii="仿宋" w:hAnsi="仿宋" w:eastAsia="仿宋"/>
          <w:b w:val="0"/>
          <w:bCs w:val="0"/>
          <w:color w:val="000000"/>
          <w:highlight w:val="none"/>
        </w:rPr>
      </w:r>
      <w:r/>
    </w:p>
    <w:tbl>
      <w:tblPr>
        <w:tblW w:w="8730" w:type="dxa"/>
        <w:jc w:val="center"/>
        <w:tblInd w:w="-60" w:type="dxa"/>
        <w:tblLayout w:type="autofit"/>
        <w:tblCellMar>
          <w:left w:w="60" w:type="dxa"/>
          <w:top w:w="60" w:type="dxa"/>
          <w:right w:w="60" w:type="dxa"/>
          <w:bottom w:w="45" w:type="dxa"/>
        </w:tblCellMar>
        <w:tblLook w:val="04A0" w:firstRow="1" w:lastRow="0" w:firstColumn="1" w:lastColumn="0" w:noHBand="0" w:noVBand="1"/>
      </w:tblPr>
      <w:tblGrid>
        <w:gridCol w:w="2665"/>
        <w:gridCol w:w="6065"/>
      </w:tblGrid>
      <w:tr>
        <w:trPr>
          <w:trHeight w:val="405"/>
        </w:trPr>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项目</w:t>
            </w:r>
            <w:r>
              <w:rPr>
                <w:rFonts w:hint="eastAsia" w:ascii="仿宋" w:hAnsi="仿宋" w:eastAsia="仿宋" w:cs="宋体"/>
                <w:color w:val="000000"/>
                <w:sz w:val="24"/>
                <w:szCs w:val="24"/>
                <w:highlight w:val="none"/>
              </w:rPr>
            </w:r>
            <w:r/>
          </w:p>
        </w:tc>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指标</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50个</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峰值并发用户数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200个</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&lt;5秒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页面加载最大时间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&lt;10秒</w:t>
            </w:r>
            <w:r>
              <w:rPr>
                <w:rFonts w:hint="eastAsia" w:ascii="仿宋" w:hAnsi="仿宋" w:eastAsia="仿宋" w:cs="宋体"/>
                <w:color w:val="000000"/>
                <w:sz w:val="24"/>
                <w:szCs w:val="24"/>
                <w:highlight w:val="none"/>
              </w:rPr>
            </w:r>
            <w:r/>
          </w:p>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复杂报表&lt;30秒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事务处理时间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业务操作&lt;10秒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系统可用率</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&gt;95%</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浏览器支持</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支持Edge，Chrome，Firefox，</w:t>
            </w:r>
            <w:r>
              <w:rPr>
                <w:rFonts w:ascii="仿宋" w:hAnsi="仿宋" w:eastAsia="仿宋" w:cs="宋体"/>
                <w:color w:val="000000"/>
                <w:sz w:val="24"/>
                <w:szCs w:val="24"/>
                <w:highlight w:val="none"/>
              </w:rPr>
              <w:t xml:space="preserve">奇安信</w:t>
            </w:r>
            <w:r>
              <w:rPr>
                <w:rFonts w:hint="eastAsia" w:ascii="仿宋" w:hAnsi="仿宋" w:eastAsia="仿宋" w:cs="宋体"/>
                <w:color w:val="000000"/>
                <w:sz w:val="24"/>
                <w:szCs w:val="24"/>
                <w:highlight w:val="none"/>
              </w:rPr>
              <w:t xml:space="preserve">，360等主流浏览器较新版本</w:t>
            </w:r>
            <w:r>
              <w:rPr>
                <w:rFonts w:hint="eastAsia" w:ascii="仿宋" w:hAnsi="仿宋" w:eastAsia="仿宋" w:cs="宋体"/>
                <w:color w:val="000000"/>
                <w:sz w:val="24"/>
                <w:szCs w:val="24"/>
                <w:highlight w:val="none"/>
              </w:rPr>
            </w:r>
            <w:r/>
          </w:p>
        </w:tc>
      </w:tr>
    </w:tbl>
    <w:p>
      <w:pPr>
        <w:pStyle w:val="887"/>
        <w:ind w:left="480"/>
        <w:spacing w:line="520" w:lineRule="exact"/>
        <w:rPr>
          <w:rFonts w:hint="eastAsia" w:ascii="仿宋" w:hAnsi="仿宋" w:eastAsia="仿宋"/>
          <w:color w:val="000000"/>
          <w:highlight w:val="none"/>
        </w:rPr>
      </w:pPr>
      <w:r/>
      <w:bookmarkStart w:id="195" w:name="_Toc197530854"/>
      <w:r>
        <w:rPr>
          <w:rFonts w:hint="eastAsia" w:ascii="仿宋" w:hAnsi="仿宋" w:eastAsia="仿宋"/>
          <w:b w:val="0"/>
          <w:bCs w:val="0"/>
          <w:color w:val="000000"/>
          <w:highlight w:val="none"/>
        </w:rPr>
        <w:t xml:space="preserve">“卖旧买新</w:t>
      </w:r>
      <w:r>
        <w:rPr>
          <w:rFonts w:ascii="仿宋" w:hAnsi="仿宋" w:eastAsia="仿宋"/>
          <w:b w:val="0"/>
          <w:bCs w:val="0"/>
          <w:color w:val="000000"/>
          <w:highlight w:val="none"/>
        </w:rPr>
        <w:t xml:space="preserve">”</w:t>
      </w:r>
      <w:r>
        <w:rPr>
          <w:rFonts w:hint="eastAsia" w:ascii="仿宋" w:hAnsi="仿宋" w:eastAsia="仿宋"/>
          <w:b w:val="0"/>
          <w:bCs w:val="0"/>
          <w:color w:val="000000"/>
          <w:highlight w:val="none"/>
        </w:rPr>
        <w:t xml:space="preserve">契税补贴资格管理功能模块</w:t>
      </w:r>
      <w:bookmarkEnd w:id="195"/>
      <w:r>
        <w:rPr>
          <w:rFonts w:hint="eastAsia" w:ascii="仿宋" w:hAnsi="仿宋" w:eastAsia="仿宋"/>
          <w:b w:val="0"/>
          <w:bCs w:val="0"/>
          <w:color w:val="000000"/>
          <w:highlight w:val="none"/>
        </w:rPr>
        <w:t xml:space="preserve">性能需求如下：</w:t>
      </w:r>
      <w:r>
        <w:rPr>
          <w:rFonts w:hint="eastAsia" w:ascii="仿宋" w:hAnsi="仿宋" w:eastAsia="仿宋"/>
          <w:color w:val="000000"/>
          <w:highlight w:val="none"/>
        </w:rPr>
      </w:r>
      <w:r/>
    </w:p>
    <w:tbl>
      <w:tblPr>
        <w:tblW w:w="8730" w:type="dxa"/>
        <w:jc w:val="center"/>
        <w:tblInd w:w="-60" w:type="dxa"/>
        <w:tblLayout w:type="autofit"/>
        <w:tblCellMar>
          <w:left w:w="60" w:type="dxa"/>
          <w:top w:w="60" w:type="dxa"/>
          <w:right w:w="60" w:type="dxa"/>
          <w:bottom w:w="45" w:type="dxa"/>
        </w:tblCellMar>
        <w:tblLook w:val="04A0" w:firstRow="1" w:lastRow="0" w:firstColumn="1" w:lastColumn="0" w:noHBand="0" w:noVBand="1"/>
      </w:tblPr>
      <w:tblGrid>
        <w:gridCol w:w="2665"/>
        <w:gridCol w:w="6065"/>
      </w:tblGrid>
      <w:tr>
        <w:trPr>
          <w:trHeight w:val="475"/>
        </w:trPr>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项目</w:t>
            </w:r>
            <w:r>
              <w:rPr>
                <w:rFonts w:hint="eastAsia" w:ascii="仿宋" w:hAnsi="仿宋" w:eastAsia="仿宋" w:cs="宋体"/>
                <w:color w:val="000000"/>
                <w:sz w:val="24"/>
                <w:szCs w:val="24"/>
                <w:highlight w:val="none"/>
              </w:rPr>
            </w:r>
            <w:r/>
          </w:p>
        </w:tc>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指标</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50个</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峰值并发用户数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200个</w:t>
            </w:r>
            <w:r>
              <w:rPr>
                <w:rFonts w:hint="eastAsia" w:ascii="仿宋" w:hAnsi="仿宋" w:eastAsia="仿宋" w:cs="宋体"/>
                <w:color w:val="000000"/>
                <w:sz w:val="24"/>
                <w:szCs w:val="24"/>
                <w:highlight w:val="none"/>
              </w:rPr>
            </w:r>
            <w:r/>
          </w:p>
        </w:tc>
      </w:tr>
      <w:tr>
        <w:trPr>
          <w:trHeight w:val="35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&lt;5秒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页面加载最大时间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&lt;10秒</w:t>
            </w:r>
            <w:r>
              <w:rPr>
                <w:rFonts w:hint="eastAsia" w:ascii="仿宋" w:hAnsi="仿宋" w:eastAsia="仿宋" w:cs="宋体"/>
                <w:color w:val="000000"/>
                <w:sz w:val="24"/>
                <w:szCs w:val="24"/>
                <w:highlight w:val="none"/>
              </w:rPr>
            </w:r>
            <w:r/>
          </w:p>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复杂报表&lt;30秒</w:t>
            </w:r>
            <w:r>
              <w:rPr>
                <w:rFonts w:hint="eastAsia" w:ascii="仿宋" w:hAnsi="仿宋" w:eastAsia="仿宋" w:cs="宋体"/>
                <w:color w:val="000000"/>
                <w:sz w:val="24"/>
                <w:szCs w:val="24"/>
                <w:highlight w:val="none"/>
              </w:rPr>
            </w:r>
            <w:r/>
          </w:p>
        </w:tc>
      </w:tr>
      <w:tr>
        <w:trPr>
          <w:trHeight w:val="400"/>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事务处理时间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业务操作&lt;10秒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系统可用率</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&gt;95%</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浏览器支持</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883"/>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支持Edge，Chrome，Firefox，</w:t>
            </w:r>
            <w:r>
              <w:rPr>
                <w:rFonts w:ascii="仿宋" w:hAnsi="仿宋" w:eastAsia="仿宋" w:cs="宋体"/>
                <w:color w:val="000000"/>
                <w:sz w:val="24"/>
                <w:szCs w:val="24"/>
                <w:highlight w:val="none"/>
              </w:rPr>
              <w:t xml:space="preserve">奇安信</w:t>
            </w:r>
            <w:r>
              <w:rPr>
                <w:rFonts w:hint="eastAsia" w:ascii="仿宋" w:hAnsi="仿宋" w:eastAsia="仿宋" w:cs="宋体"/>
                <w:color w:val="000000"/>
                <w:sz w:val="24"/>
                <w:szCs w:val="24"/>
                <w:highlight w:val="none"/>
              </w:rPr>
              <w:t xml:space="preserve">，360等主流浏览器较新版本</w:t>
            </w:r>
            <w:r>
              <w:rPr>
                <w:rFonts w:hint="eastAsia" w:ascii="仿宋" w:hAnsi="仿宋" w:eastAsia="仿宋" w:cs="宋体"/>
                <w:color w:val="000000"/>
                <w:sz w:val="24"/>
                <w:szCs w:val="24"/>
                <w:highlight w:val="none"/>
              </w:rPr>
            </w:r>
            <w:r/>
          </w:p>
        </w:tc>
      </w:tr>
    </w:tbl>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四、网络和数据安全要求</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应采用成熟的技术架构，符合国家信创体系建设要求。依据《信息安全技术网络安全等级保护基本要求》等技术标准，本项目安全等级设定为三级。系统开发过程中应当采取必要措施确保应用安全、数据库安全，建成后应当能确保通过等级保护测评、密码测评和软件测评</w:t>
      </w:r>
      <w:r>
        <w:rPr>
          <w:rFonts w:hint="eastAsia" w:ascii="仿宋" w:hAnsi="仿宋" w:eastAsia="仿宋"/>
          <w:b/>
          <w:bCs/>
          <w:color w:val="000000"/>
          <w:sz w:val="28"/>
          <w:szCs w:val="28"/>
          <w:highlight w:val="none"/>
        </w:rPr>
        <w:t xml:space="preserve">（测评费用不包含在本项目报价中）</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中标供应商必须保证项目相关技术和数据的秘密，未经采购人许可，不得转存或拷贝平台数据，不得披露平台相关技术和信息。中标供应商未遵守保密要求而引发的一切后果，均由中标供应商自行承担。</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五、商务要求</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中标单位应在合同签订生效后3个月内完成项目建设、通过初步验收。试运行3个月后完成项目竣工验收。自通过竣工验收日起，中标单位应在3年内免费运维服务。</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六、知识产权要求</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本项目相关的文档、定制开发源代码等知识产权归采购人所有。</w:t>
      </w:r>
      <w:r>
        <w:rPr>
          <w:rFonts w:hint="eastAsia" w:ascii="仿宋" w:hAnsi="仿宋" w:eastAsia="仿宋"/>
          <w:color w:val="000000"/>
          <w:sz w:val="28"/>
          <w:szCs w:val="28"/>
          <w:highlight w:val="none"/>
        </w:rPr>
      </w:r>
      <w:r/>
    </w:p>
    <w:p>
      <w:pPr>
        <w:pStyle w:val="883"/>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七、履约验收要求</w:t>
      </w:r>
      <w:r>
        <w:rPr>
          <w:rFonts w:hint="eastAsia" w:ascii="仿宋" w:hAnsi="仿宋" w:eastAsia="仿宋"/>
          <w:b/>
          <w:bCs/>
          <w:color w:val="000000"/>
          <w:sz w:val="28"/>
          <w:szCs w:val="36"/>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7.1履约验收主体：无锡市住房和城乡建设局</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7.2履约验收时间：合同签订生效后3个月内完成初验，6个月内完成竣工验收。</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7.3履约验收方式：组织专家验收。</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7.4履约验收程序：</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按照《</w:t>
      </w:r>
      <w:r>
        <w:rPr>
          <w:rFonts w:ascii="仿宋" w:hAnsi="仿宋" w:eastAsia="仿宋"/>
          <w:color w:val="000000"/>
          <w:sz w:val="28"/>
          <w:szCs w:val="28"/>
          <w:highlight w:val="none"/>
        </w:rPr>
        <w:t xml:space="preserve">无锡市市级政务信息化项目验收管理办法</w:t>
      </w:r>
      <w:r>
        <w:rPr>
          <w:rFonts w:hint="eastAsia" w:ascii="仿宋" w:hAnsi="仿宋" w:eastAsia="仿宋"/>
          <w:color w:val="000000"/>
          <w:sz w:val="28"/>
          <w:szCs w:val="28"/>
          <w:highlight w:val="none"/>
        </w:rPr>
        <w:t xml:space="preserve">》（以下简称验收管理办法）开展项目验收，主要包括初步验收、档案验收、竣工验收等环节。</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初步验收：完成本项目立项批复、招标文件、合同约定的各项建设内容并完成项目自测；按照验收管理办法要求准备</w:t>
      </w:r>
      <w:r>
        <w:rPr>
          <w:rFonts w:ascii="仿宋" w:hAnsi="仿宋" w:eastAsia="仿宋"/>
          <w:color w:val="000000"/>
          <w:sz w:val="28"/>
          <w:szCs w:val="28"/>
          <w:highlight w:val="none"/>
        </w:rPr>
        <w:t xml:space="preserve">项目技术文档和管理资料</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系统建设和数据处理符合信息安全的要求</w:t>
      </w:r>
      <w:r>
        <w:rPr>
          <w:rFonts w:hint="eastAsia" w:ascii="仿宋" w:hAnsi="仿宋" w:eastAsia="仿宋"/>
          <w:color w:val="000000"/>
          <w:sz w:val="28"/>
          <w:szCs w:val="28"/>
          <w:highlight w:val="none"/>
        </w:rPr>
        <w:t xml:space="preserve">。满足以上要求采购人可组织初步验收，初步验收通过后进入试运行阶段。</w:t>
      </w:r>
      <w:r>
        <w:rPr>
          <w:rFonts w:hint="eastAsia" w:ascii="仿宋" w:hAnsi="仿宋" w:eastAsia="仿宋"/>
          <w:color w:val="000000"/>
          <w:sz w:val="28"/>
          <w:szCs w:val="28"/>
          <w:highlight w:val="none"/>
        </w:rPr>
      </w:r>
      <w:r/>
    </w:p>
    <w:p>
      <w:pPr>
        <w:pStyle w:val="88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档案验收：按照《</w:t>
      </w:r>
      <w:r>
        <w:rPr>
          <w:rFonts w:ascii="仿宋" w:hAnsi="仿宋" w:eastAsia="仿宋"/>
          <w:color w:val="000000"/>
          <w:sz w:val="28"/>
          <w:szCs w:val="28"/>
          <w:highlight w:val="none"/>
        </w:rPr>
        <w:t xml:space="preserve">无锡市市级政务信息化项目档案管理和验收办法</w:t>
      </w:r>
      <w:r>
        <w:rPr>
          <w:rFonts w:hint="eastAsia" w:ascii="仿宋" w:hAnsi="仿宋" w:eastAsia="仿宋"/>
          <w:color w:val="000000"/>
          <w:sz w:val="28"/>
          <w:szCs w:val="28"/>
          <w:highlight w:val="none"/>
        </w:rPr>
        <w:t xml:space="preserve">》要求开展档案验收，档案整理及档案专家验收等相关费用由中标单位承担。</w:t>
      </w:r>
      <w:r>
        <w:rPr>
          <w:rFonts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竣工验收：试运行满3个月后，完成试运行期间问题处理及系统优化，并配合完成各项测评（软测、等保、密码应用安全性评估等），采购人按照验收管理办法要求组织竣工验收。</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7.5履约验收内容和标准：根据无锡市政务信息系统验收管理办法要求完成项目验收，主要内容包括：智慧住建、建筑工地智慧监管子系统、无锡市城市基础设施配套费征收管理子系统完成信创改造；完成招标投标活动监管子系统建设；完成BIM施工图智能审查子系统升级；完成商品房备份系统的“卖旧买新”契税补贴资格管理功能模块建设，确保功能测试通过率100%、性能达标、安全测评通过、文档完整移交。</w:t>
      </w: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8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83"/>
        <w:ind w:firstLine="480"/>
        <w:spacing w:line="360" w:lineRule="auto"/>
        <w:rPr>
          <w:rFonts w:ascii="宋体" w:hAnsi="宋体"/>
          <w:b/>
          <w:color w:val="000000"/>
          <w:sz w:val="30"/>
          <w:szCs w:val="30"/>
          <w:highlight w:val="none"/>
        </w:rPr>
      </w:pPr>
      <w:r>
        <w:rPr>
          <w:rFonts w:ascii="宋体" w:hAnsi="宋体"/>
          <w:bCs/>
          <w:color w:val="000000"/>
          <w:sz w:val="24"/>
          <w:szCs w:val="24"/>
          <w:highlight w:val="none"/>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投标总报价包括满足本项目服务要求的从项目中标起到项目正式交付以及服务期内所发生的一切费用。</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进口产品是指通过中国海关报关验放进入中国境内且产自关境外的产品。</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投标人必须在满足招标文件要求的基础上进行报价，如有技术偏离请于投标偏离表中说明。</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服务期</w:t>
      </w:r>
      <w:r>
        <w:rPr>
          <w:rFonts w:hint="eastAsia" w:ascii="宋体" w:hAnsi="宋体"/>
          <w:bCs/>
          <w:color w:val="000000"/>
          <w:sz w:val="24"/>
          <w:szCs w:val="24"/>
          <w:highlight w:val="none"/>
        </w:rPr>
        <w:t xml:space="preserve">/完工期：合同签订生效后3个月内完成初验，6个月内完成竣工验收。</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项目整体质保期：自项目验收合格之日起3年。</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付款方式：合同签订生效后一个月内支付30%，完成竣工验收后支付</w:t>
      </w:r>
      <w:r>
        <w:rPr>
          <w:rFonts w:hint="eastAsia" w:ascii="宋体" w:hAnsi="宋体"/>
          <w:bCs/>
          <w:color w:val="000000"/>
          <w:sz w:val="24"/>
          <w:szCs w:val="24"/>
          <w:highlight w:val="none"/>
        </w:rPr>
        <w:t xml:space="preserve">70%</w:t>
      </w:r>
      <w:r>
        <w:rPr>
          <w:rFonts w:hint="eastAsia" w:ascii="宋体" w:hAnsi="宋体"/>
          <w:bCs/>
          <w:color w:val="000000"/>
          <w:sz w:val="24"/>
          <w:szCs w:val="24"/>
          <w:highlight w:val="none"/>
        </w:rPr>
        <w:t xml:space="preserve">，自竣工验收合格之日起，中标供应商提供3年免费运维服务。</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本项目合同履行地点：无锡市住房和城乡建设局，具体地点以合同书约定为准。中标方必须按采购人要求将本项目中货物送到指定地点（包括可能的分布范围），并分地实施安装调试。</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sz w:val="24"/>
          <w:szCs w:val="24"/>
          <w:highlight w:val="none"/>
        </w:rPr>
        <w:t xml:space="preserve">担。政府向社会公众提供的公共服务项目，验收时应当邀请服务对象参与并出具意见，验收结果应当向社会公告。</w:t>
      </w:r>
      <w:r>
        <w:rPr>
          <w:rFonts w:hint="eastAsia"/>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rFonts w:hint="eastAsia" w:ascii="宋体" w:hAnsi="宋体"/>
          <w:b/>
          <w:bCs/>
          <w:color w:val="000000"/>
          <w:sz w:val="30"/>
          <w:szCs w:val="30"/>
          <w:highlight w:val="none"/>
        </w:rPr>
      </w:r>
      <w:r/>
    </w:p>
    <w:p>
      <w:pPr>
        <w:pStyle w:val="883"/>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883"/>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883"/>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highlight w:val="non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lang w:val="en"/>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96" w:name="OLE_LINK1"/>
      <w:r/>
      <w:bookmarkStart w:id="197" w:name="OLE_LINK2"/>
      <w:r>
        <w:rPr>
          <w:rFonts w:hint="eastAsia" w:ascii="宋体"/>
          <w:bCs/>
          <w:color w:val="000000"/>
          <w:sz w:val="24"/>
          <w:szCs w:val="24"/>
          <w:highlight w:val="none"/>
        </w:rPr>
        <w:t xml:space="preserve">《保障中小企业款项支付条例》（中华人民共和国国务院令第802号）</w:t>
      </w:r>
      <w:bookmarkEnd w:id="196"/>
      <w:r/>
      <w:bookmarkEnd w:id="197"/>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lang w:val="en"/>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lang w:val="en"/>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883"/>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98" w:name="_Toc120614281"/>
      <w:r>
        <w:rPr>
          <w:rFonts w:hint="eastAsia" w:ascii="黑体" w:hAnsi="黑体" w:eastAsia="黑体"/>
          <w:color w:val="000000"/>
          <w:sz w:val="36"/>
          <w:szCs w:val="36"/>
          <w:highlight w:val="none"/>
        </w:rPr>
        <w:t xml:space="preserve">第五章  评标方法与评标标准</w:t>
      </w:r>
      <w:r>
        <w:rPr>
          <w:rFonts w:hint="eastAsia" w:ascii="黑体" w:hAnsi="黑体" w:eastAsia="黑体"/>
          <w:color w:val="000000"/>
          <w:sz w:val="36"/>
          <w:szCs w:val="36"/>
          <w:highlight w:val="none"/>
        </w:rPr>
      </w:r>
      <w:r/>
    </w:p>
    <w:p>
      <w:pPr>
        <w:pStyle w:val="972"/>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rPr>
          <w:rFonts w:hint="eastAsia" w:cs="Arial"/>
          <w:b/>
          <w:color w:val="000000"/>
          <w:sz w:val="30"/>
          <w:szCs w:val="30"/>
          <w:highlight w:val="none"/>
        </w:rPr>
      </w:r>
      <w:r/>
    </w:p>
    <w:p>
      <w:pPr>
        <w:pStyle w:val="972"/>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rPr>
          <w:rFonts w:hint="eastAsia" w:cs="Arial"/>
          <w:color w:val="000000"/>
          <w:highlight w:val="none"/>
        </w:rPr>
      </w:r>
      <w:r/>
    </w:p>
    <w:p>
      <w:pPr>
        <w:pStyle w:val="972"/>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rPr>
          <w:rFonts w:hint="eastAsia" w:cs="Arial"/>
          <w:color w:val="000000"/>
          <w:highlight w:val="none"/>
        </w:rPr>
      </w:r>
      <w:r/>
    </w:p>
    <w:p>
      <w:pPr>
        <w:pStyle w:val="972"/>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highlight w:val="none"/>
        </w:rPr>
      </w:r>
      <w:r/>
    </w:p>
    <w:p>
      <w:pPr>
        <w:pStyle w:val="972"/>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highlight w:val="none"/>
        </w:rPr>
      </w:r>
      <w:r/>
    </w:p>
    <w:p>
      <w:pPr>
        <w:pStyle w:val="972"/>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hint="eastAsia" w:cs="Arial"/>
          <w:b/>
          <w:color w:val="000000"/>
          <w:sz w:val="30"/>
          <w:szCs w:val="30"/>
          <w:highlight w:val="none"/>
        </w:rPr>
      </w:r>
      <w:r/>
    </w:p>
    <w:p>
      <w:pPr>
        <w:pStyle w:val="972"/>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hint="eastAsia" w:ascii="宋体" w:hAnsi="宋体"/>
          <w:b/>
          <w:color w:val="000000"/>
          <w:sz w:val="28"/>
          <w:szCs w:val="28"/>
          <w:highlight w:val="none"/>
        </w:rPr>
      </w:r>
      <w:r/>
    </w:p>
    <w:p>
      <w:pPr>
        <w:pStyle w:val="883"/>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88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88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sz w:val="24"/>
          <w:szCs w:val="24"/>
          <w:highlight w:val="none"/>
        </w:rPr>
        <w:t xml:space="preserve">201</w:t>
      </w:r>
      <w:r>
        <w:rPr>
          <w:rFonts w:hint="eastAsia" w:ascii="宋体" w:hAnsi="宋体"/>
          <w:bCs/>
          <w:color w:val="000000"/>
          <w:sz w:val="24"/>
          <w:szCs w:val="24"/>
          <w:highlight w:val="none"/>
        </w:rPr>
        <w:t xml:space="preserve">4〕68号）的规定提供由省级以上监狱管理局、戒毒管理局（含新疆生产建设兵团）出具的属于监狱企业的证明文件复印件。</w:t>
      </w:r>
      <w:r>
        <w:rPr>
          <w:rFonts w:ascii="宋体" w:hAnsi="宋体"/>
          <w:bCs/>
          <w:color w:val="000000"/>
          <w:sz w:val="24"/>
          <w:szCs w:val="24"/>
          <w:highlight w:val="none"/>
        </w:rPr>
      </w:r>
      <w:r/>
    </w:p>
    <w:p>
      <w:pPr>
        <w:pStyle w:val="88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88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1.4残疾人福利单位、监狱企业属于小型、微型企业的，不重复享受政策。</w:t>
      </w:r>
      <w:r>
        <w:rPr>
          <w:rFonts w:hint="eastAsia" w:ascii="宋体" w:hAnsi="宋体"/>
          <w:bCs/>
          <w:color w:val="000000"/>
          <w:sz w:val="24"/>
          <w:szCs w:val="24"/>
          <w:highlight w:val="none"/>
        </w:rPr>
      </w:r>
      <w:r/>
    </w:p>
    <w:p>
      <w:pPr>
        <w:pStyle w:val="88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88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88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72"/>
        <w:ind w:firstLine="422"/>
        <w:spacing w:before="0" w:after="0" w:line="500" w:lineRule="exact"/>
        <w:rPr>
          <w:rFonts w:hint="eastAsia" w:ascii="宋体" w:hAnsi="宋体"/>
          <w:color w:val="000000"/>
          <w:highlight w:val="none"/>
          <w:shd w:val="clear" w:color="ffffff" w:fill="d9d9d9"/>
        </w:rPr>
      </w:pPr>
      <w:r>
        <w:rPr>
          <w:rFonts w:hint="eastAsia" w:ascii="宋体" w:hAnsi="宋体"/>
          <w:b/>
          <w:color w:val="000000"/>
          <w:sz w:val="28"/>
          <w:szCs w:val="28"/>
          <w:highlight w:val="none"/>
        </w:rPr>
        <w:t xml:space="preserve">二、评分标准</w:t>
      </w:r>
      <w:r>
        <w:rPr>
          <w:rFonts w:hint="eastAsia" w:ascii="宋体" w:hAnsi="宋体"/>
          <w:color w:val="000000"/>
          <w:highlight w:val="none"/>
          <w:shd w:val="clear" w:color="ffffff" w:fill="d9d9d9"/>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rPr>
        <w:t xml:space="preserve">10</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883"/>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highlight w:val="none"/>
        </w:rPr>
      </w:r>
      <w:r/>
    </w:p>
    <w:p>
      <w:pPr>
        <w:pStyle w:val="883"/>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8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000000"/>
          <w:sz w:val="24"/>
          <w:szCs w:val="24"/>
          <w:highlight w:val="non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项目人员配置情况（9分）：</w:t>
      </w:r>
      <w:r>
        <w:rPr>
          <w:rFonts w:hint="eastAsia" w:ascii="宋体" w:hAnsi="宋体"/>
          <w:bCs/>
          <w:color w:val="000000"/>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 项目经理（2分）：投标人为本项目配备项目经理一名，该项目经理具有国家软件资格考试信息系统项目管理师、系统分析师、系统架构设计师证书</w:t>
      </w:r>
      <w:r>
        <w:rPr>
          <w:rFonts w:hint="eastAsia" w:ascii="宋体" w:hAnsi="宋体"/>
          <w:color w:val="000000"/>
          <w:sz w:val="24"/>
          <w:highlight w:val="none"/>
        </w:rPr>
        <w:t xml:space="preserve">或</w:t>
      </w:r>
      <w:r>
        <w:rPr>
          <w:rFonts w:ascii="宋体" w:hAnsi="宋体"/>
          <w:color w:val="000000"/>
          <w:sz w:val="24"/>
          <w:highlight w:val="none"/>
        </w:rPr>
        <w:t xml:space="preserve">计算机、软件工程、电子信息或信息系统相关专业</w:t>
      </w:r>
      <w:r>
        <w:rPr>
          <w:rFonts w:hint="eastAsia" w:ascii="宋体" w:hAnsi="宋体"/>
          <w:color w:val="000000"/>
          <w:sz w:val="24"/>
          <w:highlight w:val="none"/>
        </w:rPr>
        <w:t xml:space="preserve">副高及以上职称证的，</w:t>
      </w:r>
      <w:r>
        <w:rPr>
          <w:rFonts w:ascii="宋体" w:hAnsi="宋体"/>
          <w:color w:val="000000"/>
          <w:sz w:val="24"/>
          <w:highlight w:val="none"/>
        </w:rPr>
        <w:t xml:space="preserve">每有上述一种证书得1分，最高2分，得满为止。须提供相应有效证书扫描件</w:t>
      </w:r>
      <w:r>
        <w:rPr>
          <w:rFonts w:hint="eastAsia" w:ascii="宋体" w:hAnsi="宋体"/>
          <w:color w:val="000000"/>
          <w:sz w:val="24"/>
          <w:highlight w:val="none"/>
        </w:rPr>
        <w:t xml:space="preserve">。</w:t>
      </w:r>
      <w:r>
        <w:rPr>
          <w:rFonts w:hint="eastAsia" w:ascii="宋体" w:hAnsi="宋体"/>
          <w:color w:val="000000"/>
          <w:sz w:val="24"/>
          <w:highlight w:val="none"/>
        </w:rPr>
      </w:r>
      <w:r/>
    </w:p>
    <w:p>
      <w:pPr>
        <w:ind w:firstLine="480"/>
        <w:spacing w:line="500" w:lineRule="exact"/>
        <w:rPr>
          <w:rFonts w:ascii="宋体" w:hAnsi="宋体"/>
          <w:color w:val="000000"/>
          <w:sz w:val="24"/>
          <w:szCs w:val="24"/>
          <w:highlight w:val="none"/>
          <w14:ligatures w14:val="none"/>
        </w:rPr>
      </w:pPr>
      <w:r>
        <w:rPr>
          <w:rFonts w:hint="eastAsia" w:ascii="宋体" w:hAnsi="宋体"/>
          <w:color w:val="000000"/>
          <w:sz w:val="24"/>
          <w:highlight w:val="none"/>
        </w:rPr>
      </w:r>
      <w:r>
        <w:rPr>
          <w:rFonts w:hint="eastAsia" w:ascii="宋体" w:hAnsi="宋体"/>
          <w:color w:val="000000"/>
          <w:sz w:val="24"/>
          <w:highlight w:val="none"/>
        </w:rPr>
        <w:t xml:space="preserve">2.2</w:t>
      </w:r>
      <w:r>
        <w:rPr>
          <w:rFonts w:hint="eastAsia" w:ascii="宋体" w:hAnsi="宋体"/>
          <w:color w:val="000000"/>
          <w:sz w:val="24"/>
          <w:highlight w:val="non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t xml:space="preserve">项目技术负责人（2分）</w:t>
      </w:r>
      <w:r>
        <w:rPr>
          <w:rFonts w:ascii="宋体" w:hAnsi="宋体"/>
          <w:color w:val="000000"/>
          <w:sz w:val="24"/>
          <w:szCs w:val="24"/>
          <w:highlight w:val="none"/>
        </w:rPr>
        <w:t xml:space="preserve">：</w:t>
      </w:r>
      <w:r>
        <w:rPr>
          <w:rFonts w:ascii="宋体" w:hAnsi="宋体"/>
          <w:color w:val="000000"/>
          <w:sz w:val="24"/>
          <w:szCs w:val="24"/>
          <w:highlight w:val="none"/>
        </w:rPr>
        <w:t xml:space="preserve">投标人为本项目配备项目技术负责人一名，该技术负责人具有国家软件资格考试信息系统项目管理师、系统分析师、系统架构设计师证书或计算机、软件工程、电子信息或信息系统相关专业副高及以上职称证的，每有上述一种证书得1分，最高2分，得满为止。须提供相应有效证书扫描件。</w:t>
      </w:r>
      <w:r>
        <w:rPr>
          <w:rFonts w:ascii="宋体" w:hAnsi="宋体"/>
          <w:color w:val="000000"/>
          <w:sz w:val="24"/>
          <w:szCs w:val="24"/>
          <w:highlight w:val="none"/>
        </w:rPr>
      </w:r>
      <w:r>
        <w:rPr>
          <w:rFonts w:ascii="宋体" w:hAnsi="宋体"/>
          <w:color w:val="000000"/>
          <w:sz w:val="24"/>
          <w:szCs w:val="24"/>
          <w:highlight w:val="none"/>
        </w:rPr>
      </w:r>
    </w:p>
    <w:p>
      <w:pPr>
        <w:ind w:firstLine="480"/>
        <w:spacing w:line="500" w:lineRule="exact"/>
        <w:rPr>
          <w:rFonts w:ascii="宋体" w:hAnsi="宋体"/>
          <w:color w:val="000000"/>
          <w:sz w:val="24"/>
          <w:szCs w:val="24"/>
          <w:highlight w:val="none"/>
          <w14:ligatures w14:val="none"/>
        </w:rPr>
      </w:pPr>
      <w:r>
        <w:rPr>
          <w:rFonts w:hint="eastAsia" w:ascii="宋体" w:hAnsi="宋体"/>
          <w:color w:val="000000"/>
          <w:sz w:val="24"/>
          <w:highlight w:val="none"/>
        </w:rPr>
        <w:t xml:space="preserve">2.3 项目组成员（5分）</w:t>
      </w:r>
      <w:r>
        <w:rPr>
          <w:rFonts w:ascii="宋体" w:hAnsi="宋体"/>
          <w:color w:val="000000"/>
          <w:sz w:val="24"/>
          <w:szCs w:val="24"/>
          <w:highlight w:val="none"/>
        </w:rPr>
        <w:t xml:space="preserve">：</w:t>
      </w:r>
      <w:r>
        <w:rPr>
          <w:rFonts w:ascii="宋体" w:hAnsi="宋体"/>
          <w:color w:val="000000"/>
          <w:sz w:val="24"/>
          <w:szCs w:val="24"/>
          <w:highlight w:val="none"/>
        </w:rPr>
        <w:t xml:space="preserve">除项目经理和项目技术负责人外，其他项目组成员具有国家软件资格考试如信息系统项目管理师、系统分析师、系统架构设计师、信息安全工程师、网络工程师证书或计算机、软件工程、电子信息或信息系统相关专业副高及以上职称证的，每提供一张证书得1分，最高5分。（同一个人具有多种证书的只计算一次，不同的人提供同一种证书均可得分）。</w:t>
      </w:r>
      <w:r>
        <w:rPr>
          <w:rFonts w:ascii="宋体" w:hAnsi="宋体"/>
          <w:color w:val="000000"/>
          <w:sz w:val="24"/>
          <w:szCs w:val="24"/>
          <w:highlight w:val="none"/>
        </w:rPr>
        <w:t xml:space="preserve"> </w:t>
      </w:r>
      <w:r>
        <w:rPr>
          <w:rFonts w:ascii="宋体" w:hAnsi="宋体"/>
          <w:color w:val="000000"/>
          <w:sz w:val="24"/>
          <w:szCs w:val="24"/>
          <w:highlight w:val="none"/>
        </w:rPr>
      </w:r>
      <w:r>
        <w:rPr>
          <w:rFonts w:ascii="宋体" w:hAnsi="宋体"/>
          <w:color w:val="000000"/>
          <w:sz w:val="24"/>
          <w:szCs w:val="24"/>
          <w:highlight w:val="none"/>
        </w:rP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投标人综合情况（12分）：</w:t>
      </w:r>
      <w:r>
        <w:rPr>
          <w:rFonts w:ascii="宋体" w:hAnsi="宋体"/>
          <w:b/>
          <w:bCs/>
          <w:color w:val="000000"/>
          <w:sz w:val="24"/>
          <w:szCs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 业绩（6分）：投标人具有2023年1月1日以来（以合同签订日期为准）与本项目类似的成功案例，每提供一个得2分，最高6分。（同一项目只计算一次，不重复得分。投标时须提交合同扫描件，否则不得分）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3.2 </w:t>
      </w:r>
      <w:r>
        <w:rPr>
          <w:rFonts w:hint="eastAsia" w:ascii="宋体" w:hAnsi="宋体"/>
          <w:color w:val="000000"/>
          <w:sz w:val="24"/>
          <w:highlight w:val="none"/>
        </w:rPr>
        <w:t xml:space="preserve">体系认证（3分）：投标人具有质量管理体系认证、信息安全管理体系认证证书、</w:t>
      </w:r>
      <w:r>
        <w:rPr>
          <w:rFonts w:ascii="宋体" w:hAnsi="宋体"/>
          <w:color w:val="000000"/>
          <w:sz w:val="24"/>
          <w:highlight w:val="none"/>
        </w:rPr>
        <w:t xml:space="preserve">信息技术服务管理体系认证</w:t>
      </w:r>
      <w:r>
        <w:rPr>
          <w:rFonts w:hint="eastAsia" w:ascii="宋体" w:hAnsi="宋体"/>
          <w:color w:val="000000"/>
          <w:sz w:val="24"/>
          <w:highlight w:val="none"/>
        </w:rPr>
        <w:t xml:space="preserve">证书的；每提供一个得1分；最高3分</w:t>
      </w:r>
      <w:r>
        <w:rPr>
          <w:rFonts w:hint="eastAsia" w:ascii="宋体" w:hAnsi="宋体"/>
          <w:color w:val="000000"/>
          <w:sz w:val="24"/>
          <w:highlight w:val="none"/>
        </w:rPr>
        <w:t xml:space="preserve">。（投标时须提供有效证书扫描件加盖投标人公章，未按要求提供不得分）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3.3 软件著作权（3分）：</w:t>
      </w:r>
      <w:r>
        <w:rPr>
          <w:rFonts w:hint="eastAsia" w:ascii="宋体" w:hAnsi="宋体"/>
          <w:color w:val="000000"/>
          <w:sz w:val="24"/>
          <w:highlight w:val="none"/>
        </w:rPr>
        <w:t xml:space="preserve">投标人具有软件自主开发能力，提供与 “工程项目招投标监管”“智慧（数字）住建” “BIM施工图智能审查”“智慧监管”“人工智能”“数据安全”相关的软件著作权证书；每提供1个证书得0.5分，同类别不重复计分，最高3分</w:t>
      </w:r>
      <w:r>
        <w:rPr>
          <w:rFonts w:hint="eastAsia" w:ascii="宋体" w:hAnsi="宋体"/>
          <w:color w:val="000000"/>
          <w:sz w:val="24"/>
          <w:highlight w:val="none"/>
        </w:rPr>
        <w:t xml:space="preserve">。须提供软件著作权登记证书扫描件并加盖投标人公章，否则不得分，著作权证书名称与上述所列有所不同，但实质内容相关或功能类同的，可视为等同。</w:t>
      </w:r>
      <w:r>
        <w:rPr>
          <w:rFonts w:hint="eastAsia" w:ascii="宋体" w:hAnsi="宋体"/>
          <w:color w:val="000000"/>
          <w:sz w:val="24"/>
          <w:highlight w:val="none"/>
        </w:rPr>
      </w:r>
      <w:r/>
    </w:p>
    <w:p>
      <w:pPr>
        <w:pStyle w:val="883"/>
        <w:numPr>
          <w:ilvl w:val="4"/>
          <w:numId w:val="7"/>
        </w:numPr>
        <w:ind w:left="0" w:firstLine="482"/>
        <w:spacing w:line="500" w:lineRule="exact"/>
        <w:tabs>
          <w:tab w:val="left" w:pos="525" w:leader="none"/>
          <w:tab w:val="left" w:pos="945" w:leader="none"/>
          <w:tab w:val="left" w:pos="1155" w:leader="none"/>
        </w:tabs>
        <w:rPr>
          <w:rFonts w:ascii="宋体"/>
          <w:b/>
          <w:bCs/>
          <w:color w:val="000000"/>
          <w:sz w:val="24"/>
          <w:szCs w:val="24"/>
          <w:highlight w:val="none"/>
        </w:rPr>
      </w:pPr>
      <w:r>
        <w:rPr>
          <w:rFonts w:hint="eastAsia" w:ascii="宋体" w:hAnsi="宋体"/>
          <w:b/>
          <w:bCs/>
          <w:color w:val="000000"/>
          <w:sz w:val="24"/>
          <w:szCs w:val="24"/>
          <w:highlight w:val="none"/>
        </w:rPr>
        <w:t xml:space="preserve">演示（12分）：</w:t>
      </w:r>
      <w:r>
        <w:rPr>
          <w:rFonts w:hint="eastAsia" w:ascii="宋体" w:hAnsi="宋体"/>
          <w:bCs/>
          <w:color w:val="000000"/>
          <w:sz w:val="24"/>
          <w:szCs w:val="24"/>
          <w:highlight w:val="none"/>
        </w:rPr>
        <w:t xml:space="preserve">演示必须是目前正在运行的真实环境或模拟环境，不得使用PPT演示稿或录屏、截图等其他方式演示。演示时间不超过15分钟，无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rPr>
          <w:rFonts w:ascii="宋体"/>
          <w:b/>
          <w:bCs/>
          <w:color w:val="000000"/>
          <w:sz w:val="24"/>
          <w:szCs w:val="24"/>
          <w:highlight w:val="none"/>
        </w:rPr>
      </w:r>
      <w:r/>
    </w:p>
    <w:p>
      <w:pPr>
        <w:pStyle w:val="88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投标人针对招标投标活动监管子系统功能点进行演示，演示得分点如下</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4.1 投标文件特征码雷同性分析（2.5分）</w:t>
      </w:r>
      <w:r>
        <w:rPr>
          <w:rFonts w:hint="eastAsia" w:ascii="宋体" w:hAnsi="宋体"/>
          <w:color w:val="000000"/>
          <w:sz w:val="24"/>
          <w:highlight w:val="none"/>
        </w:rPr>
      </w:r>
      <w:r/>
    </w:p>
    <w:p>
      <w:pPr>
        <w:ind w:firstLine="480"/>
        <w:spacing w:line="500" w:lineRule="exact"/>
        <w:rPr>
          <w:rFonts w:hint="eastAsia" w:ascii="宋体" w:hAnsi="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rPr>
        <w:t xml:space="preserve">演示文件制作机器码、文件创建标识码、标书上传IP、远程解密IP、文件下载IP及机器码的智能比对分析功能。具备文件制作机器码雷同性分析功能得0.5分，未演示不得分；具备文件创建标识码雷同性分析功能得0.5分，未演示不得分；具备标书上传IP雷同性分析功能得0.5分，未演示不得分；具备远程解密IP雷同性分析功能得0.5分，未演示不得分；具备文件下载IP及机器码雷同性分析功能得0.5分，未演示不得分。</w:t>
      </w:r>
      <w:r>
        <w:rPr>
          <w:rFonts w:hint="eastAsia" w:ascii="宋体" w:hAnsi="宋体"/>
          <w:color w:val="000000"/>
          <w:sz w:val="24"/>
          <w:szCs w:val="24"/>
          <w:highlight w:val="none"/>
        </w:rPr>
      </w:r>
      <w:r>
        <w:rPr>
          <w:rFonts w:hint="eastAsia" w:ascii="宋体" w:hAnsi="宋体"/>
          <w:color w:val="000000"/>
          <w:sz w:val="24"/>
          <w:szCs w:val="24"/>
          <w:highlight w:val="none"/>
        </w:rPr>
      </w:r>
      <w:r>
        <w:rPr>
          <w:rFonts w:hint="eastAsia" w:ascii="宋体" w:hAnsi="宋体"/>
          <w:color w:val="000000"/>
          <w:sz w:val="24"/>
          <w:szCs w:val="24"/>
          <w:highlight w:val="none"/>
        </w:rPr>
      </w:r>
      <w:r>
        <w:rPr>
          <w:rFonts w:hint="eastAsia" w:ascii="宋体" w:hAnsi="宋体"/>
          <w:color w:val="000000"/>
          <w:sz w:val="24"/>
          <w:szCs w:val="24"/>
          <w:highlight w:val="none"/>
          <w14:ligatures w14:val="none"/>
        </w:rP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 市场主体社团分析（2.5分）</w:t>
      </w:r>
      <w:r>
        <w:rPr>
          <w:rFonts w:hint="eastAsia" w:ascii="宋体" w:hAnsi="宋体"/>
          <w:color w:val="000000"/>
          <w:sz w:val="24"/>
          <w:highlight w:val="none"/>
        </w:rPr>
      </w:r>
      <w:r/>
    </w:p>
    <w:p>
      <w:pPr>
        <w:ind w:firstLine="480"/>
        <w:spacing w:line="500" w:lineRule="exact"/>
        <w:rPr>
          <w:rFonts w:hint="eastAsia" w:ascii="宋体" w:hAnsi="宋体"/>
          <w:color w:val="000000"/>
          <w:sz w:val="24"/>
          <w:highlight w: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highlight w:val="none"/>
        </w:rPr>
      </w:r>
      <w:r>
        <w:rPr>
          <w:rFonts w:hint="eastAsia" w:ascii="宋体" w:hAnsi="宋体"/>
          <w:color w:val="000000"/>
          <w:sz w:val="24"/>
          <w:szCs w:val="24"/>
          <w:highlight w:val="none"/>
        </w:rPr>
        <w:t xml:space="preserve">演示投标人抱团亲密度分析、招标人与投标人关系分析、中标人与招标代理关系分析、邀请招标单位亲密度分析、社团写真分析等功能。具备投标人抱团亲密度分析、能够通过算法识别可疑项目及可疑投标人功能得0.5分，未演示不得分；具备招标人与投标人关系分析功能得0.5分，未演示不得分；具备中标人与招标代理关系分析功能得0.5分，未演示不得分；具备邀请招标单位亲密度分析功能得0.5分，未演示不得分；具备社团写真分析功能得0.5分，未演示不得分。</w:t>
      </w:r>
      <w:r>
        <w:rPr>
          <w:rFonts w:hint="eastAsia" w:ascii="宋体" w:hAnsi="宋体"/>
          <w:color w:val="000000"/>
          <w:sz w:val="24"/>
          <w:highlight w:val="none"/>
        </w:rPr>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4.3 智能辅助评标分析（2.5分）</w:t>
      </w:r>
      <w:r>
        <w:rPr>
          <w:rFonts w:hint="eastAsia" w:ascii="宋体" w:hAnsi="宋体"/>
          <w:color w:val="000000"/>
          <w:sz w:val="24"/>
          <w:highlight w:val="none"/>
        </w:rPr>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r>
      <w:r>
        <w:rPr>
          <w:rFonts w:hint="eastAsia" w:ascii="宋体" w:hAnsi="宋体"/>
          <w:color w:val="000000"/>
          <w:sz w:val="24"/>
          <w:szCs w:val="24"/>
          <w:highlight w:val="none"/>
        </w:rPr>
        <w:t xml:space="preserve">演示技术标雷同性分析（含图片OCR、PDF文字提取、文本相似度比对）、商务标错误雷同性分析、分项清单定额组成雷同性分析、投标文件编制异常分析、公司名称异常分析等功能。具备技术标雷同性分析（必须包含图片或PDF文档OCR识别，以及文本相似度比对）功能得0.5分，未演示不得分；具备商务标错误雷同性分析功能得0.5分，未演示不得分；具备分项清单定额组成雷同性分析功能得0.5分，未演示不得分；具备投标文件编制异常分析功能得0.5分，未演示不得分；具备公司名称异常分析功能得0.5分，未演示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4.4 转包违法分包大数据分析（2.5分）</w:t>
      </w:r>
      <w:r>
        <w:rPr>
          <w:rFonts w:hint="eastAsia" w:ascii="宋体" w:hAnsi="宋体"/>
          <w:color w:val="000000"/>
          <w:sz w:val="24"/>
          <w:highlight w:val="none"/>
        </w:rPr>
      </w:r>
      <w:r/>
    </w:p>
    <w:p>
      <w:pPr>
        <w:ind w:firstLine="480"/>
        <w:spacing w:line="500" w:lineRule="exact"/>
        <w:rPr>
          <w:rFonts w:hint="eastAsia" w:ascii="宋体" w:hAnsi="宋体"/>
          <w:color w:val="000000"/>
          <w:sz w:val="24"/>
          <w:szCs w:val="24"/>
          <w:highlight w:val="none"/>
          <w14:ligatures w14:val="none"/>
        </w:rPr>
      </w:pPr>
      <w:r>
        <w:rPr>
          <w:rFonts w:hint="eastAsia" w:ascii="宋体" w:hAnsi="宋体"/>
          <w:color w:val="000000"/>
          <w:sz w:val="24"/>
          <w:szCs w:val="24"/>
          <w:highlight w:val="none"/>
        </w:rPr>
      </w:r>
      <w:r>
        <w:rPr>
          <w:rFonts w:hint="eastAsia" w:ascii="宋体" w:hAnsi="宋体"/>
          <w:color w:val="000000"/>
          <w:sz w:val="24"/>
          <w:szCs w:val="24"/>
          <w:highlight w:val="none"/>
        </w:rPr>
        <w:t xml:space="preserve">演示投标价格分析、专家打分倾向性分析、异常流程分析、异常人员分析、转包及违法分包分析等功能。具备投标价格分析功能得0.5分，未演示不得分；具备专家打分倾向性分析功能得0.5分，未演示不得分；具备异常流程分析功能得0.5分，未演示不得分；具备异常人员分析功能得0.5分，未演示不得分；具备转包及违法分包分析功能得0.5分，未演示不得分。</w:t>
      </w:r>
      <w:r>
        <w:rPr>
          <w:rFonts w:hint="eastAsia" w:ascii="宋体" w:hAnsi="宋体"/>
          <w:color w:val="000000"/>
          <w:sz w:val="24"/>
          <w:szCs w:val="24"/>
          <w:highlight w:val="none"/>
        </w:rPr>
      </w:r>
      <w:r>
        <w:rPr>
          <w:rFonts w:hint="eastAsia" w:ascii="宋体" w:hAnsi="宋体"/>
          <w:color w:val="000000"/>
          <w:sz w:val="24"/>
          <w:szCs w:val="24"/>
          <w:highlight w:val="none"/>
        </w:rP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4.5 招标投标统计报表（2分）</w:t>
      </w:r>
      <w:r>
        <w:rPr>
          <w:rFonts w:hint="eastAsia" w:ascii="宋体" w:hAnsi="宋体"/>
          <w:color w:val="000000"/>
          <w:sz w:val="24"/>
          <w:highlight w:val="none"/>
        </w:rPr>
      </w:r>
      <w:r/>
    </w:p>
    <w:p>
      <w:pPr>
        <w:ind w:firstLine="480"/>
        <w:spacing w:line="500" w:lineRule="exact"/>
        <w:rPr>
          <w:rFonts w:hint="eastAsia" w:ascii="宋体" w:hAnsi="宋体"/>
          <w:color w:val="000000"/>
          <w:sz w:val="24"/>
          <w:szCs w:val="24"/>
          <w:highlight w:val="none"/>
          <w14:ligatures w14:val="none"/>
        </w:rPr>
      </w:pPr>
      <w:r>
        <w:rPr>
          <w:rFonts w:hint="eastAsia" w:ascii="宋体" w:hAnsi="宋体"/>
          <w:color w:val="000000"/>
          <w:sz w:val="24"/>
          <w:szCs w:val="24"/>
          <w:highlight w:val="none"/>
        </w:rPr>
      </w:r>
      <w:r>
        <w:rPr>
          <w:rFonts w:hint="eastAsia" w:ascii="宋体" w:hAnsi="宋体"/>
          <w:color w:val="000000"/>
          <w:sz w:val="24"/>
          <w:szCs w:val="24"/>
          <w:highlight w:val="none"/>
        </w:rPr>
        <w:t xml:space="preserve">演示中标候选人技术经济信用得分分析、本外地企业中标率分析、民营国有企业中标率分析、大中小型企业中标率分析等功能。具备中标候选人技术经济信用得分分析功能得0.5分，未演示不得分；具备本外地企业中标率分析功能得0.5分，未演示不得分；具备民营国有企业中标率分析功能得0.5分，未演示不得分；具备大中小型企业中标率分析功能得0.5分，未演示不得分。</w:t>
      </w:r>
      <w:r>
        <w:rPr>
          <w:rFonts w:hint="eastAsia" w:ascii="宋体" w:hAnsi="宋体"/>
          <w:color w:val="000000"/>
          <w:sz w:val="24"/>
          <w:szCs w:val="24"/>
          <w:highlight w:val="none"/>
        </w:rPr>
      </w:r>
      <w:r>
        <w:rPr>
          <w:rFonts w:hint="eastAsia" w:ascii="宋体" w:hAnsi="宋体"/>
          <w:color w:val="000000"/>
          <w:sz w:val="24"/>
          <w:szCs w:val="24"/>
          <w:highlight w:val="none"/>
        </w:rP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rPr>
        <w:t xml:space="preserve">57</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5.1 项目需求分析（10分）：主要考察投标人对本项目需求的理解程度，包括①现有系统理解、②功能需求、③非功能需求、④技术路线、⑤安全架构设计等。</w:t>
      </w:r>
      <w:r>
        <w:rPr>
          <w:rFonts w:hint="eastAsia" w:ascii="宋体" w:hAnsi="宋体"/>
          <w:color w:val="000000"/>
          <w:sz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完整，科学合理，设计清晰详细，完全符合本项目需求，且能够提供上述5项全部方案的得10分；方案较完整，科学合理性较强，设计较清晰详细，能够符合本项目需求，能够提供上述3-5项方案得7分；方案完整性、科学合理性、设计的清晰详细程度等只能基本满足要求，能够提供上述1-5项方案得5分；</w:t>
      </w:r>
      <w:r>
        <w:rPr>
          <w:rFonts w:ascii="宋体" w:hAnsi="宋体"/>
          <w:bCs/>
          <w:color w:val="000000"/>
          <w:sz w:val="24"/>
          <w:szCs w:val="24"/>
          <w:highlight w:val="none"/>
        </w:rPr>
        <w:t xml:space="preserve">未按要求提供方案内容或无方案的，均不得分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5.2 系统详细设计（</w:t>
      </w:r>
      <w:r>
        <w:rPr>
          <w:rFonts w:hint="eastAsia" w:ascii="宋体" w:hAnsi="宋体"/>
          <w:color w:val="000000"/>
          <w:sz w:val="24"/>
          <w:highlight w:val="none"/>
        </w:rPr>
        <w:t xml:space="preserve">21</w:t>
      </w:r>
      <w:r>
        <w:rPr>
          <w:rFonts w:hint="eastAsia" w:ascii="宋体" w:hAnsi="宋体"/>
          <w:color w:val="000000"/>
          <w:sz w:val="24"/>
          <w:highlight w:val="none"/>
        </w:rPr>
        <w:t xml:space="preserve">分）：考察投标人将采购需求转化为可执行技术方案的能力，设计方案应对照采购需求一一对应。其中应包含人工智能技术方案（如自然语言处理、图神经网络、机器学习等）在招投标监管中的具体应用设计。</w:t>
      </w:r>
      <w:r>
        <w:rPr>
          <w:rFonts w:ascii="宋体" w:hAnsi="宋体"/>
          <w:color w:val="000000"/>
          <w:sz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5.2.1智慧住建业务平台信创改造详细设计方案（6分）：</w:t>
      </w:r>
      <w:r>
        <w:rPr>
          <w:rFonts w:hint="eastAsia" w:ascii="宋体" w:hAnsi="宋体"/>
          <w:color w:val="000000"/>
          <w:sz w:val="24"/>
          <w:highlight w:val="none"/>
        </w:rPr>
        <w:t xml:space="preserve">主要考察投标人对该系统信创改造需求的设计是否合理，包括①信创操作系统适配、②信创数据库迁移、③应用系统适配、④API网关管控、⑤身份认证与访问控制强化、⑥密码应用安全性评估改造、⑦Web应用高可用性设计等。</w:t>
      </w:r>
      <w:r>
        <w:rPr>
          <w:rFonts w:ascii="宋体" w:hAnsi="宋体"/>
          <w:color w:val="000000"/>
          <w:sz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color w:val="000000"/>
          <w:sz w:val="24"/>
          <w:highlight w:val="none"/>
        </w:rPr>
      </w:pPr>
      <w:r>
        <w:rPr>
          <w:rFonts w:hint="eastAsia" w:ascii="宋体" w:hAnsi="宋体"/>
          <w:bCs/>
          <w:color w:val="000000"/>
          <w:sz w:val="24"/>
          <w:szCs w:val="24"/>
          <w:highlight w:val="none"/>
        </w:rPr>
        <w:t xml:space="preserve">方案完整，科学合理，设计清晰详细，完全符合本项目需求，且能够提供上述7项全部方案的得6分；方案较完整，科学合理性较强，设计较清晰详细，能够符合本项目需求，能够提供上述5-7项方案得4分；方案完整性、科学合理性、设计的清晰详细程度等只能基本满足要求，能够提供上述1-7项方案得2分；</w:t>
      </w:r>
      <w:r>
        <w:rPr>
          <w:rFonts w:ascii="宋体" w:hAnsi="宋体"/>
          <w:bCs/>
          <w:color w:val="000000"/>
          <w:sz w:val="24"/>
          <w:szCs w:val="24"/>
          <w:highlight w:val="none"/>
        </w:rPr>
        <w:t xml:space="preserve">未按要求提供方案内容或无方案的，均不得分</w:t>
      </w:r>
      <w:r>
        <w:rPr>
          <w:rFonts w:hint="eastAsia" w:ascii="宋体" w:hAnsi="宋体"/>
          <w:bCs/>
          <w:color w:val="000000"/>
          <w:sz w:val="24"/>
          <w:szCs w:val="24"/>
          <w:highlight w:val="none"/>
        </w:rPr>
        <w:t xml:space="preserve">。</w:t>
      </w:r>
      <w:r>
        <w:rPr>
          <w:rFonts w:hint="eastAsia" w:ascii="宋体" w:hAnsi="宋体"/>
          <w:color w:val="000000"/>
          <w:sz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5.2.2建筑工地智慧监管子系统信创改造详细设计方案（2分）：</w:t>
      </w:r>
      <w:r>
        <w:rPr>
          <w:rFonts w:hint="eastAsia" w:ascii="宋体" w:hAnsi="宋体"/>
          <w:color w:val="000000"/>
          <w:sz w:val="24"/>
          <w:highlight w:val="none"/>
        </w:rPr>
        <w:t xml:space="preserve">主要考察投标人对该系统信创改造需求的设计是否合理，包括①信创操作系统适配、②信创数据库迁移、③应用系统适配、④密码应用安全性评估改造等。</w:t>
      </w:r>
      <w:r>
        <w:rPr>
          <w:rFonts w:ascii="宋体" w:hAnsi="宋体"/>
          <w:color w:val="000000"/>
          <w:sz w:val="24"/>
          <w:highlight w:val="none"/>
        </w:rPr>
      </w:r>
      <w:r/>
    </w:p>
    <w:p>
      <w:pPr>
        <w:pStyle w:val="883"/>
        <w:ind w:firstLine="480"/>
        <w:spacing w:line="500" w:lineRule="exact"/>
        <w:tabs>
          <w:tab w:val="left" w:pos="945" w:leader="none"/>
          <w:tab w:val="left" w:pos="1155" w:leader="none"/>
          <w:tab w:val="left" w:pos="3823" w:leader="none"/>
        </w:tabs>
        <w:rPr>
          <w:rFonts w:ascii="宋体" w:hAnsi="宋体"/>
          <w:color w:val="000000"/>
          <w:sz w:val="24"/>
          <w:highlight w:val="none"/>
        </w:rPr>
      </w:pPr>
      <w:r>
        <w:rPr>
          <w:rFonts w:hint="eastAsia" w:ascii="宋体" w:hAnsi="宋体"/>
          <w:bCs/>
          <w:color w:val="000000"/>
          <w:sz w:val="24"/>
          <w:szCs w:val="24"/>
          <w:highlight w:val="none"/>
        </w:rPr>
        <w:t xml:space="preserve">方案完整，科学合理，设计清晰详细，完全符合本项目需求，且能够提供上述4项全部方案的得2分；方案较完整，科学合理性较强，设计较清晰详细，能够符合本项目需求，能够提供上述1-4项方案得1分；</w:t>
      </w:r>
      <w:r>
        <w:rPr>
          <w:rFonts w:ascii="宋体" w:hAnsi="宋体"/>
          <w:bCs/>
          <w:color w:val="000000"/>
          <w:sz w:val="24"/>
          <w:szCs w:val="24"/>
          <w:highlight w:val="none"/>
        </w:rPr>
        <w:t xml:space="preserve">未按要求提供方案内容或无方案的，均不得分</w:t>
      </w:r>
      <w:r>
        <w:rPr>
          <w:rFonts w:hint="eastAsia" w:ascii="宋体" w:hAnsi="宋体"/>
          <w:bCs/>
          <w:color w:val="000000"/>
          <w:sz w:val="24"/>
          <w:szCs w:val="24"/>
          <w:highlight w:val="none"/>
        </w:rPr>
        <w:t xml:space="preserve">。</w:t>
      </w:r>
      <w:r>
        <w:rPr>
          <w:rFonts w:ascii="宋体" w:hAnsi="宋体"/>
          <w:color w:val="000000"/>
          <w:sz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5.2.3城市基础设施配套费征收系统信创改造详细设计方案（2分）：</w:t>
      </w:r>
      <w:r>
        <w:rPr>
          <w:rFonts w:hint="eastAsia" w:ascii="宋体" w:hAnsi="宋体"/>
          <w:color w:val="000000"/>
          <w:sz w:val="24"/>
          <w:highlight w:val="none"/>
        </w:rPr>
        <w:t xml:space="preserve">主要考察投标人对该系统信创改造需求的设计是否合理，包括①信创操作系统适配、②信创数据库迁移、③应用系统适配、④密码应用安全性评估改造等。</w:t>
      </w:r>
      <w:r>
        <w:rPr>
          <w:rFonts w:ascii="宋体" w:hAnsi="宋体"/>
          <w:color w:val="000000"/>
          <w:sz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color w:val="000000"/>
          <w:sz w:val="24"/>
          <w:highlight w:val="none"/>
        </w:rPr>
      </w:pPr>
      <w:r>
        <w:rPr>
          <w:rFonts w:hint="eastAsia" w:ascii="宋体" w:hAnsi="宋体"/>
          <w:bCs/>
          <w:color w:val="000000"/>
          <w:sz w:val="24"/>
          <w:szCs w:val="24"/>
          <w:highlight w:val="none"/>
        </w:rPr>
        <w:t xml:space="preserve">方案完整，科学合理，设计清晰详细，完全符合本项目需求，且能够提供上述4项全部方案的得2分；方案较完整，科学合理性较强，设计较清晰详细，能够符合本项目需求，能够提供上述1-4项方案得1分；</w:t>
      </w:r>
      <w:r>
        <w:rPr>
          <w:rFonts w:ascii="宋体" w:hAnsi="宋体"/>
          <w:bCs/>
          <w:color w:val="000000"/>
          <w:sz w:val="24"/>
          <w:szCs w:val="24"/>
          <w:highlight w:val="none"/>
        </w:rPr>
        <w:t xml:space="preserve">未按要求提供方案内容或无方案的，均不得分</w:t>
      </w:r>
      <w:r>
        <w:rPr>
          <w:rFonts w:hint="eastAsia" w:ascii="宋体" w:hAnsi="宋体"/>
          <w:bCs/>
          <w:color w:val="000000"/>
          <w:sz w:val="24"/>
          <w:szCs w:val="24"/>
          <w:highlight w:val="none"/>
        </w:rPr>
        <w:t xml:space="preserve">。</w:t>
      </w:r>
      <w:r>
        <w:rPr>
          <w:rFonts w:hint="eastAsia" w:ascii="宋体" w:hAnsi="宋体"/>
          <w:color w:val="000000"/>
          <w:sz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5.2.4招投标活动监管子系统详细设计方案（9分）：</w:t>
      </w:r>
      <w:r>
        <w:rPr>
          <w:rFonts w:hint="eastAsia" w:ascii="宋体" w:hAnsi="宋体"/>
          <w:color w:val="000000"/>
          <w:sz w:val="24"/>
          <w:highlight w:val="none"/>
        </w:rPr>
        <w:t xml:space="preserve">主要考察投标人对该子系统的功能设计是否合理，包括①投标文件特征码雷同性分析、②市场主体社团分析、③智能辅助评标分析、④转包违法分包大数据分析、⑤</w:t>
      </w:r>
      <w:r>
        <w:rPr>
          <w:rFonts w:ascii="宋体" w:hAnsi="宋体"/>
          <w:color w:val="000000"/>
          <w:sz w:val="24"/>
          <w:highlight w:val="none"/>
        </w:rPr>
        <w:t xml:space="preserve">招标投标统计报表</w:t>
      </w:r>
      <w:r>
        <w:rPr>
          <w:rFonts w:hint="eastAsia" w:ascii="宋体" w:hAnsi="宋体"/>
          <w:color w:val="000000"/>
          <w:sz w:val="24"/>
          <w:highlight w:val="none"/>
        </w:rPr>
        <w:t xml:space="preserve">、⑥分析结果展现等。</w:t>
      </w:r>
      <w:r>
        <w:rPr>
          <w:rFonts w:ascii="宋体" w:hAnsi="宋体"/>
          <w:color w:val="000000"/>
          <w:sz w:val="24"/>
          <w:highlight w:val="none"/>
        </w:rPr>
      </w:r>
      <w:r/>
    </w:p>
    <w:p>
      <w:pPr>
        <w:ind w:firstLine="480"/>
        <w:spacing w:line="500" w:lineRule="exact"/>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none"/>
        </w:rPr>
        <w:t xml:space="preserve">方案完整，科学合理，设计清晰详细，完全符合本项目需求，上述6项方案均完整提供，且其中2项及以上采用AI/机器学习技术（包括但不限于大语言模型、深度学习、知识图谱等）实现的，得9分；方案完整，科学合理，设计清晰详细，完全符合本项目需求，上述6项方案均完整提供的，但未采用AI/机器学习技术的，得7分；方案较完整，科学合理性较强，设计较清晰详细，能够符合本项目需求，能够提供上述5-6项方案的，得5分；方案完整性、科学合理性、设计的清晰详细程度等只能基本满足要求，能够提供上述1-6项方案的，得3分；未按要求提供方案</w:t>
      </w:r>
      <w:r>
        <w:rPr>
          <w:rFonts w:hint="eastAsia" w:ascii="宋体" w:hAnsi="宋体"/>
          <w:color w:val="000000"/>
          <w:sz w:val="24"/>
          <w:szCs w:val="24"/>
          <w:highlight w:val="none"/>
        </w:rPr>
        <w:t xml:space="preserve">内容或无方案的，均不得分。</w:t>
      </w:r>
      <w:r/>
      <w:r>
        <w:rPr>
          <w:rFonts w:hint="eastAsia" w:ascii="宋体" w:hAnsi="宋体"/>
          <w:bCs/>
          <w:color w:val="000000"/>
          <w:sz w:val="24"/>
          <w:szCs w:val="24"/>
          <w:highlight w:val="none"/>
        </w:rPr>
      </w:r>
      <w:r/>
      <w:r>
        <w:rPr>
          <w:sz w:val="28"/>
        </w:rP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5.2.5升级BIM施工图智能审查子系统详细设计方案（3分）：主要考察投标人对该子系统的功能设计是否合理，包括①审图业务工单管理、②工改3.0改造、③电子发票管理、④城市更新改造项目审查管理、⑤一对一整改回复、⑥跨专业关联图纸协同管理、⑦全过程图纸版本更替管理等。</w:t>
      </w:r>
      <w:r>
        <w:rPr>
          <w:rFonts w:ascii="宋体" w:hAnsi="宋体"/>
          <w:color w:val="000000"/>
          <w:sz w:val="24"/>
          <w:highlight w:val="none"/>
        </w:rPr>
      </w:r>
      <w:r/>
    </w:p>
    <w:p>
      <w:pPr>
        <w:pStyle w:val="883"/>
        <w:ind w:firstLine="480"/>
        <w:spacing w:line="500" w:lineRule="exact"/>
        <w:tabs>
          <w:tab w:val="left" w:pos="945" w:leader="none"/>
          <w:tab w:val="left" w:pos="1155" w:leader="none"/>
          <w:tab w:val="left" w:pos="3823" w:leader="none"/>
        </w:tabs>
        <w:rPr>
          <w:rFonts w:ascii="宋体" w:hAnsi="宋体"/>
          <w:color w:val="000000"/>
          <w:sz w:val="24"/>
          <w:highlight w:val="none"/>
        </w:rPr>
      </w:pPr>
      <w:r>
        <w:rPr>
          <w:rFonts w:hint="eastAsia" w:ascii="宋体" w:hAnsi="宋体"/>
          <w:bCs/>
          <w:color w:val="000000"/>
          <w:sz w:val="24"/>
          <w:szCs w:val="24"/>
          <w:highlight w:val="none"/>
        </w:rPr>
        <w:t xml:space="preserve">方案完整，科学合理，设计清晰详细，完全符合本项目需求，且能够提供上述7项全部方案的得3分；方案较完整，科学合理性较强，设计较清晰详细，能够符合本项目需求，能够提供上述5-7项方案得2分；方案完整性、科学合理性、设计的清晰详细程度等只能基本满足要求，能够提供上述1-7项方案得1分；</w:t>
      </w:r>
      <w:r>
        <w:rPr>
          <w:rFonts w:ascii="宋体" w:hAnsi="宋体"/>
          <w:bCs/>
          <w:color w:val="000000"/>
          <w:sz w:val="24"/>
          <w:szCs w:val="24"/>
          <w:highlight w:val="none"/>
        </w:rPr>
        <w:t xml:space="preserve">未按要求提供方案内容或无方案的，均不得分</w:t>
      </w:r>
      <w:r>
        <w:rPr>
          <w:rFonts w:hint="eastAsia" w:ascii="宋体" w:hAnsi="宋体"/>
          <w:bCs/>
          <w:color w:val="000000"/>
          <w:sz w:val="24"/>
          <w:szCs w:val="24"/>
          <w:highlight w:val="none"/>
        </w:rPr>
        <w:t xml:space="preserve">。</w:t>
      </w:r>
      <w:r>
        <w:rPr>
          <w:rFonts w:ascii="宋体" w:hAnsi="宋体"/>
          <w:color w:val="000000"/>
          <w:sz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5.2.6“卖旧买新”契税补贴资格管理模块详细设计方案（2分）：主要考察投标人对该子系统的功能设计是否合理，包括①存量房信息管理、②商品房信息管理、③不动产登记信息管理、④契税补贴业务管理、⑤契税补贴资格申请表打印及导出。</w:t>
      </w:r>
      <w:r>
        <w:rPr>
          <w:rFonts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bCs/>
          <w:color w:val="000000"/>
          <w:sz w:val="24"/>
          <w:szCs w:val="24"/>
          <w:highlight w:val="none"/>
        </w:rPr>
        <w:t xml:space="preserve">方案完整，科学合理，设计清晰详细，完全符合本项目需求，且能够提供上述5项全部方案的得2分；方案较完整，科学合理性较强，设计较清晰详细，能够符合本项目需求，能够提供上述1-5项方案得1分；</w:t>
      </w:r>
      <w:r>
        <w:rPr>
          <w:rFonts w:ascii="宋体" w:hAnsi="宋体"/>
          <w:bCs/>
          <w:color w:val="000000"/>
          <w:sz w:val="24"/>
          <w:szCs w:val="24"/>
          <w:highlight w:val="none"/>
        </w:rPr>
        <w:t xml:space="preserve">未按要求提供方案内容或无方案的，均不得分</w:t>
      </w:r>
      <w:r>
        <w:rPr>
          <w:rFonts w:hint="eastAsia" w:ascii="宋体" w:hAnsi="宋体"/>
          <w:bCs/>
          <w:color w:val="000000"/>
          <w:sz w:val="24"/>
          <w:szCs w:val="24"/>
          <w:highlight w:val="none"/>
        </w:rPr>
        <w:t xml:space="preserve">。</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5.3 项目组织实施方案（10分）：考察①本项目开发实施的管理制度、②项目实施计划、③进度控制、④质量保证、⑤风险管理、⑥资源配置等措施的可行性。</w:t>
      </w:r>
      <w:r>
        <w:rPr>
          <w:rFonts w:hint="eastAsia" w:ascii="宋体" w:hAnsi="宋体"/>
          <w:color w:val="000000"/>
          <w:sz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完整，科学合理，设计清晰详细，完全符合本项目需求，且能够提供上述6项全部方案的得10分；方案较完整，科学合理性较强，设计较清晰详细，能够符合本项目需求，能够提供上述3-6项方案得7分；方案完整性、科学合理性、设计的清晰详细程度等只能基本满足要求，能够提供上述1-6项方案得5分；方案不符合本项目需求或无方案的，不得分。</w:t>
      </w:r>
      <w:r>
        <w:rPr>
          <w:rFonts w:hint="eastAsia" w:ascii="宋体" w:hAnsi="宋体"/>
          <w:bCs/>
          <w:color w:val="000000"/>
          <w:sz w:val="24"/>
          <w:szCs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5.4 售后服务方案（6分）：考察投标人面向用户的技术支持与保障能力，包括但不限于：①培训方案、②售后服务人员服务能力、③故障响应机制（响应时间、解决时间）、④技术支持方式（电话、远程、现场）、⑤服务团队配置、⑥问题闭环流程等。</w:t>
      </w:r>
      <w:r>
        <w:rPr>
          <w:rFonts w:hint="eastAsia" w:ascii="宋体" w:hAnsi="宋体"/>
          <w:color w:val="000000"/>
          <w:sz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完整，科学合理，设计清晰详细，完全符合本项目需求，且能够提供上述6项全部方案的得6分；方案较完整，科学合理性较强，设计较清晰详细，能够符合本项目需求，能够提供上述3-6项方案得4分；方案完整性、科学合理性、设计的清晰详细程度等只能基本满足要求，能够提供上述1-6项方案得3分；方案不符合本项目需求或无方案的，不得分。</w:t>
      </w:r>
      <w:r>
        <w:rPr>
          <w:rFonts w:hint="eastAsia" w:ascii="宋体" w:hAnsi="宋体"/>
          <w:bCs/>
          <w:color w:val="000000"/>
          <w:sz w:val="24"/>
          <w:szCs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5.5 运维服务方案（7分）：考察投标人对系统日常运行的技术维护能力，包括但不限于：①数据备份与恢复、②网络与数据安全服务（安全巡检、漏洞修复等）、③版本升级与补丁管理、④性能优化、⑤应急预案等。</w:t>
      </w:r>
      <w:r>
        <w:rPr>
          <w:rFonts w:hint="eastAsia" w:ascii="宋体" w:hAnsi="宋体"/>
          <w:color w:val="000000"/>
          <w:sz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完整，科学合理，设计清晰详细，完全符合本项目需求，且能够提供上述5项全部方案的得7分；方案较完整，科学合理性较强，设计较清晰详细，能够符合本项目需求，能够提供上述3-5项方案得4分；方案完整性、科学合理性、设计的清晰详细程度等只能基本满足要求，能够提供上述1-5项方案得3分；方案不符合本项目需求或无方案的，不得分。</w:t>
      </w:r>
      <w:r>
        <w:rPr>
          <w:rFonts w:hint="eastAsia" w:ascii="宋体" w:hAnsi="宋体"/>
          <w:bCs/>
          <w:color w:val="000000"/>
          <w:sz w:val="24"/>
          <w:szCs w:val="24"/>
          <w:highlight w:val="none"/>
        </w:rPr>
      </w:r>
      <w:r/>
    </w:p>
    <w:p>
      <w:pPr>
        <w:pStyle w:val="972"/>
        <w:ind w:firstLine="0"/>
        <w:spacing w:before="0" w:after="0" w:line="500" w:lineRule="exact"/>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883"/>
        <w:jc w:val="center"/>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br w:type="page" w:clear="all"/>
      </w:r>
      <w:r>
        <w:rPr>
          <w:rFonts w:hint="eastAsia" w:ascii="黑体" w:hAnsi="黑体" w:eastAsia="黑体"/>
          <w:color w:val="000000"/>
          <w:sz w:val="36"/>
          <w:szCs w:val="36"/>
          <w:highlight w:val="none"/>
        </w:rPr>
        <w:t xml:space="preserve">第六章  </w:t>
      </w:r>
      <w:bookmarkEnd w:id="191"/>
      <w:r/>
      <w:bookmarkEnd w:id="192"/>
      <w:r/>
      <w:bookmarkEnd w:id="198"/>
      <w:r>
        <w:rPr>
          <w:rFonts w:hint="eastAsia" w:ascii="黑体" w:hAnsi="黑体" w:eastAsia="黑体"/>
          <w:color w:val="000000"/>
          <w:sz w:val="36"/>
          <w:szCs w:val="36"/>
          <w:highlight w:val="none"/>
        </w:rPr>
        <w:t xml:space="preserve">投标文件内容与格式</w:t>
      </w:r>
      <w:r>
        <w:rPr>
          <w:rFonts w:hint="eastAsia" w:ascii="黑体" w:hAnsi="黑体" w:eastAsia="黑体"/>
          <w:color w:val="000000"/>
          <w:sz w:val="36"/>
          <w:szCs w:val="36"/>
          <w:highlight w:val="none"/>
        </w:rPr>
      </w:r>
      <w:r/>
    </w:p>
    <w:p>
      <w:pPr>
        <w:pStyle w:val="972"/>
        <w:ind w:firstLine="602"/>
        <w:spacing w:before="0" w:after="0" w:line="500" w:lineRule="exact"/>
        <w:rPr>
          <w:rFonts w:hint="eastAsia" w:cs="Arial"/>
          <w:b/>
          <w:color w:val="000000"/>
          <w:sz w:val="30"/>
          <w:szCs w:val="30"/>
          <w:highlight w:val="none"/>
        </w:rPr>
      </w:pPr>
      <w:r/>
      <w:bookmarkStart w:id="199" w:name="_Hlt26955039"/>
      <w:r/>
      <w:bookmarkEnd w:id="199"/>
      <w:r/>
      <w:bookmarkStart w:id="200" w:name="_Toc49090576"/>
      <w:r/>
      <w:bookmarkStart w:id="201" w:name="_Toc26554094"/>
      <w:r/>
      <w:bookmarkStart w:id="202" w:name="_Toc120614282"/>
      <w:r/>
      <w:bookmarkStart w:id="203" w:name="_Hlt26671244"/>
      <w:r/>
      <w:bookmarkEnd w:id="203"/>
      <w:r>
        <w:rPr>
          <w:rFonts w:hint="eastAsia" w:cs="Arial"/>
          <w:b/>
          <w:color w:val="000000"/>
          <w:sz w:val="30"/>
          <w:szCs w:val="30"/>
          <w:highlight w:val="none"/>
        </w:rPr>
        <w:t xml:space="preserve">第一部分  投标文件内容</w:t>
      </w:r>
      <w:r>
        <w:rPr>
          <w:rFonts w:hint="eastAsia" w:cs="Arial"/>
          <w:b/>
          <w:color w:val="000000"/>
          <w:sz w:val="30"/>
          <w:szCs w:val="30"/>
          <w:highlight w:val="none"/>
        </w:rPr>
      </w:r>
      <w:r/>
    </w:p>
    <w:p>
      <w:pPr>
        <w:pStyle w:val="972"/>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hint="eastAsia"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2"/>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6104" w:type="dxa"/>
            <w:vAlign w:val="center"/>
            <w:textDirection w:val="lrTb"/>
            <w:noWrap w:val="false"/>
          </w:tcPr>
          <w:p>
            <w:pPr>
              <w:pStyle w:val="972"/>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rFonts w:hint="eastAsia" w:ascii="宋体" w:hAnsi="宋体" w:cs="宋体"/>
                <w:b/>
                <w:color w:val="000000"/>
                <w:highlight w:val="none"/>
              </w:rPr>
            </w:r>
            <w:r/>
          </w:p>
        </w:tc>
        <w:tc>
          <w:tcPr>
            <w:tcW w:w="2449" w:type="dxa"/>
            <w:vAlign w:val="center"/>
            <w:textDirection w:val="lrTb"/>
            <w:noWrap w:val="false"/>
          </w:tcPr>
          <w:p>
            <w:pPr>
              <w:pStyle w:val="972"/>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rPr>
                <w:rFonts w:hint="eastAsia" w:ascii="宋体" w:hAnsi="宋体" w:cs="宋体"/>
                <w:b/>
                <w:color w:val="000000"/>
                <w:highlight w:val="none"/>
              </w:rPr>
            </w:r>
            <w:r/>
          </w:p>
        </w:tc>
      </w:tr>
      <w:tr>
        <w:trPr>
          <w:trHeight w:val="1335"/>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color w:val="000000"/>
                <w:highlight w:val="none"/>
              </w:rPr>
            </w:r>
            <w:r/>
          </w:p>
        </w:tc>
        <w:tc>
          <w:tcPr>
            <w:tcW w:w="2449" w:type="dxa"/>
            <w:vAlign w:val="center"/>
            <w:vMerge w:val="restart"/>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hint="eastAsia" w:ascii="宋体" w:hAnsi="宋体" w:cs="宋体"/>
                <w:color w:val="000000"/>
                <w:highlight w:val="none"/>
              </w:rPr>
            </w:r>
            <w:r/>
          </w:p>
        </w:tc>
      </w:tr>
      <w:tr>
        <w:trPr>
          <w:trHeight w:val="812"/>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hint="eastAsia" w:ascii="宋体" w:hAnsi="宋体" w:cs="宋体"/>
                <w:color w:val="000000"/>
                <w:highlight w:val="none"/>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1"/>
                <w:rFonts w:hint="eastAsia" w:ascii="宋体" w:hAnsi="宋体" w:cs="宋体"/>
                <w:color w:val="000000"/>
                <w:sz w:val="24"/>
                <w:szCs w:val="24"/>
                <w:highlight w:val="none"/>
              </w:rPr>
              <w:t xml:space="preserve">。</w:t>
            </w:r>
            <w:r>
              <w:rPr>
                <w:rFonts w:hint="eastAsia" w:ascii="宋体" w:hAnsi="宋体" w:cs="宋体"/>
                <w:color w:val="000000"/>
                <w:highlight w:val="none"/>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rFonts w:hint="eastAsia" w:ascii="宋体" w:hAnsi="宋体" w:cs="宋体"/>
                <w:color w:val="000000"/>
                <w:highlight w:val="none"/>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6104" w:type="dxa"/>
            <w:vAlign w:val="center"/>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rPr>
                <w:rFonts w:hint="eastAsia" w:ascii="宋体" w:hAnsi="宋体" w:cs="宋体"/>
                <w:color w:val="000000"/>
                <w:highlight w:val="none"/>
              </w:rPr>
            </w:r>
            <w:r/>
          </w:p>
        </w:tc>
        <w:tc>
          <w:tcPr>
            <w:tcW w:w="2449" w:type="dxa"/>
            <w:vAlign w:val="center"/>
            <w:textDirection w:val="lrTb"/>
            <w:noWrap w:val="false"/>
          </w:tcPr>
          <w:p>
            <w:pPr>
              <w:pStyle w:val="972"/>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rPr>
                <w:rFonts w:ascii="宋体" w:hAnsi="宋体" w:cs="宋体"/>
                <w:color w:val="000000"/>
                <w:highlight w:val="none"/>
              </w:rPr>
            </w:r>
            <w:r/>
          </w:p>
        </w:tc>
      </w:tr>
      <w:tr>
        <w:trPr>
          <w:trHeight w:val="726"/>
        </w:trPr>
        <w:tc>
          <w:tcPr>
            <w:tcW w:w="719" w:type="dxa"/>
            <w:vAlign w:val="center"/>
            <w:textDirection w:val="lrTb"/>
            <w:noWrap w:val="false"/>
          </w:tcPr>
          <w:p>
            <w:pPr>
              <w:pStyle w:val="972"/>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rPr>
                <w:rFonts w:hint="eastAsia" w:ascii="宋体" w:hAnsi="宋体" w:cs="宋体"/>
                <w:bCs/>
                <w:color w:val="000000"/>
                <w:highlight w:val="none"/>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rPr>
                <w:rFonts w:hint="eastAsia" w:ascii="宋体" w:hAnsi="宋体" w:cs="宋体"/>
                <w:bCs/>
                <w:color w:val="000000"/>
                <w:highlight w:val="none"/>
              </w:rPr>
            </w:r>
            <w:r/>
          </w:p>
        </w:tc>
        <w:tc>
          <w:tcPr>
            <w:tcW w:w="2449" w:type="dxa"/>
            <w:vAlign w:val="center"/>
            <w:textDirection w:val="lrTb"/>
            <w:noWrap w:val="false"/>
          </w:tcPr>
          <w:p>
            <w:pPr>
              <w:pStyle w:val="972"/>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hint="eastAsia" w:ascii="宋体" w:hAnsi="宋体" w:cs="宋体"/>
                <w:bCs/>
                <w:color w:val="000000"/>
                <w:highlight w:val="none"/>
              </w:rPr>
            </w:r>
            <w:r/>
          </w:p>
        </w:tc>
      </w:tr>
      <w:tr>
        <w:trPr>
          <w:trHeight w:val="632"/>
        </w:trPr>
        <w:tc>
          <w:tcPr>
            <w:tcW w:w="719" w:type="dxa"/>
            <w:vAlign w:val="center"/>
            <w:textDirection w:val="lrTb"/>
            <w:noWrap w:val="false"/>
          </w:tcPr>
          <w:p>
            <w:pPr>
              <w:pStyle w:val="972"/>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rPr>
                <w:rFonts w:hint="eastAsia" w:ascii="宋体" w:hAnsi="宋体" w:cs="宋体"/>
                <w:bCs/>
                <w:color w:val="000000"/>
                <w:highlight w:val="none"/>
              </w:rPr>
            </w:r>
            <w:r/>
          </w:p>
        </w:tc>
        <w:tc>
          <w:tcPr>
            <w:gridSpan w:val="2"/>
            <w:tcW w:w="8553" w:type="dxa"/>
            <w:vAlign w:val="center"/>
            <w:textDirection w:val="lrTb"/>
            <w:noWrap w:val="false"/>
          </w:tcPr>
          <w:p>
            <w:pPr>
              <w:pStyle w:val="972"/>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rPr>
                <w:rFonts w:hint="eastAsia" w:ascii="宋体" w:hAnsi="宋体" w:cs="宋体"/>
                <w:color w:val="000000"/>
                <w:highlight w:val="none"/>
              </w:rPr>
            </w:r>
            <w:r/>
          </w:p>
        </w:tc>
      </w:tr>
    </w:tbl>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883"/>
        <w:numPr>
          <w:ilvl w:val="0"/>
          <w:numId w:val="8"/>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883"/>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883"/>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hint="eastAsia" w:ascii="宋体" w:hAnsi="宋体"/>
          <w:color w:val="000000"/>
          <w:sz w:val="24"/>
          <w:szCs w:val="24"/>
          <w:highlight w:val="none"/>
        </w:rPr>
      </w:r>
      <w:r/>
    </w:p>
    <w:p>
      <w:pPr>
        <w:pStyle w:val="883"/>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highlight w:val="none"/>
        </w:rPr>
      </w:r>
      <w:r/>
    </w:p>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sz w:val="24"/>
          <w:szCs w:val="24"/>
          <w:highlight w:val="none"/>
        </w:rPr>
      </w:r>
      <w:r/>
    </w:p>
    <w:p>
      <w:pPr>
        <w:pStyle w:val="883"/>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883"/>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2"/>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972"/>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rPr>
                <w:rFonts w:hint="eastAsia" w:cs="Arial"/>
                <w:b/>
                <w:color w:val="000000"/>
                <w:highlight w:val="none"/>
              </w:rPr>
            </w:r>
            <w:r/>
          </w:p>
        </w:tc>
        <w:tc>
          <w:tcPr>
            <w:tcW w:w="1979" w:type="dxa"/>
            <w:vAlign w:val="center"/>
            <w:textDirection w:val="lrTb"/>
            <w:noWrap w:val="false"/>
          </w:tcPr>
          <w:p>
            <w:pPr>
              <w:pStyle w:val="972"/>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972"/>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rPr>
                <w:rFonts w:hint="eastAsia" w:ascii="宋体" w:hAnsi="宋体" w:cs="Arial"/>
                <w:color w:val="000000"/>
                <w:highlight w:val="none"/>
              </w:rPr>
            </w:r>
            <w:r/>
          </w:p>
        </w:tc>
        <w:tc>
          <w:tcPr>
            <w:tcW w:w="1979" w:type="dxa"/>
            <w:vAlign w:val="center"/>
            <w:vMerge w:val="restart"/>
            <w:textDirection w:val="lrTb"/>
            <w:noWrap w:val="false"/>
          </w:tcPr>
          <w:p>
            <w:pPr>
              <w:pStyle w:val="972"/>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972"/>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972"/>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972"/>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color w:val="000000"/>
                <w:highlight w:val="none"/>
              </w:rPr>
            </w:pPr>
            <w:r>
              <w:rPr>
                <w:rFonts w:hint="eastAsia" w:cs="Arial"/>
                <w:color w:val="000000"/>
                <w:highlight w:val="none"/>
              </w:rPr>
            </w:r>
            <w:r/>
          </w:p>
        </w:tc>
      </w:tr>
    </w:tbl>
    <w:p>
      <w:pPr>
        <w:pStyle w:val="88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883"/>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highlight w:val="none"/>
        </w:rPr>
      </w:r>
      <w:r/>
    </w:p>
    <w:p>
      <w:pPr>
        <w:pStyle w:val="883"/>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hint="eastAsia" w:ascii="宋体" w:hAnsi="宋体"/>
          <w:color w:val="000000"/>
          <w:sz w:val="24"/>
          <w:szCs w:val="24"/>
          <w:highlight w:val="none"/>
        </w:rPr>
      </w:r>
      <w:r/>
    </w:p>
    <w:p>
      <w:pPr>
        <w:pStyle w:val="883"/>
        <w:numPr>
          <w:ilvl w:val="0"/>
          <w:numId w:val="9"/>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883"/>
        <w:rPr>
          <w:rFonts w:hint="eastAsia"/>
          <w:b/>
          <w:color w:val="000000"/>
          <w:sz w:val="28"/>
          <w:szCs w:val="28"/>
          <w:highlight w:val="none"/>
        </w:rPr>
      </w:pPr>
      <w:r>
        <w:rPr>
          <w:rFonts w:hint="eastAsia"/>
          <w:b/>
          <w:color w:val="000000"/>
          <w:sz w:val="28"/>
          <w:szCs w:val="28"/>
          <w:highlight w:val="none"/>
        </w:rPr>
      </w:r>
      <w:r/>
    </w:p>
    <w:p>
      <w:pPr>
        <w:pStyle w:val="883"/>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883"/>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hint="eastAsia" w:ascii="宋体" w:hAnsi="宋体"/>
          <w:color w:val="000000"/>
          <w:sz w:val="24"/>
          <w:szCs w:val="24"/>
          <w:highlight w:val="none"/>
        </w:rPr>
      </w:r>
      <w:r/>
    </w:p>
    <w:p>
      <w:pPr>
        <w:pStyle w:val="883"/>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hint="eastAsia" w:ascii="宋体" w:hAnsi="宋体" w:cs="宋体"/>
          <w:color w:val="000000"/>
          <w:sz w:val="24"/>
          <w:szCs w:val="24"/>
          <w:highlight w:val="none"/>
        </w:rPr>
      </w:r>
      <w:r/>
    </w:p>
    <w:p>
      <w:pPr>
        <w:pStyle w:val="883"/>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972"/>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88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3"/>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88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3"/>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项目编号：JSZC-320200-JZCG-G2026-0042</w:t>
      </w:r>
      <w:r>
        <w:rPr>
          <w:rFonts w:hint="eastAsia" w:ascii="黑体" w:hAnsi="华文中宋" w:eastAsia="黑体"/>
          <w:bCs/>
          <w:color w:val="000000"/>
          <w:sz w:val="30"/>
          <w:szCs w:val="30"/>
          <w:highlight w:val="none"/>
        </w:rPr>
      </w:r>
      <w:r/>
    </w:p>
    <w:p>
      <w:pPr>
        <w:pStyle w:val="883"/>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项目名称：智慧住建（二期）信息化建设项目</w:t>
      </w:r>
      <w:r>
        <w:rPr>
          <w:rFonts w:hint="eastAsia" w:ascii="黑体" w:hAnsi="华文中宋" w:eastAsia="黑体"/>
          <w:bCs/>
          <w:color w:val="000000"/>
          <w:sz w:val="30"/>
          <w:szCs w:val="30"/>
          <w:highlight w:val="none"/>
        </w:rPr>
      </w:r>
      <w:r/>
    </w:p>
    <w:p>
      <w:pPr>
        <w:pStyle w:val="883"/>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883"/>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883"/>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883"/>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97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rPr>
        <w:t xml:space="preserve">JSZC-320200-JZCG-G2026-0042项目，兹授权：</w:t>
      </w:r>
      <w:r>
        <w:rPr>
          <w:rFonts w:hint="eastAsia"/>
          <w:color w:val="000000"/>
          <w:sz w:val="24"/>
          <w:szCs w:val="24"/>
          <w:highlight w:val="none"/>
        </w:rPr>
      </w:r>
      <w:r/>
    </w:p>
    <w:p>
      <w:pPr>
        <w:pStyle w:val="97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97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97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970"/>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97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970"/>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970"/>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970"/>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970"/>
        <w:ind w:firstLine="0"/>
        <w:tabs>
          <w:tab w:val="left" w:pos="360" w:leader="none"/>
        </w:tabs>
        <w:rPr>
          <w:rFonts w:hint="eastAsia"/>
          <w:color w:val="000000"/>
          <w:sz w:val="21"/>
          <w:szCs w:val="21"/>
          <w:highlight w:val="none"/>
        </w:rPr>
      </w:pPr>
      <w:r>
        <w:rPr>
          <w:rFonts w:hint="eastAsia"/>
          <w:color w:val="000000"/>
          <w:sz w:val="21"/>
          <w:szCs w:val="21"/>
          <w:highlight w:val="none"/>
        </w:rPr>
      </w:r>
      <w:r/>
    </w:p>
    <w:p>
      <w:pPr>
        <w:pStyle w:val="970"/>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970"/>
        <w:numPr>
          <w:ilvl w:val="0"/>
          <w:numId w:val="10"/>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70"/>
        <w:numPr>
          <w:ilvl w:val="0"/>
          <w:numId w:val="10"/>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970"/>
        <w:numPr>
          <w:ilvl w:val="0"/>
          <w:numId w:val="10"/>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70"/>
        <w:numPr>
          <w:ilvl w:val="0"/>
          <w:numId w:val="10"/>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970"/>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883"/>
        <w:jc w:val="center"/>
        <w:rPr>
          <w:rFonts w:ascii="黑体" w:eastAsia="黑体"/>
          <w:bCs/>
          <w:color w:val="000000"/>
          <w:sz w:val="28"/>
          <w:szCs w:val="28"/>
          <w:highlight w:val="none"/>
        </w:rPr>
        <w:outlineLvl w:val="0"/>
      </w:pPr>
      <w:r/>
      <w:bookmarkStart w:id="204" w:name="报价方关于资格的声明函（格式）"/>
      <w:r/>
      <w:bookmarkEnd w:id="204"/>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883"/>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883"/>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无锡市公共资源交易中心：</w:t>
      </w:r>
      <w:r>
        <w:rPr>
          <w:rFonts w:ascii="宋体"/>
          <w:bCs/>
          <w:color w:val="000000"/>
          <w:sz w:val="24"/>
          <w:szCs w:val="24"/>
          <w:highlight w:val="none"/>
        </w:rPr>
      </w:r>
      <w:r/>
    </w:p>
    <w:p>
      <w:pPr>
        <w:pStyle w:val="883"/>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我公司（单位、联合体）针对本次项目JSZC-320200-JZCG-G2026-0042进行投标，并</w:t>
      </w:r>
      <w:r>
        <w:rPr>
          <w:rFonts w:hint="eastAsia" w:ascii="宋体" w:hAnsi="宋体"/>
          <w:bCs/>
          <w:color w:val="000000"/>
          <w:sz w:val="24"/>
          <w:szCs w:val="24"/>
          <w:highlight w:val="none"/>
        </w:rPr>
        <w:t xml:space="preserve">作如下声明</w:t>
      </w:r>
      <w:r>
        <w:rPr>
          <w:rFonts w:ascii="宋体" w:hAnsi="宋体"/>
          <w:bCs/>
          <w:color w:val="000000"/>
          <w:sz w:val="24"/>
          <w:szCs w:val="24"/>
          <w:highlight w:val="none"/>
        </w:rPr>
      </w:r>
      <w:r/>
    </w:p>
    <w:p>
      <w:pPr>
        <w:pStyle w:val="883"/>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883"/>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883"/>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883"/>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883"/>
        <w:spacing w:line="480" w:lineRule="auto"/>
        <w:rPr>
          <w:rFonts w:ascii="宋体"/>
          <w:bCs/>
          <w:color w:val="000000"/>
          <w:sz w:val="24"/>
          <w:szCs w:val="24"/>
          <w:highlight w:val="none"/>
        </w:rPr>
      </w:pPr>
      <w:r>
        <w:rPr>
          <w:rFonts w:ascii="宋体"/>
          <w:bCs/>
          <w:color w:val="000000"/>
          <w:sz w:val="24"/>
          <w:szCs w:val="24"/>
          <w:highlight w:val="none"/>
        </w:rPr>
      </w:r>
      <w:r/>
    </w:p>
    <w:p>
      <w:pPr>
        <w:pStyle w:val="883"/>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883"/>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四、政府采购政策相关声明函（给定格式）：</w:t>
      </w:r>
      <w:r>
        <w:rPr>
          <w:rFonts w:hint="eastAsia" w:ascii="宋体" w:hAnsi="宋体" w:cs="宋体"/>
          <w:b/>
          <w:color w:val="000000"/>
          <w:sz w:val="28"/>
          <w:szCs w:val="28"/>
          <w:highlight w:val="none"/>
        </w:rPr>
      </w:r>
      <w:r/>
    </w:p>
    <w:p>
      <w:pPr>
        <w:pStyle w:val="883"/>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88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88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83"/>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8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8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883"/>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883"/>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83"/>
        <w:ind w:firstLine="420"/>
        <w:spacing w:line="360" w:lineRule="auto"/>
        <w:rPr>
          <w:rFonts w:hint="eastAsia"/>
          <w:color w:val="000000"/>
          <w:highlight w:val="none"/>
        </w:rPr>
      </w:pPr>
      <w:r>
        <w:rPr>
          <w:rFonts w:hint="eastAsia"/>
          <w:color w:val="000000"/>
          <w:highlight w:val="none"/>
        </w:rPr>
      </w:r>
      <w:r/>
    </w:p>
    <w:p>
      <w:pPr>
        <w:pStyle w:val="883"/>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highlight w:val="none"/>
        </w:rPr>
      </w:r>
      <w:r/>
    </w:p>
    <w:p>
      <w:pPr>
        <w:pStyle w:val="883"/>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883"/>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highlight w:val="none"/>
        </w:rPr>
      </w:r>
      <w:r/>
    </w:p>
    <w:p>
      <w:pPr>
        <w:pStyle w:val="883"/>
        <w:spacing w:line="360" w:lineRule="auto"/>
        <w:rPr>
          <w:rFonts w:hint="eastAsia" w:ascii="宋体" w:hAnsi="宋体" w:cs="宋体"/>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883"/>
        <w:ind w:firstLine="482"/>
        <w:spacing w:line="440" w:lineRule="exact"/>
        <w:rPr>
          <w:rFonts w:ascii="Arial" w:hAnsi="Arial"/>
          <w:b/>
          <w:color w:val="000000"/>
          <w:sz w:val="24"/>
          <w:highlight w:val="none"/>
        </w:rPr>
      </w:pPr>
      <w:r>
        <w:rPr>
          <w:rFonts w:ascii="Arial" w:hAnsi="Arial"/>
          <w:b/>
          <w:color w:val="000000"/>
          <w:sz w:val="24"/>
          <w:highlight w:val="none"/>
        </w:rPr>
      </w:r>
      <w:r/>
    </w:p>
    <w:p>
      <w:pPr>
        <w:pStyle w:val="883"/>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883"/>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88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88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88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8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8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88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83"/>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28"/>
          <w:szCs w:val="28"/>
          <w:highlight w:val="none"/>
        </w:rPr>
      </w:r>
      <w:r/>
    </w:p>
    <w:p>
      <w:pPr>
        <w:pStyle w:val="883"/>
        <w:spacing w:line="360" w:lineRule="auto"/>
        <w:rPr>
          <w:rFonts w:hint="eastAsia"/>
          <w:b/>
          <w:color w:val="000000"/>
          <w:sz w:val="30"/>
          <w:szCs w:val="30"/>
          <w:highlight w:val="none"/>
        </w:rPr>
      </w:pPr>
      <w:r>
        <w:rPr>
          <w:rFonts w:hint="eastAsia"/>
          <w:b/>
          <w:color w:val="000000"/>
          <w:sz w:val="30"/>
          <w:szCs w:val="30"/>
          <w:highlight w:val="none"/>
        </w:rPr>
      </w:r>
      <w:r/>
    </w:p>
    <w:p>
      <w:pPr>
        <w:pStyle w:val="883"/>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883"/>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致无锡市公共资源交易中心：</w:t>
      </w:r>
      <w:r>
        <w:rPr>
          <w:rFonts w:ascii="宋体"/>
          <w:bCs/>
          <w:color w:val="000000"/>
          <w:sz w:val="24"/>
          <w:szCs w:val="24"/>
          <w:highlight w:val="none"/>
        </w:rPr>
      </w:r>
      <w:r/>
    </w:p>
    <w:p>
      <w:pPr>
        <w:pStyle w:val="883"/>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883"/>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我方收到贵方JSZC-320200-JZCG-G2026-0042招标文件，经仔细阅读和研究，我</w:t>
      </w:r>
      <w:r>
        <w:rPr>
          <w:rFonts w:hint="eastAsia" w:ascii="宋体" w:hAnsi="宋体"/>
          <w:bCs/>
          <w:color w:val="000000"/>
          <w:sz w:val="24"/>
          <w:szCs w:val="24"/>
          <w:highlight w:val="none"/>
        </w:rPr>
        <w:t xml:space="preserve">方决定参加此项目的投标。</w:t>
      </w:r>
      <w:r>
        <w:rPr>
          <w:rFonts w:ascii="宋体"/>
          <w:bCs/>
          <w:color w:val="000000"/>
          <w:sz w:val="24"/>
          <w:szCs w:val="24"/>
          <w:highlight w:val="none"/>
        </w:rPr>
      </w:r>
      <w:r/>
    </w:p>
    <w:p>
      <w:pPr>
        <w:pStyle w:val="883"/>
        <w:numPr>
          <w:ilvl w:val="0"/>
          <w:numId w:val="11"/>
        </w:numPr>
        <w:ind w:left="0" w:firstLine="525"/>
        <w:spacing w:line="400" w:lineRule="exact"/>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552" w:leader="none"/>
          <w:tab w:val="left" w:pos="840" w:leader="none"/>
          <w:tab w:val="left" w:pos="945" w:leader="none"/>
          <w:tab w:val="left" w:pos="1050" w:leader="none"/>
        </w:tabs>
        <w:rPr>
          <w:rStyle w:val="959"/>
          <w:bCs/>
          <w:color w:val="000000"/>
          <w:highlight w:val="none"/>
        </w:rPr>
      </w:pPr>
      <w:r>
        <w:rPr>
          <w:rFonts w:hint="eastAsia" w:ascii="宋体" w:hAnsi="宋体"/>
          <w:bCs/>
          <w:color w:val="000000"/>
          <w:sz w:val="24"/>
          <w:szCs w:val="24"/>
          <w:highlight w:val="none"/>
        </w:rPr>
        <w:t xml:space="preserve">我方愿意提供无锡市公共资源交易中心在招标文件中要求的文件、资料。</w:t>
      </w:r>
      <w:r>
        <w:rPr>
          <w:rStyle w:val="959"/>
          <w:bCs/>
          <w:color w:val="000000"/>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883"/>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883"/>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883"/>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883"/>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883"/>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83"/>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hint="eastAsia" w:ascii="黑体" w:eastAsia="黑体"/>
          <w:bCs/>
          <w:color w:val="000000"/>
          <w:sz w:val="28"/>
          <w:szCs w:val="28"/>
          <w:highlight w:val="none"/>
        </w:rPr>
      </w:r>
      <w:r/>
    </w:p>
    <w:p>
      <w:pPr>
        <w:pStyle w:val="883"/>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rPr>
        <w:t xml:space="preserve">JSZC-320200-JZCG-G2026-0042</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883"/>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对本项目所提供的货物均为原厂全新合格产品，提供的服务符合招标文件要求。</w:t>
      </w:r>
      <w:r>
        <w:rPr>
          <w:rFonts w:ascii="宋体" w:hAnsi="宋体"/>
          <w:bCs/>
          <w:color w:val="000000"/>
          <w:sz w:val="24"/>
          <w:szCs w:val="24"/>
          <w:highlight w:val="none"/>
        </w:rPr>
      </w:r>
      <w:r/>
    </w:p>
    <w:p>
      <w:pPr>
        <w:pStyle w:val="883"/>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）对于中标产品的包装将严格按《关于印发〈商品包装政府采购需求标准（试行）〉、〈快递包装政府采购需求标准（试行）〉的通知》（财办库〔2020〕123号）文件执行。</w:t>
      </w:r>
      <w:r>
        <w:rPr>
          <w:rFonts w:hint="eastAsia" w:ascii="宋体"/>
          <w:bCs/>
          <w:color w:val="000000"/>
          <w:sz w:val="24"/>
          <w:szCs w:val="24"/>
          <w:highlight w:val="none"/>
        </w:rPr>
      </w:r>
      <w:r/>
    </w:p>
    <w:p>
      <w:pPr>
        <w:pStyle w:val="883"/>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highlight w:val="none"/>
        </w:rPr>
      </w:r>
      <w:r/>
    </w:p>
    <w:p>
      <w:pPr>
        <w:pStyle w:val="883"/>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883"/>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hint="eastAsia" w:ascii="宋体"/>
          <w:bCs/>
          <w:color w:val="000000"/>
          <w:sz w:val="24"/>
          <w:szCs w:val="24"/>
          <w:highlight w:val="none"/>
        </w:rPr>
      </w:r>
      <w:r/>
    </w:p>
    <w:p>
      <w:pPr>
        <w:pStyle w:val="883"/>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color w:val="000000"/>
          <w:sz w:val="24"/>
          <w:szCs w:val="24"/>
          <w:highlight w:val="none"/>
        </w:rPr>
      </w:r>
      <w:r/>
    </w:p>
    <w:p>
      <w:pPr>
        <w:pStyle w:val="883"/>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883"/>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hint="eastAsia" w:ascii="宋体"/>
          <w:bCs/>
          <w:color w:val="000000"/>
          <w:sz w:val="24"/>
          <w:szCs w:val="24"/>
          <w:highlight w:val="none"/>
        </w:rPr>
      </w:r>
      <w:r/>
    </w:p>
    <w:p>
      <w:pPr>
        <w:pStyle w:val="883"/>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883"/>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883"/>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883"/>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883"/>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883"/>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883"/>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883"/>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3"/>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rPr>
          <w:rFonts w:hint="eastAsia" w:ascii="黑体" w:eastAsia="黑体"/>
          <w:bCs/>
          <w:color w:val="000000"/>
          <w:sz w:val="24"/>
          <w:szCs w:val="24"/>
          <w:highlight w:val="none"/>
        </w:rPr>
      </w:r>
      <w:r/>
    </w:p>
    <w:p>
      <w:pPr>
        <w:pStyle w:val="883"/>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83"/>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项目编号：JSZC-320200-JZCG-G2026-0042</w:t>
      </w:r>
      <w:r>
        <w:rPr>
          <w:rFonts w:hint="eastAsia" w:ascii="黑体" w:eastAsia="黑体"/>
          <w:bCs/>
          <w:color w:val="000000"/>
          <w:sz w:val="24"/>
          <w:szCs w:val="24"/>
          <w:highlight w:val="non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883"/>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投标总报价（小写）</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998"/>
              <w:jc w:val="center"/>
              <w:spacing w:line="400" w:lineRule="exact"/>
              <w:rPr>
                <w:rFonts w:hint="eastAsia" w:hAnsi="宋体"/>
                <w:bCs/>
                <w:color w:val="000000"/>
                <w:szCs w:val="24"/>
                <w:highlight w:val="none"/>
              </w:rPr>
            </w:pPr>
            <w:r>
              <w:rPr>
                <w:rFonts w:hint="eastAsia" w:hAnsi="宋体"/>
                <w:bCs/>
                <w:color w:val="000000"/>
                <w:szCs w:val="24"/>
                <w:highlight w:val="none"/>
              </w:rPr>
              <w:t xml:space="preserve">智慧住建（二期）信息化建设项目</w:t>
            </w:r>
            <w:r>
              <w:rPr>
                <w:rFonts w:hint="eastAsia" w:hAnsi="宋体"/>
                <w:bCs/>
                <w:color w:val="000000"/>
                <w:szCs w:val="24"/>
                <w:highlight w:val="none"/>
              </w:rPr>
            </w:r>
            <w:r/>
          </w:p>
        </w:tc>
        <w:tc>
          <w:tcPr>
            <w:tcW w:w="3188" w:type="dxa"/>
            <w:vAlign w:val="center"/>
            <w:textDirection w:val="lrTb"/>
            <w:noWrap w:val="false"/>
          </w:tcPr>
          <w:p>
            <w:pPr>
              <w:pStyle w:val="998"/>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883"/>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rPr>
                <w:rFonts w:ascii="宋体"/>
                <w:bCs/>
                <w:color w:val="000000"/>
                <w:sz w:val="24"/>
                <w:szCs w:val="24"/>
                <w:highlight w:val="none"/>
              </w:rPr>
            </w:r>
            <w:r/>
          </w:p>
        </w:tc>
      </w:tr>
    </w:tbl>
    <w:p>
      <w:pPr>
        <w:pStyle w:val="88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88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8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8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883"/>
        <w:spacing w:line="360" w:lineRule="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hint="eastAsia"/>
          <w:b/>
          <w:color w:val="000000"/>
          <w:sz w:val="28"/>
          <w:szCs w:val="28"/>
          <w:highlight w:val="none"/>
        </w:rPr>
      </w:r>
      <w:r/>
    </w:p>
    <w:p>
      <w:pPr>
        <w:pStyle w:val="883"/>
        <w:spacing w:line="360" w:lineRule="auto"/>
        <w:rPr>
          <w:rFonts w:hint="eastAsia"/>
          <w:b/>
          <w:color w:val="000000"/>
          <w:sz w:val="30"/>
          <w:szCs w:val="30"/>
          <w:highlight w:val="none"/>
        </w:rPr>
      </w:pPr>
      <w:r>
        <w:rPr>
          <w:rFonts w:hint="eastAsia"/>
          <w:b/>
          <w:color w:val="000000"/>
          <w:sz w:val="30"/>
          <w:szCs w:val="30"/>
          <w:highlight w:val="none"/>
        </w:rPr>
      </w:r>
      <w:r/>
    </w:p>
    <w:p>
      <w:pPr>
        <w:pStyle w:val="883"/>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p>
      <w:pPr>
        <w:pStyle w:val="88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项目编号：JSZC-320200-JZCG-G2026-0042</w:t>
      </w:r>
      <w:r>
        <w:rPr>
          <w:rFonts w:hint="eastAsia" w:ascii="黑体" w:eastAsia="黑体"/>
          <w:bCs/>
          <w:color w:val="000000"/>
          <w:sz w:val="24"/>
          <w:szCs w:val="24"/>
          <w:highlight w:val="none"/>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sz w:val="18"/>
                <w:highlight w:val="none"/>
              </w:rPr>
            </w:pPr>
            <w:r>
              <w:rPr>
                <w:rFonts w:hint="eastAsia"/>
                <w:color w:val="000000"/>
                <w:sz w:val="18"/>
                <w:highlight w:val="none"/>
              </w:rPr>
              <w:t xml:space="preserve">序号</w:t>
            </w:r>
            <w:r>
              <w:rPr>
                <w:color w:val="000000"/>
                <w:sz w:val="18"/>
                <w:highlight w:val="none"/>
              </w:rPr>
            </w:r>
            <w:r/>
          </w:p>
        </w:tc>
        <w:tc>
          <w:tcPr>
            <w:tcMar>
              <w:left w:w="15" w:type="dxa"/>
              <w:top w:w="15" w:type="dxa"/>
              <w:right w:w="15" w:type="dxa"/>
              <w:bottom w:w="0" w:type="dxa"/>
            </w:tcMar>
            <w:tcW w:w="4930" w:type="dxa"/>
            <w:vAlign w:val="center"/>
            <w:textDirection w:val="lrTb"/>
            <w:noWrap/>
          </w:tcPr>
          <w:p>
            <w:pPr>
              <w:pStyle w:val="883"/>
              <w:jc w:val="center"/>
              <w:spacing w:before="5"/>
              <w:rPr>
                <w:color w:val="000000"/>
                <w:sz w:val="18"/>
                <w:highlight w:val="none"/>
              </w:rPr>
            </w:pPr>
            <w:r>
              <w:rPr>
                <w:color w:val="000000"/>
                <w:sz w:val="18"/>
                <w:highlight w:val="none"/>
              </w:rPr>
              <w:t xml:space="preserve">服务内容</w:t>
            </w:r>
            <w:r>
              <w:rPr>
                <w:color w:val="000000"/>
                <w:sz w:val="18"/>
                <w:highlight w:val="none"/>
              </w:rPr>
            </w:r>
            <w:r/>
          </w:p>
        </w:tc>
        <w:tc>
          <w:tcPr>
            <w:tcW w:w="851" w:type="dxa"/>
            <w:vAlign w:val="center"/>
            <w:textDirection w:val="lrTb"/>
            <w:noWrap w:val="false"/>
          </w:tcPr>
          <w:p>
            <w:pPr>
              <w:pStyle w:val="883"/>
              <w:jc w:val="center"/>
              <w:spacing w:before="5"/>
              <w:rPr>
                <w:color w:val="000000"/>
                <w:sz w:val="18"/>
                <w:highlight w:val="none"/>
              </w:rPr>
            </w:pPr>
            <w:r>
              <w:rPr>
                <w:rFonts w:hint="eastAsia"/>
                <w:color w:val="000000"/>
                <w:sz w:val="18"/>
                <w:highlight w:val="none"/>
              </w:rPr>
              <w:t xml:space="preserve">数量</w:t>
            </w:r>
            <w:r>
              <w:rPr>
                <w:color w:val="000000"/>
                <w:sz w:val="18"/>
                <w:highlight w:val="none"/>
              </w:rPr>
            </w:r>
            <w:r/>
          </w:p>
        </w:tc>
        <w:tc>
          <w:tcPr>
            <w:tcMar>
              <w:left w:w="15" w:type="dxa"/>
              <w:top w:w="15" w:type="dxa"/>
              <w:right w:w="15" w:type="dxa"/>
              <w:bottom w:w="0" w:type="dxa"/>
            </w:tcMar>
            <w:tcW w:w="850" w:type="dxa"/>
            <w:vAlign w:val="center"/>
            <w:textDirection w:val="lrTb"/>
            <w:noWrap/>
          </w:tcPr>
          <w:p>
            <w:pPr>
              <w:pStyle w:val="883"/>
              <w:jc w:val="center"/>
              <w:spacing w:before="5"/>
              <w:rPr>
                <w:color w:val="000000"/>
                <w:sz w:val="18"/>
                <w:highlight w:val="none"/>
              </w:rPr>
            </w:pPr>
            <w:r>
              <w:rPr>
                <w:rFonts w:hint="eastAsia"/>
                <w:color w:val="000000"/>
                <w:sz w:val="18"/>
                <w:highlight w:val="none"/>
              </w:rPr>
              <w:t xml:space="preserve">单位</w:t>
            </w:r>
            <w:r>
              <w:rPr>
                <w:color w:val="000000"/>
                <w:sz w:val="18"/>
                <w:highlight w:val="none"/>
              </w:rPr>
            </w:r>
            <w:r/>
          </w:p>
        </w:tc>
        <w:tc>
          <w:tcPr>
            <w:tcW w:w="1134" w:type="dxa"/>
            <w:vAlign w:val="center"/>
            <w:textDirection w:val="lrTb"/>
            <w:noWrap w:val="false"/>
          </w:tcPr>
          <w:p>
            <w:pPr>
              <w:pStyle w:val="883"/>
              <w:jc w:val="center"/>
              <w:spacing w:before="5"/>
              <w:rPr>
                <w:color w:val="000000"/>
                <w:sz w:val="18"/>
                <w:highlight w:val="none"/>
              </w:rPr>
            </w:pPr>
            <w:r>
              <w:rPr>
                <w:rFonts w:hint="eastAsia"/>
                <w:color w:val="000000"/>
                <w:sz w:val="18"/>
                <w:highlight w:val="none"/>
              </w:rPr>
              <w:t xml:space="preserve">单报价</w:t>
            </w:r>
            <w:r>
              <w:rPr>
                <w:color w:val="000000"/>
                <w:sz w:val="18"/>
                <w:highlight w:val="none"/>
              </w:rPr>
            </w:r>
            <w:r/>
          </w:p>
        </w:tc>
        <w:tc>
          <w:tcPr>
            <w:tcW w:w="1276" w:type="dxa"/>
            <w:vAlign w:val="center"/>
            <w:textDirection w:val="lrTb"/>
            <w:noWrap w:val="false"/>
          </w:tcPr>
          <w:p>
            <w:pPr>
              <w:pStyle w:val="883"/>
              <w:jc w:val="center"/>
              <w:spacing w:before="5"/>
              <w:rPr>
                <w:color w:val="000000"/>
                <w:sz w:val="18"/>
                <w:highlight w:val="none"/>
              </w:rPr>
            </w:pPr>
            <w:r>
              <w:rPr>
                <w:rFonts w:hint="eastAsia"/>
                <w:color w:val="000000"/>
                <w:sz w:val="18"/>
                <w:highlight w:val="none"/>
              </w:rPr>
              <w:t xml:space="preserve">分项总报价</w:t>
            </w:r>
            <w:r>
              <w:rPr>
                <w:color w:val="000000"/>
                <w:sz w:val="18"/>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000000"/>
                <w:highlight w:val="none"/>
              </w:rPr>
              <w:pBdr>
                <w:bottom w:val="none" w:color="000000" w:sz="0" w:space="0"/>
              </w:pBdr>
            </w:pPr>
            <w:r>
              <w:rPr>
                <w:rFonts w:hint="eastAsia" w:ascii="宋体"/>
                <w:color w:val="000000"/>
                <w:highlight w:val="none"/>
              </w:rPr>
              <w:t xml:space="preserve">1</w:t>
            </w:r>
            <w:r>
              <w:rPr>
                <w:rFonts w:ascii="宋体"/>
                <w:color w:val="000000"/>
                <w:highlight w:val="none"/>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851"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134"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highlight w:val="none"/>
              </w:rPr>
            </w:pPr>
            <w:r>
              <w:rPr>
                <w:rFonts w:hint="eastAsia" w:ascii="宋体"/>
                <w:color w:val="000000"/>
                <w:sz w:val="18"/>
                <w:highlight w:val="none"/>
              </w:rPr>
              <w:t xml:space="preserve">2</w:t>
            </w:r>
            <w:r>
              <w:rPr>
                <w:rFonts w:ascii="宋体"/>
                <w:color w:val="000000"/>
                <w:sz w:val="18"/>
                <w:highlight w:val="none"/>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851"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134"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4930" w:type="dxa"/>
            <w:vAlign w:val="center"/>
            <w:textDirection w:val="lrTb"/>
            <w:noWrap/>
          </w:tcPr>
          <w:p>
            <w:pPr>
              <w:pStyle w:val="883"/>
              <w:jc w:val="center"/>
              <w:rPr>
                <w:rFonts w:hint="eastAsia" w:ascii="黑体" w:eastAsia="黑体"/>
                <w:b/>
                <w:bCs/>
                <w:color w:val="000000"/>
                <w:highlight w:val="none"/>
              </w:rPr>
            </w:pPr>
            <w:r>
              <w:rPr>
                <w:rFonts w:ascii="黑体" w:eastAsia="黑体"/>
                <w:b/>
                <w:bCs/>
                <w:color w:val="000000"/>
                <w:highlight w:val="none"/>
              </w:rPr>
              <w:t xml:space="preserve">……</w:t>
            </w:r>
            <w:r>
              <w:rPr>
                <w:rFonts w:hint="eastAsia" w:ascii="黑体" w:eastAsia="黑体"/>
                <w:b/>
                <w:bCs/>
                <w:color w:val="000000"/>
                <w:highlight w:val="none"/>
              </w:rPr>
            </w:r>
            <w:r/>
          </w:p>
        </w:tc>
        <w:tc>
          <w:tcPr>
            <w:tcW w:w="851"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883"/>
              <w:jc w:val="center"/>
              <w:rPr>
                <w:rFonts w:hint="eastAsia" w:ascii="黑体" w:eastAsia="黑体"/>
                <w:b/>
                <w:bCs/>
                <w:color w:val="000000"/>
                <w:highlight w:val="none"/>
              </w:rPr>
            </w:pPr>
            <w:r>
              <w:rPr>
                <w:rFonts w:hint="eastAsia" w:ascii="黑体" w:eastAsia="黑体"/>
                <w:b/>
                <w:bCs/>
                <w:color w:val="000000"/>
                <w:highlight w:val="none"/>
              </w:rPr>
            </w:r>
            <w:r/>
          </w:p>
        </w:tc>
        <w:tc>
          <w:tcPr>
            <w:tcW w:w="1134"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88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bl>
    <w:p>
      <w:pPr>
        <w:pStyle w:val="883"/>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883"/>
        <w:spacing w:line="400" w:lineRule="exact"/>
        <w:rPr>
          <w:rFonts w:hint="eastAsia" w:ascii="宋体" w:hAnsi="宋体"/>
          <w:b/>
          <w:color w:val="000000"/>
          <w:highlight w:val="none"/>
        </w:rPr>
        <w:outlineLvl w:val="0"/>
      </w:pPr>
      <w:r>
        <w:rPr>
          <w:rFonts w:hint="eastAsia" w:ascii="宋体" w:hAnsi="宋体"/>
          <w:b/>
          <w:color w:val="000000"/>
          <w:highlight w:val="none"/>
        </w:rPr>
      </w:r>
      <w:r/>
    </w:p>
    <w:p>
      <w:pPr>
        <w:pStyle w:val="883"/>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highlight w:val="none"/>
        </w:rPr>
      </w:r>
      <w:r/>
    </w:p>
    <w:p>
      <w:pPr>
        <w:pStyle w:val="883"/>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）“采购需求”中如有明确要求进行分项报价的，投标人应当根据相应要求在上表中详细填写。</w:t>
      </w:r>
      <w:r>
        <w:rPr>
          <w:rFonts w:ascii="宋体"/>
          <w:bCs/>
          <w:color w:val="000000"/>
          <w:highlight w:val="none"/>
        </w:rPr>
      </w:r>
      <w:r/>
    </w:p>
    <w:p>
      <w:pPr>
        <w:pStyle w:val="883"/>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rPr>
          <w:rFonts w:hint="eastAsia" w:ascii="宋体" w:hAnsi="宋体"/>
          <w:bCs/>
          <w:color w:val="000000"/>
          <w:highlight w:val="none"/>
        </w:rPr>
      </w:r>
      <w:r/>
    </w:p>
    <w:p>
      <w:pPr>
        <w:pStyle w:val="883"/>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r>
      <w:r/>
    </w:p>
    <w:p>
      <w:pPr>
        <w:pStyle w:val="883"/>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r>
      <w:r/>
    </w:p>
    <w:p>
      <w:pPr>
        <w:pStyle w:val="883"/>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r>
      <w:r/>
    </w:p>
    <w:p>
      <w:pPr>
        <w:pStyle w:val="883"/>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r>
      <w:r/>
    </w:p>
    <w:p>
      <w:pPr>
        <w:pStyle w:val="883"/>
        <w:ind w:firstLine="315"/>
        <w:spacing w:line="400" w:lineRule="exact"/>
        <w:rPr>
          <w:rFonts w:ascii="宋体" w:hAnsi="宋体"/>
          <w:bCs/>
          <w:color w:val="000000"/>
          <w:highlight w:val="none"/>
        </w:rPr>
        <w:outlineLvl w:val="0"/>
      </w:pPr>
      <w:r>
        <w:rPr>
          <w:rFonts w:ascii="宋体" w:hAnsi="宋体"/>
          <w:bCs/>
          <w:color w:val="000000"/>
          <w:highlight w:val="none"/>
        </w:rPr>
      </w:r>
      <w:r/>
    </w:p>
    <w:p>
      <w:pPr>
        <w:pStyle w:val="883"/>
        <w:spacing w:line="360" w:lineRule="auto"/>
        <w:rPr>
          <w:rFonts w:hint="eastAsia"/>
          <w:b/>
          <w:color w:val="000000"/>
          <w:sz w:val="28"/>
          <w:szCs w:val="28"/>
          <w:highlight w:val="none"/>
        </w:rPr>
      </w:pPr>
      <w:r>
        <w:rPr>
          <w:rFonts w:ascii="宋体" w:hAnsi="宋体"/>
          <w:bCs/>
          <w:color w:val="000000"/>
          <w:highlight w:val="none"/>
        </w:rPr>
        <w:br w:type="page" w:clear="all"/>
      </w:r>
      <w:bookmarkEnd w:id="200"/>
      <w:r/>
      <w:bookmarkEnd w:id="201"/>
      <w:r/>
      <w:bookmarkEnd w:id="202"/>
      <w:r/>
      <w:bookmarkStart w:id="205"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883"/>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3"/>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883"/>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3"/>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w:t>
      </w:r>
      <w:r>
        <w:rPr>
          <w:rFonts w:hint="eastAsia" w:ascii="黑体" w:eastAsia="黑体"/>
          <w:bCs/>
          <w:color w:val="000000"/>
          <w:sz w:val="24"/>
          <w:szCs w:val="24"/>
          <w:highlight w:val="none"/>
        </w:rPr>
        <w:t xml:space="preserve">目编号：JSZC-320200-JZCG-G2026-0042</w:t>
      </w:r>
      <w:r>
        <w:rPr>
          <w:rFonts w:hint="eastAsia"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highlight w:val="none"/>
              </w:rPr>
            </w:pPr>
            <w:r>
              <w:rPr>
                <w:rFonts w:ascii="宋体"/>
                <w:bCs/>
                <w:color w:val="000000"/>
                <w:highlight w:val="none"/>
              </w:rPr>
            </w:r>
            <w:r/>
          </w:p>
        </w:tc>
      </w:tr>
    </w:tbl>
    <w:p>
      <w:pPr>
        <w:pStyle w:val="883"/>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883"/>
        <w:rPr>
          <w:rFonts w:ascii="宋体"/>
          <w:bCs/>
          <w:color w:val="000000"/>
          <w:sz w:val="30"/>
          <w:highlight w:val="none"/>
        </w:rPr>
      </w:pPr>
      <w:r>
        <w:rPr>
          <w:rFonts w:ascii="宋体"/>
          <w:bCs/>
          <w:color w:val="000000"/>
          <w:sz w:val="30"/>
          <w:highlight w:val="none"/>
        </w:rPr>
      </w:r>
      <w:r/>
    </w:p>
    <w:p>
      <w:pPr>
        <w:pStyle w:val="883"/>
        <w:ind w:firstLine="420"/>
        <w:rPr>
          <w:rFonts w:ascii="宋体" w:hAnsi="宋体"/>
          <w:bCs/>
          <w:color w:val="000000"/>
          <w:sz w:val="24"/>
          <w:szCs w:val="24"/>
          <w:highlight w:val="none"/>
        </w:rPr>
        <w:outlineLvl w:val="0"/>
      </w:pPr>
      <w:r/>
      <w:bookmarkEnd w:id="189"/>
      <w:r/>
      <w:bookmarkEnd w:id="190"/>
      <w:r/>
      <w:bookmarkEnd w:id="205"/>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883"/>
        <w:ind w:firstLine="420"/>
        <w:rPr>
          <w:rFonts w:hint="eastAsia"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）针对“采购需求”的内容不得有负偏离；</w:t>
      </w:r>
      <w:r>
        <w:rPr>
          <w:rFonts w:hint="eastAsia" w:ascii="宋体" w:hAnsi="宋体"/>
          <w:bCs/>
          <w:color w:val="000000"/>
          <w:sz w:val="24"/>
          <w:szCs w:val="24"/>
          <w:highlight w:val="none"/>
        </w:rPr>
      </w:r>
      <w:r/>
    </w:p>
    <w:p>
      <w:pPr>
        <w:pStyle w:val="883"/>
        <w:ind w:firstLine="420"/>
        <w:rPr>
          <w:rFonts w:hint="eastAsia"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（3）如无任何技术偏离，请于本表 “偏离说明”中注明“无偏离”；</w:t>
      </w:r>
      <w:r>
        <w:rPr>
          <w:rFonts w:hint="eastAsia" w:ascii="宋体" w:hAnsi="宋体"/>
          <w:bCs/>
          <w:color w:val="000000"/>
          <w:sz w:val="24"/>
          <w:szCs w:val="24"/>
          <w:highlight w:val="none"/>
        </w:rPr>
      </w:r>
      <w:r/>
    </w:p>
    <w:p>
      <w:pPr>
        <w:pStyle w:val="883"/>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（4）如有技术正偏离项，请于本表中列明正偏离内容，如需要可自行延长，其余无偏离内容无需赘述</w:t>
      </w:r>
      <w:bookmarkStart w:id="206" w:name="_Hlt26671374"/>
      <w:r/>
      <w:bookmarkEnd w:id="206"/>
      <w:r/>
      <w:bookmarkStart w:id="207" w:name="_Hlt26609389"/>
      <w:r/>
      <w:bookmarkEnd w:id="207"/>
      <w:r/>
      <w:bookmarkStart w:id="208" w:name="_格式2__法定代表人授权书"/>
      <w:r/>
      <w:bookmarkEnd w:id="208"/>
      <w:r/>
      <w:bookmarkStart w:id="209" w:name="_Hlt26955066"/>
      <w:r/>
      <w:bookmarkEnd w:id="209"/>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83"/>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pStyle w:val="883"/>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883"/>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rPr>
          <w:b/>
          <w:color w:val="000000"/>
          <w:sz w:val="28"/>
          <w:szCs w:val="28"/>
          <w:highlight w:val="none"/>
        </w:rPr>
      </w:r>
      <w:r/>
    </w:p>
    <w:p>
      <w:pPr>
        <w:pStyle w:val="883"/>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83"/>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rPr>
          <w:rFonts w:hint="eastAsia" w:ascii="黑体" w:eastAsia="黑体"/>
          <w:bCs/>
          <w:color w:val="000000"/>
          <w:sz w:val="28"/>
          <w:szCs w:val="28"/>
          <w:highlight w:val="none"/>
        </w:rPr>
      </w:r>
      <w:r/>
    </w:p>
    <w:p>
      <w:pPr>
        <w:pStyle w:val="883"/>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83"/>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项目编号：JSZC-320200-JZCG-G2026-0042</w:t>
      </w:r>
      <w:r>
        <w:rPr>
          <w:rFonts w:hint="eastAsia" w:ascii="黑体" w:eastAsia="黑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476"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20"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2520"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本项目职责</w:t>
            </w:r>
            <w:r>
              <w:rPr>
                <w:b/>
                <w:color w:val="000000"/>
                <w:sz w:val="24"/>
                <w:highlight w:val="none"/>
              </w:rPr>
            </w:r>
            <w:r/>
          </w:p>
        </w:tc>
        <w:tc>
          <w:tcPr>
            <w:tcW w:w="3274"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883"/>
        <w:rPr>
          <w:b/>
          <w:bCs/>
          <w:color w:val="000000"/>
          <w:sz w:val="24"/>
          <w:szCs w:val="24"/>
          <w:highlight w:val="none"/>
        </w:rPr>
      </w:pPr>
      <w:r>
        <w:rPr>
          <w:rFonts w:hint="eastAsia" w:ascii="黑体" w:eastAsia="黑体"/>
          <w:bCs/>
          <w:color w:val="000000"/>
          <w:sz w:val="24"/>
          <w:szCs w:val="24"/>
          <w:highlight w:val="none"/>
        </w:rPr>
        <w:t xml:space="preserve">投标人名称（盖章）</w:t>
      </w:r>
      <w:r>
        <w:rPr>
          <w:b/>
          <w:bCs/>
          <w:color w:val="000000"/>
          <w:sz w:val="24"/>
          <w:szCs w:val="24"/>
          <w:highlight w:val="none"/>
        </w:rPr>
      </w:r>
      <w:r/>
    </w:p>
    <w:p>
      <w:pPr>
        <w:pStyle w:val="883"/>
        <w:rPr>
          <w:rFonts w:hint="eastAsia" w:ascii="宋体" w:hAnsi="宋体"/>
          <w:bCs/>
          <w:color w:val="000000"/>
          <w:highlight w:val="none"/>
        </w:rPr>
      </w:pPr>
      <w:r>
        <w:rPr>
          <w:rFonts w:hint="eastAsia" w:ascii="宋体" w:hAnsi="宋体"/>
          <w:bCs/>
          <w:color w:val="000000"/>
          <w:highlight w:val="none"/>
        </w:rPr>
      </w:r>
      <w:r/>
    </w:p>
    <w:p>
      <w:pPr>
        <w:pStyle w:val="883"/>
        <w:rPr>
          <w:rFonts w:ascii="宋体" w:hAnsi="宋体"/>
          <w:bCs/>
          <w:color w:val="000000"/>
          <w:highlight w:val="none"/>
        </w:rPr>
      </w:pPr>
      <w:r>
        <w:rPr>
          <w:rFonts w:hint="eastAsia" w:ascii="宋体" w:hAnsi="宋体"/>
          <w:bCs/>
          <w:color w:val="000000"/>
          <w:highlight w:val="none"/>
        </w:rPr>
        <w:t xml:space="preserve">注：1. 表格不够可自行延长。</w:t>
      </w:r>
      <w:r>
        <w:rPr>
          <w:rFonts w:ascii="宋体" w:hAnsi="宋体"/>
          <w:bCs/>
          <w:color w:val="000000"/>
          <w:highlight w:val="none"/>
        </w:rPr>
      </w:r>
      <w:r/>
    </w:p>
    <w:p>
      <w:pPr>
        <w:pStyle w:val="883"/>
        <w:ind w:firstLine="420"/>
        <w:rPr>
          <w:color w:val="000000"/>
          <w:highlight w:val="none"/>
        </w:rPr>
      </w:pPr>
      <w:r>
        <w:rPr>
          <w:rFonts w:hint="eastAsia" w:ascii="宋体" w:hAnsi="宋体"/>
          <w:bCs/>
          <w:color w:val="000000"/>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highlight w:val="none"/>
        </w:rPr>
      </w:r>
      <w:r/>
    </w:p>
    <w:p>
      <w:pPr>
        <w:pStyle w:val="883"/>
        <w:rPr>
          <w:rFonts w:hint="eastAsia" w:ascii="宋体" w:hAnsi="宋体"/>
          <w:bCs/>
          <w:color w:val="000000"/>
          <w:highlight w:val="none"/>
        </w:rPr>
      </w:pP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５</w:t>
    </w:r>
    <w:r>
      <w:rPr>
        <w:rFonts w:ascii="宋体" w:hAnsi="宋体"/>
      </w:rPr>
      <w:fldChar w:fldCharType="end"/>
    </w:r>
    <w:r>
      <w:rPr>
        <w:rStyle w:val="957"/>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space"/>
      <w:lvlText w:val="%2."/>
      <w:lvlJc w:val="left"/>
      <w:pPr>
        <w:pStyle w:val="883"/>
        <w:ind w:left="780" w:hanging="360"/>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hint="eastAsia" w:cs="Times New Roman"/>
      </w:rPr>
    </w:lvl>
    <w:lvl w:ilvl="3">
      <w:start w:val="1"/>
      <w:numFmt w:val="decimal"/>
      <w:isLgl w:val="false"/>
      <w:suff w:val="tab"/>
      <w:lvlText w:val="%4."/>
      <w:lvlJc w:val="left"/>
      <w:pPr>
        <w:pStyle w:val="883"/>
        <w:ind w:left="1680" w:hanging="420"/>
        <w:tabs>
          <w:tab w:val="num" w:pos="1680" w:leader="none"/>
        </w:tabs>
      </w:pPr>
      <w:rPr>
        <w:rFonts w:hint="eastAsia" w:cs="Times New Roman"/>
      </w:rPr>
    </w:lvl>
    <w:lvl w:ilvl="4">
      <w:start w:val="1"/>
      <w:numFmt w:val="lowerLetter"/>
      <w:isLgl w:val="false"/>
      <w:suff w:val="tab"/>
      <w:lvlText w:val="%5)"/>
      <w:lvlJc w:val="left"/>
      <w:pPr>
        <w:pStyle w:val="883"/>
        <w:ind w:left="2100" w:hanging="420"/>
        <w:tabs>
          <w:tab w:val="num" w:pos="2100" w:leader="none"/>
        </w:tabs>
      </w:pPr>
      <w:rPr>
        <w:rFonts w:hint="eastAsia" w:cs="Times New Roman"/>
      </w:rPr>
    </w:lvl>
    <w:lvl w:ilvl="5">
      <w:start w:val="1"/>
      <w:numFmt w:val="lowerRoman"/>
      <w:isLgl w:val="false"/>
      <w:suff w:val="tab"/>
      <w:lvlText w:val="%6."/>
      <w:lvlJc w:val="right"/>
      <w:pPr>
        <w:pStyle w:val="883"/>
        <w:ind w:left="2520" w:hanging="420"/>
        <w:tabs>
          <w:tab w:val="num" w:pos="2520" w:leader="none"/>
        </w:tabs>
      </w:pPr>
      <w:rPr>
        <w:rFonts w:hint="eastAsia" w:cs="Times New Roman"/>
      </w:rPr>
    </w:lvl>
    <w:lvl w:ilvl="6">
      <w:start w:val="1"/>
      <w:numFmt w:val="decimal"/>
      <w:isLgl w:val="false"/>
      <w:suff w:val="tab"/>
      <w:lvlText w:val="%7."/>
      <w:lvlJc w:val="left"/>
      <w:pPr>
        <w:pStyle w:val="883"/>
        <w:ind w:left="2940" w:hanging="420"/>
        <w:tabs>
          <w:tab w:val="num" w:pos="2940" w:leader="none"/>
        </w:tabs>
      </w:pPr>
      <w:rPr>
        <w:rFonts w:hint="eastAsia" w:cs="Times New Roman"/>
      </w:rPr>
    </w:lvl>
    <w:lvl w:ilvl="7">
      <w:start w:val="1"/>
      <w:numFmt w:val="lowerLetter"/>
      <w:isLgl w:val="false"/>
      <w:suff w:val="tab"/>
      <w:lvlText w:val="%8)"/>
      <w:lvlJc w:val="left"/>
      <w:pPr>
        <w:pStyle w:val="883"/>
        <w:ind w:left="3360" w:hanging="420"/>
        <w:tabs>
          <w:tab w:val="num" w:pos="3360" w:leader="none"/>
        </w:tabs>
      </w:pPr>
      <w:rPr>
        <w:rFonts w:hint="eastAsia" w:cs="Times New Roman"/>
      </w:rPr>
    </w:lvl>
    <w:lvl w:ilvl="8">
      <w:start w:val="1"/>
      <w:numFmt w:val="lowerRoman"/>
      <w:isLgl w:val="false"/>
      <w:suff w:val="tab"/>
      <w:lvlText w:val="%9."/>
      <w:lvlJc w:val="right"/>
      <w:pPr>
        <w:pStyle w:val="883"/>
        <w:ind w:left="3780" w:hanging="420"/>
        <w:tabs>
          <w:tab w:val="num" w:pos="3780" w:leader="none"/>
        </w:tabs>
      </w:pPr>
      <w:rPr>
        <w:rFonts w:hint="eastAsia" w:cs="Times New Roman"/>
      </w:rPr>
    </w:lvl>
  </w:abstractNum>
  <w:abstractNum w:abstractNumId="2">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space"/>
      <w:lvlText w:val="%2."/>
      <w:lvlJc w:val="left"/>
      <w:pPr>
        <w:pStyle w:val="883"/>
        <w:ind w:left="780" w:hanging="360"/>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hint="eastAsia" w:cs="Times New Roman"/>
      </w:rPr>
    </w:lvl>
    <w:lvl w:ilvl="3">
      <w:start w:val="1"/>
      <w:numFmt w:val="decimal"/>
      <w:isLgl w:val="false"/>
      <w:suff w:val="tab"/>
      <w:lvlText w:val="%4."/>
      <w:lvlJc w:val="left"/>
      <w:pPr>
        <w:pStyle w:val="883"/>
        <w:ind w:left="1680" w:hanging="420"/>
        <w:tabs>
          <w:tab w:val="num" w:pos="1680" w:leader="none"/>
        </w:tabs>
      </w:pPr>
      <w:rPr>
        <w:rFonts w:hint="eastAsia" w:cs="Times New Roman"/>
      </w:rPr>
    </w:lvl>
    <w:lvl w:ilvl="4">
      <w:start w:val="1"/>
      <w:numFmt w:val="lowerLetter"/>
      <w:isLgl w:val="false"/>
      <w:suff w:val="tab"/>
      <w:lvlText w:val="%5)"/>
      <w:lvlJc w:val="left"/>
      <w:pPr>
        <w:pStyle w:val="883"/>
        <w:ind w:left="2100" w:hanging="420"/>
        <w:tabs>
          <w:tab w:val="num" w:pos="2100" w:leader="none"/>
        </w:tabs>
      </w:pPr>
      <w:rPr>
        <w:rFonts w:hint="eastAsia" w:cs="Times New Roman"/>
      </w:rPr>
    </w:lvl>
    <w:lvl w:ilvl="5">
      <w:start w:val="1"/>
      <w:numFmt w:val="lowerRoman"/>
      <w:isLgl w:val="false"/>
      <w:suff w:val="tab"/>
      <w:lvlText w:val="%6."/>
      <w:lvlJc w:val="right"/>
      <w:pPr>
        <w:pStyle w:val="883"/>
        <w:ind w:left="2520" w:hanging="420"/>
        <w:tabs>
          <w:tab w:val="num" w:pos="2520" w:leader="none"/>
        </w:tabs>
      </w:pPr>
      <w:rPr>
        <w:rFonts w:hint="eastAsia" w:cs="Times New Roman"/>
      </w:rPr>
    </w:lvl>
    <w:lvl w:ilvl="6">
      <w:start w:val="1"/>
      <w:numFmt w:val="decimal"/>
      <w:isLgl w:val="false"/>
      <w:suff w:val="tab"/>
      <w:lvlText w:val="%7."/>
      <w:lvlJc w:val="left"/>
      <w:pPr>
        <w:pStyle w:val="883"/>
        <w:ind w:left="2940" w:hanging="420"/>
        <w:tabs>
          <w:tab w:val="num" w:pos="2940" w:leader="none"/>
        </w:tabs>
      </w:pPr>
      <w:rPr>
        <w:rFonts w:hint="eastAsia" w:cs="Times New Roman"/>
      </w:rPr>
    </w:lvl>
    <w:lvl w:ilvl="7">
      <w:start w:val="1"/>
      <w:numFmt w:val="lowerLetter"/>
      <w:isLgl w:val="false"/>
      <w:suff w:val="tab"/>
      <w:lvlText w:val="%8)"/>
      <w:lvlJc w:val="left"/>
      <w:pPr>
        <w:pStyle w:val="883"/>
        <w:ind w:left="3360" w:hanging="420"/>
        <w:tabs>
          <w:tab w:val="num" w:pos="3360" w:leader="none"/>
        </w:tabs>
      </w:pPr>
      <w:rPr>
        <w:rFonts w:hint="eastAsia" w:cs="Times New Roman"/>
      </w:rPr>
    </w:lvl>
    <w:lvl w:ilvl="8">
      <w:start w:val="1"/>
      <w:numFmt w:val="lowerRoman"/>
      <w:isLgl w:val="false"/>
      <w:suff w:val="tab"/>
      <w:lvlText w:val="%9."/>
      <w:lvlJc w:val="right"/>
      <w:pPr>
        <w:pStyle w:val="883"/>
        <w:ind w:left="3780" w:hanging="420"/>
        <w:tabs>
          <w:tab w:val="num" w:pos="3780" w:leader="none"/>
        </w:tabs>
      </w:pPr>
      <w:rPr>
        <w:rFonts w:hint="eastAsia" w:cs="Times New Roman"/>
      </w:rPr>
    </w:lvl>
  </w:abstractNum>
  <w:abstractNum w:abstractNumId="3">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hint="eastAsia" w:ascii="宋体" w:hAnsi="宋体" w:eastAsia="宋体" w:cs="Times New Roman"/>
      </w:rPr>
    </w:lvl>
    <w:lvl w:ilvl="4">
      <w:start w:val="1"/>
      <w:numFmt w:val="decimal"/>
      <w:isLgl w:val="false"/>
      <w:suff w:val="space"/>
      <w:lvlText w:val="%5."/>
      <w:lvlJc w:val="left"/>
      <w:pPr>
        <w:pStyle w:val="883"/>
        <w:ind w:left="2250" w:hanging="420"/>
      </w:pPr>
      <w:rPr>
        <w:rFonts w:hint="eastAsia"/>
        <w:b/>
        <w:lang w:val="en-US"/>
      </w:rPr>
    </w:lvl>
    <w:lvl w:ilvl="5">
      <w:start w:val="10"/>
      <w:numFmt w:val="japaneseCounting"/>
      <w:isLgl w:val="false"/>
      <w:suff w:val="tab"/>
      <w:lvlText w:val="（%6）"/>
      <w:lvlJc w:val="left"/>
      <w:pPr>
        <w:pStyle w:val="883"/>
        <w:ind w:left="2970" w:hanging="720"/>
      </w:pPr>
      <w:rPr>
        <w:rFonts w:hint="eastAsia" w:cs="Times New Roman"/>
      </w:rPr>
    </w:lvl>
    <w:lvl w:ilvl="6">
      <w:start w:val="1"/>
      <w:numFmt w:val="decimal"/>
      <w:isLgl w:val="false"/>
      <w:suff w:val="tab"/>
      <w:lvlText w:val="（%7）"/>
      <w:lvlJc w:val="left"/>
      <w:pPr>
        <w:pStyle w:val="883"/>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hint="eastAsia" w:cs="Times New Roman"/>
      </w:rPr>
    </w:lvl>
    <w:lvl w:ilvl="8">
      <w:start w:val="1"/>
      <w:numFmt w:val="lowerRoman"/>
      <w:isLgl w:val="false"/>
      <w:suff w:val="tab"/>
      <w:lvlText w:val="%9."/>
      <w:lvlJc w:val="right"/>
      <w:pPr>
        <w:pStyle w:val="883"/>
        <w:ind w:left="3930" w:hanging="420"/>
        <w:tabs>
          <w:tab w:val="num" w:pos="3930" w:leader="none"/>
        </w:tabs>
      </w:pPr>
      <w:rPr>
        <w:rFonts w:hint="eastAsia" w:cs="Times New Roman"/>
      </w:rPr>
    </w:lvl>
  </w:abstractNum>
  <w:abstractNum w:abstractNumId="4">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64"/>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1"/>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10"/>
  </w:num>
  <w:num w:numId="5">
    <w:abstractNumId w:val="1"/>
  </w:num>
  <w:num w:numId="6">
    <w:abstractNumId w:val="2"/>
  </w:num>
  <w:num w:numId="7">
    <w:abstractNumId w:val="3"/>
  </w:num>
  <w:num w:numId="8">
    <w:abstractNumId w:val="4"/>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83"/>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83"/>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字符"/>
    <w:next w:val="895"/>
    <w:link w:val="884"/>
    <w:rPr>
      <w:rFonts w:ascii="楷体_GB2312" w:hAnsi="Times New Roman" w:eastAsia="楷体_GB2312" w:cs="Times New Roman"/>
      <w:sz w:val="28"/>
      <w:szCs w:val="28"/>
    </w:rPr>
  </w:style>
  <w:style w:type="character" w:styleId="896">
    <w:name w:val="标题 2 字符"/>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字符"/>
    <w:next w:val="898"/>
    <w:link w:val="897"/>
    <w:rPr>
      <w:rFonts w:ascii="Times New Roman" w:hAnsi="Times New Roman" w:eastAsia="宋体" w:cs="Times New Roman"/>
      <w:szCs w:val="21"/>
    </w:rPr>
  </w:style>
  <w:style w:type="character" w:styleId="899">
    <w:name w:val="标题 3 字符"/>
    <w:next w:val="899"/>
    <w:link w:val="886"/>
    <w:rPr>
      <w:rFonts w:ascii="Times New Roman" w:hAnsi="Times New Roman" w:eastAsia="宋体" w:cs="Times New Roman"/>
      <w:b/>
      <w:bCs/>
      <w:sz w:val="32"/>
      <w:szCs w:val="32"/>
    </w:rPr>
  </w:style>
  <w:style w:type="character" w:styleId="900">
    <w:name w:val="标题 4 字符"/>
    <w:next w:val="900"/>
    <w:link w:val="887"/>
    <w:rPr>
      <w:rFonts w:ascii="Arial" w:hAnsi="Arial" w:eastAsia="黑体" w:cs="Arial"/>
      <w:b/>
      <w:bCs/>
      <w:sz w:val="28"/>
      <w:szCs w:val="28"/>
    </w:rPr>
  </w:style>
  <w:style w:type="character" w:styleId="901">
    <w:name w:val="标题 5 字符"/>
    <w:next w:val="901"/>
    <w:link w:val="888"/>
    <w:rPr>
      <w:rFonts w:ascii="宋体" w:hAnsi="Times New Roman" w:eastAsia="宋体" w:cs="Times New Roman"/>
      <w:color w:val="000000"/>
      <w:sz w:val="28"/>
      <w:szCs w:val="28"/>
    </w:rPr>
  </w:style>
  <w:style w:type="character" w:styleId="902">
    <w:name w:val="标题 6 字符"/>
    <w:next w:val="902"/>
    <w:link w:val="889"/>
    <w:rPr>
      <w:rFonts w:ascii="Arial" w:hAnsi="Arial" w:eastAsia="黑体" w:cs="Times New Roman"/>
      <w:b/>
      <w:bCs/>
      <w:sz w:val="24"/>
      <w:szCs w:val="24"/>
    </w:rPr>
  </w:style>
  <w:style w:type="character" w:styleId="903">
    <w:name w:val="标题 7 字符"/>
    <w:next w:val="903"/>
    <w:link w:val="890"/>
    <w:rPr>
      <w:rFonts w:ascii="Times New Roman" w:hAnsi="Times New Roman" w:eastAsia="宋体" w:cs="Times New Roman"/>
      <w:b/>
      <w:bCs/>
      <w:sz w:val="24"/>
      <w:szCs w:val="24"/>
    </w:rPr>
  </w:style>
  <w:style w:type="character" w:styleId="904">
    <w:name w:val="标题 8 字符"/>
    <w:next w:val="904"/>
    <w:link w:val="891"/>
    <w:rPr>
      <w:rFonts w:ascii="Arial" w:hAnsi="Arial" w:eastAsia="黑体" w:cs="Times New Roman"/>
      <w:sz w:val="24"/>
      <w:szCs w:val="24"/>
    </w:rPr>
  </w:style>
  <w:style w:type="character" w:styleId="905">
    <w:name w:val="标题 9 字符"/>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字符"/>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字符"/>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字符"/>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字符"/>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字符"/>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字符"/>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字符"/>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字符"/>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字符"/>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字符"/>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字符"/>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字符"/>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字符"/>
    <w:next w:val="944"/>
    <w:link w:val="943"/>
    <w:rPr>
      <w:rFonts w:ascii="楷体_GB2312" w:hAnsi="Times New Roman" w:eastAsia="楷体_GB2312" w:cs="Times New Roman"/>
      <w:sz w:val="28"/>
      <w:szCs w:val="28"/>
    </w:rPr>
  </w:style>
  <w:style w:type="paragraph" w:styleId="945">
    <w:name w:val="HTML 预设格式"/>
    <w:basedOn w:val="883"/>
    <w:next w:val="945"/>
    <w:link w:val="946"/>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6">
    <w:name w:val="HTML 预设格式 字符"/>
    <w:next w:val="946"/>
    <w:link w:val="945"/>
    <w:uiPriority w:val="99"/>
    <w:semiHidden/>
    <w:rPr>
      <w:rFonts w:ascii="宋体" w:hAnsi="宋体" w:cs="宋体"/>
      <w:sz w:val="24"/>
      <w:szCs w:val="24"/>
    </w:rPr>
  </w:style>
  <w:style w:type="paragraph" w:styleId="947">
    <w:name w:val="普通(网站)"/>
    <w:basedOn w:val="883"/>
    <w:next w:val="947"/>
    <w:link w:val="883"/>
    <w:uiPriority w:val="99"/>
    <w:pPr>
      <w:jc w:val="left"/>
      <w:spacing w:before="100" w:beforeAutospacing="1" w:after="100" w:afterAutospacing="1"/>
      <w:widowControl/>
    </w:pPr>
    <w:rPr>
      <w:rFonts w:ascii="宋体" w:hAnsi="宋体" w:cs="宋体"/>
      <w:sz w:val="24"/>
      <w:szCs w:val="24"/>
    </w:rPr>
  </w:style>
  <w:style w:type="paragraph" w:styleId="948">
    <w:name w:val="索引 1"/>
    <w:basedOn w:val="883"/>
    <w:next w:val="883"/>
    <w:link w:val="883"/>
    <w:semiHidden/>
    <w:pPr>
      <w:spacing w:line="240" w:lineRule="atLeast"/>
    </w:pPr>
    <w:rPr>
      <w:b/>
      <w:bCs/>
    </w:rPr>
  </w:style>
  <w:style w:type="paragraph" w:styleId="949">
    <w:name w:val="批注主题"/>
    <w:basedOn w:val="910"/>
    <w:next w:val="910"/>
    <w:link w:val="950"/>
    <w:semiHidden/>
    <w:rPr>
      <w:b/>
      <w:bCs/>
    </w:rPr>
  </w:style>
  <w:style w:type="character" w:styleId="950">
    <w:name w:val="批注主题 字符"/>
    <w:next w:val="950"/>
    <w:link w:val="949"/>
    <w:semiHidden/>
    <w:rPr>
      <w:rFonts w:ascii="Times New Roman" w:hAnsi="Times New Roman" w:eastAsia="宋体" w:cs="Times New Roman"/>
      <w:b/>
      <w:bCs/>
      <w:szCs w:val="21"/>
    </w:rPr>
  </w:style>
  <w:style w:type="paragraph" w:styleId="951">
    <w:name w:val="正文首行缩进"/>
    <w:basedOn w:val="883"/>
    <w:next w:val="951"/>
    <w:link w:val="952"/>
    <w:pPr>
      <w:ind w:firstLine="200"/>
      <w:spacing w:line="360" w:lineRule="auto"/>
    </w:pPr>
    <w:rPr>
      <w:rFonts w:ascii="仿宋_GB2312" w:eastAsia="仿宋_GB2312"/>
      <w:sz w:val="30"/>
      <w:szCs w:val="30"/>
    </w:rPr>
  </w:style>
  <w:style w:type="character" w:styleId="952">
    <w:name w:val="正文文本首行缩进 字符"/>
    <w:next w:val="952"/>
    <w:link w:val="951"/>
    <w:rPr>
      <w:rFonts w:ascii="仿宋_GB2312" w:hAnsi="Times New Roman" w:eastAsia="仿宋_GB2312" w:cs="Times New Roman"/>
      <w:sz w:val="30"/>
      <w:szCs w:val="30"/>
    </w:rPr>
  </w:style>
  <w:style w:type="paragraph" w:styleId="953">
    <w:name w:val="正文首行缩进 2"/>
    <w:basedOn w:val="916"/>
    <w:next w:val="953"/>
    <w:link w:val="954"/>
    <w:pPr>
      <w:ind w:firstLine="420"/>
      <w:spacing w:line="360" w:lineRule="auto"/>
    </w:pPr>
    <w:rPr>
      <w:rFonts w:ascii="宋体" w:hAnsi="宋体" w:eastAsia="宋体"/>
      <w:szCs w:val="20"/>
    </w:rPr>
  </w:style>
  <w:style w:type="character" w:styleId="954">
    <w:name w:val="正文文本首行缩进 2 字符"/>
    <w:next w:val="954"/>
    <w:link w:val="953"/>
    <w:rPr>
      <w:rFonts w:ascii="宋体" w:hAnsi="宋体" w:eastAsia="宋体" w:cs="Times New Roman"/>
      <w:sz w:val="32"/>
      <w:szCs w:val="20"/>
    </w:rPr>
  </w:style>
  <w:style w:type="table" w:styleId="955">
    <w:name w:val="网格型"/>
    <w:basedOn w:val="894"/>
    <w:next w:val="955"/>
    <w:link w:val="883"/>
    <w:pPr>
      <w:jc w:val="both"/>
      <w:widowControl w:val="off"/>
    </w:pPr>
    <w:rPr>
      <w:rFonts w:ascii="Times New Roman" w:hAnsi="Times New Roman" w:eastAsia="宋体" w:cs="Times New Roman"/>
      <w:sz w:val="20"/>
      <w:szCs w:val="20"/>
    </w:rPr>
    <w:tblPr/>
  </w:style>
  <w:style w:type="character" w:styleId="956">
    <w:name w:val="要点"/>
    <w:next w:val="956"/>
    <w:link w:val="883"/>
    <w:qFormat/>
    <w:rPr>
      <w:b/>
      <w:bCs/>
    </w:rPr>
  </w:style>
  <w:style w:type="character" w:styleId="957">
    <w:name w:val="页码"/>
    <w:next w:val="957"/>
    <w:link w:val="883"/>
  </w:style>
  <w:style w:type="character" w:styleId="958">
    <w:name w:val="已访问的超链接"/>
    <w:next w:val="958"/>
    <w:link w:val="883"/>
    <w:rPr>
      <w:color w:val="800080"/>
      <w:u w:val="single"/>
    </w:rPr>
  </w:style>
  <w:style w:type="character" w:styleId="959">
    <w:name w:val="HTML 打字机"/>
    <w:next w:val="959"/>
    <w:link w:val="883"/>
    <w:uiPriority w:val="99"/>
    <w:rPr>
      <w:rFonts w:ascii="宋体" w:hAnsi="宋体" w:eastAsia="宋体" w:cs="宋体"/>
      <w:sz w:val="24"/>
      <w:szCs w:val="24"/>
    </w:rPr>
  </w:style>
  <w:style w:type="character" w:styleId="960">
    <w:name w:val="超链接"/>
    <w:next w:val="960"/>
    <w:link w:val="883"/>
    <w:rPr>
      <w:color w:val="0000ff"/>
      <w:u w:val="single"/>
    </w:rPr>
  </w:style>
  <w:style w:type="character" w:styleId="961">
    <w:name w:val="批注引用"/>
    <w:next w:val="961"/>
    <w:link w:val="883"/>
    <w:semiHidden/>
    <w:rPr>
      <w:sz w:val="21"/>
      <w:szCs w:val="21"/>
    </w:rPr>
  </w:style>
  <w:style w:type="character" w:styleId="962">
    <w:name w:val="font5 Char"/>
    <w:next w:val="962"/>
    <w:link w:val="883"/>
    <w:rPr>
      <w:rFonts w:ascii="宋体" w:hAnsi="宋体" w:eastAsia="宋体"/>
      <w:sz w:val="28"/>
      <w:szCs w:val="28"/>
      <w:lang w:val="en-US" w:eastAsia="zh-CN" w:bidi="ar-SA"/>
    </w:rPr>
  </w:style>
  <w:style w:type="character" w:styleId="963">
    <w:name w:val="二级目录 Char"/>
    <w:next w:val="963"/>
    <w:link w:val="964"/>
    <w:rPr>
      <w:b/>
      <w:sz w:val="30"/>
      <w:szCs w:val="28"/>
      <w:lang w:val="en-US" w:eastAsia="zh-CN" w:bidi="ar-SA"/>
    </w:rPr>
  </w:style>
  <w:style w:type="paragraph" w:styleId="964">
    <w:name w:val="二级目录"/>
    <w:next w:val="883"/>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83"/>
    <w:next w:val="966"/>
    <w:link w:val="965"/>
    <w:qFormat/>
    <w:pPr>
      <w:contextualSpacing/>
      <w:ind w:left="720"/>
      <w:jc w:val="left"/>
      <w:widowControl/>
    </w:pPr>
    <w:rPr>
      <w:rFonts w:ascii="Calibri" w:hAnsi="Calibri"/>
      <w:sz w:val="24"/>
      <w:szCs w:val="24"/>
      <w:lang w:eastAsia="en-US" w:bidi="en-US"/>
    </w:rPr>
  </w:style>
  <w:style w:type="paragraph" w:styleId="967">
    <w:name w:val="Body Text(ch)"/>
    <w:basedOn w:val="883"/>
    <w:next w:val="914"/>
    <w:link w:val="883"/>
    <w:pPr>
      <w:spacing w:after="120"/>
    </w:pPr>
    <w:rPr>
      <w:rFonts w:ascii="宋体" w:hAnsi="Arial"/>
      <w:bCs/>
      <w:iCs/>
      <w:szCs w:val="24"/>
    </w:rPr>
  </w:style>
  <w:style w:type="paragraph" w:styleId="968">
    <w:name w:val="xl27"/>
    <w:basedOn w:val="883"/>
    <w:next w:val="968"/>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xl26"/>
    <w:basedOn w:val="883"/>
    <w:next w:val="969"/>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name w:val="Char"/>
    <w:basedOn w:val="883"/>
    <w:next w:val="970"/>
    <w:link w:val="883"/>
    <w:pPr>
      <w:ind w:firstLine="200"/>
      <w:tabs>
        <w:tab w:val="left" w:pos="360" w:leader="none"/>
      </w:tabs>
    </w:pPr>
    <w:rPr>
      <w:sz w:val="28"/>
      <w:szCs w:val="30"/>
    </w:rPr>
  </w:style>
  <w:style w:type="paragraph" w:styleId="971">
    <w:name w:val=" Char"/>
    <w:basedOn w:val="908"/>
    <w:next w:val="971"/>
    <w:link w:val="883"/>
    <w:rPr>
      <w:rFonts w:ascii="Tahoma" w:hAnsi="Tahoma"/>
      <w:sz w:val="24"/>
      <w:szCs w:val="24"/>
    </w:rPr>
  </w:style>
  <w:style w:type="paragraph" w:styleId="972">
    <w:name w:val="普通正文"/>
    <w:basedOn w:val="883"/>
    <w:next w:val="972"/>
    <w:link w:val="883"/>
    <w:pPr>
      <w:ind w:firstLine="480"/>
      <w:jc w:val="left"/>
      <w:spacing w:before="120" w:after="120" w:line="360" w:lineRule="auto"/>
    </w:pPr>
    <w:rPr>
      <w:rFonts w:ascii="Arial" w:hAnsi="Arial"/>
      <w:sz w:val="24"/>
      <w:szCs w:val="24"/>
    </w:rPr>
  </w:style>
  <w:style w:type="paragraph" w:styleId="973">
    <w:name w:val="table_lines"/>
    <w:basedOn w:val="883"/>
    <w:next w:val="973"/>
    <w:link w:val="883"/>
    <w:pPr>
      <w:jc w:val="left"/>
      <w:widowControl/>
    </w:pPr>
    <w:rPr>
      <w:sz w:val="20"/>
      <w:szCs w:val="20"/>
      <w:lang w:val="de-DE" w:eastAsia="de-DE"/>
    </w:rPr>
  </w:style>
  <w:style w:type="paragraph" w:styleId="974">
    <w:name w:val="附录1"/>
    <w:next w:val="974"/>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83"/>
    <w:next w:val="975"/>
    <w:link w:val="883"/>
    <w:pPr>
      <w:jc w:val="left"/>
      <w:spacing w:before="100" w:beforeAutospacing="1" w:after="100" w:afterAutospacing="1"/>
      <w:widowControl/>
    </w:pPr>
    <w:rPr>
      <w:rFonts w:hint="eastAsia" w:ascii="宋体" w:hAnsi="宋体"/>
      <w:sz w:val="18"/>
      <w:szCs w:val="18"/>
    </w:rPr>
  </w:style>
  <w:style w:type="paragraph" w:styleId="976">
    <w:name w:val=" Char Char Char Char"/>
    <w:basedOn w:val="908"/>
    <w:next w:val="976"/>
    <w:link w:val="883"/>
    <w:pPr>
      <w:spacing w:line="360" w:lineRule="auto"/>
    </w:pPr>
    <w:rPr>
      <w:rFonts w:ascii="Tahoma" w:hAnsi="Tahoma"/>
      <w:sz w:val="24"/>
      <w:szCs w:val="24"/>
    </w:rPr>
  </w:style>
  <w:style w:type="paragraph" w:styleId="977">
    <w:name w:val="列表段落"/>
    <w:basedOn w:val="883"/>
    <w:next w:val="977"/>
    <w:link w:val="883"/>
    <w:uiPriority w:val="99"/>
    <w:qFormat/>
    <w:pPr>
      <w:contextualSpacing/>
      <w:ind w:left="720"/>
      <w:jc w:val="left"/>
      <w:widowControl/>
    </w:pPr>
    <w:rPr>
      <w:rFonts w:ascii="Calibri" w:hAnsi="Calibri"/>
      <w:sz w:val="24"/>
      <w:szCs w:val="24"/>
      <w:lang w:eastAsia="en-US" w:bidi="en-US"/>
    </w:rPr>
  </w:style>
  <w:style w:type="paragraph" w:styleId="978">
    <w:name w:val="4"/>
    <w:basedOn w:val="883"/>
    <w:next w:val="938"/>
    <w:link w:val="883"/>
    <w:pPr>
      <w:ind w:firstLine="420"/>
      <w:spacing w:line="360" w:lineRule="auto"/>
    </w:pPr>
    <w:rPr>
      <w:color w:val="ff0000"/>
      <w:sz w:val="24"/>
      <w:szCs w:val="24"/>
    </w:rPr>
  </w:style>
  <w:style w:type="paragraph" w:styleId="979">
    <w:name w:val="普通 (Web)"/>
    <w:basedOn w:val="883"/>
    <w:next w:val="979"/>
    <w:link w:val="883"/>
    <w:pPr>
      <w:jc w:val="left"/>
      <w:spacing w:before="100" w:beforeAutospacing="1" w:after="100" w:afterAutospacing="1"/>
      <w:widowControl/>
    </w:pPr>
    <w:rPr>
      <w:rFonts w:ascii="宋体" w:hAnsi="宋体"/>
      <w:sz w:val="24"/>
      <w:szCs w:val="24"/>
    </w:rPr>
  </w:style>
  <w:style w:type="paragraph" w:styleId="980">
    <w:name w:val=" Char Char Char Char Char Char Char Char Char Char"/>
    <w:basedOn w:val="883"/>
    <w:next w:val="980"/>
    <w:link w:val="883"/>
    <w:pPr>
      <w:spacing w:line="360" w:lineRule="auto"/>
    </w:pPr>
    <w:rPr>
      <w:sz w:val="24"/>
      <w:szCs w:val="20"/>
    </w:rPr>
  </w:style>
  <w:style w:type="paragraph" w:styleId="981">
    <w:name w:val="样式1"/>
    <w:basedOn w:val="883"/>
    <w:next w:val="981"/>
    <w:link w:val="883"/>
    <w:pPr>
      <w:numPr>
        <w:ilvl w:val="0"/>
        <w:numId w:val="3"/>
      </w:numPr>
      <w:tabs>
        <w:tab w:val="left" w:pos="709" w:leader="none"/>
      </w:tabs>
    </w:pPr>
    <w:rPr>
      <w:rFonts w:ascii="宋体" w:hAnsi="宋体"/>
    </w:rPr>
  </w:style>
  <w:style w:type="paragraph" w:styleId="982">
    <w:name w:val="font6"/>
    <w:basedOn w:val="883"/>
    <w:next w:val="982"/>
    <w:link w:val="883"/>
    <w:pPr>
      <w:jc w:val="left"/>
      <w:spacing w:before="100" w:beforeAutospacing="1" w:after="100" w:afterAutospacing="1"/>
      <w:widowControl/>
    </w:pPr>
    <w:rPr>
      <w:rFonts w:hint="eastAsia" w:ascii="宋体" w:hAnsi="宋体"/>
      <w:sz w:val="28"/>
      <w:szCs w:val="28"/>
      <w:u w:val="single"/>
    </w:rPr>
  </w:style>
  <w:style w:type="paragraph" w:styleId="983">
    <w:name w:val="xl25"/>
    <w:basedOn w:val="883"/>
    <w:next w:val="983"/>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标题3"/>
    <w:basedOn w:val="883"/>
    <w:next w:val="883"/>
    <w:link w:val="883"/>
    <w:pPr>
      <w:ind w:firstLine="624"/>
      <w:spacing w:line="590" w:lineRule="atLeast"/>
    </w:pPr>
    <w:rPr>
      <w:rFonts w:ascii="方正黑体_GBK" w:eastAsia="方正黑体_GBK"/>
      <w:sz w:val="32"/>
      <w:szCs w:val="32"/>
    </w:rPr>
  </w:style>
  <w:style w:type="paragraph" w:styleId="986">
    <w:name w:val="xl24"/>
    <w:basedOn w:val="883"/>
    <w:next w:val="98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9"/>
    <w:basedOn w:val="883"/>
    <w:next w:val="987"/>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28"/>
    <w:basedOn w:val="883"/>
    <w:next w:val="989"/>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name w:val=" Char Char Char Char Char Char Char Char"/>
    <w:basedOn w:val="883"/>
    <w:next w:val="990"/>
    <w:link w:val="883"/>
    <w:pPr>
      <w:jc w:val="left"/>
      <w:spacing w:after="160" w:line="240" w:lineRule="exact"/>
      <w:widowControl/>
    </w:pPr>
    <w:rPr>
      <w:rFonts w:ascii="Verdana" w:hAnsi="Verdana"/>
      <w:sz w:val="20"/>
      <w:szCs w:val="20"/>
      <w:lang w:eastAsia="en-US"/>
    </w:rPr>
  </w:style>
  <w:style w:type="paragraph" w:styleId="991">
    <w:name w:val="xl30"/>
    <w:basedOn w:val="883"/>
    <w:next w:val="991"/>
    <w:link w:val="883"/>
    <w:pPr>
      <w:jc w:val="center"/>
      <w:spacing w:before="100" w:beforeAutospacing="1" w:after="100" w:afterAutospacing="1"/>
      <w:widowControl/>
    </w:pPr>
    <w:rPr>
      <w:rFonts w:ascii="宋体" w:hAnsi="宋体"/>
      <w:b/>
      <w:bCs/>
      <w:sz w:val="36"/>
      <w:szCs w:val="36"/>
    </w:rPr>
  </w:style>
  <w:style w:type="paragraph" w:styleId="992">
    <w:name w:val="Char Char Char Char"/>
    <w:basedOn w:val="908"/>
    <w:next w:val="992"/>
    <w:link w:val="883"/>
    <w:pPr>
      <w:spacing w:line="360" w:lineRule="auto"/>
    </w:pPr>
    <w:rPr>
      <w:rFonts w:ascii="Tahoma" w:hAnsi="Tahoma"/>
      <w:sz w:val="24"/>
      <w:szCs w:val="24"/>
    </w:rPr>
  </w:style>
  <w:style w:type="paragraph" w:styleId="993">
    <w:name w:val="table_1stline"/>
    <w:basedOn w:val="883"/>
    <w:next w:val="993"/>
    <w:link w:val="883"/>
    <w:pPr>
      <w:jc w:val="left"/>
      <w:spacing w:before="120"/>
      <w:widowControl/>
    </w:pPr>
    <w:rPr>
      <w:bCs/>
      <w:sz w:val="20"/>
      <w:szCs w:val="20"/>
      <w:lang w:val="de-DE" w:eastAsia="de-DE"/>
    </w:rPr>
  </w:style>
  <w:style w:type="paragraph" w:styleId="994">
    <w:name w:val="font5"/>
    <w:basedOn w:val="883"/>
    <w:next w:val="994"/>
    <w:link w:val="883"/>
    <w:pPr>
      <w:jc w:val="left"/>
      <w:spacing w:before="100" w:beforeAutospacing="1" w:after="100" w:afterAutospacing="1"/>
      <w:widowControl/>
    </w:pPr>
    <w:rPr>
      <w:rFonts w:hint="eastAsia" w:ascii="宋体" w:hAnsi="宋体"/>
      <w:sz w:val="28"/>
      <w:szCs w:val="28"/>
    </w:rPr>
  </w:style>
  <w:style w:type="paragraph" w:styleId="995">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修订"/>
    <w:next w:val="996"/>
    <w:link w:val="883"/>
    <w:uiPriority w:val="99"/>
    <w:semiHidden/>
    <w:rPr>
      <w:rFonts w:ascii="Times New Roman" w:hAnsi="Times New Roman"/>
      <w:sz w:val="21"/>
      <w:szCs w:val="21"/>
      <w:lang w:val="en-US" w:eastAsia="zh-CN" w:bidi="ar-SA"/>
    </w:rPr>
  </w:style>
  <w:style w:type="paragraph" w:styleId="997">
    <w:name w:val="无间隔"/>
    <w:next w:val="997"/>
    <w:link w:val="883"/>
    <w:uiPriority w:val="99"/>
    <w:qFormat/>
    <w:pPr>
      <w:jc w:val="both"/>
      <w:widowControl w:val="off"/>
    </w:pPr>
    <w:rPr>
      <w:rFonts w:ascii="Times New Roman" w:hAnsi="Times New Roman"/>
      <w:sz w:val="21"/>
      <w:szCs w:val="21"/>
      <w:lang w:val="en-US" w:eastAsia="zh-CN" w:bidi="ar-SA"/>
    </w:rPr>
  </w:style>
  <w:style w:type="paragraph" w:styleId="998">
    <w:name w:val="普通文字"/>
    <w:basedOn w:val="883"/>
    <w:next w:val="883"/>
    <w:link w:val="883"/>
    <w:uiPriority w:val="99"/>
    <w:rPr>
      <w:rFonts w:ascii="宋体" w:hAnsi="Times New Roman" w:eastAsia="宋体" w:cs="Times New Roman"/>
      <w:sz w:val="24"/>
      <w:szCs w:val="20"/>
      <w:u w:val="none"/>
    </w:rPr>
  </w:style>
  <w:style w:type="paragraph" w:styleId="999">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paragraph" w:styleId="1000">
    <w:name w:val="Default"/>
    <w:next w:val="883"/>
    <w:link w:val="883"/>
    <w:qFormat/>
    <w:pPr>
      <w:widowControl w:val="off"/>
    </w:pPr>
    <w:rPr>
      <w:rFonts w:ascii="宋体" w:cs="宋体"/>
      <w:color w:val="000000"/>
      <w:sz w:val="24"/>
      <w:szCs w:val="24"/>
      <w:lang w:val="en-US" w:eastAsia="zh-CN" w:bidi="ar-SA"/>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黄若人</cp:lastModifiedBy>
  <cp:revision>8</cp:revision>
  <dcterms:created xsi:type="dcterms:W3CDTF">2023-03-16T02:16:00Z</dcterms:created>
  <dcterms:modified xsi:type="dcterms:W3CDTF">2026-07-02T07:22:56Z</dcterms:modified>
</cp:coreProperties>
</file>