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513029200"/>
      <w:r/>
      <w:bookmarkStart w:id="2" w:name="_Toc479757206"/>
      <w:r/>
      <w:bookmarkStart w:id="3" w:name="_Toc20823272"/>
      <w:r/>
      <w:bookmarkStart w:id="4" w:name="_Toc16938516"/>
      <w:r/>
      <w:bookmarkStart w:id="5" w:name="_Toc523127445"/>
      <w:r/>
      <w:r/>
    </w:p>
    <w:p>
      <w:pPr>
        <w:pStyle w:val="1081"/>
        <w:ind w:firstLine="0"/>
      </w:pPr>
      <w:r/>
      <w:r/>
    </w:p>
    <w:p>
      <w:pPr>
        <w:pStyle w:val="1082"/>
      </w:pPr>
      <w:r/>
      <w:r/>
    </w:p>
    <w:p>
      <w:pPr>
        <w:pStyle w:val="1082"/>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82"/>
        <w:rPr>
          <w:rFonts w:ascii="宋体" w:hAnsi="宋体" w:cs="宋体"/>
          <w:sz w:val="48"/>
          <w:szCs w:val="48"/>
        </w:rPr>
      </w:pPr>
      <w:r>
        <w:rPr>
          <w:rFonts w:ascii="宋体" w:hAnsi="宋体" w:cs="宋体"/>
          <w:sz w:val="48"/>
          <w:szCs w:val="48"/>
        </w:rPr>
      </w:r>
      <w:r/>
    </w:p>
    <w:p>
      <w:pPr>
        <w:ind w:firstLine="1285"/>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项目编号：JSZC-320000-SHCC-G2026-0001</w:t>
      </w:r>
      <w:r/>
    </w:p>
    <w:p>
      <w:pPr>
        <w:ind w:firstLine="1285"/>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项目名称：</w:t>
      </w:r>
      <w:r>
        <w:rPr>
          <w:rFonts w:hint="eastAsia" w:ascii="黑体" w:hAnsi="黑体" w:eastAsia="黑体" w:cs="黑体"/>
          <w:b/>
          <w:color w:val="000000"/>
          <w:sz w:val="32"/>
          <w:szCs w:val="32"/>
          <w:highlight w:val="none"/>
        </w:rPr>
        <w:t xml:space="preserve">南京师范大学会计核算业务服务项目</w:t>
      </w:r>
      <w:r/>
    </w:p>
    <w:p>
      <w:pPr>
        <w:pStyle w:val="1081"/>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17"/>
        <w:jc w:val="both"/>
        <w:spacing w:before="58"/>
      </w:pPr>
      <w:r/>
      <w:r/>
    </w:p>
    <w:p>
      <w:pPr>
        <w:pStyle w:val="1073"/>
        <w:ind w:firstLine="0"/>
        <w:rPr>
          <w:rFonts w:hAnsi="宋体" w:cs="宋体"/>
          <w:b/>
          <w:sz w:val="32"/>
          <w:szCs w:val="32"/>
        </w:rPr>
      </w:pPr>
      <w:r>
        <w:rPr>
          <w:rFonts w:hAnsi="宋体" w:cs="宋体"/>
          <w:b/>
          <w:sz w:val="32"/>
          <w:szCs w:val="32"/>
        </w:rPr>
      </w:r>
      <w:r/>
    </w:p>
    <w:p>
      <w:pPr>
        <w:pStyle w:val="1073"/>
        <w:ind w:firstLine="0"/>
        <w:rPr>
          <w:rFonts w:hAnsi="宋体" w:cs="宋体"/>
          <w:b/>
          <w:sz w:val="32"/>
          <w:szCs w:val="32"/>
        </w:rPr>
      </w:pPr>
      <w:r>
        <w:rPr>
          <w:rFonts w:hAnsi="宋体" w:cs="宋体"/>
          <w:b/>
          <w:sz w:val="32"/>
          <w:szCs w:val="32"/>
        </w:rPr>
      </w:r>
      <w:r/>
    </w:p>
    <w:p>
      <w:pPr>
        <w:ind w:firstLine="1928"/>
        <w:spacing w:after="145"/>
        <w:rPr>
          <w:rFonts w:ascii="黑体" w:hAnsi="宋体" w:eastAsia="黑体"/>
          <w:b/>
          <w:sz w:val="32"/>
          <w:szCs w:val="32"/>
        </w:rPr>
      </w:pPr>
      <w:r/>
      <w:bookmarkStart w:id="6" w:name="_Toc30073"/>
      <w:r>
        <w:rPr>
          <w:rFonts w:hint="eastAsia" w:ascii="黑体" w:hAnsi="宋体" w:eastAsia="黑体"/>
          <w:b/>
          <w:sz w:val="32"/>
          <w:szCs w:val="32"/>
        </w:rPr>
        <w:t xml:space="preserve">招   标   人：南京师范大学</w:t>
      </w:r>
      <w:r/>
    </w:p>
    <w:p>
      <w:pPr>
        <w:ind w:firstLine="1928"/>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w:t>
      </w:r>
      <w:r>
        <w:rPr>
          <w:rFonts w:hint="eastAsia" w:ascii="黑体" w:hAnsi="宋体" w:eastAsia="黑体"/>
          <w:b/>
          <w:sz w:val="36"/>
          <w:szCs w:val="36"/>
          <w:lang w:val="en-US" w:eastAsia="zh-CN"/>
        </w:rPr>
        <w:t xml:space="preserve">七</w:t>
      </w:r>
      <w:r>
        <w:rPr>
          <w:rFonts w:hint="eastAsia" w:ascii="黑体" w:hAnsi="宋体" w:eastAsia="黑体"/>
          <w:b/>
          <w:sz w:val="36"/>
          <w:szCs w:val="36"/>
          <w:highlight w:val="none"/>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ascii="宋体" w:hAnsi="宋体" w:cs="宋体"/>
          <w:bCs/>
          <w:color w:val="000000"/>
          <w:sz w:val="36"/>
          <w:szCs w:val="36"/>
        </w:rPr>
      </w:pPr>
      <w:r>
        <w:rPr>
          <w:rFonts w:hint="eastAsia" w:ascii="宋体" w:hAnsi="宋体" w:cs="宋体"/>
          <w:b/>
          <w:sz w:val="36"/>
          <w:szCs w:val="36"/>
        </w:rPr>
        <w:t xml:space="preserve">目    录</w:t>
      </w:r>
      <w:r/>
    </w:p>
    <w:p>
      <w:pPr>
        <w:pStyle w:val="1095"/>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r>
        <w:fldChar w:fldCharType="begin"/>
      </w:r>
      <w:r>
        <w:instrText xml:space="preserve"> HYPERLINK \l "_Toc7637" </w:instrText>
      </w:r>
      <w:r>
        <w:fldChar w:fldCharType="separate"/>
      </w:r>
      <w:r>
        <w:rPr>
          <w:rFonts w:hint="eastAsia" w:cs="宋体"/>
          <w:b/>
          <w:bCs/>
        </w:rPr>
        <w:t xml:space="preserve">投标人须知前附表</w:t>
      </w:r>
      <w:r>
        <w:rPr>
          <w:b/>
          <w:bCs/>
        </w:rPr>
        <w:tab/>
      </w:r>
      <w:r>
        <w:rPr>
          <w:b/>
          <w:bCs/>
        </w:rPr>
        <w:fldChar w:fldCharType="begin"/>
      </w:r>
      <w:r>
        <w:rPr>
          <w:b/>
          <w:bCs/>
        </w:rPr>
        <w:instrText xml:space="preserve"> PAGEREF _Toc7637 \h </w:instrText>
      </w:r>
      <w:r>
        <w:rPr>
          <w:b/>
          <w:bCs/>
        </w:rPr>
        <w:fldChar w:fldCharType="separate"/>
      </w:r>
      <w:r>
        <w:rPr>
          <w:b/>
          <w:bCs/>
        </w:rPr>
        <w:t xml:space="preserve">1</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"_Toc9029" </w:instrText>
      </w:r>
      <w:r>
        <w:fldChar w:fldCharType="separate"/>
      </w:r>
      <w:r>
        <w:rPr>
          <w:rFonts w:hint="eastAsia" w:cs="宋体"/>
          <w:b/>
          <w:bCs/>
          <w:lang w:val="zh-CN"/>
        </w:rPr>
        <w:t xml:space="preserve">第一章  招标公告</w:t>
      </w:r>
      <w:r>
        <w:rPr>
          <w:b/>
          <w:bCs/>
        </w:rPr>
        <w:tab/>
      </w:r>
      <w:r>
        <w:rPr>
          <w:b/>
          <w:bCs/>
        </w:rPr>
        <w:fldChar w:fldCharType="begin"/>
      </w:r>
      <w:r>
        <w:rPr>
          <w:b/>
          <w:bCs/>
        </w:rPr>
        <w:instrText xml:space="preserve"> PAGEREF _Toc9029 \h </w:instrText>
      </w:r>
      <w:r>
        <w:rPr>
          <w:b/>
          <w:bCs/>
        </w:rPr>
        <w:fldChar w:fldCharType="separate"/>
      </w:r>
      <w:r>
        <w:rPr>
          <w:b/>
          <w:bCs/>
        </w:rPr>
        <w:t xml:space="preserve">5</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"_Toc20794" </w:instrText>
      </w:r>
      <w:r>
        <w:fldChar w:fldCharType="separate"/>
      </w:r>
      <w:r>
        <w:rPr>
          <w:rFonts w:hint="eastAsia" w:cs="宋体"/>
          <w:b/>
          <w:bCs/>
          <w:lang w:val="zh-CN"/>
        </w:rPr>
        <w:t xml:space="preserve">第二章  投标人须知</w:t>
      </w:r>
      <w:r>
        <w:rPr>
          <w:b/>
          <w:bCs/>
        </w:rPr>
        <w:tab/>
      </w:r>
      <w:r>
        <w:rPr>
          <w:b/>
          <w:bCs/>
        </w:rPr>
        <w:fldChar w:fldCharType="begin"/>
      </w:r>
      <w:r>
        <w:rPr>
          <w:b/>
          <w:bCs/>
        </w:rPr>
        <w:instrText xml:space="preserve"> PAGEREF _Toc20794 \h </w:instrText>
      </w:r>
      <w:r>
        <w:rPr>
          <w:b/>
          <w:bCs/>
        </w:rPr>
        <w:fldChar w:fldCharType="separate"/>
      </w:r>
      <w:r>
        <w:rPr>
          <w:b/>
          <w:bCs/>
        </w:rPr>
        <w:t xml:space="preserve">8</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"_Toc28032" </w:instrText>
      </w:r>
      <w:r>
        <w:fldChar w:fldCharType="separate"/>
      </w:r>
      <w:r>
        <w:rPr>
          <w:rFonts w:hint="eastAsia" w:cs="宋体"/>
          <w:b/>
          <w:bCs/>
          <w:lang w:val="zh-CN"/>
        </w:rPr>
        <w:t xml:space="preserve">第三章  合同条款及格式</w:t>
      </w:r>
      <w:r>
        <w:rPr>
          <w:b/>
          <w:bCs/>
        </w:rPr>
        <w:tab/>
      </w:r>
      <w:r>
        <w:rPr>
          <w:b/>
          <w:bCs/>
        </w:rPr>
        <w:fldChar w:fldCharType="begin"/>
      </w:r>
      <w:r>
        <w:rPr>
          <w:b/>
          <w:bCs/>
        </w:rPr>
        <w:instrText xml:space="preserve"> PAGEREF _Toc28032 \h </w:instrText>
      </w:r>
      <w:r>
        <w:rPr>
          <w:b/>
          <w:bCs/>
        </w:rPr>
        <w:fldChar w:fldCharType="separate"/>
      </w:r>
      <w:r>
        <w:rPr>
          <w:b/>
          <w:bCs/>
        </w:rPr>
        <w:t xml:space="preserve">19</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"_Toc17262" </w:instrText>
      </w:r>
      <w:r>
        <w:fldChar w:fldCharType="separate"/>
      </w:r>
      <w:r>
        <w:rPr>
          <w:rFonts w:hint="eastAsia" w:cs="宋体"/>
          <w:b/>
          <w:bCs/>
          <w:lang w:val="zh-CN"/>
        </w:rPr>
        <w:t xml:space="preserve">第四章  项目需求</w:t>
      </w:r>
      <w:r>
        <w:rPr>
          <w:b/>
          <w:bCs/>
        </w:rPr>
        <w:tab/>
      </w:r>
      <w:r>
        <w:rPr>
          <w:b/>
          <w:bCs/>
        </w:rPr>
        <w:fldChar w:fldCharType="begin"/>
      </w:r>
      <w:r>
        <w:rPr>
          <w:b/>
          <w:bCs/>
        </w:rPr>
        <w:instrText xml:space="preserve"> PAGEREF _Toc17262 \h </w:instrText>
      </w:r>
      <w:r>
        <w:rPr>
          <w:b/>
          <w:bCs/>
        </w:rPr>
        <w:fldChar w:fldCharType="separate"/>
      </w:r>
      <w:r>
        <w:rPr>
          <w:b/>
          <w:bCs/>
        </w:rPr>
        <w:t xml:space="preserve">23</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"_Toc10708" </w:instrText>
      </w:r>
      <w:r>
        <w:fldChar w:fldCharType="separate"/>
      </w:r>
      <w:r>
        <w:rPr>
          <w:rFonts w:hint="eastAsia" w:cs="宋体"/>
          <w:b/>
          <w:bCs/>
          <w:lang w:val="zh-CN"/>
        </w:rPr>
        <w:t xml:space="preserve">第五章  评标方法和评标标准</w:t>
      </w:r>
      <w:r>
        <w:rPr>
          <w:b/>
          <w:bCs/>
        </w:rPr>
        <w:tab/>
      </w:r>
      <w:r>
        <w:rPr>
          <w:b/>
          <w:bCs/>
        </w:rPr>
        <w:fldChar w:fldCharType="begin"/>
      </w:r>
      <w:r>
        <w:rPr>
          <w:b/>
          <w:bCs/>
        </w:rPr>
        <w:instrText xml:space="preserve"> PAGEREF _Toc10708 \h </w:instrText>
      </w:r>
      <w:r>
        <w:rPr>
          <w:b/>
          <w:bCs/>
        </w:rPr>
        <w:fldChar w:fldCharType="separate"/>
      </w:r>
      <w:r>
        <w:rPr>
          <w:b/>
          <w:bCs/>
        </w:rPr>
        <w:t xml:space="preserve">26</w:t>
      </w:r>
      <w:r>
        <w:rPr>
          <w:b/>
          <w:bCs/>
        </w:rPr>
        <w:fldChar w:fldCharType="end"/>
      </w:r>
      <w:r>
        <w:rPr>
          <w:b/>
          <w:bCs/>
        </w:rPr>
        <w:fldChar w:fldCharType="end"/>
      </w:r>
      <w:r/>
    </w:p>
    <w:p>
      <w:pPr>
        <w:pStyle w:val="1095"/>
        <w:spacing w:line="360" w:lineRule="auto"/>
        <w:tabs>
          <w:tab w:val="clear" w:pos="8720" w:leader="none"/>
          <w:tab w:val="right" w:pos="9638" w:leader="dot"/>
        </w:tabs>
      </w:pPr>
      <w:r>
        <w:fldChar w:fldCharType="begin"/>
      </w:r>
      <w:r>
        <w:instrText xml:space="preserve"> HYPERLINK \l "_Toc17597" </w:instrText>
      </w:r>
      <w:r>
        <w:fldChar w:fldCharType="separate"/>
      </w:r>
      <w:r>
        <w:rPr>
          <w:rFonts w:hint="eastAsia" w:cs="宋体"/>
          <w:b/>
          <w:bCs/>
          <w:lang w:val="zh-CN"/>
        </w:rPr>
        <w:t xml:space="preserve">第六章  投标文件格式</w:t>
      </w:r>
      <w:r>
        <w:rPr>
          <w:b/>
          <w:bCs/>
        </w:rPr>
        <w:tab/>
      </w:r>
      <w:r>
        <w:rPr>
          <w:b/>
          <w:bCs/>
        </w:rPr>
        <w:fldChar w:fldCharType="begin"/>
      </w:r>
      <w:r>
        <w:rPr>
          <w:b/>
          <w:bCs/>
        </w:rPr>
        <w:instrText xml:space="preserve"> PAGEREF _Toc17597 \h </w:instrText>
      </w:r>
      <w:r>
        <w:rPr>
          <w:b/>
          <w:bCs/>
        </w:rPr>
        <w:fldChar w:fldCharType="separate"/>
      </w:r>
      <w:r>
        <w:rPr>
          <w:b/>
          <w:bCs/>
        </w:rPr>
        <w:t xml:space="preserve">31</w:t>
      </w:r>
      <w:r>
        <w:rPr>
          <w:b/>
          <w:bCs/>
        </w:rPr>
        <w:fldChar w:fldCharType="end"/>
      </w:r>
      <w:r>
        <w:rPr>
          <w:b/>
          <w:bCs/>
        </w:rPr>
        <w:fldChar w:fldCharType="end"/>
      </w:r>
      <w:r/>
    </w:p>
    <w:p>
      <w:pPr>
        <w:pStyle w:val="1149"/>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62"/>
        <w:spacing w:line="360" w:lineRule="auto"/>
        <w:rPr>
          <w:rFonts w:ascii="宋体" w:hAnsi="宋体" w:eastAsia="宋体" w:cs="宋体"/>
          <w:b/>
          <w:bCs/>
        </w:rPr>
      </w:pPr>
      <w:r/>
      <w:bookmarkStart w:id="9" w:name="_Toc7637"/>
      <w:r>
        <w:rPr>
          <w:rFonts w:hint="eastAsia" w:ascii="宋体" w:hAnsi="宋体" w:eastAsia="宋体" w:cs="宋体"/>
          <w:b/>
          <w:bCs/>
        </w:rPr>
        <w:t xml:space="preserve">投标人须知前附表</w:t>
      </w:r>
      <w:bookmarkEnd w:id="7"/>
      <w:r/>
      <w:bookmarkEnd w:id="8"/>
      <w:r/>
      <w:bookmarkEnd w:id="9"/>
      <w:r/>
      <w:r/>
    </w:p>
    <w:tbl>
      <w:tblPr>
        <w:tblStyle w:val="1072"/>
        <w:tblW w:w="962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360"/>
        <w:gridCol w:w="7582"/>
      </w:tblGrid>
      <w:tr>
        <w:trPr>
          <w:trHeight w:val="480"/>
        </w:trPr>
        <w:tc>
          <w:tcPr>
            <w:tcW w:w="685"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1360"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内容</w:t>
            </w:r>
            <w:r/>
          </w:p>
        </w:tc>
        <w:tc>
          <w:tcPr>
            <w:tcW w:w="7582"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说明与要求</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南京师范大学会计核算业务服务项目</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eastAsia="宋体" w:cs="宋体"/>
              </w:rPr>
              <w:t xml:space="preserve">JSZC-320000-SHCC-G2026-0001</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jc w:val="left"/>
              <w:spacing w:line="360" w:lineRule="auto"/>
              <w:rPr>
                <w:rFonts w:hint="default" w:ascii="宋体" w:hAnsi="宋体" w:eastAsia="宋体" w:cs="宋体"/>
                <w:highlight w:val="none"/>
                <w:lang w:val="en-US" w:eastAsia="zh-CN"/>
              </w:rPr>
            </w:pPr>
            <w:r>
              <w:rPr>
                <w:rFonts w:hint="eastAsia" w:ascii="宋体" w:hAnsi="宋体" w:cs="宋体"/>
                <w:highlight w:val="none"/>
              </w:rPr>
              <w:t xml:space="preserve">人民币</w:t>
            </w:r>
            <w:r>
              <w:rPr>
                <w:rFonts w:hint="eastAsia" w:ascii="宋体" w:hAnsi="宋体" w:cs="宋体"/>
                <w:highlight w:val="none"/>
                <w:lang w:val="en-US" w:eastAsia="zh-CN"/>
              </w:rPr>
              <w:t xml:space="preserve">171万元</w:t>
            </w:r>
            <w:r/>
          </w:p>
        </w:tc>
      </w:tr>
      <w:tr>
        <w:trPr>
          <w:trHeight w:val="632"/>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jc w:val="left"/>
              <w:spacing w:line="360" w:lineRule="auto"/>
              <w:rPr>
                <w:rFonts w:ascii="宋体" w:hAnsi="宋体" w:cs="宋体"/>
                <w:highlight w:val="none"/>
              </w:rPr>
            </w:pPr>
            <w:r>
              <w:rPr>
                <w:rFonts w:hint="eastAsia" w:ascii="宋体" w:hAnsi="宋体" w:cs="宋体"/>
                <w:color w:val="auto"/>
                <w:highlight w:val="none"/>
              </w:rPr>
              <w:t xml:space="preserve">本项目设定最高限价，最高限价为</w:t>
            </w:r>
            <w:r>
              <w:rPr>
                <w:rFonts w:hint="eastAsia" w:ascii="宋体" w:hAnsi="宋体" w:cs="宋体"/>
                <w:color w:val="auto"/>
                <w:highlight w:val="none"/>
                <w:lang w:val="en-US" w:eastAsia="zh-CN"/>
              </w:rPr>
              <w:t xml:space="preserve">171</w:t>
            </w: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三年，人民币57万元/年</w:t>
            </w:r>
            <w:r>
              <w:rPr>
                <w:rFonts w:hint="eastAsia" w:ascii="宋体" w:hAnsi="宋体" w:cs="宋体"/>
                <w:color w:val="auto"/>
                <w:highlight w:val="none"/>
              </w:rPr>
              <w:t xml:space="preserve">（投标人的投标报价超过最高限价的将作无效投标处理）。</w:t>
            </w:r>
            <w:r/>
          </w:p>
        </w:tc>
      </w:tr>
      <w:tr>
        <w:trPr>
          <w:trHeight w:val="1416"/>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spacing w:line="360" w:lineRule="auto"/>
              <w:rPr>
                <w:rFonts w:hint="eastAsia" w:ascii="宋体" w:hAnsi="宋体" w:cs="宋体"/>
                <w:bCs/>
                <w:color w:val="auto"/>
                <w:highlight w:val="none"/>
                <w:lang w:val="en-US" w:eastAsia="zh-CN"/>
              </w:rPr>
            </w:pPr>
            <w:r/>
            <w:bookmarkStart w:id="10" w:name="_Hlk83229761"/>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p>
          <w:p>
            <w:pPr>
              <w:spacing w:line="360" w:lineRule="auto"/>
              <w:rPr>
                <w:rFonts w:ascii="宋体" w:hAnsi="宋体" w:cs="宋体"/>
                <w:highlight w:val="none"/>
              </w:rPr>
            </w:pPr>
            <w:r>
              <w:rPr>
                <w:rFonts w:hint="eastAsia" w:ascii="宋体" w:hAnsi="宋体" w:cs="宋体"/>
                <w:bCs/>
                <w:color w:val="auto"/>
                <w:highlight w:val="none"/>
              </w:rPr>
              <w:t xml:space="preserve">合同签订后支付</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服务期满，经招标人对合同约定的制单量及差错率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进行考核，验收合格后，支付剩余</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highlight w:val="none"/>
              </w:rPr>
              <w:br/>
            </w:r>
            <w:r>
              <w:rPr>
                <w:rFonts w:hint="eastAsia" w:ascii="宋体" w:hAnsi="宋体" w:cs="宋体"/>
                <w:b w:val="0"/>
                <w:bCs w:val="0"/>
                <w:highlight w:val="none"/>
              </w:rPr>
              <w:t xml:space="preserve">注：若中标人为中小企业，本合同所约定的支付条款将按《保障中小企业款项支付条例》的规定作出相应调整</w:t>
            </w:r>
            <w:bookmarkEnd w:id="10"/>
            <w:r>
              <w:rPr>
                <w:rFonts w:hint="eastAsia" w:ascii="宋体" w:hAnsi="宋体" w:cs="宋体"/>
                <w:b w:val="0"/>
                <w:bCs w:val="0"/>
                <w:highlight w:val="none"/>
              </w:rPr>
              <w:t xml:space="preserve">。</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color w:val="auto"/>
                <w:u w:val="single"/>
              </w:rPr>
              <w:t xml:space="preserve">不适用</w:t>
            </w:r>
            <w:r>
              <w:rPr>
                <w:rFonts w:hint="eastAsia" w:ascii="宋体" w:hAnsi="宋体" w:cs="宋体"/>
                <w:color w:val="auto"/>
              </w:rPr>
              <w:t xml:space="preserve">，有关包件的所有条款均不适用本项目。</w:t>
            </w:r>
            <w:r/>
          </w:p>
        </w:tc>
      </w:tr>
      <w:tr>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highlight w:val="none"/>
                <w:u w:val="single"/>
              </w:rPr>
              <w:t xml:space="preserve">否，</w:t>
            </w:r>
            <w:r>
              <w:rPr>
                <w:rFonts w:hint="eastAsia" w:ascii="宋体" w:hAnsi="宋体" w:cs="宋体"/>
                <w:highlight w:val="none"/>
              </w:rPr>
              <w:t xml:space="preserve">本项目面向大、中、小、微型企业、事业法人等各类投标人进行招标采购。</w:t>
            </w:r>
            <w:r/>
          </w:p>
          <w:p>
            <w:pPr>
              <w:jc w:val="left"/>
              <w:spacing w:line="360" w:lineRule="auto"/>
              <w:rPr>
                <w:rFonts w:ascii="宋体" w:hAnsi="宋体" w:cs="宋体"/>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jc w:val="left"/>
              <w:spacing w:line="360" w:lineRule="auto"/>
              <w:rPr>
                <w:rFonts w:ascii="宋体" w:hAnsi="宋体" w:cs="宋体"/>
              </w:rPr>
            </w:pPr>
            <w:r>
              <w:rPr>
                <w:rFonts w:hint="eastAsia" w:ascii="宋体" w:hAnsi="宋体" w:cs="宋体"/>
              </w:rPr>
              <w:t xml:space="preserve">（一）具有独立承担民事责任的能力；</w:t>
            </w:r>
            <w:r/>
          </w:p>
          <w:p>
            <w:pPr>
              <w:jc w:val="left"/>
              <w:spacing w:line="360" w:lineRule="auto"/>
              <w:rPr>
                <w:rFonts w:ascii="宋体" w:hAnsi="宋体" w:cs="宋体"/>
              </w:rPr>
            </w:pPr>
            <w:r>
              <w:rPr>
                <w:rFonts w:hint="eastAsia" w:ascii="宋体" w:hAnsi="宋体" w:cs="宋体"/>
              </w:rPr>
              <w:t xml:space="preserve">（二）具有良好的商业信誉和健全的财务会计制度；</w:t>
            </w:r>
            <w:r/>
          </w:p>
          <w:p>
            <w:pPr>
              <w:jc w:val="left"/>
              <w:spacing w:line="360" w:lineRule="auto"/>
              <w:rPr>
                <w:rFonts w:ascii="宋体" w:hAnsi="宋体" w:cs="宋体"/>
              </w:rPr>
            </w:pPr>
            <w:r>
              <w:rPr>
                <w:rFonts w:hint="eastAsia" w:ascii="宋体" w:hAnsi="宋体" w:cs="宋体"/>
              </w:rPr>
              <w:t xml:space="preserve">（三）具有履行合同所必需的设备和专业技术能力；</w:t>
            </w:r>
            <w:r/>
          </w:p>
          <w:p>
            <w:pPr>
              <w:jc w:val="left"/>
              <w:spacing w:line="360" w:lineRule="auto"/>
              <w:rPr>
                <w:rFonts w:ascii="宋体" w:hAnsi="宋体" w:cs="宋体"/>
              </w:rPr>
            </w:pPr>
            <w:r>
              <w:rPr>
                <w:rFonts w:hint="eastAsia" w:ascii="宋体" w:hAnsi="宋体" w:cs="宋体"/>
              </w:rPr>
              <w:t xml:space="preserve">（四）有依法缴纳税收和社会保障资金的良好记录；</w:t>
            </w:r>
            <w:r/>
          </w:p>
          <w:p>
            <w:pPr>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（六）法律、行政法规规定的其他条件。</w:t>
            </w:r>
            <w:r/>
          </w:p>
          <w:p>
            <w:pPr>
              <w:jc w:val="left"/>
              <w:spacing w:line="360" w:lineRule="auto"/>
              <w:rPr>
                <w:rFonts w:hint="eastAsia" w:ascii="宋体" w:hAnsi="宋体" w:cs="宋体"/>
                <w:highlight w:val="yellow"/>
              </w:rPr>
            </w:pPr>
            <w:r>
              <w:rPr>
                <w:rFonts w:hint="eastAsia" w:ascii="宋体" w:hAnsi="宋体" w:cs="宋体"/>
              </w:rPr>
              <w:t xml:space="preserve">2.落实政府采购政策需满足的资格要求：</w:t>
            </w:r>
            <w:r>
              <w:rPr>
                <w:rFonts w:hint="eastAsia" w:ascii="宋体" w:hAnsi="宋体" w:cs="宋体"/>
                <w:highlight w:val="none"/>
              </w:rPr>
              <w:t xml:space="preserve">无。</w:t>
            </w:r>
            <w:r/>
          </w:p>
          <w:p>
            <w:pPr>
              <w:jc w:val="left"/>
              <w:spacing w:line="360" w:lineRule="auto"/>
              <w:rPr>
                <w:rFonts w:cs="宋体"/>
                <w:color w:val="ff0000"/>
                <w:highlight w:val="none"/>
              </w:rPr>
            </w:pPr>
            <w:r>
              <w:rPr>
                <w:rFonts w:hint="eastAsia" w:ascii="宋体" w:hAnsi="宋体" w:cs="宋体"/>
                <w:highlight w:val="none"/>
              </w:rPr>
              <w:t xml:space="preserve">3.本项目的特定资格要求：</w:t>
            </w:r>
            <w:r/>
          </w:p>
          <w:p>
            <w:pPr>
              <w:pStyle w:val="1110"/>
              <w:ind w:firstLine="0"/>
              <w:rPr>
                <w:rFonts w:cs="宋体"/>
              </w:rPr>
            </w:pPr>
            <w:r>
              <w:rPr>
                <w:rFonts w:hint="eastAsia" w:cs="宋体"/>
              </w:rPr>
              <w:t xml:space="preserve">1）拒绝下述投标人参加本次招标活动的情形：</w:t>
            </w:r>
            <w:r/>
          </w:p>
          <w:p>
            <w:pPr>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jc w:val="left"/>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trHeight w:val="64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jc w:val="left"/>
              <w:spacing w:line="360" w:lineRule="auto"/>
              <w:rPr>
                <w:rFonts w:ascii="宋体" w:hAnsi="宋体" w:cs="宋体"/>
              </w:rPr>
            </w:pPr>
            <w:r>
              <w:rPr>
                <w:rFonts w:hint="eastAsia" w:ascii="宋体" w:hAnsi="宋体" w:cs="宋体"/>
              </w:rPr>
              <w:t xml:space="preserve">□组织 </w:t>
            </w:r>
            <w:r>
              <w:rPr>
                <w:rFonts w:hint="eastAsia" w:ascii="宋体" w:hAnsi="宋体" w:cs="宋体"/>
                <w:color w:val="auto"/>
              </w:rPr>
              <w:t xml:space="preserve"> 时间：     地点：       联系人：     </w:t>
            </w:r>
            <w:r/>
          </w:p>
        </w:tc>
      </w:tr>
      <w:tr>
        <w:trPr>
          <w:trHeight w:val="82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提问方式</w:t>
            </w:r>
            <w:r/>
          </w:p>
          <w:p>
            <w:pPr>
              <w:jc w:val="center"/>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邮箱：jennychen@jocgreatwall.com</w:t>
            </w:r>
            <w:r/>
          </w:p>
          <w:p>
            <w:pPr>
              <w:jc w:val="left"/>
              <w:spacing w:line="360" w:lineRule="auto"/>
              <w:rPr>
                <w:rFonts w:ascii="宋体" w:hAnsi="宋体" w:cs="宋体"/>
              </w:rPr>
            </w:pPr>
            <w:r>
              <w:rPr>
                <w:rFonts w:hint="eastAsia" w:ascii="宋体" w:hAnsi="宋体" w:cs="宋体"/>
              </w:rPr>
              <w:t xml:space="preserve">收件人：陈思</w:t>
            </w:r>
            <w:r/>
          </w:p>
        </w:tc>
      </w:tr>
      <w:tr>
        <w:trPr>
          <w:trHeight w:val="58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招标答疑会</w:t>
            </w:r>
            <w:r/>
          </w:p>
          <w:p>
            <w:pPr>
              <w:jc w:val="center"/>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rPr>
            </w:pPr>
            <w:r>
              <w:rPr>
                <w:rFonts w:hint="eastAsia" w:ascii="宋体" w:hAnsi="宋体" w:cs="宋体"/>
              </w:rPr>
              <w:t xml:space="preserve">地点：如有，另行书面通知</w:t>
            </w:r>
            <w:r/>
          </w:p>
        </w:tc>
      </w:tr>
      <w:tr>
        <w:trPr>
          <w:trHeight w:val="100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u w:val="single"/>
              </w:rPr>
            </w:pPr>
            <w:r>
              <w:rPr>
                <w:rFonts w:hint="eastAsia" w:ascii="宋体" w:hAnsi="宋体" w:cs="宋体"/>
              </w:rPr>
              <w:t xml:space="preserve">地点：如有，另行书面通知</w:t>
            </w:r>
            <w:r/>
          </w:p>
          <w:p>
            <w:pPr>
              <w:jc w:val="left"/>
              <w:spacing w:line="360" w:lineRule="auto"/>
              <w:rPr>
                <w:rFonts w:ascii="宋体" w:hAnsi="宋体" w:cs="宋体"/>
              </w:rPr>
            </w:pPr>
            <w:r>
              <w:rPr>
                <w:rFonts w:hint="eastAsia" w:ascii="宋体" w:hAnsi="宋体" w:cs="宋体"/>
              </w:rPr>
              <w:t xml:space="preserve">（如有，将以书面形式统一发放所有投标人）</w:t>
            </w:r>
            <w:r/>
          </w:p>
        </w:tc>
      </w:tr>
      <w:tr>
        <w:trPr>
          <w:trHeight w:val="132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投标人应在法定质疑期内一次性提出针对同一招标程序环节的质疑，质疑函应以书面形式递交至招标代理公司（须由法定代表人、主要负责人或其授权代表签字或者盖章，并加盖投标人公章）。</w:t>
            </w:r>
            <w:r/>
          </w:p>
          <w:p>
            <w:pPr>
              <w:jc w:val="left"/>
              <w:spacing w:line="360" w:lineRule="auto"/>
              <w:rPr>
                <w:rFonts w:ascii="宋体" w:hAnsi="宋体" w:cs="宋体"/>
              </w:rPr>
            </w:pPr>
            <w:r>
              <w:rPr>
                <w:rFonts w:hint="eastAsia" w:ascii="宋体" w:hAnsi="宋体" w:cs="宋体"/>
              </w:rPr>
              <w:t xml:space="preserve">如有质疑，请第一时间与第一章招标公告中招标代理机构进行联系。</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个日历日</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1）投标书（附件1）；</w:t>
            </w:r>
            <w:r/>
          </w:p>
          <w:p>
            <w:pPr>
              <w:jc w:val="left"/>
              <w:spacing w:line="360" w:lineRule="auto"/>
              <w:rPr>
                <w:rFonts w:ascii="宋体" w:hAnsi="宋体" w:cs="宋体"/>
              </w:rPr>
            </w:pPr>
            <w:r>
              <w:rPr>
                <w:rFonts w:hint="eastAsia" w:ascii="宋体" w:hAnsi="宋体" w:cs="宋体"/>
              </w:rPr>
              <w:t xml:space="preserve">2）法定代表人等资格证明书（附件2）；</w:t>
            </w:r>
            <w:r/>
          </w:p>
          <w:p>
            <w:pPr>
              <w:jc w:val="left"/>
              <w:spacing w:line="360" w:lineRule="auto"/>
              <w:rPr>
                <w:rFonts w:ascii="宋体" w:hAnsi="宋体" w:cs="宋体"/>
              </w:rPr>
            </w:pPr>
            <w:r>
              <w:rPr>
                <w:rFonts w:hint="eastAsia" w:ascii="宋体" w:hAnsi="宋体" w:cs="宋体"/>
              </w:rPr>
              <w:t xml:space="preserve">3）授权委托书（附件3）；</w:t>
            </w:r>
            <w:r/>
          </w:p>
          <w:p>
            <w:pPr>
              <w:jc w:val="left"/>
              <w:spacing w:line="360" w:lineRule="auto"/>
              <w:rPr>
                <w:rFonts w:ascii="宋体" w:hAnsi="宋体" w:cs="宋体"/>
              </w:rPr>
            </w:pPr>
            <w:r>
              <w:rPr>
                <w:rFonts w:hint="eastAsia" w:ascii="宋体" w:hAnsi="宋体" w:cs="宋体"/>
              </w:rPr>
              <w:t xml:space="preserve">4）开标一览表（附件4）；</w:t>
            </w:r>
            <w:r/>
          </w:p>
          <w:p>
            <w:pPr>
              <w:jc w:val="left"/>
              <w:spacing w:line="360" w:lineRule="auto"/>
              <w:rPr>
                <w:rFonts w:ascii="宋体" w:hAnsi="宋体" w:cs="宋体"/>
              </w:rPr>
            </w:pPr>
            <w:r>
              <w:rPr>
                <w:rFonts w:hint="eastAsia" w:ascii="宋体" w:hAnsi="宋体" w:cs="宋体"/>
              </w:rPr>
              <w:t xml:space="preserve">5）投标报价明细表（附件5）；</w:t>
            </w:r>
            <w:r/>
          </w:p>
          <w:p>
            <w:pPr>
              <w:jc w:val="left"/>
              <w:spacing w:line="360" w:lineRule="auto"/>
              <w:rPr>
                <w:rFonts w:ascii="宋体" w:hAnsi="宋体" w:cs="宋体"/>
              </w:rPr>
            </w:pPr>
            <w:r>
              <w:rPr>
                <w:rFonts w:hint="eastAsia" w:ascii="宋体" w:hAnsi="宋体" w:cs="宋体"/>
              </w:rPr>
              <w:t xml:space="preserve">6）偏离表（附件</w:t>
            </w:r>
            <w:r>
              <w:rPr>
                <w:rFonts w:ascii="宋体" w:hAnsi="宋体" w:cs="宋体"/>
              </w:rPr>
              <w:t xml:space="preserve">6</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7）服务内容（附件</w:t>
            </w:r>
            <w:r>
              <w:rPr>
                <w:rFonts w:ascii="宋体" w:hAnsi="宋体" w:cs="宋体"/>
              </w:rPr>
              <w:t xml:space="preserve">7</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8）资格证明文件（附件</w:t>
            </w:r>
            <w:r>
              <w:rPr>
                <w:rFonts w:ascii="宋体" w:hAnsi="宋体" w:cs="宋体"/>
              </w:rPr>
              <w:t xml:space="preserve">8</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9）企业声明函（附件</w:t>
            </w:r>
            <w:r>
              <w:rPr>
                <w:rFonts w:ascii="宋体" w:hAnsi="宋体" w:cs="宋体"/>
              </w:rPr>
              <w:t xml:space="preserve">9</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10）残疾人福利性单位声明函（如有）（附件1</w:t>
            </w:r>
            <w:r>
              <w:rPr>
                <w:rFonts w:ascii="宋体" w:hAnsi="宋体" w:cs="宋体"/>
              </w:rPr>
              <w:t xml:space="preserve">0</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11）属于监狱企业的证明文件（如有）（附件1</w:t>
            </w:r>
            <w:r>
              <w:rPr>
                <w:rFonts w:ascii="宋体" w:hAnsi="宋体" w:cs="宋体"/>
              </w:rPr>
              <w:t xml:space="preserve">1</w:t>
            </w:r>
            <w:r>
              <w:rPr>
                <w:rFonts w:hint="eastAsia" w:ascii="宋体" w:hAnsi="宋体" w:cs="宋体"/>
              </w:rPr>
              <w:t xml:space="preserve">）；</w:t>
            </w:r>
            <w:r/>
          </w:p>
          <w:p>
            <w:pPr>
              <w:jc w:val="left"/>
              <w:spacing w:line="360" w:lineRule="auto"/>
              <w:rPr>
                <w:rFonts w:hint="eastAsia" w:ascii="宋体" w:hAnsi="宋体" w:eastAsia="宋体" w:cs="宋体"/>
                <w:lang w:eastAsia="zh-CN"/>
              </w:rPr>
            </w:pPr>
            <w:r>
              <w:rPr>
                <w:rFonts w:hint="eastAsia" w:ascii="宋体" w:hAnsi="宋体" w:cs="宋体"/>
              </w:rPr>
              <w:t xml:space="preserve">12）关于符合本国产品标准的声明函或财政部会同有关部门规定的有关证明文件（如有）（附件12）</w:t>
            </w:r>
            <w:r>
              <w:rPr>
                <w:rFonts w:hint="eastAsia" w:ascii="宋体" w:hAnsi="宋体" w:cs="宋体"/>
                <w:lang w:eastAsia="zh-CN"/>
              </w:rPr>
              <w:t xml:space="preserve">；</w:t>
            </w:r>
            <w:r/>
          </w:p>
          <w:p>
            <w:pPr>
              <w:jc w:val="left"/>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）投标人认为需加以说明的其他内容。</w:t>
            </w:r>
            <w:r/>
          </w:p>
        </w:tc>
      </w:tr>
      <w:tr>
        <w:trPr>
          <w:trHeight w:val="1030"/>
        </w:trPr>
        <w:tc>
          <w:tcPr>
            <w:shd w:val="clear" w:color="auto" w:fill="auto"/>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18</w:t>
            </w:r>
            <w:r/>
          </w:p>
        </w:tc>
        <w:tc>
          <w:tcPr>
            <w:shd w:val="clear" w:color="auto" w:fill="auto"/>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jc w:val="left"/>
              <w:spacing w:line="360" w:lineRule="auto"/>
              <w:rPr>
                <w:rFonts w:ascii="宋体" w:hAnsi="宋体" w:cs="宋体"/>
                <w:b/>
                <w:bCs/>
              </w:rPr>
            </w:pPr>
            <w:r>
              <w:rPr>
                <w:rFonts w:hint="eastAsia" w:ascii="宋体" w:hAnsi="宋体" w:cs="宋体"/>
              </w:rPr>
              <w:t xml:space="preserve">无。                               </w:t>
            </w:r>
            <w:r/>
          </w:p>
        </w:tc>
      </w:tr>
      <w:tr>
        <w:trPr>
          <w:trHeight w:val="680"/>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详见第六章 投标文件格式。</w:t>
            </w:r>
            <w:r/>
          </w:p>
        </w:tc>
      </w:tr>
      <w:tr>
        <w:trPr>
          <w:trHeight w:val="2785"/>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投标文件相关要求</w:t>
            </w:r>
            <w:r/>
          </w:p>
        </w:tc>
        <w:tc>
          <w:tcPr>
            <w:tcW w:w="7582" w:type="dxa"/>
            <w:vAlign w:val="center"/>
            <w:textDirection w:val="lrTb"/>
            <w:noWrap w:val="false"/>
          </w:tcPr>
          <w:p>
            <w:pPr>
              <w:keepLines/>
              <w:spacing w:line="360" w:lineRule="auto"/>
              <w:rPr>
                <w:rFonts w:ascii="宋体" w:hAnsi="宋体" w:cs="宋体"/>
                <w:b/>
                <w:bCs/>
              </w:rPr>
            </w:pPr>
            <w:r>
              <w:rPr>
                <w:rFonts w:hint="eastAsia" w:ascii="宋体" w:hAnsi="宋体" w:cs="宋体"/>
                <w:b/>
                <w:bCs/>
              </w:rPr>
              <w:t xml:space="preserve">★（一）电子投标文件</w:t>
            </w:r>
            <w:r>
              <w:rPr>
                <w:rFonts w:hint="eastAsia" w:asciiTheme="minorEastAsia" w:hAnsiTheme="minorEastAsia" w:eastAsiaTheme="minorEastAsia" w:cstheme="minorEastAsia"/>
                <w:b/>
                <w:bCs/>
              </w:rPr>
              <w:t xml:space="preserve">递交要求</w:t>
            </w:r>
            <w:r>
              <w:rPr>
                <w:rFonts w:hint="eastAsia" w:ascii="宋体" w:hAnsi="宋体" w:cs="宋体"/>
                <w:b/>
                <w:bCs/>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（二）纸质文件文件递交要求：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宋体" w:hAnsi="宋体"/>
                <w:szCs w:val="24"/>
                <w:u w:val="single"/>
              </w:rPr>
              <w:t xml:space="preserve">南京市栖霞区紫东创意园B6栋栖智元力OPC社区一楼矩阵空间大会议室</w:t>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“苏采云”系统中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jc w:val="left"/>
              <w:spacing w:line="360" w:lineRule="auto"/>
              <w:rPr>
                <w:rFonts w:ascii="宋体" w:hAnsi="宋体" w:cs="宋体"/>
              </w:rPr>
            </w:pPr>
            <w:r>
              <w:rPr>
                <w:rFonts w:hint="eastAsia" w:ascii="宋体" w:hAnsi="宋体" w:cs="宋体"/>
              </w:rPr>
              <w:t xml:space="preserve">5.投标文件建议编制目录和页码。</w:t>
            </w:r>
            <w:r/>
          </w:p>
        </w:tc>
      </w:tr>
      <w:tr>
        <w:trPr>
          <w:trHeight w:val="730"/>
        </w:trPr>
        <w:tc>
          <w:tcPr>
            <w:tcW w:w="685" w:type="dxa"/>
            <w:vAlign w:val="center"/>
            <w:textDirection w:val="lrTb"/>
            <w:noWrap w:val="false"/>
          </w:tcPr>
          <w:p>
            <w:pPr>
              <w:jc w:val="center"/>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21</w:t>
            </w:r>
            <w:r/>
          </w:p>
        </w:tc>
        <w:tc>
          <w:tcPr>
            <w:tcW w:w="136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项目用途</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，用于办学或科研。</w:t>
            </w:r>
            <w:r/>
          </w:p>
          <w:p>
            <w:pPr>
              <w:jc w:val="left"/>
              <w:spacing w:line="360" w:lineRule="auto"/>
              <w:rPr>
                <w:rFonts w:hint="eastAsia" w:ascii="宋体" w:hAnsi="宋体" w:cs="宋体"/>
              </w:rPr>
            </w:pPr>
            <w:r>
              <w:rPr>
                <w:rFonts w:hint="eastAsia" w:ascii="宋体" w:hAnsi="宋体" w:cs="宋体"/>
                <w:u w:val="single"/>
              </w:rPr>
              <w:t xml:space="preserve">否</w:t>
            </w:r>
            <w:r>
              <w:rPr>
                <w:rFonts w:hint="eastAsia" w:ascii="宋体" w:hAnsi="宋体" w:cs="宋体"/>
              </w:rPr>
              <w:t xml:space="preserve">，信息化校园相关项目。</w:t>
            </w:r>
            <w:r/>
          </w:p>
        </w:tc>
      </w:tr>
      <w:tr>
        <w:trPr>
          <w:trHeight w:val="90"/>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jc w:val="left"/>
              <w:spacing w:line="360" w:lineRule="auto"/>
              <w:rPr>
                <w:rFonts w:hint="eastAsia" w:ascii="宋体" w:hAnsi="宋体" w:eastAsia="宋体" w:cs="宋体"/>
                <w:lang w:eastAsia="zh-CN"/>
              </w:rPr>
            </w:pPr>
            <w:r>
              <w:rPr>
                <w:rFonts w:hint="eastAsia" w:ascii="宋体" w:hAnsi="宋体" w:cs="宋体"/>
                <w:highlight w:val="none"/>
              </w:rPr>
              <w:t xml:space="preserve">租赁和商务服务业</w:t>
            </w:r>
            <w:r>
              <w:rPr>
                <w:rFonts w:hint="eastAsia" w:ascii="宋体" w:hAnsi="宋体" w:cs="宋体"/>
                <w:highlight w:val="none"/>
                <w:lang w:eastAsia="zh-CN"/>
              </w:rPr>
              <w:t xml:space="preserve">。</w:t>
            </w:r>
            <w:r/>
          </w:p>
        </w:tc>
      </w:tr>
      <w:tr>
        <w:trPr>
          <w:trHeight w:val="1302"/>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本项目若符合政府扶持福利企业、促进残疾人就业、支持中小微企业、支持监狱和戒毒企业、支持本国产品等政策，将落实相关政策。</w:t>
            </w:r>
            <w:r/>
          </w:p>
        </w:tc>
      </w:tr>
      <w:tr>
        <w:trPr>
          <w:trHeight w:val="296"/>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numPr>
                <w:ilvl w:val="0"/>
                <w:numId w:val="1"/>
              </w:numPr>
              <w:jc w:val="left"/>
              <w:spacing w:line="360" w:lineRule="auto"/>
              <w:rPr>
                <w:rFonts w:ascii="宋体" w:hAnsi="宋体" w:cs="宋体"/>
                <w:color w:val="ff0000"/>
              </w:rPr>
            </w:pPr>
            <w:r>
              <w:rPr>
                <w:rFonts w:hint="eastAsia" w:ascii="宋体" w:hAnsi="宋体" w:cs="宋体"/>
              </w:rPr>
              <w:t xml:space="preserve">所有投标响应均以人民币报价。投标人的投标报价应遵守“中华人民共和国价格法”。该报价为服务招标人该项目所产生的全部费用，含相关税费、人工费、材料费、运输费、保险费及相关服务费等一切可能发生的费用，投标人应对约定期限内的安装调试费、后续专用耗材、升级服务费用、废弃处置等全生命周期成本进行报价。</w:t>
            </w:r>
            <w:r/>
          </w:p>
          <w:p>
            <w:pPr>
              <w:jc w:val="left"/>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bookmarkEnd w:id="0"/>
      <w:r/>
      <w:r/>
    </w:p>
    <w:p>
      <w:pPr>
        <w:pStyle w:val="1062"/>
        <w:spacing w:line="360" w:lineRule="auto"/>
        <w:rPr>
          <w:rFonts w:ascii="宋体" w:hAnsi="宋体" w:eastAsia="宋体" w:cs="宋体"/>
          <w:b/>
          <w:bCs/>
          <w:lang w:val="zh-CN"/>
        </w:rPr>
      </w:pPr>
      <w:r/>
      <w:bookmarkStart w:id="11" w:name="_Toc9029"/>
      <w:r/>
      <w:bookmarkStart w:id="12" w:name="_Toc15273"/>
      <w:r>
        <w:rPr>
          <w:rFonts w:hint="eastAsia" w:ascii="宋体" w:hAnsi="宋体" w:eastAsia="宋体" w:cs="宋体"/>
          <w:b/>
          <w:bCs/>
          <w:lang w:val="zh-CN"/>
        </w:rPr>
        <w:t xml:space="preserve">第一章  招标公告</w:t>
      </w:r>
      <w:bookmarkEnd w:id="11"/>
      <w:r/>
      <w:bookmarkEnd w:id="12"/>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南京师范大学会计核算业务服务项目</w:t>
      </w:r>
      <w:r>
        <w:rPr>
          <w:rFonts w:hint="eastAsia" w:ascii="宋体" w:hAnsi="宋体" w:cs="宋体"/>
        </w:rPr>
        <w:t xml:space="preserve">的潜在投标人应在</w:t>
      </w:r>
      <w:r>
        <w:rPr>
          <w:rFonts w:hint="eastAsia" w:ascii="宋体" w:hAnsi="宋体" w:cs="宋体"/>
          <w:u w:val="single"/>
        </w:rPr>
        <w:t xml:space="preserve">江苏省政府采购网 “苏采云”系统</w:t>
      </w:r>
      <w:r>
        <w:rPr>
          <w:rFonts w:hint="eastAsia" w:ascii="宋体" w:hAnsi="宋体" w:cs="宋体"/>
        </w:rPr>
        <w:t xml:space="preserve">获取招标文件，并于</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w:t>
      </w:r>
      <w:r>
        <w:rPr>
          <w:rFonts w:hint="eastAsia" w:ascii="宋体" w:hAnsi="宋体" w:cs="宋体"/>
          <w:highlight w:val="none"/>
          <w:u w:val="single"/>
          <w:lang w:val="en-US" w:eastAsia="zh-CN"/>
        </w:rPr>
        <w:t xml:space="preserve">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日</w:t>
      </w:r>
      <w:r>
        <w:rPr>
          <w:rFonts w:ascii="宋体" w:hAnsi="宋体" w:cs="宋体"/>
          <w:highlight w:val="none"/>
          <w:u w:val="single"/>
        </w:rPr>
        <w:t xml:space="preserve">14</w:t>
      </w:r>
      <w:r>
        <w:rPr>
          <w:rFonts w:hint="eastAsia" w:ascii="宋体" w:hAnsi="宋体" w:cs="宋体"/>
          <w:bCs/>
          <w:highlight w:val="none"/>
          <w:u w:val="single"/>
        </w:rPr>
        <w:t xml:space="preserve">点</w:t>
      </w:r>
      <w:r>
        <w:rPr>
          <w:rFonts w:hint="eastAsia" w:ascii="宋体" w:hAnsi="宋体" w:cs="宋体"/>
          <w:highlight w:val="none"/>
          <w:u w:val="single"/>
          <w:lang w:val="en-US" w:eastAsia="zh-CN"/>
        </w:rPr>
        <w:t xml:space="preserve">0</w:t>
      </w:r>
      <w:r>
        <w:rPr>
          <w:rFonts w:hint="eastAsia" w:ascii="宋体" w:hAnsi="宋体" w:cs="宋体"/>
          <w:highlight w:val="none"/>
          <w:u w:val="single"/>
        </w:rPr>
        <w:t xml:space="preserve">0</w:t>
      </w:r>
      <w:r>
        <w:rPr>
          <w:rFonts w:hint="eastAsia" w:ascii="宋体" w:hAnsi="宋体" w:cs="宋体"/>
          <w:bCs/>
          <w:highlight w:val="none"/>
          <w:u w:val="single"/>
        </w:rPr>
        <w:t xml:space="preserve">分（北京时间）</w:t>
      </w:r>
      <w:r>
        <w:rPr>
          <w:rFonts w:hint="eastAsia" w:ascii="宋体" w:hAnsi="宋体" w:cs="宋体"/>
          <w:bCs/>
          <w:highlight w:val="none"/>
        </w:rPr>
        <w:t xml:space="preserve">前递交</w:t>
      </w:r>
      <w:r>
        <w:rPr>
          <w:rFonts w:hint="eastAsia" w:ascii="宋体" w:hAnsi="宋体" w:cs="宋体"/>
          <w:bCs/>
        </w:rPr>
        <w:t xml:space="preserve">投标文件</w:t>
      </w:r>
      <w:r>
        <w:rPr>
          <w:rFonts w:hint="eastAsia" w:ascii="宋体" w:hAnsi="宋体" w:cs="宋体"/>
        </w:rPr>
        <w:t xml:space="preserve">。</w:t>
      </w:r>
      <w:r/>
    </w:p>
    <w:p>
      <w:pPr>
        <w:spacing w:line="360" w:lineRule="auto"/>
        <w:rPr>
          <w:rFonts w:ascii="宋体" w:hAnsi="宋体" w:cs="宋体"/>
          <w:b/>
        </w:rPr>
        <w:outlineLvl w:val="1"/>
      </w:pPr>
      <w:r>
        <w:rPr>
          <w:rFonts w:hint="eastAsia" w:ascii="宋体" w:hAnsi="宋体" w:cs="宋体"/>
          <w:b/>
        </w:rPr>
        <w:t xml:space="preserve">一、项目基本情况</w:t>
      </w:r>
      <w:r/>
    </w:p>
    <w:p>
      <w:pPr>
        <w:ind w:firstLine="420"/>
        <w:spacing w:line="360" w:lineRule="auto"/>
        <w:rPr>
          <w:rFonts w:ascii="宋体" w:hAnsi="宋体" w:cs="宋体"/>
          <w:highlight w:val="none"/>
        </w:rPr>
      </w:pPr>
      <w:r>
        <w:rPr>
          <w:rFonts w:hint="eastAsia" w:ascii="宋体" w:hAnsi="宋体" w:cs="宋体"/>
        </w:rPr>
        <w:t xml:space="preserve">项目编号：</w:t>
      </w:r>
      <w:r>
        <w:rPr>
          <w:rFonts w:hint="eastAsia" w:ascii="宋体" w:hAnsi="宋体" w:eastAsia="宋体" w:cs="宋体"/>
        </w:rPr>
        <w:t xml:space="preserve">JS</w:t>
      </w:r>
      <w:r>
        <w:rPr>
          <w:rFonts w:hint="eastAsia" w:ascii="宋体" w:hAnsi="宋体" w:eastAsia="宋体" w:cs="宋体"/>
          <w:highlight w:val="none"/>
        </w:rPr>
        <w:t xml:space="preserve">ZC-320000-SHCC-G2026-0001</w:t>
      </w:r>
      <w:r/>
    </w:p>
    <w:p>
      <w:pPr>
        <w:ind w:firstLine="420"/>
        <w:spacing w:line="360" w:lineRule="auto"/>
        <w:rPr>
          <w:rFonts w:ascii="宋体" w:hAnsi="宋体" w:cs="宋体"/>
          <w:highlight w:val="none"/>
        </w:rPr>
      </w:pPr>
      <w:r>
        <w:rPr>
          <w:rFonts w:hint="eastAsia" w:ascii="宋体" w:hAnsi="宋体" w:cs="宋体"/>
          <w:highlight w:val="none"/>
        </w:rPr>
        <w:t xml:space="preserve">项目名称：南京师范大学会计核算业务服务项目</w:t>
      </w:r>
      <w:r/>
    </w:p>
    <w:p>
      <w:pPr>
        <w:ind w:firstLine="420"/>
        <w:spacing w:line="360" w:lineRule="auto"/>
        <w:rPr>
          <w:rFonts w:ascii="宋体" w:hAnsi="宋体" w:cs="宋体"/>
          <w:highlight w:val="none"/>
        </w:rPr>
      </w:pPr>
      <w:r>
        <w:rPr>
          <w:rFonts w:hint="eastAsia" w:ascii="宋体" w:hAnsi="宋体" w:cs="宋体"/>
          <w:highlight w:val="none"/>
        </w:rPr>
        <w:t xml:space="preserve">预算金额：人民币171万元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最高限价：</w:t>
      </w:r>
      <w:bookmarkStart w:id="13" w:name="_Hlk205457026"/>
      <w:r>
        <w:rPr>
          <w:rFonts w:hint="eastAsia" w:ascii="宋体" w:hAnsi="宋体" w:cs="宋体"/>
          <w:color w:val="auto"/>
          <w:highlight w:val="none"/>
        </w:rPr>
        <w:t xml:space="preserve">本项目设定最高限价，最高限价为</w:t>
      </w:r>
      <w:r>
        <w:rPr>
          <w:rFonts w:hint="eastAsia" w:ascii="宋体" w:hAnsi="宋体" w:cs="宋体"/>
          <w:color w:val="auto"/>
          <w:highlight w:val="none"/>
          <w:lang w:val="en-US" w:eastAsia="zh-CN"/>
        </w:rPr>
        <w:t xml:space="preserve">171</w:t>
      </w: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三年，人民币57万元/年</w:t>
      </w:r>
      <w:r>
        <w:rPr>
          <w:rFonts w:hint="eastAsia" w:ascii="宋体" w:hAnsi="宋体" w:cs="宋体"/>
          <w:color w:val="auto"/>
          <w:highlight w:val="none"/>
        </w:rPr>
        <w:t xml:space="preserve">（投标人的投标报价超过最高限价的将作无效投标处理）。</w:t>
      </w:r>
      <w:bookmarkEnd w:id="13"/>
      <w:r/>
      <w:r/>
    </w:p>
    <w:p>
      <w:pPr>
        <w:ind w:firstLine="420"/>
        <w:spacing w:line="360" w:lineRule="auto"/>
        <w:rPr>
          <w:rFonts w:ascii="宋体" w:hAnsi="宋体" w:cs="宋体"/>
          <w:highlight w:val="none"/>
        </w:rPr>
      </w:pPr>
      <w:r>
        <w:rPr>
          <w:rFonts w:hint="eastAsia" w:ascii="宋体" w:hAnsi="宋体" w:cs="宋体"/>
          <w:highlight w:val="none"/>
        </w:rPr>
        <w:t xml:space="preserve">项目需求：本项目拟招标一家投标人为招标人提供会计核算业务服务，会计核算业务服务的内容主要是依据《会计法》、《政府会计制度》、《会计基础工作规范》等国家相关财经法律法规及南京师范大学各项财务制度，完成学校各类经费收支原始单据审核及凭证制单等工作（详见招标文件第四章项目需求）。</w:t>
      </w:r>
      <w:r/>
    </w:p>
    <w:p>
      <w:pPr>
        <w:ind w:firstLine="420"/>
        <w:spacing w:line="360" w:lineRule="auto"/>
        <w:rPr>
          <w:rFonts w:ascii="宋体" w:hAnsi="宋体" w:cs="宋体"/>
          <w:highlight w:val="none"/>
          <w:u w:val="single"/>
        </w:rPr>
      </w:pPr>
      <w:r>
        <w:rPr>
          <w:rFonts w:hint="eastAsia" w:ascii="宋体" w:hAnsi="宋体" w:cs="宋体"/>
          <w:highlight w:val="none"/>
        </w:rPr>
        <w:t xml:space="preserve">服务期限：</w:t>
      </w:r>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rPr>
          <w:rFonts w:hint="eastAsia" w:hAnsi="宋体"/>
          <w:bCs/>
          <w:highlight w:val="none"/>
        </w:rPr>
        <w:t xml:space="preserve">。</w:t>
      </w:r>
      <w:r/>
    </w:p>
    <w:p>
      <w:pPr>
        <w:ind w:firstLine="420"/>
        <w:spacing w:line="360" w:lineRule="auto"/>
        <w:rPr>
          <w:rFonts w:ascii="宋体" w:hAnsi="宋体" w:cs="宋体"/>
          <w:highlight w:val="yellow"/>
        </w:rPr>
      </w:pPr>
      <w:r>
        <w:rPr>
          <w:rFonts w:hint="eastAsia" w:ascii="宋体" w:hAnsi="宋体" w:cs="宋体"/>
        </w:rPr>
        <w:t xml:space="preserve">是否专门面向中小企业采购：</w:t>
      </w:r>
      <w:bookmarkStart w:id="14" w:name="_Hlk205457054"/>
      <w:r>
        <w:rPr>
          <w:rFonts w:hint="eastAsia" w:ascii="宋体" w:hAnsi="宋体" w:cs="宋体"/>
        </w:rPr>
        <w:t xml:space="preserve">否，本项目面向大、中、小、微型企业、事业法人等各类投标人进行招标采购。</w:t>
      </w:r>
      <w:bookmarkEnd w:id="14"/>
      <w:r/>
      <w:r/>
    </w:p>
    <w:p>
      <w:pPr>
        <w:ind w:firstLine="420"/>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r/>
    </w:p>
    <w:p>
      <w:pPr>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spacing w:line="360" w:lineRule="auto"/>
        <w:rPr>
          <w:rFonts w:ascii="宋体" w:hAnsi="宋体" w:cs="宋体"/>
        </w:rPr>
      </w:pPr>
      <w:r/>
      <w:bookmarkStart w:id="15" w:name="_Hlk205457084"/>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5"/>
      <w:r/>
      <w:r/>
    </w:p>
    <w:p>
      <w:pPr>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highlight w:val="none"/>
        </w:rPr>
        <w:t xml:space="preserve">202</w:t>
      </w:r>
      <w:r>
        <w:rPr>
          <w:rFonts w:ascii="宋体" w:hAnsi="宋体" w:cs="宋体"/>
          <w:highlight w:val="none"/>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07</w:t>
      </w:r>
      <w:r>
        <w:rPr>
          <w:rFonts w:hint="eastAsia" w:ascii="宋体" w:hAnsi="宋体" w:cs="宋体"/>
          <w:highlight w:val="none"/>
        </w:rPr>
        <w:t xml:space="preserve">月</w:t>
      </w:r>
      <w:r>
        <w:rPr>
          <w:rFonts w:hint="eastAsia" w:ascii="宋体" w:hAnsi="宋体" w:cs="宋体"/>
          <w:highlight w:val="none"/>
          <w:lang w:val="en-US" w:eastAsia="zh-CN"/>
        </w:rPr>
        <w:t xml:space="preserve">20</w:t>
      </w:r>
      <w:r>
        <w:rPr>
          <w:rFonts w:hint="eastAsia" w:ascii="宋体" w:hAnsi="宋体" w:cs="宋体"/>
          <w:highlight w:val="none"/>
        </w:rPr>
        <w:t xml:space="preserve">日至202</w:t>
      </w:r>
      <w:r>
        <w:rPr>
          <w:rFonts w:ascii="宋体" w:hAnsi="宋体" w:cs="宋体"/>
          <w:highlight w:val="none"/>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07</w:t>
      </w:r>
      <w:r>
        <w:rPr>
          <w:rFonts w:hint="eastAsia" w:ascii="宋体" w:hAnsi="宋体" w:cs="宋体"/>
          <w:highlight w:val="none"/>
        </w:rPr>
        <w:t xml:space="preserve">月</w:t>
      </w:r>
      <w:r>
        <w:rPr>
          <w:rFonts w:hint="eastAsia" w:ascii="宋体" w:hAnsi="宋体" w:cs="宋体"/>
          <w:highlight w:val="none"/>
          <w:lang w:val="en-US" w:eastAsia="zh-CN"/>
        </w:rPr>
        <w:t xml:space="preserve">27</w:t>
      </w:r>
      <w:r>
        <w:rPr>
          <w:rFonts w:hint="eastAsia" w:ascii="宋体" w:hAnsi="宋体" w:cs="宋体"/>
          <w:highlight w:val="none"/>
        </w:rPr>
        <w:t xml:space="preserve">日</w:t>
      </w:r>
      <w:r>
        <w:rPr>
          <w:rFonts w:hint="eastAsia" w:ascii="宋体" w:hAnsi="宋体" w:cs="宋体"/>
          <w:highlight w:val="none"/>
        </w:rPr>
        <w:t xml:space="preserve">，每天上午9:00至11:30</w:t>
      </w:r>
      <w:r>
        <w:rPr>
          <w:rFonts w:hint="eastAsia" w:ascii="宋体" w:hAnsi="宋体" w:cs="宋体"/>
        </w:rPr>
        <w:t xml:space="preserve">，下午13:30至17:00（北京时间，双休、节假日除外）,获取招标文件时间截止后仍可下载招标文件，但不作为投标人权益受到损害的证明材料和依据。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在“苏采云”系统自行免费下载招标文件</w:t>
      </w:r>
      <w:r/>
    </w:p>
    <w:p>
      <w:pPr>
        <w:ind w:firstLine="420"/>
        <w:spacing w:line="360" w:lineRule="auto"/>
        <w:rPr>
          <w:rFonts w:ascii="宋体" w:hAnsi="宋体" w:cs="宋体"/>
        </w:rPr>
      </w:pPr>
      <w:r>
        <w:rPr>
          <w:rFonts w:hint="eastAsia" w:ascii="宋体" w:hAnsi="宋体" w:cs="宋体"/>
        </w:rPr>
        <w:t xml:space="preserve">方式：本项目采用网上注册登记方式</w:t>
      </w:r>
      <w:r/>
    </w:p>
    <w:p>
      <w:pPr>
        <w:jc w:val="left"/>
        <w:spacing w:line="360" w:lineRule="auto"/>
        <w:rPr>
          <w:rFonts w:ascii="宋体" w:hAnsi="宋体" w:cs="宋体"/>
          <w:b/>
        </w:rPr>
        <w:outlineLvl w:val="1"/>
      </w:pPr>
      <w:r/>
      <w:bookmarkStart w:id="16" w:name="_Toc28359082"/>
      <w:r/>
      <w:bookmarkStart w:id="17" w:name="_Toc28359005"/>
      <w:r/>
      <w:bookmarkStart w:id="18" w:name="_Toc35393793"/>
      <w:r/>
      <w:bookmarkStart w:id="19" w:name="_Toc35393624"/>
      <w:r/>
      <w:bookmarkStart w:id="20" w:name="_Toc120614211"/>
      <w:r>
        <w:rPr>
          <w:rFonts w:hint="eastAsia" w:ascii="宋体" w:hAnsi="宋体" w:cs="宋体"/>
          <w:b/>
        </w:rPr>
        <w:t xml:space="preserve">四、提交投标文件</w:t>
      </w:r>
      <w:bookmarkEnd w:id="16"/>
      <w:r/>
      <w:bookmarkEnd w:id="17"/>
      <w:r>
        <w:rPr>
          <w:rFonts w:hint="eastAsia" w:ascii="宋体" w:hAnsi="宋体" w:cs="宋体"/>
          <w:b/>
        </w:rPr>
        <w:t xml:space="preserve">截止时间、开标时间和地点</w:t>
      </w:r>
      <w:bookmarkEnd w:id="18"/>
      <w:r/>
      <w:bookmarkEnd w:id="19"/>
      <w:r/>
      <w:r/>
    </w:p>
    <w:p>
      <w:pPr>
        <w:ind w:firstLine="420"/>
        <w:jc w:val="left"/>
        <w:spacing w:line="360" w:lineRule="auto"/>
        <w:rPr>
          <w:rFonts w:ascii="宋体" w:hAnsi="宋体" w:cs="宋体"/>
          <w:bCs/>
          <w:highlight w:val="none"/>
        </w:rPr>
      </w:pPr>
      <w:r>
        <w:rPr>
          <w:rFonts w:hint="eastAsia" w:ascii="宋体" w:hAnsi="宋体" w:cs="宋体"/>
        </w:rPr>
        <w:t xml:space="preserve">投标</w:t>
      </w:r>
      <w:r>
        <w:rPr>
          <w:rFonts w:hint="eastAsia" w:ascii="宋体" w:hAnsi="宋体" w:cs="宋体"/>
          <w:highlight w:val="none"/>
        </w:rPr>
        <w:t xml:space="preserve">截止时间：</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08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日1</w:t>
      </w:r>
      <w:r>
        <w:rPr>
          <w:rFonts w:hint="eastAsia" w:ascii="宋体" w:hAnsi="宋体" w:cs="宋体"/>
          <w:bCs/>
          <w:highlight w:val="none"/>
          <w:u w:val="single"/>
        </w:rPr>
        <w:t xml:space="preserve">4点</w:t>
      </w:r>
      <w:r>
        <w:rPr>
          <w:rFonts w:hint="eastAsia" w:ascii="宋体" w:hAnsi="宋体" w:cs="宋体"/>
          <w:highlight w:val="none"/>
          <w:u w:val="single"/>
        </w:rPr>
        <w:t xml:space="preserve">00</w:t>
      </w:r>
      <w:r>
        <w:rPr>
          <w:rFonts w:hint="eastAsia" w:ascii="宋体" w:hAnsi="宋体" w:cs="宋体"/>
          <w:bCs/>
          <w:highlight w:val="none"/>
          <w:u w:val="single"/>
        </w:rPr>
        <w:t xml:space="preserve">分</w:t>
      </w:r>
      <w:r>
        <w:rPr>
          <w:rFonts w:hint="eastAsia" w:ascii="宋体" w:hAnsi="宋体" w:cs="宋体"/>
          <w:bCs/>
          <w:highlight w:val="none"/>
        </w:rPr>
        <w:t xml:space="preserve">（北京时间）</w:t>
      </w:r>
      <w:r>
        <w:rPr>
          <w:highlight w:val="none"/>
        </w:rPr>
      </w:r>
      <w:r/>
    </w:p>
    <w:p>
      <w:pPr>
        <w:pStyle w:val="1073"/>
        <w:ind w:firstLine="420"/>
        <w:rPr>
          <w:rFonts w:hAnsi="宋体" w:cs="宋体"/>
          <w:sz w:val="21"/>
          <w:szCs w:val="21"/>
          <w:highlight w:val="none"/>
        </w:rPr>
      </w:pPr>
      <w:r>
        <w:rPr>
          <w:rFonts w:hint="eastAsia" w:hAnsi="宋体" w:cs="宋体"/>
          <w:sz w:val="21"/>
          <w:szCs w:val="21"/>
          <w:highlight w:val="none"/>
        </w:rPr>
        <w:t xml:space="preserve">开标时间：</w:t>
      </w:r>
      <w:r>
        <w:rPr>
          <w:rFonts w:hint="eastAsia" w:hAnsi="宋体" w:cs="宋体"/>
          <w:sz w:val="21"/>
          <w:szCs w:val="21"/>
          <w:highlight w:val="none"/>
          <w:u w:val="single"/>
        </w:rPr>
        <w:t xml:space="preserve">2026年</w:t>
      </w:r>
      <w:r>
        <w:rPr>
          <w:rFonts w:hint="eastAsia" w:hAnsi="宋体" w:cs="宋体"/>
          <w:sz w:val="21"/>
          <w:szCs w:val="21"/>
          <w:highlight w:val="none"/>
          <w:u w:val="single"/>
          <w:lang w:val="en-US" w:eastAsia="zh-CN"/>
        </w:rPr>
        <w:t xml:space="preserve">08</w:t>
      </w:r>
      <w:r>
        <w:rPr>
          <w:rFonts w:hint="eastAsia" w:hAnsi="宋体" w:cs="宋体"/>
          <w:sz w:val="21"/>
          <w:szCs w:val="21"/>
          <w:highlight w:val="none"/>
          <w:u w:val="single"/>
        </w:rPr>
        <w:t xml:space="preserve">月</w:t>
      </w:r>
      <w:r>
        <w:rPr>
          <w:rFonts w:hint="eastAsia" w:hAnsi="宋体" w:cs="宋体"/>
          <w:sz w:val="21"/>
          <w:szCs w:val="21"/>
          <w:highlight w:val="none"/>
          <w:u w:val="single"/>
          <w:lang w:val="en-US" w:eastAsia="zh-CN"/>
        </w:rPr>
        <w:t xml:space="preserve">10</w:t>
      </w:r>
      <w:r>
        <w:rPr>
          <w:rFonts w:hint="eastAsia" w:hAnsi="宋体" w:cs="宋体"/>
          <w:sz w:val="21"/>
          <w:szCs w:val="21"/>
          <w:highlight w:val="none"/>
          <w:u w:val="single"/>
        </w:rPr>
        <w:t xml:space="preserve">日14点</w:t>
      </w:r>
      <w:r>
        <w:rPr>
          <w:rFonts w:hint="eastAsia" w:hAnsi="宋体" w:cs="宋体"/>
          <w:sz w:val="21"/>
          <w:szCs w:val="21"/>
          <w:highlight w:val="none"/>
          <w:u w:val="single"/>
          <w:lang w:val="en-US" w:eastAsia="zh-CN"/>
        </w:rPr>
        <w:t xml:space="preserve">0</w:t>
      </w:r>
      <w:r>
        <w:rPr>
          <w:rFonts w:hint="eastAsia" w:hAnsi="宋体" w:cs="宋体"/>
          <w:sz w:val="21"/>
          <w:szCs w:val="21"/>
          <w:highlight w:val="none"/>
          <w:u w:val="single"/>
        </w:rPr>
        <w:t xml:space="preserve">0分</w:t>
      </w:r>
      <w:r>
        <w:rPr>
          <w:rFonts w:hint="eastAsia" w:hAnsi="宋体" w:cs="宋体"/>
          <w:sz w:val="21"/>
          <w:szCs w:val="21"/>
          <w:highlight w:val="none"/>
        </w:rPr>
        <w:t xml:space="preserve">（北京</w:t>
      </w:r>
      <w:bookmarkStart w:id="154" w:name="_GoBack"/>
      <w:r>
        <w:rPr>
          <w:highlight w:val="none"/>
        </w:rPr>
      </w:r>
      <w:bookmarkEnd w:id="154"/>
      <w:r>
        <w:rPr>
          <w:rFonts w:hint="eastAsia" w:hAnsi="宋体" w:cs="宋体"/>
          <w:sz w:val="21"/>
          <w:szCs w:val="21"/>
          <w:highlight w:val="none"/>
        </w:rPr>
        <w:t xml:space="preserve">时间）</w:t>
      </w:r>
      <w:r>
        <w:rPr>
          <w:highlight w:val="none"/>
        </w:rPr>
      </w:r>
      <w:r/>
    </w:p>
    <w:p>
      <w:pPr>
        <w:ind w:firstLine="420"/>
        <w:jc w:val="left"/>
        <w:spacing w:line="360" w:lineRule="auto"/>
        <w:rPr>
          <w:rFonts w:ascii="宋体" w:hAnsi="宋体" w:cs="宋体"/>
          <w:bCs/>
          <w:u w:val="single"/>
        </w:rPr>
      </w:pPr>
      <w:r>
        <w:rPr>
          <w:rFonts w:hint="eastAsia" w:ascii="宋体" w:hAnsi="宋体" w:cs="宋体"/>
        </w:rPr>
        <w:t xml:space="preserve">开标地点：“苏采云”系统（网址： http://jszfcg.jsczt.cn/）“开标大厅”，点击“苏采云”进入系统“开标大厅”。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1．潜在投标人访问政府采购管理交易系统（苏采云）的网络地址和方法：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（2）“CA数字证书”的获取：投标人需办理“CA数字证书”，“苏采云”系统目前仅支持“苏彩云”系统下的政务CA，省内各地区办理的“苏采云”系统下的政务CA全省通用。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（3）“CA数字证书”的办理指南以及“苏采云”操作手册详见：江苏省政府采购网―办事指南―资料下载中心下载。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采云”系统的网络地址和方法：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（6）招标人或招标代理机构将数据电文形式的采购文件加载至“苏采云”系统，供潜在供应商下载或者查阅。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w:t>
      </w:r>
      <w:r>
        <w:rPr>
          <w:rFonts w:hint="eastAsia" w:ascii="宋体" w:hAnsi="宋体" w:cs="宋体"/>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称：南京师范大学</w:t>
      </w:r>
      <w:r/>
    </w:p>
    <w:p>
      <w:pPr>
        <w:ind w:firstLine="420"/>
        <w:jc w:val="left"/>
        <w:spacing w:line="360" w:lineRule="auto"/>
        <w:rPr>
          <w:rFonts w:ascii="宋体" w:hAnsi="宋体" w:cs="宋体"/>
        </w:rPr>
      </w:pPr>
      <w:r>
        <w:rPr>
          <w:rFonts w:hint="eastAsia" w:ascii="宋体" w:hAnsi="宋体" w:cs="宋体"/>
        </w:rPr>
        <w:t xml:space="preserve">地    址：南京市仙林大学城文苑路1号</w:t>
      </w:r>
      <w:r/>
    </w:p>
    <w:p>
      <w:pPr>
        <w:ind w:firstLine="420"/>
        <w:jc w:val="left"/>
        <w:spacing w:line="360" w:lineRule="auto"/>
        <w:rPr>
          <w:rFonts w:ascii="宋体" w:hAnsi="宋体" w:cs="宋体"/>
          <w:highlight w:val="none"/>
        </w:rPr>
      </w:pPr>
      <w:r/>
      <w:bookmarkStart w:id="21" w:name="_Toc28359086"/>
      <w:r/>
      <w:bookmarkStart w:id="22" w:name="_Toc28359009"/>
      <w:r>
        <w:rPr>
          <w:rFonts w:hint="eastAsia" w:ascii="宋体" w:hAnsi="宋体"/>
        </w:rPr>
        <w:t xml:space="preserve">联 系 人：</w:t>
      </w:r>
      <w:r>
        <w:rPr>
          <w:rFonts w:hint="eastAsia" w:ascii="宋体" w:hAnsi="宋体" w:cs="宋体"/>
          <w:highlight w:val="none"/>
        </w:rPr>
        <w:t xml:space="preserve">龚老师</w:t>
      </w:r>
      <w:r/>
    </w:p>
    <w:p>
      <w:pPr>
        <w:ind w:firstLine="420"/>
        <w:jc w:val="left"/>
        <w:spacing w:line="360" w:lineRule="auto"/>
        <w:rPr>
          <w:rFonts w:ascii="宋体" w:hAnsi="宋体" w:cs="宋体"/>
          <w:highlight w:val="none"/>
        </w:rPr>
      </w:pPr>
      <w:r>
        <w:rPr>
          <w:rFonts w:hint="eastAsia" w:ascii="宋体" w:hAnsi="宋体" w:cs="宋体"/>
          <w:highlight w:val="none"/>
        </w:rPr>
        <w:t xml:space="preserve">联系方式：</w:t>
      </w:r>
      <w:r>
        <w:rPr>
          <w:rFonts w:hint="eastAsia" w:ascii="宋体" w:hAnsi="宋体" w:cs="宋体"/>
          <w:highlight w:val="none"/>
          <w:lang w:val="en-US" w:eastAsia="zh-CN"/>
        </w:rPr>
        <w:t xml:space="preserve">025-</w:t>
      </w:r>
      <w:r>
        <w:rPr>
          <w:rFonts w:hint="eastAsia" w:ascii="宋体" w:hAnsi="宋体" w:cs="宋体"/>
          <w:highlight w:val="none"/>
        </w:rPr>
        <w:t xml:space="preserve">85891587</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1"/>
      <w:r/>
      <w:bookmarkEnd w:id="22"/>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4"/>
        </w:rPr>
        <w:t xml:space="preserve">江苏苏豪长城股份有限公司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    编：210012</w:t>
      </w:r>
      <w:r/>
    </w:p>
    <w:p>
      <w:pPr>
        <w:ind w:firstLine="420"/>
        <w:spacing w:line="360" w:lineRule="auto"/>
        <w:rPr>
          <w:rFonts w:ascii="宋体" w:hAnsi="宋体" w:cs="宋体"/>
        </w:rPr>
      </w:pPr>
      <w:r>
        <w:rPr>
          <w:rFonts w:hint="eastAsia" w:ascii="宋体" w:hAnsi="宋体" w:cs="宋体"/>
        </w:rPr>
        <w:t xml:space="preserve">联 系 人：刘小小</w:t>
      </w:r>
      <w:r>
        <w:rPr>
          <w:rFonts w:hint="eastAsia" w:ascii="宋体" w:hAnsi="宋体" w:cs="宋体"/>
          <w:lang w:eastAsia="zh-CN"/>
        </w:rPr>
        <w:t xml:space="preserve">、</w:t>
      </w:r>
      <w:r>
        <w:rPr>
          <w:rFonts w:hint="eastAsia" w:ascii="宋体" w:hAnsi="宋体" w:cs="宋体"/>
        </w:rPr>
        <w:t xml:space="preserve">陈思、许晨晨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23" w:name="_Toc20794"/>
      <w:r/>
      <w:bookmarkStart w:id="24" w:name="_Toc13770"/>
      <w:r>
        <w:rPr>
          <w:rFonts w:hint="eastAsia" w:ascii="宋体" w:hAnsi="宋体" w:eastAsia="宋体" w:cs="宋体"/>
          <w:b/>
          <w:bCs/>
          <w:lang w:val="zh-CN"/>
        </w:rPr>
        <w:t xml:space="preserve">第二章  </w:t>
      </w:r>
      <w:bookmarkEnd w:id="1"/>
      <w:r/>
      <w:bookmarkEnd w:id="2"/>
      <w:r/>
      <w:bookmarkEnd w:id="3"/>
      <w:r/>
      <w:bookmarkEnd w:id="4"/>
      <w:r/>
      <w:bookmarkEnd w:id="5"/>
      <w:r/>
      <w:bookmarkEnd w:id="20"/>
      <w:r/>
      <w:bookmarkStart w:id="25" w:name="_Toc513029202"/>
      <w:r/>
      <w:bookmarkStart w:id="26" w:name="_Toc120614213"/>
      <w:r/>
      <w:bookmarkStart w:id="27" w:name="_Toc20823274"/>
      <w:r/>
      <w:bookmarkStart w:id="28" w:name="_Toc16938518"/>
      <w:r>
        <w:rPr>
          <w:rFonts w:hint="eastAsia" w:ascii="宋体" w:hAnsi="宋体" w:eastAsia="宋体" w:cs="宋体"/>
          <w:b/>
          <w:bCs/>
          <w:lang w:val="zh-CN"/>
        </w:rPr>
        <w:t xml:space="preserve">投标人须知</w:t>
      </w:r>
      <w:bookmarkEnd w:id="23"/>
      <w:r/>
      <w:bookmarkEnd w:id="24"/>
      <w:r/>
      <w:bookmarkEnd w:id="25"/>
      <w:r/>
      <w:bookmarkEnd w:id="26"/>
      <w:r/>
      <w:bookmarkEnd w:id="27"/>
      <w:r/>
      <w:bookmarkEnd w:id="28"/>
      <w:r/>
      <w:r/>
    </w:p>
    <w:p>
      <w:pPr>
        <w:ind w:firstLine="422"/>
        <w:spacing w:line="360" w:lineRule="auto"/>
        <w:rPr>
          <w:rFonts w:ascii="宋体" w:hAnsi="宋体" w:cs="宋体"/>
          <w:b/>
          <w:bCs/>
          <w:color w:val="000000"/>
        </w:rPr>
        <w:outlineLvl w:val="1"/>
      </w:pPr>
      <w:r/>
      <w:bookmarkStart w:id="29" w:name="_Toc120614214"/>
      <w:r/>
      <w:bookmarkStart w:id="30" w:name="_Toc513029203"/>
      <w:r/>
      <w:bookmarkStart w:id="31" w:name="_Toc16938519"/>
      <w:r/>
      <w:bookmarkStart w:id="32" w:name="_Toc20823275"/>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35"/>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hint="eastAsia"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color w:val="000000"/>
          <w:highlight w:val="none"/>
        </w:rPr>
      </w:pPr>
      <w:r>
        <w:rPr>
          <w:rFonts w:hint="eastAsia" w:ascii="宋体" w:hAnsi="宋体"/>
          <w:b/>
          <w:bCs/>
          <w:color w:val="000000"/>
          <w:highlight w:val="none"/>
        </w:rPr>
        <w:t xml:space="preserve">3.2 在本项目政府采购活动过程中，如果所执行的标准有更新的，按照最新标准执行。</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投标人一旦参加本项目招标活动，即被认为接受了本招标文件的规定和约束，并且视为自招标公告期限届满之日起知道或应当知道自身权益是否受到了损害。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11.3投标人如同时参与多个合同包（如有）招标，则应按合同包分别制作投标文件，否则将视为无效投标文件。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33" w:name="_Hlt26668999"/>
      <w:r/>
      <w:bookmarkEnd w:id="33"/>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34"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34"/>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35"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，在表中标明所提供的服务分项、分类别的报价。每项服务只允许有一个报价，任何有选择的报价将不予接受。</w:t>
      </w:r>
      <w:bookmarkEnd w:id="35"/>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36"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36"/>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37" w:name="_Hlk205470876"/>
      <w:r>
        <w:rPr>
          <w:rFonts w:hint="eastAsia" w:ascii="宋体" w:hAnsi="宋体" w:cs="宋体"/>
          <w:color w:val="000000"/>
        </w:rPr>
        <w:t xml:space="preserve">投标报价采用总承包方式，投标人的报价应包括所投服务产生的一切费用，包括但不限于人工费、材料费、运输费、培训费、运行维护费用、税金、保险费及其他有关的为完成本项目发生的所有费用，招标文件中另有规定的除外。</w:t>
      </w:r>
      <w:bookmarkEnd w:id="37"/>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38"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38"/>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要求逐项作出响应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39" w:name="_Hlk205470996"/>
      <w:r>
        <w:rPr>
          <w:rFonts w:hint="eastAsia" w:ascii="宋体" w:hAnsi="宋体" w:cs="宋体"/>
          <w:color w:val="000000"/>
        </w:rPr>
        <w:t xml:space="preserve">地</w:t>
      </w:r>
      <w:bookmarkEnd w:id="39"/>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0"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0"/>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35"/>
          <w:rFonts w:hint="eastAsia" w:ascii="宋体" w:hAnsi="宋体" w:cs="宋体"/>
          <w:b/>
          <w:bCs/>
        </w:rPr>
        <w:t xml:space="preserve">19、投标保证金</w:t>
      </w:r>
      <w:r>
        <w:rPr>
          <w:rStyle w:val="1135"/>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35"/>
          <w:rFonts w:ascii="宋体" w:hAnsi="宋体" w:cs="宋体"/>
          <w:b/>
          <w:bCs/>
        </w:rPr>
      </w:pPr>
      <w:r>
        <w:rPr>
          <w:rStyle w:val="1135"/>
          <w:rFonts w:hint="eastAsia" w:ascii="宋体" w:hAnsi="宋体" w:cs="宋体"/>
          <w:b/>
          <w:bCs/>
        </w:rPr>
        <w:t xml:space="preserve">20、投标文件的编制要求和签署要求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20.1投标人应由其法定代表人或法定代表人授权代表按照《操作手册》在规定的网上投标时间，凭 CA 证书登陆“苏采云”系统在线编制投标文件（电子数据），并在投标截止时间之前上传投标文件。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20.4投标人应当对招标文件提出的要求和条件作出实质性响应，并在电子投标系统逐条应答。</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35"/>
          <w:rFonts w:ascii="宋体" w:hAnsi="宋体" w:cs="宋体"/>
          <w:b/>
          <w:bCs/>
        </w:rPr>
      </w:pPr>
      <w:r>
        <w:rPr>
          <w:rStyle w:val="1135"/>
          <w:rFonts w:hint="eastAsia" w:ascii="宋体" w:hAnsi="宋体" w:cs="宋体"/>
          <w:b/>
          <w:bCs/>
        </w:rPr>
        <w:t xml:space="preserve">21、投标截止日期</w:t>
      </w:r>
      <w:r/>
    </w:p>
    <w:p>
      <w:pPr>
        <w:ind w:firstLine="420"/>
        <w:spacing w:line="360" w:lineRule="auto"/>
        <w:rPr>
          <w:rStyle w:val="1135"/>
          <w:rFonts w:ascii="宋体" w:hAnsi="宋体" w:cs="宋体"/>
          <w:bCs/>
        </w:rPr>
      </w:pPr>
      <w:r>
        <w:rPr>
          <w:rStyle w:val="1135"/>
          <w:rFonts w:hint="eastAsia" w:ascii="宋体" w:hAnsi="宋体" w:cs="宋体"/>
        </w:rPr>
        <w:t xml:space="preserve">21.1</w:t>
      </w:r>
      <w:r>
        <w:rPr>
          <w:rStyle w:val="1135"/>
          <w:rFonts w:ascii="宋体" w:hAnsi="宋体" w:cs="宋体"/>
        </w:rPr>
        <w:t xml:space="preserve"> </w:t>
      </w:r>
      <w:r>
        <w:rPr>
          <w:rStyle w:val="1135"/>
          <w:rFonts w:hint="eastAsia" w:ascii="宋体" w:hAnsi="宋体" w:cs="宋体"/>
        </w:rPr>
        <w:t xml:space="preserve">投标人上传电子投标文件的时间不得迟于招标公告中规定的投标截止时间</w:t>
      </w:r>
      <w:r>
        <w:rPr>
          <w:rStyle w:val="1135"/>
          <w:rFonts w:hint="eastAsia" w:ascii="宋体" w:hAnsi="宋体" w:cs="宋体"/>
          <w:bCs/>
        </w:rPr>
        <w:t xml:space="preserve">。</w:t>
      </w:r>
      <w:r/>
    </w:p>
    <w:p>
      <w:pPr>
        <w:ind w:firstLine="420"/>
        <w:spacing w:line="360" w:lineRule="auto"/>
        <w:rPr>
          <w:rStyle w:val="1135"/>
          <w:rFonts w:ascii="宋体" w:hAnsi="宋体" w:cs="宋体"/>
          <w:bCs/>
          <w:color w:val="000000"/>
        </w:rPr>
      </w:pPr>
      <w:r>
        <w:rPr>
          <w:rStyle w:val="1135"/>
          <w:rFonts w:hint="eastAsia" w:ascii="宋体" w:hAnsi="宋体" w:cs="宋体"/>
        </w:rPr>
        <w:t xml:space="preserve">21.2招标</w:t>
      </w:r>
      <w:r>
        <w:rPr>
          <w:rStyle w:val="1135"/>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35"/>
          <w:rFonts w:ascii="宋体" w:hAnsi="宋体" w:cs="宋体"/>
          <w:b/>
          <w:bCs/>
        </w:rPr>
      </w:pPr>
      <w:r>
        <w:rPr>
          <w:rStyle w:val="1135"/>
          <w:rFonts w:hint="eastAsia" w:ascii="宋体" w:hAnsi="宋体" w:cs="宋体"/>
          <w:b/>
          <w:bCs/>
        </w:rPr>
        <w:t xml:space="preserve">22、如发生下列情况之一，投标人的投标将被拒绝：</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22.1未按规定获取招标文件的。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22.2投标人名称与报名时不一致的。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22.3未在投标截止时间前递交的投标文件。</w:t>
      </w:r>
      <w:r/>
    </w:p>
    <w:p>
      <w:pPr>
        <w:ind w:firstLine="422"/>
        <w:spacing w:line="360" w:lineRule="auto"/>
        <w:rPr>
          <w:rStyle w:val="1135"/>
          <w:rFonts w:ascii="宋体" w:hAnsi="宋体" w:cs="宋体"/>
          <w:b/>
          <w:bCs/>
        </w:rPr>
      </w:pPr>
      <w:r>
        <w:rPr>
          <w:rStyle w:val="1135"/>
          <w:rFonts w:hint="eastAsia" w:ascii="宋体" w:hAnsi="宋体" w:cs="宋体"/>
          <w:b/>
          <w:bCs/>
        </w:rPr>
        <w:t xml:space="preserve">23、投标文件的修改和撤回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23.1投标文件的撤回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23.1.2投标人撤回电子投标文件，则认为其不再参与本项目投标活动。</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23.2投标文件的修改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23.2.2在投标截止时间之后，投标人不得对其电子投标文件作任何修改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23.3在投标截止时间之后，投标人不得对其投标文件作任何修改。</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35"/>
          <w:rFonts w:ascii="宋体" w:hAnsi="宋体" w:cs="宋体"/>
          <w:b/>
          <w:bCs/>
        </w:rPr>
      </w:pPr>
      <w:r>
        <w:rPr>
          <w:rStyle w:val="1135"/>
          <w:rFonts w:hint="eastAsia" w:ascii="宋体" w:hAnsi="宋体" w:cs="宋体"/>
          <w:b/>
          <w:bCs/>
        </w:rPr>
        <w:t xml:space="preserve">24、开标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24.1招标代理机构将在招标公告中规定的时间和地点组织公开开标。投标人按照《操作手册》规定参加开标活动，并在苏采云系统规定的时间内对投标文件进行解密。苏采云系统公布各投标人名称和投标价格。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24.3投标人如果对开标过程和开标结果有疑义，应当根据《操作手册》规定提出，苏采云系统中《开标记录表》公布后5分钟内未提出的，视同认可开标结果。</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24.4合格投标人不足3家的，不得开标。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25、资格审查</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25.1</w:t>
      </w:r>
      <w:r>
        <w:rPr>
          <w:rStyle w:val="1135"/>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25.2联合体要求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本项目不接受联合体投标，中标后不允许转包、分包。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25.3合格投标人不足3家的，不得开标。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26、评标委员会</w:t>
      </w:r>
      <w:r/>
    </w:p>
    <w:p>
      <w:pPr>
        <w:ind w:firstLine="420"/>
        <w:spacing w:line="360" w:lineRule="auto"/>
        <w:rPr>
          <w:rStyle w:val="1135"/>
          <w:rFonts w:ascii="宋体" w:hAnsi="宋体" w:cs="宋体"/>
          <w:b/>
          <w:color w:val="000000"/>
        </w:rPr>
      </w:pPr>
      <w:r>
        <w:rPr>
          <w:rStyle w:val="1135"/>
          <w:rFonts w:hint="eastAsia" w:ascii="宋体" w:hAnsi="宋体" w:cs="宋体"/>
          <w:color w:val="000000"/>
        </w:rPr>
        <w:t xml:space="preserve">26.1资格审查通过后，招标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将组织评标委员会（以下简称评委会）进行评标。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26.2评委会由招标人代表和有关技术、经济等方面的专家组成，且人员构成符合政府采购有关规定。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26.3评委会独立工作，负责</w:t>
      </w:r>
      <w:bookmarkStart w:id="41" w:name="_Hlk205471653"/>
      <w:r>
        <w:rPr>
          <w:rStyle w:val="1135"/>
          <w:rFonts w:hint="eastAsia" w:ascii="宋体" w:hAnsi="宋体" w:cs="宋体"/>
          <w:color w:val="000000"/>
        </w:rPr>
        <w:t xml:space="preserve">评审</w:t>
      </w:r>
      <w:bookmarkEnd w:id="41"/>
      <w:r>
        <w:rPr>
          <w:rStyle w:val="1135"/>
          <w:rFonts w:hint="eastAsia" w:ascii="宋体" w:hAnsi="宋体" w:cs="宋体"/>
          <w:color w:val="000000"/>
        </w:rPr>
        <w:t xml:space="preserve">所有投标文件并确定中标候选人。</w:t>
      </w:r>
      <w:r/>
    </w:p>
    <w:p>
      <w:pPr>
        <w:ind w:firstLine="422"/>
        <w:spacing w:line="360" w:lineRule="auto"/>
        <w:rPr>
          <w:rStyle w:val="1135"/>
          <w:rFonts w:ascii="宋体" w:hAnsi="宋体" w:cs="宋体"/>
          <w:b/>
          <w:bCs/>
        </w:rPr>
      </w:pPr>
      <w:r>
        <w:rPr>
          <w:rStyle w:val="1135"/>
          <w:rFonts w:hint="eastAsia" w:ascii="宋体" w:hAnsi="宋体" w:cs="宋体"/>
          <w:b/>
          <w:bCs/>
        </w:rPr>
        <w:t xml:space="preserve">27、评标过程的保密与公正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27.1</w:t>
      </w:r>
      <w:r>
        <w:rPr>
          <w:rStyle w:val="1135"/>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27.3在评标期间，招标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将设专门人员与投标人联系。</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35"/>
          <w:rFonts w:ascii="宋体" w:hAnsi="宋体" w:cs="宋体"/>
          <w:b/>
          <w:bCs/>
        </w:rPr>
      </w:pPr>
      <w:r>
        <w:rPr>
          <w:rStyle w:val="1135"/>
          <w:rFonts w:hint="eastAsia" w:ascii="宋体" w:hAnsi="宋体" w:cs="宋体"/>
          <w:b/>
          <w:bCs/>
        </w:rPr>
        <w:t xml:space="preserve">28、投标的澄清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28.2评标委员会应当通过“苏采云”系统要求投标人作出澄清、说明或者补正，并规定回复时间。投标人回复应当采用通过“苏采云”系统（使用“CA数字证书”,加盖电子签章）形式，将作为投标文件内容的一部分。具体操作方式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35"/>
          <w:rFonts w:ascii="宋体" w:hAnsi="宋体" w:cs="宋体"/>
          <w:b/>
          <w:bCs/>
        </w:rPr>
      </w:pPr>
      <w:r>
        <w:rPr>
          <w:rStyle w:val="1135"/>
          <w:rFonts w:hint="eastAsia" w:ascii="宋体" w:hAnsi="宋体" w:cs="宋体"/>
          <w:b/>
          <w:bCs/>
        </w:rPr>
        <w:t xml:space="preserve">29、对投标文件的评审</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29.1</w:t>
      </w:r>
      <w:r>
        <w:rPr>
          <w:rStyle w:val="1135"/>
          <w:rFonts w:hint="eastAsia" w:ascii="宋体" w:hAnsi="宋体" w:cs="宋体"/>
          <w:bCs/>
          <w:color w:val="000000"/>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w:t>
      </w:r>
      <w:r>
        <w:rPr>
          <w:rStyle w:val="1135"/>
          <w:rFonts w:hint="eastAsia" w:ascii="宋体" w:hAnsi="宋体" w:cs="宋体"/>
          <w:bCs/>
          <w:color w:val="000000"/>
        </w:rPr>
        <w:t xml:space="preserve">评委会</w:t>
      </w:r>
      <w:r>
        <w:rPr>
          <w:rStyle w:val="1135"/>
          <w:rFonts w:hint="eastAsia" w:ascii="宋体" w:hAnsi="宋体" w:cs="宋体"/>
          <w:color w:val="000000"/>
        </w:rPr>
        <w:t xml:space="preserve">认定</w:t>
      </w:r>
      <w:r>
        <w:rPr>
          <w:rStyle w:val="1135"/>
          <w:rFonts w:hint="eastAsia" w:ascii="宋体" w:hAnsi="宋体" w:cs="宋体"/>
          <w:bCs/>
          <w:color w:val="000000"/>
        </w:rPr>
        <w:t xml:space="preserve">投标文件的响应性只根据投标文件本身的内容，而不寻求外部的证据。</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29.3</w:t>
      </w:r>
      <w:r>
        <w:rPr>
          <w:rStyle w:val="1135"/>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29.4</w:t>
      </w:r>
      <w:r>
        <w:rPr>
          <w:rStyle w:val="1135"/>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29.4.2大写金额和小写金额不一致的，以大写金额为准。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同时出现两种以上错误的，按照前款规定的顺序修正。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29.5</w:t>
      </w:r>
      <w:r>
        <w:rPr>
          <w:rStyle w:val="1135"/>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29.6</w:t>
      </w:r>
      <w:r>
        <w:rPr>
          <w:rStyle w:val="1135"/>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35"/>
          <w:rFonts w:ascii="宋体" w:hAnsi="宋体" w:cs="宋体"/>
          <w:bCs/>
          <w:color w:val="000000"/>
        </w:rPr>
      </w:pPr>
      <w:r/>
      <w:bookmarkStart w:id="42" w:name="_Hlk205471925"/>
      <w:r>
        <w:rPr>
          <w:rStyle w:val="1135"/>
          <w:rFonts w:hint="eastAsia" w:ascii="宋体" w:hAnsi="宋体" w:cs="宋体"/>
          <w:bCs/>
          <w:color w:val="000000"/>
        </w:rPr>
        <w:t xml:space="preserve">2</w:t>
      </w:r>
      <w:r>
        <w:rPr>
          <w:rStyle w:val="1135"/>
          <w:rFonts w:ascii="宋体" w:hAnsi="宋体" w:cs="宋体"/>
          <w:bCs/>
          <w:color w:val="000000"/>
        </w:rPr>
        <w:t xml:space="preserve">9.7 </w:t>
      </w:r>
      <w:r>
        <w:rPr>
          <w:rStyle w:val="1135"/>
          <w:rFonts w:hint="eastAsia" w:ascii="宋体" w:hAnsi="宋体" w:cs="宋体"/>
          <w:bCs/>
          <w:color w:val="000000"/>
        </w:rPr>
        <w:t xml:space="preserve">评标委员会启动异常低价投标审查的情形和要求：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评标过程中出现下列情形之一的，评标委员会应当启动异常低价投标审查程序：</w:t>
      </w:r>
      <w:bookmarkEnd w:id="42"/>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9.7.1.1</w:t>
      </w:r>
      <w:r>
        <w:rPr>
          <w:rStyle w:val="1135"/>
          <w:rFonts w:hint="eastAsia" w:ascii="宋体" w:hAns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9.7.1.2</w:t>
      </w:r>
      <w:r>
        <w:rPr>
          <w:rStyle w:val="1135"/>
          <w:rFonts w:hint="eastAsia" w:ascii="宋体" w:hAns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9.7.1.3</w:t>
      </w:r>
      <w:r>
        <w:rPr>
          <w:rStyle w:val="1135"/>
          <w:rFonts w:hint="eastAsia" w:ascii="宋体" w:hAnsi="宋体" w:cs="宋体"/>
          <w:bCs/>
          <w:color w:val="000000"/>
        </w:rPr>
        <w:t xml:space="preserve">投标报价低于采购项目最高限价45%的，即投标报价&lt;采购项目最高限价×45%。</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9.7.2 </w:t>
      </w:r>
      <w:r>
        <w:rPr>
          <w:rStyle w:val="1135"/>
          <w:rFonts w:hint="eastAsia" w:ascii="宋体" w:hAnsi="宋体" w:cs="宋体"/>
          <w:bCs/>
          <w:color w:val="000000"/>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30、无效投标条款和废标条款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30.1无效投标条款</w:t>
      </w:r>
      <w:r/>
    </w:p>
    <w:p>
      <w:pPr>
        <w:ind w:firstLine="420"/>
        <w:spacing w:line="360" w:lineRule="auto"/>
        <w:rPr>
          <w:rStyle w:val="1135"/>
          <w:rFonts w:ascii="宋体" w:hAnsi="宋体" w:cs="宋体"/>
        </w:rPr>
      </w:pPr>
      <w:r>
        <w:rPr>
          <w:rStyle w:val="1135"/>
          <w:rFonts w:hint="eastAsia" w:ascii="宋体" w:hAnsi="宋体" w:cs="宋体"/>
        </w:rPr>
        <w:t xml:space="preserve">30.1.1 投标人在苏采云系统规定的时间内未成功解密电子投标文件。</w:t>
      </w:r>
      <w:r/>
    </w:p>
    <w:p>
      <w:pPr>
        <w:ind w:firstLine="420"/>
        <w:spacing w:line="360" w:lineRule="auto"/>
        <w:rPr>
          <w:rStyle w:val="1135"/>
          <w:rFonts w:ascii="宋体" w:hAnsi="宋体" w:cs="宋体"/>
        </w:rPr>
      </w:pPr>
      <w:r>
        <w:rPr>
          <w:rStyle w:val="1135"/>
          <w:rFonts w:hint="eastAsia" w:ascii="宋体" w:hAnsi="宋体" w:cs="宋体"/>
        </w:rPr>
        <w:t xml:space="preserve">30.1.2 投标人未按照招标文件要求上传电子投标文件。</w:t>
      </w:r>
      <w:r/>
    </w:p>
    <w:p>
      <w:pPr>
        <w:ind w:firstLine="420"/>
        <w:spacing w:line="360" w:lineRule="auto"/>
        <w:rPr>
          <w:rStyle w:val="1135"/>
          <w:rFonts w:ascii="宋体" w:hAnsi="宋体" w:cs="宋体"/>
        </w:rPr>
      </w:pPr>
      <w:r>
        <w:rPr>
          <w:rStyle w:val="1135"/>
          <w:rFonts w:hint="eastAsia" w:ascii="宋体" w:hAnsi="宋体" w:cs="宋体"/>
        </w:rPr>
        <w:t xml:space="preserve">30.1.3 投标人不具备招标文件中规定资格要求的。</w:t>
      </w:r>
      <w:r/>
    </w:p>
    <w:p>
      <w:pPr>
        <w:ind w:firstLine="420"/>
        <w:spacing w:line="360" w:lineRule="auto"/>
        <w:rPr>
          <w:rStyle w:val="1135"/>
          <w:rFonts w:ascii="宋体" w:hAnsi="宋体" w:cs="宋体"/>
        </w:rPr>
      </w:pPr>
      <w:r>
        <w:rPr>
          <w:rStyle w:val="1135"/>
          <w:rFonts w:hint="eastAsia" w:ascii="宋体" w:hAnsi="宋体" w:cs="宋体"/>
        </w:rPr>
        <w:t xml:space="preserve">30.1.4 投标人的报价超过了采购预算或最高限价的。</w:t>
      </w:r>
      <w:r/>
    </w:p>
    <w:p>
      <w:pPr>
        <w:ind w:firstLine="420"/>
        <w:spacing w:line="360" w:lineRule="auto"/>
        <w:rPr>
          <w:rStyle w:val="1135"/>
          <w:rFonts w:ascii="宋体" w:hAnsi="宋体" w:cs="宋体"/>
        </w:rPr>
      </w:pPr>
      <w:r>
        <w:rPr>
          <w:rStyle w:val="1135"/>
          <w:rFonts w:hint="eastAsia" w:ascii="宋体" w:hAnsi="宋体" w:cs="宋体"/>
        </w:rPr>
        <w:t xml:space="preserve">30.1.5 明显不符合招标文件规定的项目需求以及商务条款要求的。</w:t>
      </w:r>
      <w:r/>
    </w:p>
    <w:p>
      <w:pPr>
        <w:ind w:firstLine="420"/>
        <w:spacing w:line="360" w:lineRule="auto"/>
        <w:rPr>
          <w:rStyle w:val="1135"/>
          <w:rFonts w:ascii="宋体" w:hAnsi="宋体" w:cs="宋体"/>
        </w:rPr>
      </w:pPr>
      <w:r>
        <w:rPr>
          <w:rStyle w:val="1135"/>
          <w:rFonts w:hint="eastAsia" w:ascii="宋体" w:hAnsi="宋体" w:cs="宋体"/>
        </w:rPr>
        <w:t xml:space="preserve">30.1.6 不满足招标文件中“★”号条款的或招标文件规定的其他实质性要求的。</w:t>
      </w:r>
      <w:r/>
    </w:p>
    <w:p>
      <w:pPr>
        <w:ind w:firstLine="420"/>
        <w:spacing w:line="360" w:lineRule="auto"/>
        <w:rPr>
          <w:rStyle w:val="1135"/>
          <w:rFonts w:ascii="宋体" w:hAnsi="宋体" w:cs="宋体"/>
        </w:rPr>
      </w:pPr>
      <w:r>
        <w:rPr>
          <w:rStyle w:val="1135"/>
          <w:rFonts w:hint="eastAsia" w:ascii="宋体" w:hAnsi="宋体" w:cs="宋体"/>
        </w:rPr>
        <w:t xml:space="preserve">30.1.7 投标有效期少于招标文件规定有效期的投标文件。</w:t>
      </w:r>
      <w:r/>
    </w:p>
    <w:p>
      <w:pPr>
        <w:ind w:firstLine="420"/>
        <w:spacing w:line="360" w:lineRule="auto"/>
        <w:rPr>
          <w:rStyle w:val="1135"/>
          <w:rFonts w:ascii="宋体" w:hAnsi="宋体" w:cs="宋体"/>
        </w:rPr>
      </w:pPr>
      <w:r>
        <w:rPr>
          <w:rStyle w:val="1135"/>
          <w:rFonts w:hint="eastAsia" w:ascii="宋体" w:hAnsi="宋体" w:cs="宋体"/>
        </w:rPr>
        <w:t xml:space="preserve">30.1.8 投标文件含有招标人不能接受的附加条件的。</w:t>
      </w:r>
      <w:r/>
    </w:p>
    <w:p>
      <w:pPr>
        <w:ind w:firstLine="420"/>
        <w:spacing w:line="360" w:lineRule="auto"/>
        <w:rPr>
          <w:rStyle w:val="1135"/>
          <w:rFonts w:ascii="宋体" w:hAnsi="宋体" w:cs="宋体"/>
        </w:rPr>
      </w:pPr>
      <w:r>
        <w:rPr>
          <w:rStyle w:val="1135"/>
          <w:rFonts w:hint="eastAsia" w:ascii="宋体" w:hAnsi="宋体" w:cs="宋体"/>
        </w:rPr>
        <w:t xml:space="preserve">30.1.9未通过符合性检查的。</w:t>
      </w:r>
      <w:r/>
    </w:p>
    <w:p>
      <w:pPr>
        <w:ind w:firstLine="420"/>
        <w:spacing w:line="360" w:lineRule="auto"/>
        <w:rPr>
          <w:rStyle w:val="1135"/>
          <w:rFonts w:ascii="宋体" w:hAnsi="宋体" w:cs="宋体"/>
        </w:rPr>
      </w:pPr>
      <w:r>
        <w:rPr>
          <w:rStyle w:val="1135"/>
          <w:rFonts w:hint="eastAsia" w:ascii="宋体" w:hAnsi="宋体" w:cs="宋体"/>
        </w:rPr>
        <w:t xml:space="preserve">30.1.10评标委员会认为投标人的报价明显低于其他通过符合性审查投标人的报价，有可能影响产品质量或者不能诚信履约的，应当通过“苏采云”系统要求其在合理的时间内提供相关说明，必要时提交相关证明材料；投标人不能证明其报价合理性的，评标委员会应当将其作为无效投标处理。</w:t>
      </w:r>
      <w:r/>
    </w:p>
    <w:p>
      <w:pPr>
        <w:ind w:firstLine="420"/>
        <w:spacing w:line="360" w:lineRule="auto"/>
        <w:rPr>
          <w:rStyle w:val="1135"/>
          <w:rFonts w:ascii="宋体" w:hAnsi="宋体" w:cs="宋体"/>
          <w:color w:val="000000"/>
        </w:rPr>
      </w:pPr>
      <w:r>
        <w:rPr>
          <w:rStyle w:val="1135"/>
          <w:rFonts w:hint="eastAsia" w:ascii="宋体" w:hAnsi="宋体" w:cs="宋体"/>
        </w:rPr>
        <w:t xml:space="preserve">30.1.11其他法律、法规及本招标文件规定的属无效投标的情形。</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 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30.2.2 出现影响招标公正的违法、违规行为的。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30.2.3 投标人的报价均超过了预算金额，招标人不能支付的。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30.2.4 因重大变故，招标任务取消的。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30.2.6多家投标人提供相同品牌产品投标，按一家投标人计算，计算后投标人少于三家的。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 投标截止时间结束后参加投标的投标人不足三家的处理：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35"/>
          <w:rFonts w:ascii="宋体" w:hAnsi="宋体" w:cs="宋体"/>
          <w:b/>
          <w:bCs/>
        </w:rPr>
      </w:pPr>
      <w:r>
        <w:rPr>
          <w:rStyle w:val="1135"/>
          <w:rFonts w:hint="eastAsia" w:ascii="宋体" w:hAnsi="宋体" w:cs="宋体"/>
          <w:b/>
          <w:bCs/>
        </w:rPr>
        <w:t xml:space="preserve">31、确定中标单位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31.2招标人应根据评委会推荐的中标候选人确定中标人。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35"/>
          <w:rFonts w:hint="eastAsia" w:ascii="宋体" w:hAnsi="宋体" w:cs="宋体"/>
          <w:bCs/>
          <w:color w:val="000000"/>
        </w:rPr>
        <w:t xml:space="preserve">发布中标公告，中标公告期限为1个工作日。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31.4.1提供虚假材料谋取中标的。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31.4.2向招标人、招标代理机构行贿或者提供其他不正当利益的。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31.4.5与招标人或者其他投标人恶意串通的。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31.4.6采取不正当手段诋毁、排挤其他投标人的。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31.4.7</w:t>
      </w:r>
      <w:r>
        <w:rPr>
          <w:rStyle w:val="1135"/>
          <w:rFonts w:hint="eastAsia" w:ascii="宋体" w:hAnsi="宋体" w:cs="宋体"/>
          <w:bCs/>
        </w:rPr>
        <w:t xml:space="preserve">其他</w:t>
      </w:r>
      <w:r>
        <w:rPr>
          <w:rStyle w:val="1135"/>
          <w:rFonts w:hint="eastAsia" w:ascii="宋体" w:hAnsi="宋体" w:cs="宋体"/>
          <w:bCs/>
          <w:color w:val="000000"/>
        </w:rPr>
        <w:t xml:space="preserve">不符合法律、法规规定的。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 有下列情形之一的，视为投标人串通投标，投标无效：</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31.5.1 不同投标人的投标文件由同一单位或者个人编制。</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31.5.2 不同投标人委托同一单位或者个人办理投标事宜。</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31.5.4 不同投标人的投标文件异常一致或者投标报价呈规律性差异。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31.5.5 不同投标人的投标文件相互混装。</w:t>
      </w:r>
      <w:r/>
    </w:p>
    <w:p>
      <w:pPr>
        <w:ind w:firstLine="422"/>
        <w:spacing w:line="360" w:lineRule="auto"/>
        <w:rPr>
          <w:rStyle w:val="1135"/>
          <w:rFonts w:ascii="宋体" w:hAnsi="宋体" w:cs="宋体"/>
          <w:b/>
          <w:bCs/>
        </w:rPr>
      </w:pPr>
      <w:r>
        <w:rPr>
          <w:rStyle w:val="1135"/>
          <w:rFonts w:hint="eastAsia" w:ascii="宋体" w:hAnsi="宋体" w:cs="宋体"/>
          <w:b/>
          <w:bCs/>
        </w:rPr>
        <w:t xml:space="preserve">32、质疑处理</w:t>
      </w:r>
      <w:r>
        <w:rPr>
          <w:rStyle w:val="1135"/>
          <w:rFonts w:hint="eastAsia" w:ascii="宋体" w:hAnsi="宋体" w:cs="宋体"/>
          <w:b/>
          <w:bCs/>
        </w:rPr>
        <w:tab/>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32.1参加投</w:t>
      </w:r>
      <w:r>
        <w:rPr>
          <w:rStyle w:val="1135"/>
          <w:rFonts w:hint="eastAsia" w:ascii="宋体" w:hAnsi="宋体" w:cs="宋体"/>
          <w:bCs/>
        </w:rPr>
        <w:t xml:space="preserve">标活动的投</w:t>
      </w:r>
      <w:r>
        <w:rPr>
          <w:rStyle w:val="1135"/>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32.1.2对招标过程提出质疑的，为各招标程序环节结束之日。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32.1.3对中标结果提出质疑的，为中标结果公告期限届满之日。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35"/>
          <w:rFonts w:ascii="宋体" w:hAnsi="宋体" w:cs="宋体"/>
          <w:bCs/>
        </w:rPr>
      </w:pPr>
      <w:r>
        <w:rPr>
          <w:rStyle w:val="1135"/>
          <w:rFonts w:hint="eastAsia" w:ascii="宋体" w:hAnsi="宋体" w:cs="宋体"/>
          <w:bCs/>
        </w:rPr>
        <w:t xml:space="preserve">投标人应当在法定质疑期内一次性提出针对同一招标程序环节的质疑。投标人如在法定期限内对同一</w:t>
      </w:r>
      <w:r>
        <w:rPr>
          <w:rStyle w:val="1135"/>
          <w:rFonts w:hint="eastAsia" w:ascii="宋体" w:hAnsi="宋体" w:cs="宋体"/>
          <w:bCs/>
          <w:color w:val="000000"/>
        </w:rPr>
        <w:t xml:space="preserve">招标</w:t>
      </w:r>
      <w:r>
        <w:rPr>
          <w:rStyle w:val="1135"/>
          <w:rFonts w:hint="eastAsia" w:ascii="宋体" w:hAnsi="宋体" w:cs="宋体"/>
          <w:bCs/>
        </w:rPr>
        <w:t xml:space="preserve">程序环节提出多次质疑的，招标代理机构将只对投标人第一次质疑作出答复。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32.4质疑函应当包括下列内容：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32.4.1质疑投标人的名称、地址、邮编、联系人、联系电话。</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32.4.2具体的质疑事项及明确的请求。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32.4.3认为自己合法权益受到损害或可能受到损害的相关证据材料。</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32.4.4提起质疑的日期。</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32.7对于内容、格式符合规定的质疑函，代理机构应当在收到投标人的书面质疑后七个工作日内作出答复，并以书面形式通知质疑投标人和其他有关投标人，但答复的内容不得涉及商业秘密。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33、中标通知书</w:t>
      </w:r>
      <w:r/>
    </w:p>
    <w:p>
      <w:pPr>
        <w:ind w:firstLine="420"/>
        <w:spacing w:line="360" w:lineRule="auto"/>
        <w:rPr>
          <w:rStyle w:val="1135"/>
          <w:rFonts w:ascii="宋体" w:hAnsi="宋体" w:cs="宋体"/>
          <w:bCs/>
        </w:rPr>
      </w:pPr>
      <w:r>
        <w:rPr>
          <w:rStyle w:val="1135"/>
          <w:rFonts w:hint="eastAsia" w:ascii="宋体" w:hAnsi="宋体" w:cs="宋体"/>
          <w:bCs/>
          <w:color w:val="000000"/>
        </w:rPr>
        <w:t xml:space="preserve">33.l</w:t>
      </w:r>
      <w:r>
        <w:rPr>
          <w:rStyle w:val="1135"/>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34、签订合同</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34.l 中标人应按照发出中标通知书的时间，及招标文件确定的事项与招标人签订政府采购合同</w:t>
      </w:r>
      <w:r>
        <w:rPr>
          <w:rStyle w:val="1135"/>
          <w:rFonts w:hint="eastAsia" w:ascii="宋体" w:hAnsi="宋体" w:cs="宋体"/>
          <w:bCs/>
        </w:rPr>
        <w:t xml:space="preserve">，且不得迟于中标通知书发出之日起三十日，由此</w:t>
      </w:r>
      <w:r>
        <w:rPr>
          <w:rStyle w:val="1135"/>
          <w:rFonts w:hint="eastAsia" w:ascii="宋体" w:hAnsi="宋体" w:cs="宋体"/>
          <w:bCs/>
          <w:color w:val="000000"/>
        </w:rPr>
        <w:t xml:space="preserve">给招标人造成损失的，中标人还应承担赔偿责任。</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35"/>
          <w:rFonts w:ascii="宋体" w:hAnsi="宋体" w:cs="宋体"/>
        </w:rPr>
      </w:pPr>
      <w:r>
        <w:rPr>
          <w:rStyle w:val="1135"/>
          <w:rFonts w:hint="eastAsia" w:ascii="宋体" w:hAnsi="宋体" w:cs="宋体"/>
          <w:bCs/>
          <w:color w:val="000000"/>
        </w:rPr>
        <w:t xml:space="preserve">34.3 签订合同后，中标人不得将</w:t>
      </w:r>
      <w:bookmarkStart w:id="43" w:name="_Hlk205472809"/>
      <w:r>
        <w:rPr>
          <w:rStyle w:val="1135"/>
          <w:rFonts w:hint="eastAsia" w:ascii="宋体" w:hAnsi="宋体" w:cs="宋体"/>
          <w:bCs/>
          <w:color w:val="000000"/>
        </w:rPr>
        <w:t xml:space="preserve">服务项目</w:t>
      </w:r>
      <w:bookmarkEnd w:id="43"/>
      <w:r>
        <w:rPr>
          <w:rStyle w:val="1135"/>
          <w:rFonts w:hint="eastAsia" w:ascii="宋体" w:hAnsi="宋体" w:cs="宋体"/>
          <w:bCs/>
          <w:color w:val="000000"/>
        </w:rPr>
        <w:t xml:space="preserve">进行转包。未经招标人同意，中标人也不得采用分包的形式履行合同，否则招标人有权终止合同，中标人的履约保证</w:t>
      </w:r>
      <w:r>
        <w:rPr>
          <w:rStyle w:val="1135"/>
          <w:rFonts w:hint="eastAsia" w:ascii="宋体" w:hAnsi="宋体" w:cs="宋体"/>
          <w:bCs/>
        </w:rPr>
        <w:t xml:space="preserve">金（如有）将</w:t>
      </w:r>
      <w:r>
        <w:rPr>
          <w:rStyle w:val="1135"/>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35、货物和服务的追加、减少和添购</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采购结束后，招标人若由于各种客观原因，必须对采购项目所牵涉的货物和服务进行适当的减少时，在双方协商一致的前提下，可以按照招标采购时的价格水平做相应的调减，并据此签订补充合同。</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7</w:t>
      </w:r>
      <w:r>
        <w:rPr>
          <w:rStyle w:val="1135"/>
          <w:rFonts w:hint="eastAsia" w:ascii="宋体" w:hAnsi="宋体" w:cs="宋体"/>
          <w:bCs/>
          <w:color w:val="000000"/>
        </w:rPr>
        <w:t xml:space="preserve">、投标人在报价时应自行综合考虑将代理服务费全额包含在投标总价中，招标人不再另行支付。</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8</w:t>
      </w:r>
      <w:r>
        <w:rPr>
          <w:rStyle w:val="1135"/>
          <w:rFonts w:hint="eastAsia" w:ascii="宋体" w:hAnsi="宋体" w:cs="宋体"/>
          <w:bCs/>
          <w:color w:val="000000"/>
        </w:rPr>
        <w:t xml:space="preserve">、招标代理服务费：中标人在领取中标通知书前按照国家发展和改革委员会下发的计价格[2002]1980号文件规定收费标准的60%一次性足额向招标代理机构缴纳招标代理服务费用；单个项目按照以上标准计算低于4000元时按4000元计算。</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服务费缴纳账号信息：</w:t>
      </w:r>
      <w:r/>
    </w:p>
    <w:p>
      <w:pPr>
        <w:pStyle w:val="1164"/>
        <w:ind w:firstLine="422"/>
        <w:spacing w:after="0" w:line="360" w:lineRule="auto"/>
        <w:rPr>
          <w:rFonts w:ascii="宋体" w:hAnsi="宋体" w:cs="宋体"/>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p>
    <w:p>
      <w:pPr>
        <w:pStyle w:val="1164"/>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64"/>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  号：3114 0188 0000 69661</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br w:type="page" w:clear="all"/>
      </w:r>
      <w:bookmarkEnd w:id="29"/>
      <w:r/>
      <w:bookmarkEnd w:id="30"/>
      <w:r/>
      <w:bookmarkEnd w:id="31"/>
      <w:r/>
      <w:bookmarkEnd w:id="32"/>
      <w:r/>
      <w:bookmarkStart w:id="44" w:name="_Toc20823314"/>
      <w:r/>
      <w:bookmarkStart w:id="45" w:name="_Toc479757207"/>
      <w:r/>
      <w:bookmarkStart w:id="46" w:name="_Toc120614221"/>
      <w:r/>
      <w:bookmarkStart w:id="47" w:name="_Toc513029242"/>
      <w:r/>
      <w:bookmarkStart w:id="48" w:name="_Toc16938558"/>
      <w:r/>
      <w:r/>
    </w:p>
    <w:p>
      <w:pPr>
        <w:pStyle w:val="1062"/>
        <w:spacing w:line="360" w:lineRule="auto"/>
        <w:rPr>
          <w:rFonts w:ascii="宋体" w:hAnsi="宋体" w:eastAsia="宋体" w:cs="宋体"/>
        </w:rPr>
      </w:pPr>
      <w:r/>
      <w:bookmarkStart w:id="49" w:name="_Toc21944"/>
      <w:r/>
      <w:bookmarkStart w:id="50" w:name="_Toc28032"/>
      <w:r>
        <w:rPr>
          <w:rFonts w:hint="eastAsia" w:ascii="宋体" w:hAnsi="宋体" w:eastAsia="宋体" w:cs="宋体"/>
          <w:b/>
          <w:bCs/>
          <w:lang w:val="zh-CN"/>
        </w:rPr>
        <w:t xml:space="preserve">第三章  合同条款及</w:t>
      </w:r>
      <w:bookmarkEnd w:id="44"/>
      <w:r/>
      <w:bookmarkEnd w:id="45"/>
      <w:r/>
      <w:bookmarkEnd w:id="46"/>
      <w:r/>
      <w:bookmarkEnd w:id="47"/>
      <w:r/>
      <w:bookmarkEnd w:id="48"/>
      <w:r>
        <w:rPr>
          <w:rFonts w:hint="eastAsia" w:ascii="宋体" w:hAnsi="宋体" w:eastAsia="宋体" w:cs="宋体"/>
          <w:b/>
          <w:bCs/>
          <w:lang w:val="zh-CN"/>
        </w:rPr>
        <w:t xml:space="preserve">格式</w:t>
      </w:r>
      <w:bookmarkEnd w:id="49"/>
      <w:r/>
      <w:bookmarkEnd w:id="50"/>
      <w:r/>
      <w:r/>
    </w:p>
    <w:p>
      <w:pPr>
        <w:ind w:firstLine="420"/>
        <w:jc w:val="center"/>
        <w:spacing w:line="360" w:lineRule="auto"/>
        <w:rPr>
          <w:lang w:val="zh-CN"/>
        </w:rPr>
      </w:pPr>
      <w:r/>
      <w:bookmarkStart w:id="51" w:name="_Toc513029243"/>
      <w:r/>
      <w:bookmarkStart w:id="52" w:name="_Toc16938559"/>
      <w:r/>
      <w:bookmarkStart w:id="53" w:name="_Toc20823315"/>
      <w:r>
        <w:rPr>
          <w:rFonts w:hint="eastAsia" w:ascii="宋体" w:hAnsi="宋体" w:cs="宋体"/>
          <w:bCs/>
          <w:color w:val="000000"/>
        </w:rPr>
        <w:t xml:space="preserve">以下为中标后签定本项目合同的通用条款，中标人不得提出实质性的修改，关于专用条款将由招标人与中标人结合本项目具体情况协商后签订。</w:t>
      </w:r>
      <w:bookmarkEnd w:id="51"/>
      <w:r/>
      <w:bookmarkEnd w:id="52"/>
      <w:r/>
      <w:bookmarkEnd w:id="53"/>
      <w:r/>
      <w:bookmarkStart w:id="54" w:name="_Hlt16619369"/>
      <w:r/>
      <w:bookmarkEnd w:id="54"/>
      <w:r/>
      <w:bookmarkStart w:id="55" w:name="_Toc16938590"/>
      <w:r/>
      <w:bookmarkStart w:id="56" w:name="_Toc20823346"/>
      <w:r/>
      <w:bookmarkStart w:id="57" w:name="_Toc120614244"/>
      <w:r/>
      <w:bookmarkStart w:id="58" w:name="_Toc479757211"/>
      <w:r/>
      <w:bookmarkStart w:id="59" w:name="_Toc462564139"/>
      <w:r/>
      <w:r/>
    </w:p>
    <w:p>
      <w:pPr>
        <w:pStyle w:val="1088"/>
        <w:ind w:firstLine="643"/>
        <w:jc w:val="center"/>
        <w:spacing w:line="72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60" w:name="_Toc27564"/>
      <w:r>
        <w:rPr>
          <w:rFonts w:hint="eastAsia" w:ascii="宋体" w:hAnsi="宋体" w:eastAsia="宋体" w:cs="宋体"/>
          <w:b/>
          <w:color w:val="000000" w:themeColor="text1"/>
          <w:sz w:val="24"/>
          <w:szCs w:val="24"/>
          <w:highlight w:val="none"/>
          <w14:textFill>
            <w14:solidFill>
              <w14:schemeClr w14:val="tx1"/>
            </w14:solidFill>
          </w14:textFill>
        </w:rPr>
        <w:t xml:space="preserve">南京师范大学服务采购合同</w:t>
      </w:r>
      <w:r/>
    </w:p>
    <w:p>
      <w:pPr>
        <w:pStyle w:val="1088"/>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合同编号：</w:t>
      </w:r>
      <w:r/>
    </w:p>
    <w:p>
      <w:pPr>
        <w:pStyle w:val="1088"/>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南师大项目采购编号：</w:t>
      </w:r>
      <w:r/>
    </w:p>
    <w:p>
      <w:pPr>
        <w:pStyle w:val="1088"/>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甲方：（买方）南京师范大学</w:t>
      </w:r>
      <w:r/>
    </w:p>
    <w:p>
      <w:pPr>
        <w:pStyle w:val="1088"/>
        <w:jc w:val="left"/>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乙方：（卖方）</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20"/>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甲、乙双方根据南京师范大学</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项目的采购结果，签署本合同。</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一、采购标的</w:t>
      </w:r>
      <w:r/>
    </w:p>
    <w:tbl>
      <w:tblPr>
        <w:tblStyle w:val="107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6"/>
        <w:gridCol w:w="2204"/>
        <w:gridCol w:w="1941"/>
        <w:gridCol w:w="1943"/>
      </w:tblGrid>
      <w:tr>
        <w:trPr>
          <w:jc w:val="center"/>
        </w:trPr>
        <w:tc>
          <w:tcPr>
            <w:tcW w:w="1592"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  的  名  称</w:t>
            </w:r>
            <w:r/>
          </w:p>
        </w:tc>
        <w:tc>
          <w:tcPr>
            <w:tcW w:w="123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   牌</w:t>
            </w:r>
            <w:r/>
          </w:p>
        </w:tc>
        <w:tc>
          <w:tcPr>
            <w:tcW w:w="1086"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厂   家</w:t>
            </w:r>
            <w:r/>
          </w:p>
        </w:tc>
        <w:tc>
          <w:tcPr>
            <w:tcW w:w="108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  地</w:t>
            </w:r>
            <w:r/>
          </w:p>
        </w:tc>
      </w:tr>
      <w:tr>
        <w:trPr>
          <w:jc w:val="center"/>
          <w:trHeight w:val="333"/>
        </w:trPr>
        <w:tc>
          <w:tcPr>
            <w:tcW w:w="1592"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33"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6"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7"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07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2"/>
        <w:gridCol w:w="2154"/>
        <w:gridCol w:w="1974"/>
        <w:gridCol w:w="1974"/>
      </w:tblGrid>
      <w:tr>
        <w:trPr>
          <w:jc w:val="center"/>
        </w:trPr>
        <w:tc>
          <w:tcPr>
            <w:tcW w:w="158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 号 规 格</w:t>
            </w:r>
            <w:r/>
          </w:p>
        </w:tc>
        <w:tc>
          <w:tcPr>
            <w:tcW w:w="120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  量</w:t>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  价</w:t>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   价</w:t>
            </w:r>
            <w:r/>
          </w:p>
        </w:tc>
      </w:tr>
      <w:tr>
        <w:trPr>
          <w:jc w:val="center"/>
          <w:trHeight w:val="309"/>
        </w:trPr>
        <w:tc>
          <w:tcPr>
            <w:tcW w:w="158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0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88"/>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本合同总金额为（大写）：____________元整（￥_______元）人民币。</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本合同价款包含所有乙方提供合同约定服务的报酬及乙方提供合同中服务所支出的必要的税、及上下力资费、运输费、安装费用等，甲方在上述合同价款之外不再向乙方支付其他任何费用。乙方提供  （  ） 增值税专用发票/ （  ） 增值税普通发票。</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乙方应先行向甲方开具与所付进度款金额等额的合规税务增值税专用发票，由甲方审核确认无误后再支付合同价款，否则甲方有权拒绝或迟延支付应付款项，且不影响乙方履行本合同项下的义务。</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三、技术资料及保密</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3.1乙方应按采购文件规定的时间向甲方提供有关技术资料。</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的保密行为进行有效的监督管理，因上述人员的行为泄露保密信息，由乙方及泄密人员承担无限连带责任。</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四、产权</w:t>
      </w:r>
      <w:r/>
    </w:p>
    <w:p>
      <w:pPr>
        <w:pStyle w:val="1104"/>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保证所交付标的无任何抵押、查封等产权瑕疵。乙方应保证甲方在使用、接受本合同中服务（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五、交付及免保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5.1交付期：</w:t>
      </w:r>
      <w:r>
        <w:rPr>
          <w:rFonts w:hint="eastAsia" w:ascii="宋体" w:hAnsi="宋体" w:eastAsia="宋体" w:cs="宋体"/>
          <w:color w:val="000000" w:themeColor="text1"/>
          <w:sz w:val="21"/>
          <w:szCs w:val="21"/>
          <w:highlight w:val="none"/>
          <w14:textFill>
            <w14:solidFill>
              <w14:schemeClr w14:val="tx1"/>
            </w14:solidFill>
          </w14:textFill>
        </w:rPr>
        <w:t xml:space="preserve">_____。   </w:t>
      </w:r>
      <w:r/>
    </w:p>
    <w:p>
      <w:pPr>
        <w:pStyle w:val="1088"/>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5.2乙方免费、安全送达甲方指定地点</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校区。</w:t>
      </w:r>
      <w:r/>
    </w:p>
    <w:p>
      <w:pPr>
        <w:pStyle w:val="1088"/>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5.3免费质保期：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日至</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日。（具体自项目验收合格之日起计）</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六、合同款支付</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6.1在服务验收合格、收到乙方合法全额票据后</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个工作日内支付</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的合同款，质保期满后无重大问题的，支付</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尾款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乙方交纳合同金额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的履约保证金（乙方因自身原因未能完全履行合同的，履约保证金不予退回），验收合格后且乙方提供合法票据的30个工作日内，无息退还；</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履约保证金账户信息:</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名称:南京师范大学</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纳税人识别号:123200004660067976</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地址:江苏省南京市文苑路1号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电话:025-83598180</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开户行:交通银行南京广州路支行</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账号:320006607010149040493</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联行号:301301000476</w:t>
      </w:r>
      <w:r/>
    </w:p>
    <w:p>
      <w:pPr>
        <w:pStyle w:val="1104"/>
        <w:ind w:firstLine="480"/>
        <w:spacing w:line="36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其他具体支付条件：</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82"/>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七、质量保证及售后服务承诺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7.1乙方应按采购文件规定和响应文件承诺的性能、技术要求、质量标准等向甲方提供服务。</w:t>
      </w:r>
      <w:r/>
    </w:p>
    <w:p>
      <w:pPr>
        <w:pStyle w:val="1088"/>
        <w:ind w:left="420" w:firstLine="5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7.2乙方提供的服务在免费质保期内出现质量问题，根据实际情况，经双方协商，可按以下</w:t>
      </w:r>
      <w:r/>
    </w:p>
    <w:p>
      <w:pPr>
        <w:pStyle w:val="1088"/>
        <w:ind w:left="420" w:firstLine="5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种办法处理（处理办法可按服务特性另行约定）：</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（1）更    换：由乙方承担所发生的全部费用。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（2）合同终止：合同终止，并退还甲方支付的合同款，同时应承担由此产生的所有费用，甲方不承担发生任何费用。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（3）其他处理办法：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7.3在使用过程中发生质量问题，乙方在接到甲方通知后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小时内到达现场。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7.4在免费质保期内，乙方应对服务出现的质量及安全问题负责解决并承担一切费用。</w:t>
      </w:r>
      <w:r/>
    </w:p>
    <w:p>
      <w:pPr>
        <w:pStyle w:val="1088"/>
        <w:ind w:firstLine="48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7.5供应商响应的承诺（7.1—7.4中与本条承诺不一致的，以本条为准）</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八、合同内容的交付</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8.1提交使用说明书、质量检验证明书等资料。</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8.2乙方在合同标的交付甲方48小时（工作日）前通知甲方准备接收。</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8.3合同标的验收合格视为交付，交付前发生的风险均由乙方负责。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九、验收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9.1甲方对乙方提交的服务，依据采购文件上的项目需求、乙方响应文件及国家有关标准及学校有关文件规定进行验收。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9.2乙方交付前应对服务作出全面检查和对验收文件进行整理，并列出清单，作为甲方验收依据。</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9.3甲方对乙方提供的服务在使用前，乙方需负责培训甲方的使用操作人员，并协助甲方一起试用，直到符合技术规范后，甲方才实施验收。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9.4需对技术复杂的服务进行第三方检测时，如检测合格，费用由甲方承担，如检测不合格（部分不合格）时，乙方承担所有的检测、验收等相关费用。</w:t>
      </w:r>
      <w:r/>
    </w:p>
    <w:p>
      <w:pPr>
        <w:ind w:firstLine="482"/>
        <w:spacing w:line="360" w:lineRule="auto"/>
        <w:tabs>
          <w:tab w:val="center" w:pos="4422" w:leader="none"/>
          <w:tab w:val="left" w:pos="6959" w:leader="none"/>
        </w:tabs>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9.5验收涉及宣传甲方或甲方所属（含挂靠）各单位的图、音视频、文字等形式资料前，需提交甲方宣传部审核、初验，通过后方可实施项目验收。</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9.6验收时乙方相关人员必须到场，验收完毕后出具验收结果报告。</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9.7其他验收要求：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十、违约责任</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 甲方无正当理由拒收的，向乙方支付拒收服务款百分之一的违约金。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 甲方无故逾期验收和办理合同款支付手续的（节假日除外）, 按逾期付款总额的每日万分之一向乙方支付违约金。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10.3乙方无故逾期（节假日除外）交付服务的, 按逾期付款总额的每日万分之一向甲方支付违约金。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10.4乙方交付的服务有质量或产权瑕疵等问题时，愿意更换/整改的，按逾期交付处理；乙方拒绝更换/整改的，甲方可解除合同，没收履约保证金并追回全部已付款项，由此造成的损失由乙方全责承担。</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10.5出现但不限于下列情形之一的，即视为乙方违约：</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①未按合同约定时间交付的；②交付的标的不符合合同要求的；③交付后经验收不合格的；④违反有关采购规定的；⑤因乙方原因导致甲方不能取得所有权的。</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10.6乙方违约的，甲方有权没收乙方交纳的履约保证金、停止支付剩余应付款，并采取包括但不限于下列一种或数种措施维护权益：</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①拒收因乙方违约所交付的服务，终止合同，并向乙方索赔，另行组织采购；</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②没收乙方交纳的履约保证金；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③将乙方录入学校不良行为供应商名录，视情节轻重决定是否上报江苏省财政厅，涉嫌犯罪的，移送司法机关处理。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服务一周的，赔偿应付款总额的百分之一，不足一周按一周计算，应付款不足以补偿索赔费用，甲方有权向乙方提出不足部分的补偿。</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10.7 任何一方违反本合同约定，除承担违约金外，还承担守约方向违约方追责所支付的一切费用，包括但不限于律师费、诉讼费、保全费、公告费、鉴定费、交通费、食宿费、保函费等。</w:t>
      </w:r>
      <w:r/>
    </w:p>
    <w:p>
      <w:pPr>
        <w:pStyle w:val="1088"/>
        <w:ind w:firstLine="480"/>
        <w:spacing w:line="36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供应商响应的违约责任（10.1—10.7中与本条承诺不一致的，以本条为准）</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十一、不可抗力事件处理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  本合同不可抗力事件及影响按《民法典》等相关法律法规相关规定执行和处理。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 在合同有效期内，任何一方因不可抗力事件导致不能履行合同，则合同履行期延长，其延长期与不可抗力影响期相同。</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 不可抗力事件发生后，应立即通知对方，并寄送有关权威机构出具的证明。</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11.4 不可抗力事件延续120天以上，双方应通过友好协商，确定是否继续履行合同。</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十二、诉讼</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双方在执行合同中所发生的一切争议，应通过协商解决。如协商不成，可向甲方所在地法院起诉。</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十三、合同生效及其它</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合同经双方法定代表人或授权委托代表人签字并加盖公章后生效。</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13.2本合同未尽事宜，遵照与合同相关的现行法律规定执行。</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 本合同正本一式六份，具有同等法律效力，甲方执四份、乙方执二份。</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附件一：技术参数或规格型号；</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附件二：售后服务承诺。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                                   乙方： </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地址： </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                   法定代表人或授权代表：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联系电话：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统一社会信用代码：                       统一社会信用代码：</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                               开户银行：</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户名：                                   户名：</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账号：                                   账号：</w:t>
      </w:r>
      <w:r/>
    </w:p>
    <w:p>
      <w:pPr>
        <w:pStyle w:val="1088"/>
        <w:ind w:firstLine="480"/>
        <w:spacing w:line="360" w:lineRule="auto"/>
        <w:rPr>
          <w:rFonts w:ascii="宋体" w:hAnsi="宋体" w:cs="宋体"/>
          <w:b/>
          <w:bCs/>
          <w:lang w:val="zh-CN"/>
        </w:rPr>
      </w:pPr>
      <w:r>
        <w:rPr>
          <w:rFonts w:hint="eastAsia" w:ascii="宋体" w:hAnsi="宋体" w:eastAsia="宋体" w:cs="宋体"/>
          <w:color w:val="000000" w:themeColor="text1"/>
          <w:sz w:val="21"/>
          <w:szCs w:val="21"/>
          <w:highlight w:val="none"/>
          <w14:textFill>
            <w14:solidFill>
              <w14:schemeClr w14:val="tx1"/>
            </w14:solidFill>
          </w14:textFill>
        </w:rPr>
        <w:t xml:space="preserve">日期：                                   日期：</w:t>
      </w:r>
      <w:r/>
    </w:p>
    <w:p>
      <w:pPr>
        <w:shd w:val="nil" w:color="auto"/>
        <w:rPr>
          <w:rFonts w:ascii="宋体" w:hAnsi="宋体" w:eastAsia="宋体" w:cs="宋体"/>
        </w:rPr>
      </w:pPr>
      <w:r>
        <w:rPr>
          <w:highlight w:val="none"/>
        </w:rPr>
        <w:br w:type="page" w:clear="all"/>
      </w:r>
      <w:r>
        <w:rPr>
          <w:highlight w:val="none"/>
        </w:rPr>
      </w:r>
      <w:r/>
    </w:p>
    <w:p>
      <w:pPr>
        <w:pStyle w:val="1062"/>
        <w:spacing w:line="360" w:lineRule="auto"/>
        <w:rPr>
          <w:highlight w:val="none"/>
        </w:rPr>
      </w:pPr>
      <w:r/>
      <w:bookmarkStart w:id="61" w:name="_Toc17262"/>
      <w:r>
        <w:rPr>
          <w:rFonts w:hint="eastAsia" w:ascii="宋体" w:hAnsi="宋体" w:eastAsia="宋体" w:cs="宋体"/>
          <w:b/>
          <w:bCs/>
          <w:lang w:val="zh-CN"/>
        </w:rPr>
        <w:t xml:space="preserve">第四章  项目需求</w:t>
      </w:r>
      <w:bookmarkEnd w:id="55"/>
      <w:r/>
      <w:bookmarkEnd w:id="56"/>
      <w:r/>
      <w:bookmarkEnd w:id="57"/>
      <w:r/>
      <w:bookmarkEnd w:id="60"/>
      <w:r/>
      <w:bookmarkEnd w:id="61"/>
      <w:r/>
      <w:bookmarkStart w:id="62" w:name="_Toc49090575"/>
      <w:r/>
      <w:bookmarkStart w:id="63" w:name="_Toc26554093"/>
      <w:r/>
      <w:r/>
    </w:p>
    <w:p>
      <w:pPr>
        <w:jc w:val="left"/>
        <w:spacing w:line="360" w:lineRule="auto"/>
        <w:rPr>
          <w:rFonts w:hint="eastAsia" w:ascii="宋体" w:hAnsi="宋体" w:eastAsia="宋体" w:cs="宋体"/>
          <w:b/>
          <w:bCs/>
          <w:lang w:val="en-US" w:eastAsia="zh-CN"/>
        </w:rPr>
        <w:outlineLvl w:val="1"/>
      </w:pPr>
      <w:r/>
      <w:bookmarkStart w:id="64" w:name="_Toc9417301"/>
      <w:r/>
      <w:bookmarkStart w:id="65" w:name="_Toc120614281"/>
      <w:r>
        <w:rPr>
          <w:rFonts w:hint="eastAsia" w:ascii="宋体" w:hAnsi="宋体" w:cs="宋体"/>
          <w:b/>
          <w:bCs/>
          <w:lang w:val="en-US" w:eastAsia="zh-CN"/>
        </w:rPr>
        <w:t xml:space="preserve">一</w:t>
      </w:r>
      <w:r>
        <w:rPr>
          <w:rFonts w:hint="eastAsia" w:ascii="宋体" w:hAnsi="宋体" w:cs="宋体"/>
          <w:b/>
          <w:bCs/>
        </w:rPr>
        <w:t xml:space="preserve">、项目</w:t>
      </w:r>
      <w:r>
        <w:rPr>
          <w:rFonts w:hint="eastAsia" w:ascii="宋体" w:hAnsi="宋体" w:cs="宋体"/>
          <w:b/>
          <w:bCs/>
          <w:lang w:val="en-US" w:eastAsia="zh-CN"/>
        </w:rPr>
        <w:t xml:space="preserve">概况</w:t>
      </w:r>
      <w:r/>
    </w:p>
    <w:p>
      <w:pPr>
        <w:ind w:firstLine="420"/>
        <w:spacing w:line="360" w:lineRule="auto"/>
        <w:rPr>
          <w:rFonts w:hint="eastAsia" w:ascii="宋体" w:hAnsi="宋体" w:cs="宋体"/>
          <w:lang w:val="en-US" w:eastAsia="zh-CN"/>
        </w:rPr>
      </w:pPr>
      <w:r>
        <w:rPr>
          <w:rFonts w:hint="eastAsia" w:ascii="宋体" w:hAnsi="宋体" w:cs="宋体"/>
          <w:highlight w:val="none"/>
          <w:lang w:val="en-US" w:eastAsia="zh-CN"/>
        </w:rPr>
        <w:t xml:space="preserve">本项目拟招标一家投标人为招标人提供会计核算业务服务，</w:t>
      </w:r>
      <w:r>
        <w:rPr>
          <w:rFonts w:hint="eastAsia" w:ascii="宋体" w:hAnsi="宋体" w:cs="宋体"/>
          <w:lang w:val="en-US" w:eastAsia="zh-CN"/>
        </w:rPr>
        <w:t xml:space="preserve">会计核算业务服务的内容主要是依据《会计法》、《政府会计制度》、《会计基础工作规范》等国家相关财经法律法规及南京师范大学各项财务制度，完成学校各类经费收支原始单据审核及凭证制单等工作。</w:t>
      </w:r>
      <w:r/>
    </w:p>
    <w:p>
      <w:pPr>
        <w:pStyle w:val="1073"/>
        <w:ind w:firstLine="0"/>
        <w:rPr>
          <w:rFonts w:hAnsi="宋体"/>
          <w:bCs/>
          <w:sz w:val="21"/>
          <w:szCs w:val="21"/>
        </w:rPr>
      </w:pPr>
      <w:r>
        <w:rPr>
          <w:rFonts w:hAnsi="宋体"/>
          <w:bCs/>
          <w:sz w:val="21"/>
          <w:szCs w:val="21"/>
        </w:rPr>
      </w:r>
      <w:r/>
    </w:p>
    <w:p>
      <w:pPr>
        <w:jc w:val="left"/>
        <w:spacing w:line="360" w:lineRule="auto"/>
        <w:rPr>
          <w:rFonts w:hint="default" w:ascii="宋体" w:hAnsi="宋体" w:eastAsia="宋体" w:cs="宋体"/>
          <w:b/>
          <w:bCs/>
          <w:lang w:val="en-US" w:eastAsia="zh-CN"/>
        </w:rPr>
        <w:outlineLvl w:val="1"/>
      </w:pPr>
      <w:r/>
      <w:bookmarkStart w:id="66" w:name="_Toc156293246"/>
      <w:r>
        <w:rPr>
          <w:rFonts w:hint="eastAsia" w:ascii="宋体" w:hAnsi="宋体" w:cs="宋体"/>
          <w:b/>
          <w:bCs/>
          <w:lang w:val="en-US" w:eastAsia="zh-CN"/>
        </w:rPr>
        <w:t xml:space="preserve">二</w:t>
      </w:r>
      <w:r>
        <w:rPr>
          <w:rFonts w:hint="eastAsia" w:ascii="宋体" w:hAnsi="宋体" w:cs="宋体"/>
          <w:b/>
          <w:bCs/>
        </w:rPr>
        <w:t xml:space="preserve">、</w:t>
      </w:r>
      <w:bookmarkEnd w:id="66"/>
      <w:r>
        <w:rPr>
          <w:rFonts w:hint="eastAsia" w:ascii="宋体" w:hAnsi="宋体" w:cs="宋体"/>
          <w:b/>
          <w:bCs/>
          <w:lang w:val="en-US" w:eastAsia="zh-CN"/>
        </w:rPr>
        <w:t xml:space="preserve">人员要求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1、要求投入的服务人员必须驻点开展会计核算服务工作，配备1名项目负责人，驻点服务人员（不含项目负责人）日均不少于3人（含1名驻点服务组长）且保持相对稳定。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 服务人员必须具有会计、金融、财务管理等相关财经类专业本科及以上学历，具备会计从业资格，熟悉会计法、政府会计制度等法律法规，能严格执行会计基础工作规范。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3、项目组成员须为投标人的正式职工，须提供社保机构出具的近三个月投标人为其缴纳的养老保险金缴纳清单证明材料复印件（须加盖社保中心章或社保中心参保缴费证明电子专用章）。</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负责人须为投标人的正式职工，对项目有深刻理解，具备较强沟通能力和较高的职业化程度，须提供社保机构出具的近三个月投标人为其缴纳的养老保险金缴纳清单证明材料复印件（须加盖社保中心章或社保中心参保缴费证明电子专用章）。</w:t>
      </w:r>
      <w:r/>
    </w:p>
    <w:p>
      <w:pPr>
        <w:ind w:firstLine="420"/>
        <w:spacing w:line="360" w:lineRule="auto"/>
        <w:rPr>
          <w:rFonts w:hint="eastAsia" w:ascii="宋体" w:hAnsi="宋体" w:cs="宋体"/>
          <w:color w:val="ff0000"/>
          <w:lang w:val="en-US" w:eastAsia="zh-CN"/>
        </w:rPr>
      </w:pPr>
      <w:r>
        <w:rPr>
          <w:rFonts w:hint="eastAsia" w:ascii="宋体" w:hAnsi="宋体" w:cs="宋体"/>
          <w:color w:val="auto"/>
          <w:highlight w:val="none"/>
          <w:lang w:val="en-US" w:eastAsia="zh-CN"/>
        </w:rPr>
        <w:t xml:space="preserve">5、项目负责人负责本项目的整体运行实施的管理工作，须定期巡查（无须驻点），</w:t>
      </w:r>
      <w:r>
        <w:rPr>
          <w:rFonts w:hint="eastAsia" w:ascii="宋体" w:hAnsi="宋体" w:cs="宋体"/>
          <w:color w:val="auto"/>
          <w:lang w:val="en-US" w:eastAsia="zh-CN"/>
        </w:rPr>
        <w:t xml:space="preserve">发现问题须及时与招标人沟通协调。</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★6、服务人员须根据国家相关财经法规及学校财务制度进行票据审核和凭证制单。</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★7、非甲方原因，服务人员人日均制单量应不低于90单。（投标人须提供承诺函并加盖公章，格式自拟）</w:t>
      </w:r>
      <w:r/>
    </w:p>
    <w:p>
      <w:pPr>
        <w:ind w:firstLine="420"/>
        <w:spacing w:line="360" w:lineRule="auto"/>
        <w:rPr>
          <w:rFonts w:hint="eastAsia" w:ascii="宋体" w:hAnsi="宋体" w:cs="宋体"/>
          <w:color w:val="ff0000"/>
          <w:highlight w:val="none"/>
          <w:lang w:val="en-US" w:eastAsia="zh-CN"/>
        </w:rPr>
      </w:pPr>
      <w:r>
        <w:rPr>
          <w:rFonts w:hint="eastAsia" w:ascii="宋体" w:hAnsi="宋体" w:cs="宋体"/>
          <w:color w:val="auto"/>
          <w:highlight w:val="none"/>
          <w:lang w:val="en-US" w:eastAsia="zh-CN"/>
        </w:rPr>
        <w:t xml:space="preserve">★8、严格保障核算业务质量，驻点服务人员日均完成凭证制单量可容忍一般差错率控制在3%以内（全年出错数量/全年工作总量*100%）。（投标人须提供承诺函并加盖公章，格式自拟）</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9、服务人员须遵守南京师范大学劳动纪律。</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10、服务人员作应当遵循的会计人员职业道德，投标人须建立防止和杜绝会计人员在工作中出现不道德行为的有效措施及制度。</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11、投标人须提供针对本项目的储备服务人员（储备服务人员须为投标人的正式职工），在驻点服务人员出现突发情况、凭证量出现紧急任务的时候，能够随时替换或者增派人员，在规定时间内完成相应的工作，储备人员的资历不得低于拟派驻点服务人员。</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12、招标人</w:t>
      </w:r>
      <w:r>
        <w:rPr>
          <w:rFonts w:hint="eastAsia" w:ascii="宋体" w:hAnsi="宋体" w:cs="宋体"/>
          <w:color w:val="auto"/>
          <w:highlight w:val="none"/>
          <w:lang w:val="en-US" w:eastAsia="zh-CN"/>
        </w:rPr>
        <w:t xml:space="preserve">不定期</w:t>
      </w:r>
      <w:r>
        <w:rPr>
          <w:rFonts w:hint="eastAsia" w:ascii="宋体" w:hAnsi="宋体" w:cs="宋体"/>
          <w:color w:val="auto"/>
          <w:lang w:val="en-US" w:eastAsia="zh-CN"/>
        </w:rPr>
        <w:t xml:space="preserve">对驻点服务人员进行业务考核，业务考核不合格的驻点服务人员中标人须按招标人要求及时更换，替换的人员的资历不得低于原驻点服务人员。</w:t>
      </w:r>
      <w:r/>
    </w:p>
    <w:p>
      <w:pPr>
        <w:pStyle w:val="1073"/>
        <w:ind w:firstLine="0"/>
        <w:rPr>
          <w:rFonts w:hAnsi="宋体"/>
          <w:bCs/>
          <w:sz w:val="21"/>
          <w:szCs w:val="21"/>
        </w:rPr>
      </w:pPr>
      <w:r>
        <w:rPr>
          <w:rFonts w:hAnsi="宋体"/>
          <w:bCs/>
          <w:sz w:val="21"/>
          <w:szCs w:val="21"/>
        </w:rPr>
      </w:r>
      <w:r/>
    </w:p>
    <w:p>
      <w:pPr>
        <w:jc w:val="left"/>
        <w:spacing w:line="360" w:lineRule="auto"/>
        <w:rPr>
          <w:rFonts w:ascii="宋体" w:hAnsi="宋体" w:cs="宋体"/>
          <w:b/>
          <w:bCs/>
          <w:highlight w:val="none"/>
        </w:rPr>
        <w:outlineLvl w:val="1"/>
      </w:pPr>
      <w:r>
        <w:rPr>
          <w:rFonts w:hint="eastAsia" w:ascii="宋体" w:hAnsi="宋体" w:cs="宋体"/>
          <w:b/>
          <w:bCs/>
          <w:highlight w:val="none"/>
          <w:lang w:val="en-US" w:eastAsia="zh-CN"/>
        </w:rPr>
        <w:t xml:space="preserve">三</w:t>
      </w:r>
      <w:r>
        <w:rPr>
          <w:rFonts w:hint="eastAsia" w:ascii="宋体" w:hAnsi="宋体" w:cs="宋体"/>
          <w:b/>
          <w:bCs/>
          <w:highlight w:val="none"/>
        </w:rPr>
        <w:t xml:space="preserve">、服务要求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1、培训要求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（1）投标人负责对派出服务人员进行岗前的业务培训，达到一定的上岗标准后予以上岗。</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（2）派出服务人员必须参加招标人开展的人员业务培训并考核合格。</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2、保密要求：未经招标人同意不得向第三方泄露涉及招标人的财务资料、人员资料和商业秘密， 否则，中标人将承担相应的法律和赔偿责任。</w:t>
      </w:r>
      <w:r/>
    </w:p>
    <w:p>
      <w:pPr>
        <w:ind w:firstLine="420"/>
        <w:spacing w:line="360" w:lineRule="auto"/>
        <w:rPr>
          <w:rFonts w:hint="eastAsia" w:ascii="宋体" w:hAnsi="宋体" w:cs="宋体"/>
          <w:color w:val="ff0000"/>
          <w:highlight w:val="none"/>
          <w:lang w:val="en-US" w:eastAsia="zh-CN"/>
        </w:rPr>
      </w:pPr>
      <w:r>
        <w:rPr>
          <w:rFonts w:hint="eastAsia" w:ascii="宋体" w:hAnsi="宋体" w:cs="宋体"/>
          <w:color w:val="auto"/>
          <w:highlight w:val="none"/>
          <w:lang w:val="en-US" w:eastAsia="zh-CN"/>
        </w:rPr>
        <w:t xml:space="preserve">3、投标人须具有良好的服务信誉和健全的财务会计制度。</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4、中标人应积极响应招标人的工作安排，不服从工作安排的, 招标人可提前终止合同履行。</w:t>
      </w:r>
      <w:r/>
    </w:p>
    <w:p>
      <w:pPr>
        <w:ind w:firstLine="420"/>
        <w:spacing w:line="360" w:lineRule="auto"/>
        <w:rPr>
          <w:rFonts w:hint="eastAsia" w:ascii="宋体" w:hAnsi="宋体" w:cs="宋体"/>
          <w:color w:val="auto"/>
          <w:lang w:val="en-US" w:eastAsia="zh-CN"/>
        </w:rPr>
      </w:pPr>
      <w:r>
        <w:rPr>
          <w:rFonts w:hint="eastAsia" w:ascii="宋体" w:hAnsi="宋体" w:cs="宋体"/>
          <w:color w:val="auto"/>
          <w:highlight w:val="none"/>
          <w:lang w:val="en-US" w:eastAsia="zh-CN"/>
        </w:rPr>
        <w:t xml:space="preserve">5、中标人负责承担派出服务人员的工资、劳保、相关福利，婚、丧、病、事等请假代班发生的</w:t>
      </w:r>
      <w:r>
        <w:rPr>
          <w:rFonts w:hint="eastAsia" w:ascii="宋体" w:hAnsi="宋体" w:cs="宋体"/>
          <w:color w:val="auto"/>
          <w:lang w:val="en-US" w:eastAsia="zh-CN"/>
        </w:rPr>
        <w:t xml:space="preserve">费用以及聘用期间所发生的人身意外伤亡、伤害事故的所有费用和全部责任；地方政府政策性调整最低工资标准及社会统筹缴纳标准，均由中标人自行承担，与招标人无关。</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6、中标人必须严格遵守国家有关法律法规和行业规章制度及招标人有关规定，规范履行职责，并接受招标人的不定期考核。</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7、中标人与派出人员发生劳动纠纷时，不应影响招标人的财务服务委托业务，如出现严重影响招标人委托服务工作的，由中标人承担所有损失责任。</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8、中标人派出人员从招标人领取的工作工具、设备和其他物品， 由招标人负责登记管理，在员工离职时，由中标人项目负责人负责协助收回交还招标人。中标人造成招标人设施、设备丢失、损坏的，应按照实际损失金额给予招标人赔偿，中标人不予赔偿的，招标人在服务费结算款中扣除。</w:t>
      </w:r>
      <w:r/>
    </w:p>
    <w:p>
      <w:pPr>
        <w:ind w:firstLine="420"/>
        <w:spacing w:line="360" w:lineRule="auto"/>
        <w:rPr>
          <w:rFonts w:hint="eastAsia" w:ascii="宋体" w:hAnsi="宋体" w:eastAsia="宋体" w:cs="宋体"/>
          <w:color w:val="ff0000"/>
          <w:lang w:val="en-US" w:eastAsia="zh-CN"/>
        </w:rPr>
      </w:pPr>
      <w:r>
        <w:rPr>
          <w:rFonts w:hint="eastAsia" w:ascii="宋体" w:hAnsi="宋体" w:eastAsia="宋体" w:cs="宋体"/>
          <w:color w:val="ff0000"/>
          <w:lang w:val="en-US" w:eastAsia="zh-CN"/>
        </w:rPr>
      </w:r>
      <w:bookmarkEnd w:id="64"/>
      <w:r/>
      <w:r/>
    </w:p>
    <w:p>
      <w:pPr>
        <w:jc w:val="left"/>
        <w:spacing w:line="360" w:lineRule="auto"/>
        <w:rPr>
          <w:rFonts w:ascii="宋体" w:hAnsi="宋体" w:cs="宋体"/>
          <w:b/>
          <w:bCs/>
          <w:color w:val="auto"/>
        </w:rPr>
        <w:outlineLvl w:val="1"/>
      </w:pPr>
      <w:r>
        <w:rPr>
          <w:rFonts w:hint="eastAsia" w:ascii="宋体" w:hAnsi="宋体" w:cs="宋体"/>
          <w:b/>
          <w:bCs/>
          <w:color w:val="auto"/>
          <w:lang w:val="en-US" w:eastAsia="zh-CN"/>
        </w:rPr>
        <w:t xml:space="preserve">四</w:t>
      </w:r>
      <w:r>
        <w:rPr>
          <w:rFonts w:hint="eastAsia" w:ascii="宋体" w:hAnsi="宋体" w:cs="宋体"/>
          <w:b/>
          <w:bCs/>
          <w:color w:val="auto"/>
        </w:rPr>
        <w:t xml:space="preserve">、商务要求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1、服务期限：</w:t>
      </w:r>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rPr>
          <w:rFonts w:hint="eastAsia" w:ascii="宋体" w:hAnsi="宋体" w:eastAsia="宋体" w:cs="宋体"/>
          <w:color w:val="auto"/>
          <w:highlight w:val="none"/>
          <w:lang w:val="en-US"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2、付款方式：</w:t>
      </w:r>
      <w:r>
        <w:rPr>
          <w:rFonts w:hint="eastAsia" w:ascii="宋体" w:hAnsi="宋体" w:cs="宋体"/>
          <w:bCs/>
          <w:color w:val="auto"/>
          <w:highlight w:val="none"/>
        </w:rPr>
        <w:t xml:space="preserve">合同签订后支付</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服务期满，经招标人对合同约定的制单量及差错率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进行考核，验收合格后，支付剩余</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eastAsia="宋体" w:cs="宋体"/>
          <w:color w:val="auto"/>
          <w:highlight w:val="none"/>
          <w:lang w:val="en-US" w:eastAsia="zh-CN"/>
        </w:rPr>
        <w:t xml:space="preserve">。</w:t>
      </w:r>
      <w:r/>
    </w:p>
    <w:p>
      <w:pPr>
        <w:ind w:firstLine="420"/>
        <w:spacing w:line="360" w:lineRule="auto"/>
        <w:rPr>
          <w:rFonts w:hint="eastAsia" w:eastAsia="宋体"/>
          <w:b w:val="0"/>
          <w:bCs w:val="0"/>
          <w:color w:val="ff0000"/>
          <w:highlight w:val="none"/>
          <w:lang w:eastAsia="zh-CN"/>
        </w:rPr>
      </w:pPr>
      <w:r>
        <w:rPr>
          <w:rFonts w:hint="eastAsia" w:ascii="宋体" w:hAnsi="宋体" w:cs="宋体"/>
          <w:b w:val="0"/>
          <w:bCs w:val="0"/>
          <w:color w:val="auto"/>
          <w:highlight w:val="none"/>
        </w:rPr>
        <w:t xml:space="preserve">3、报价要求</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投标人应在投标文件中</w:t>
      </w:r>
      <w:r>
        <w:rPr>
          <w:rFonts w:hint="eastAsia" w:eastAsia="宋体"/>
          <w:b w:val="0"/>
          <w:bCs w:val="0"/>
          <w:color w:val="auto"/>
          <w:highlight w:val="none"/>
          <w:lang w:eastAsia="zh-CN"/>
        </w:rPr>
        <w:t xml:space="preserve">提供本项目的服务总报价和费用明细，</w:t>
      </w:r>
      <w:r>
        <w:rPr>
          <w:rFonts w:hint="eastAsia" w:eastAsia="宋体"/>
          <w:b w:val="0"/>
          <w:bCs w:val="0"/>
          <w:color w:val="auto"/>
          <w:highlight w:val="none"/>
          <w:lang w:val="en-US" w:eastAsia="zh-CN"/>
        </w:rPr>
        <w:t xml:space="preserve">投标</w:t>
      </w:r>
      <w:r>
        <w:rPr>
          <w:rFonts w:hint="eastAsia" w:eastAsia="宋体"/>
          <w:b w:val="0"/>
          <w:bCs w:val="0"/>
          <w:color w:val="auto"/>
          <w:highlight w:val="none"/>
          <w:lang w:eastAsia="zh-CN"/>
        </w:rPr>
        <w:t xml:space="preserve">报价须包含本项目所有内容产生的所有费用，</w:t>
      </w:r>
      <w:r>
        <w:rPr>
          <w:rFonts w:hint="eastAsia" w:eastAsia="宋体"/>
          <w:b w:val="0"/>
          <w:bCs w:val="0"/>
          <w:color w:val="auto"/>
          <w:highlight w:val="none"/>
          <w:lang w:val="en-US" w:eastAsia="zh-CN"/>
        </w:rPr>
        <w:t xml:space="preserve">招标</w:t>
      </w:r>
      <w:r>
        <w:rPr>
          <w:rFonts w:eastAsia="宋体"/>
          <w:b w:val="0"/>
          <w:bCs w:val="0"/>
          <w:color w:val="auto"/>
          <w:highlight w:val="none"/>
          <w:lang w:eastAsia="zh-CN"/>
        </w:rPr>
        <w:t xml:space="preserve">人后期不予增加任何费用，</w:t>
      </w:r>
      <w:r>
        <w:rPr>
          <w:rFonts w:hint="eastAsia" w:eastAsia="宋体"/>
          <w:b w:val="0"/>
          <w:bCs w:val="0"/>
          <w:color w:val="auto"/>
          <w:highlight w:val="none"/>
          <w:lang w:val="en-US" w:eastAsia="zh-CN"/>
        </w:rPr>
        <w:t xml:space="preserve">投标人</w:t>
      </w:r>
      <w:r>
        <w:rPr>
          <w:rFonts w:eastAsia="宋体"/>
          <w:b w:val="0"/>
          <w:bCs w:val="0"/>
          <w:color w:val="auto"/>
          <w:highlight w:val="none"/>
          <w:lang w:eastAsia="zh-CN"/>
        </w:rPr>
        <w:t xml:space="preserve">须自行考虑各项风险</w:t>
      </w:r>
      <w:r>
        <w:rPr>
          <w:rFonts w:hint="eastAsia" w:eastAsia="宋体"/>
          <w:b w:val="0"/>
          <w:bCs w:val="0"/>
          <w:color w:val="auto"/>
          <w:highlight w:val="none"/>
          <w:lang w:eastAsia="zh-CN"/>
        </w:rPr>
        <w:t xml:space="preserve">。</w:t>
      </w:r>
      <w:r/>
    </w:p>
    <w:p>
      <w:pPr>
        <w:ind w:firstLine="420"/>
        <w:spacing w:line="360" w:lineRule="auto"/>
        <w:rPr>
          <w:rFonts w:hint="eastAsia" w:eastAsia="宋体"/>
          <w:b w:val="0"/>
          <w:bCs w:val="0"/>
          <w:color w:val="ff0000"/>
          <w:highlight w:val="none"/>
          <w:lang w:eastAsia="zh-CN"/>
        </w:rPr>
      </w:pPr>
      <w:r>
        <w:rPr>
          <w:rFonts w:hint="eastAsia" w:eastAsia="宋体"/>
          <w:b w:val="0"/>
          <w:bCs w:val="0"/>
          <w:color w:val="ff0000"/>
          <w:highlight w:val="none"/>
          <w:lang w:eastAsia="zh-CN"/>
        </w:rPr>
      </w:r>
      <w:r/>
    </w:p>
    <w:p>
      <w:pPr>
        <w:jc w:val="left"/>
        <w:spacing w:line="360" w:lineRule="auto"/>
        <w:rPr>
          <w:rFonts w:hint="default" w:ascii="宋体" w:hAnsi="宋体" w:eastAsia="宋体" w:cs="宋体"/>
          <w:b/>
          <w:bCs/>
          <w:highlight w:val="none"/>
          <w:lang w:val="en-US" w:eastAsia="zh-CN"/>
        </w:rPr>
        <w:outlineLvl w:val="1"/>
      </w:pPr>
      <w:r>
        <w:rPr>
          <w:rFonts w:hint="eastAsia" w:ascii="宋体" w:hAnsi="宋体" w:cs="宋体"/>
          <w:b/>
          <w:bCs/>
          <w:highlight w:val="none"/>
          <w:lang w:val="en-US" w:eastAsia="zh-CN"/>
        </w:rPr>
        <w:t xml:space="preserve">五</w:t>
      </w:r>
      <w:r>
        <w:rPr>
          <w:rFonts w:hint="eastAsia" w:ascii="宋体" w:hAnsi="宋体" w:cs="宋体"/>
          <w:b/>
          <w:bCs/>
          <w:highlight w:val="none"/>
        </w:rPr>
        <w:t xml:space="preserve">、</w:t>
      </w:r>
      <w:r>
        <w:rPr>
          <w:rFonts w:hint="eastAsia" w:ascii="宋体" w:hAnsi="宋体" w:cs="宋体"/>
          <w:b/>
          <w:bCs/>
          <w:highlight w:val="none"/>
          <w:lang w:val="en-US" w:eastAsia="zh-CN"/>
        </w:rPr>
        <w:t xml:space="preserve">履约验收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1、验收方式及程序：按招标人要求的验收流程及措施对项目进行履约验收。</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2、验收内容（包括每项技术和商务要求）：满足技术指标和商务要求。</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（1）非甲方原因，服务人员人日均制单量应不低于90单。</w:t>
      </w:r>
      <w:r/>
    </w:p>
    <w:p>
      <w:pPr>
        <w:ind w:firstLine="420"/>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（2）严格保障核算业务质量，驻点服务人员日均完成凭证制单量可容忍一般差错率控制在3%以内（全年出错数量/全年工作总量*100%）。</w:t>
      </w:r>
      <w:r/>
    </w:p>
    <w:p>
      <w:pPr>
        <w:ind w:firstLine="420"/>
        <w:spacing w:line="360" w:lineRule="auto"/>
        <w:rPr>
          <w:rFonts w:hint="default" w:ascii="宋体" w:hAnsi="宋体" w:cs="宋体"/>
          <w:b w:val="0"/>
          <w:bCs w:val="0"/>
          <w:color w:val="ff0000"/>
          <w:highlight w:val="yellow"/>
          <w:lang w:val="en-US" w:eastAsia="zh-CN"/>
        </w:rPr>
      </w:pPr>
      <w:r>
        <w:rPr>
          <w:rFonts w:hint="default" w:ascii="宋体" w:hAnsi="宋体" w:cs="宋体"/>
          <w:b w:val="0"/>
          <w:bCs w:val="0"/>
          <w:color w:val="ff0000"/>
          <w:highlight w:val="yellow"/>
          <w:lang w:val="en-US" w:eastAsia="zh-CN"/>
        </w:rPr>
      </w:r>
      <w:r/>
    </w:p>
    <w:p>
      <w:pPr>
        <w:jc w:val="left"/>
        <w:spacing w:line="360" w:lineRule="auto"/>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t xml:space="preserve">六、违约及赔偿</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1、非甲方原因，服务人员人日均制单量应不低于90单，每降低10单扣减合同款的1%（人日均80-89单扣1%，70-79单扣2%，以此类推），人日均制单量低于60单甲方可要求换人。</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严格保障核算业务质量，驻点服务人员日均完成凭证制单量可容忍一般差错率控制在3%以内（全年出错数量/全年工作总量*100%），可容忍一般差错率超过3%，每上升1%扣减合同款的1%，可容忍一般差错率超过5%招标人可要求换人。</w:t>
      </w:r>
      <w:r/>
    </w:p>
    <w:p>
      <w:pPr>
        <w:ind w:firstLine="420"/>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jc w:val="left"/>
        <w:spacing w:line="360" w:lineRule="auto"/>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t xml:space="preserve">七、说明</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1、针对上述采购需求在偏离表（见附件）中逐条表述及承诺；</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2、如无特别说明，每个项目只允许有一个报价，任何有选择的报价将不予接受。</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3、本章打“★”内容为实质性要求，不允许负偏离，否则视为无效。</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1073"/>
        <w:ind w:firstLine="422"/>
        <w:rPr>
          <w:rFonts w:hAnsi="宋体" w:cs="宋体"/>
          <w:b/>
          <w:bCs/>
          <w:color w:val="auto"/>
        </w:rPr>
      </w:pPr>
      <w:r>
        <w:rPr>
          <w:rFonts w:hAnsi="宋体" w:cs="宋体"/>
          <w:b/>
          <w:bCs/>
          <w:color w:val="auto"/>
        </w:rPr>
      </w:r>
      <w:r/>
    </w:p>
    <w:p>
      <w:pPr>
        <w:ind w:firstLine="422"/>
        <w:jc w:val="left"/>
        <w:spacing w:line="360" w:lineRule="auto"/>
        <w:rPr>
          <w:rFonts w:ascii="宋体" w:hAnsi="宋体" w:cs="宋体"/>
          <w:b/>
          <w:bCs/>
          <w:color w:val="ff0000"/>
        </w:rPr>
      </w:pPr>
      <w:r>
        <w:rPr>
          <w:rFonts w:ascii="宋体" w:hAnsi="宋体" w:cs="宋体"/>
          <w:b/>
          <w:bCs/>
          <w:color w:val="ff0000"/>
        </w:rPr>
      </w:r>
      <w:r/>
    </w:p>
    <w:p>
      <w:pPr>
        <w:jc w:val="left"/>
        <w:spacing w:line="360" w:lineRule="auto"/>
        <w:rPr>
          <w:rFonts w:ascii="宋体" w:hAnsi="宋体" w:cs="宋体"/>
        </w:rPr>
      </w:pPr>
      <w:r>
        <w:rPr>
          <w:rFonts w:hint="eastAsia" w:ascii="宋体" w:hAnsi="宋体" w:cs="宋体"/>
          <w:color w:val="ff0000"/>
        </w:rPr>
        <w:t xml:space="preserve"> </w:t>
      </w:r>
      <w:r>
        <w:rPr>
          <w:rFonts w:hint="eastAsia" w:ascii="宋体" w:hAnsi="宋体" w:cs="宋体"/>
          <w:sz w:val="24"/>
          <w:szCs w:val="24"/>
        </w:rPr>
        <w:br w:type="page" w:clear="all"/>
      </w:r>
      <w:r/>
    </w:p>
    <w:p>
      <w:pPr>
        <w:pStyle w:val="1062"/>
        <w:spacing w:line="360" w:lineRule="auto"/>
        <w:rPr>
          <w:rFonts w:ascii="宋体" w:hAnsi="宋体" w:eastAsia="宋体" w:cs="宋体"/>
          <w:b/>
          <w:bCs/>
          <w:lang w:val="zh-CN"/>
        </w:rPr>
      </w:pPr>
      <w:r/>
      <w:bookmarkStart w:id="67" w:name="_Toc9862"/>
      <w:r/>
      <w:bookmarkStart w:id="68" w:name="_Toc10708"/>
      <w:r>
        <w:rPr>
          <w:rFonts w:hint="eastAsia" w:ascii="宋体" w:hAnsi="宋体" w:eastAsia="宋体" w:cs="宋体"/>
          <w:b/>
          <w:bCs/>
          <w:lang w:val="zh-CN"/>
        </w:rPr>
        <w:t xml:space="preserve">第五章  评标方法和评标标准</w:t>
      </w:r>
      <w:bookmarkEnd w:id="67"/>
      <w:r/>
      <w:bookmarkEnd w:id="68"/>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且按照评标因素的量化指标评标得分最高的排名第一的中标候选人为中标人。若出现排名第一的中标候选人放弃中标或不能按招标文件规定签订合同等原因取消中标资格，则按排名顺序依次确定排名其后的中标候选人为中标人或重新招标。本项目选取1名中标人。</w:t>
      </w:r>
      <w:r/>
    </w:p>
    <w:p>
      <w:pPr>
        <w:ind w:firstLine="422"/>
        <w:spacing w:line="360" w:lineRule="auto"/>
        <w:rPr>
          <w:rFonts w:ascii="宋体" w:hAnsi="宋体" w:cs="宋体"/>
          <w:b/>
          <w:highlight w:val="none"/>
        </w:rPr>
      </w:pPr>
      <w:r>
        <w:rPr>
          <w:rFonts w:hint="eastAsia" w:ascii="宋体" w:hAnsi="宋体" w:cs="宋体"/>
          <w:b/>
          <w:highlight w:val="none"/>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7"/>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7"/>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7"/>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2"/>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2"/>
        <w:spacing w:line="360" w:lineRule="auto"/>
        <w:rPr>
          <w:rFonts w:ascii="宋体" w:hAnsi="宋体" w:cs="宋体"/>
        </w:rPr>
      </w:pPr>
      <w:r>
        <w:rPr>
          <w:rFonts w:ascii="宋体" w:hAnsi="宋体" w:cs="宋体"/>
        </w:rPr>
        <w:t xml:space="preserve">5</w:t>
      </w:r>
      <w:r>
        <w:rPr>
          <w:rFonts w:hint="eastAsia" w:ascii="宋体" w:hAnsi="宋体" w:cs="宋体"/>
        </w:rPr>
        <w:t xml:space="preserve">、对本国产品的支持政策</w:t>
      </w:r>
      <w:r/>
    </w:p>
    <w:p>
      <w:pPr>
        <w:ind w:firstLine="472"/>
        <w:spacing w:line="360" w:lineRule="auto"/>
        <w:rPr>
          <w:rFonts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p>
    <w:p>
      <w:pPr>
        <w:ind w:firstLine="472"/>
        <w:spacing w:line="360" w:lineRule="auto"/>
        <w:rPr>
          <w:rFonts w:ascii="宋体" w:hAnsi="宋体" w:cs="宋体"/>
        </w:rPr>
      </w:pPr>
      <w:r>
        <w:rPr>
          <w:rFonts w:hint="eastAsia" w:ascii="宋体" w:hAnsi="宋体" w:cs="宋体"/>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72"/>
        <w:spacing w:line="360" w:lineRule="auto"/>
        <w:rPr>
          <w:rFonts w:ascii="宋体" w:hAnsi="宋体" w:cs="宋体"/>
        </w:rPr>
      </w:pPr>
      <w:r>
        <w:rPr>
          <w:rFonts w:hint="eastAsia" w:ascii="宋体" w:hAnsi="宋体" w:cs="宋体"/>
        </w:rPr>
        <w:t xml:space="preserve">（2）投标人需按照招标文件的要求提供相应的《关于符合本国产品标准的声明函》或财政部会同有关部门规定的有关证明文件。</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7"/>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7"/>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（四）本项目评分总分值为100分。</w:t>
      </w:r>
      <w:bookmarkEnd w:id="58"/>
      <w:r/>
      <w:bookmarkEnd w:id="59"/>
      <w:r/>
      <w:bookmarkEnd w:id="62"/>
      <w:r/>
      <w:bookmarkEnd w:id="63"/>
      <w:r/>
      <w:bookmarkEnd w:id="65"/>
      <w:r/>
      <w:r/>
    </w:p>
    <w:p>
      <w:pPr>
        <w:ind w:firstLine="367"/>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69" w:name="_Toc31966"/>
      <w:r/>
      <w:bookmarkStart w:id="70" w:name="_Toc20241699"/>
      <w:r/>
      <w:bookmarkStart w:id="71" w:name="_Toc4695304"/>
      <w:r>
        <w:rPr>
          <w:rFonts w:hint="eastAsia" w:ascii="宋体" w:hAnsi="宋体" w:cs="宋体"/>
          <w:b/>
          <w:sz w:val="24"/>
          <w:szCs w:val="24"/>
        </w:rPr>
        <w:t xml:space="preserve">评分</w:t>
      </w:r>
      <w:bookmarkEnd w:id="69"/>
      <w:r/>
      <w:bookmarkEnd w:id="70"/>
      <w:r/>
      <w:bookmarkEnd w:id="71"/>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highlight w:val="none"/>
        </w:rPr>
      </w:pPr>
      <w:r>
        <w:rPr>
          <w:rFonts w:hint="eastAsia" w:ascii="宋体" w:hAnsi="宋体" w:cs="宋体"/>
          <w:b/>
          <w:highlight w:val="none"/>
        </w:rPr>
        <w:t xml:space="preserve">一、价格标评分（</w:t>
      </w:r>
      <w:r>
        <w:rPr>
          <w:rFonts w:hint="eastAsia" w:ascii="宋体" w:hAnsi="宋体" w:cs="宋体"/>
          <w:b/>
          <w:highlight w:val="none"/>
          <w:lang w:val="en-US" w:eastAsia="zh-CN"/>
        </w:rPr>
        <w:t xml:space="preserve">30</w:t>
      </w:r>
      <w:r>
        <w:rPr>
          <w:rFonts w:hint="eastAsia" w:ascii="宋体" w:hAnsi="宋体" w:cs="宋体"/>
          <w:b/>
          <w:highlight w:val="none"/>
        </w:rPr>
        <w:t xml:space="preserve">分）</w:t>
      </w:r>
      <w:r/>
    </w:p>
    <w:tbl>
      <w:tblPr>
        <w:tblStyle w:val="1072"/>
        <w:tblW w:w="8749" w:type="dxa"/>
        <w:tblInd w:w="9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6"/>
        <w:gridCol w:w="1243"/>
        <w:gridCol w:w="813"/>
        <w:gridCol w:w="6027"/>
      </w:tblGrid>
      <w:tr>
        <w:trPr>
          <w:trHeight w:val="359"/>
        </w:trPr>
        <w:tc>
          <w:tcPr>
            <w:tcW w:w="66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81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6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81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lang w:val="en-US" w:eastAsia="zh-CN"/>
              </w:rPr>
              <w:t xml:space="preserve">30</w:t>
            </w:r>
            <w:r>
              <w:rPr>
                <w:rFonts w:hint="eastAsia" w:ascii="宋体" w:hAnsi="宋体" w:cs="宋体"/>
                <w:highlight w:val="none"/>
              </w:rPr>
              <w:t xml:space="preserve">分</w:t>
            </w:r>
            <w:r/>
          </w:p>
        </w:tc>
        <w:tc>
          <w:tcPr>
            <w:tcW w:w="6027" w:type="dxa"/>
            <w:vAlign w:val="center"/>
            <w:textDirection w:val="lrTb"/>
            <w:noWrap w:val="false"/>
          </w:tcPr>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1、综合评分法中的价格分统一采用低价优先法计算，即满足招标文件要求且评标报价最低的为基准价，其价格分为满分</w:t>
            </w:r>
            <w:r>
              <w:rPr>
                <w:rFonts w:hint="eastAsia" w:ascii="宋体" w:hAnsi="宋体" w:cs="宋体"/>
                <w:spacing w:val="-8"/>
                <w:highlight w:val="none"/>
                <w:lang w:val="en-US" w:eastAsia="zh-CN"/>
              </w:rPr>
              <w:t xml:space="preserve">30</w:t>
            </w:r>
            <w:r>
              <w:rPr>
                <w:rFonts w:hint="eastAsia" w:ascii="宋体" w:hAnsi="宋体" w:cs="宋体"/>
                <w:spacing w:val="-8"/>
                <w:highlight w:val="none"/>
              </w:rPr>
              <w:t xml:space="preserve">分。</w:t>
            </w:r>
            <w:r/>
          </w:p>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2、其他投标人的投标报价得分计算公式如下：</w:t>
            </w:r>
            <w:r/>
          </w:p>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投标报价得分=(评标基准价／投标报价)×价格权值×100。</w:t>
            </w:r>
            <w:r/>
          </w:p>
        </w:tc>
      </w:tr>
    </w:tbl>
    <w:p>
      <w:pPr>
        <w:numPr>
          <w:ilvl w:val="0"/>
          <w:numId w:val="2"/>
        </w:numPr>
        <w:jc w:val="center"/>
        <w:spacing w:line="360" w:lineRule="auto"/>
        <w:tabs>
          <w:tab w:val="left" w:pos="900" w:leader="none"/>
        </w:tabs>
        <w:rPr>
          <w:rFonts w:ascii="宋体" w:hAnsi="宋体" w:cs="宋体"/>
          <w:b/>
        </w:rPr>
      </w:pPr>
      <w:r>
        <w:rPr>
          <w:rFonts w:hint="eastAsia" w:ascii="宋体" w:hAnsi="宋体" w:cs="宋体"/>
          <w:b/>
        </w:rPr>
        <w:t xml:space="preserve">技术商务标评分表</w:t>
      </w:r>
      <w:r>
        <w:rPr>
          <w:rFonts w:hint="eastAsia" w:ascii="宋体" w:hAnsi="宋体" w:cs="宋体"/>
          <w:b/>
          <w:highlight w:val="none"/>
        </w:rPr>
        <w:t xml:space="preserve">（</w:t>
      </w:r>
      <w:r>
        <w:rPr>
          <w:rFonts w:hint="eastAsia" w:ascii="宋体" w:hAnsi="宋体" w:cs="宋体"/>
          <w:b/>
          <w:highlight w:val="none"/>
          <w:lang w:val="en-US" w:eastAsia="zh-CN"/>
        </w:rPr>
        <w:t xml:space="preserve">70</w:t>
      </w:r>
      <w:r>
        <w:rPr>
          <w:rFonts w:hint="eastAsia" w:ascii="宋体" w:hAnsi="宋体" w:cs="宋体"/>
          <w:b/>
          <w:highlight w:val="none"/>
        </w:rPr>
        <w:t xml:space="preserve">分</w:t>
      </w:r>
      <w:r>
        <w:rPr>
          <w:rFonts w:hint="eastAsia" w:ascii="宋体" w:hAnsi="宋体" w:cs="宋体"/>
          <w:b/>
        </w:rPr>
        <w:t xml:space="preserve">）</w:t>
      </w:r>
      <w:r/>
    </w:p>
    <w:tbl>
      <w:tblPr>
        <w:tblStyle w:val="1072"/>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8"/>
        <w:gridCol w:w="1239"/>
        <w:gridCol w:w="700"/>
        <w:gridCol w:w="6128"/>
      </w:tblGrid>
      <w:tr>
        <w:trPr>
          <w:jc w:val="center"/>
          <w:trHeight w:val="567"/>
        </w:trPr>
        <w:tc>
          <w:tcPr>
            <w:tcW w:w="688" w:type="dxa"/>
            <w:vAlign w:val="center"/>
            <w:textDirection w:val="lrTb"/>
            <w:noWrap w:val="false"/>
          </w:tcPr>
          <w:p>
            <w:pPr>
              <w:jc w:val="center"/>
              <w:spacing w:line="360" w:lineRule="auto"/>
              <w:rPr>
                <w:rFonts w:ascii="宋体" w:hAnsi="宋体" w:cs="宋体"/>
              </w:rPr>
            </w:pPr>
            <w:r/>
            <w:bookmarkStart w:id="72" w:name="_Hlk106727412"/>
            <w:r>
              <w:rPr>
                <w:rFonts w:hint="eastAsia" w:ascii="宋体" w:hAnsi="宋体" w:cs="宋体"/>
              </w:rPr>
              <w:t xml:space="preserve">序号</w:t>
            </w:r>
            <w:r/>
          </w:p>
        </w:tc>
        <w:tc>
          <w:tcPr>
            <w:tcW w:w="12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评审因素</w:t>
            </w:r>
            <w:r/>
          </w:p>
        </w:tc>
        <w:tc>
          <w:tcPr>
            <w:tcW w:w="7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2176"/>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39" w:type="dxa"/>
            <w:vAlign w:val="center"/>
            <w:textDirection w:val="lrTb"/>
            <w:noWrap w:val="false"/>
          </w:tcPr>
          <w:p>
            <w:pPr>
              <w:ind w:right="-87"/>
              <w:jc w:val="center"/>
              <w:spacing w:line="360" w:lineRule="auto"/>
            </w:pPr>
            <w:r>
              <w:rPr>
                <w:rFonts w:hint="eastAsia"/>
              </w:rPr>
              <w:t xml:space="preserve">类似业绩</w:t>
            </w:r>
            <w:r/>
          </w:p>
        </w:tc>
        <w:tc>
          <w:tcPr>
            <w:tcW w:w="700" w:type="dxa"/>
            <w:vAlign w:val="center"/>
            <w:textDirection w:val="lrTb"/>
            <w:noWrap w:val="false"/>
          </w:tcPr>
          <w:p>
            <w:pPr>
              <w:jc w:val="center"/>
              <w:spacing w:line="360" w:lineRule="auto"/>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15</w:t>
            </w:r>
            <w:r/>
          </w:p>
        </w:tc>
        <w:tc>
          <w:tcPr>
            <w:tcW w:w="6128" w:type="dxa"/>
            <w:vAlign w:val="center"/>
            <w:textDirection w:val="lrTb"/>
            <w:noWrap w:val="false"/>
          </w:tcPr>
          <w:p>
            <w:pPr>
              <w:spacing w:line="360" w:lineRule="auto"/>
              <w:rPr>
                <w:rFonts w:hint="eastAsia" w:ascii="宋体" w:hAnsi="宋体" w:eastAsia="宋体" w:cs="宋体"/>
                <w:highlight w:val="none"/>
                <w:lang w:eastAsia="zh-CN"/>
              </w:rPr>
            </w:pPr>
            <w:r>
              <w:rPr>
                <w:rFonts w:hint="eastAsia" w:ascii="宋体" w:hAnsi="宋体" w:cs="宋体"/>
                <w:highlight w:val="none"/>
              </w:rPr>
              <w:t xml:space="preserve">近三年</w:t>
            </w:r>
            <w:r>
              <w:rPr>
                <w:rFonts w:hint="eastAsia" w:ascii="宋体" w:hAnsi="宋体" w:cs="宋体"/>
                <w:highlight w:val="none"/>
                <w:lang w:val="en-US" w:eastAsia="zh-CN"/>
              </w:rPr>
              <w:t xml:space="preserve">【</w:t>
            </w:r>
            <w:r>
              <w:rPr>
                <w:rFonts w:hint="eastAsia" w:ascii="宋体" w:hAnsi="宋体" w:cs="宋体"/>
                <w:highlight w:val="none"/>
              </w:rPr>
              <w:t xml:space="preserve">202</w:t>
            </w:r>
            <w:r>
              <w:rPr>
                <w:rFonts w:hint="eastAsia" w:ascii="宋体" w:hAnsi="宋体" w:cs="宋体"/>
                <w:highlight w:val="none"/>
                <w:lang w:val="en-US" w:eastAsia="zh-CN"/>
              </w:rPr>
              <w:t xml:space="preserve">3</w:t>
            </w:r>
            <w:r>
              <w:rPr>
                <w:rFonts w:hint="eastAsia" w:ascii="宋体" w:hAnsi="宋体" w:cs="宋体"/>
                <w:highlight w:val="none"/>
              </w:rPr>
              <w:t xml:space="preserve">年1月至今</w:t>
            </w:r>
            <w:r>
              <w:rPr>
                <w:rFonts w:hint="eastAsia" w:ascii="宋体" w:hAnsi="宋体" w:cs="宋体"/>
                <w:highlight w:val="none"/>
                <w:lang w:val="en-US" w:eastAsia="zh-CN"/>
              </w:rPr>
              <w:t xml:space="preserve">】</w:t>
            </w:r>
            <w:r>
              <w:rPr>
                <w:rFonts w:hint="eastAsia" w:ascii="宋体" w:hAnsi="宋体" w:cs="宋体"/>
                <w:highlight w:val="none"/>
              </w:rPr>
              <w:t xml:space="preserve">投标人曾参与过类似会计核算业务服务</w:t>
            </w:r>
            <w:r>
              <w:rPr>
                <w:rFonts w:hint="eastAsia" w:ascii="宋体" w:hAnsi="宋体" w:cs="宋体"/>
                <w:highlight w:val="none"/>
                <w:lang w:val="en-US" w:eastAsia="zh-CN"/>
              </w:rPr>
              <w:t xml:space="preserve">项目</w:t>
            </w:r>
            <w:r>
              <w:rPr>
                <w:rFonts w:hint="eastAsia" w:ascii="宋体" w:hAnsi="宋体" w:cs="宋体"/>
                <w:highlight w:val="none"/>
              </w:rPr>
              <w:t xml:space="preserve">的业绩情况，须提供合同复印件</w:t>
            </w:r>
            <w:r>
              <w:rPr>
                <w:rFonts w:hint="eastAsia" w:ascii="宋体" w:hAnsi="宋体" w:cs="宋体"/>
                <w:highlight w:val="none"/>
                <w:lang w:val="en-US" w:eastAsia="zh-CN"/>
              </w:rPr>
              <w:t xml:space="preserve">和对应业绩任意一笔银行回单</w:t>
            </w:r>
            <w:r>
              <w:rPr>
                <w:rFonts w:hint="eastAsia" w:ascii="宋体" w:hAnsi="宋体" w:cs="宋体"/>
                <w:b/>
                <w:bCs/>
                <w:highlight w:val="none"/>
              </w:rPr>
              <w:t xml:space="preserve">（所提供的合同必须提供合同双方签署页及合同签署双方的完整信息，合同必须能体现服务内容，并加盖投标人公章）</w:t>
            </w:r>
            <w:r>
              <w:rPr>
                <w:rFonts w:hint="eastAsia" w:ascii="宋体" w:hAnsi="宋体" w:cs="宋体"/>
                <w:highlight w:val="none"/>
              </w:rPr>
              <w:t xml:space="preserve">，每提供一个有效合同得</w:t>
            </w:r>
            <w:r>
              <w:rPr>
                <w:rFonts w:hint="eastAsia" w:ascii="宋体" w:hAnsi="宋体" w:cs="宋体"/>
                <w:highlight w:val="none"/>
                <w:lang w:val="en-US" w:eastAsia="zh-CN"/>
              </w:rPr>
              <w:t xml:space="preserve">1.5</w:t>
            </w:r>
            <w:r>
              <w:rPr>
                <w:rFonts w:hint="eastAsia" w:ascii="宋体" w:hAnsi="宋体" w:cs="宋体"/>
                <w:highlight w:val="none"/>
              </w:rPr>
              <w:t xml:space="preserve">分，最多得</w:t>
            </w:r>
            <w:r>
              <w:rPr>
                <w:rFonts w:hint="eastAsia" w:ascii="宋体" w:hAnsi="宋体" w:cs="宋体"/>
                <w:highlight w:val="none"/>
                <w:lang w:val="en-US" w:eastAsia="zh-CN"/>
              </w:rPr>
              <w:t xml:space="preserve">15</w:t>
            </w:r>
            <w:r>
              <w:rPr>
                <w:rFonts w:hint="eastAsia" w:ascii="宋体" w:hAnsi="宋体" w:cs="宋体"/>
                <w:highlight w:val="none"/>
              </w:rPr>
              <w:t xml:space="preserve">分，未提供不得分。</w:t>
            </w:r>
            <w:r>
              <w:rPr>
                <w:rFonts w:hint="eastAsia" w:ascii="宋体" w:hAnsi="宋体" w:cs="宋体"/>
                <w:highlight w:val="none"/>
                <w:lang w:val="en-US" w:eastAsia="zh-CN"/>
              </w:rPr>
              <w:t xml:space="preserve">注：</w:t>
            </w:r>
            <w:r>
              <w:rPr>
                <w:rFonts w:hint="eastAsia" w:ascii="宋体" w:hAnsi="宋体" w:cs="宋体"/>
                <w:highlight w:val="none"/>
              </w:rPr>
              <w:t xml:space="preserve">同一用户单位不重复计分</w:t>
            </w:r>
            <w:r>
              <w:rPr>
                <w:rFonts w:hint="eastAsia" w:ascii="宋体" w:hAnsi="宋体" w:cs="宋体"/>
                <w:highlight w:val="none"/>
                <w:lang w:eastAsia="zh-CN"/>
              </w:rPr>
              <w:t xml:space="preserve">。</w:t>
            </w:r>
            <w:r/>
          </w:p>
        </w:tc>
      </w:tr>
      <w:tr>
        <w:trPr>
          <w:jc w:val="center"/>
          <w:trHeight w:val="1708"/>
        </w:trPr>
        <w:tc>
          <w:tcPr>
            <w:tcW w:w="688"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2</w:t>
            </w:r>
            <w:r/>
          </w:p>
        </w:tc>
        <w:tc>
          <w:tcPr>
            <w:tcW w:w="1239" w:type="dxa"/>
            <w:vAlign w:val="center"/>
            <w:textDirection w:val="lrTb"/>
            <w:noWrap w:val="false"/>
          </w:tcPr>
          <w:p>
            <w:pPr>
              <w:ind w:right="-87"/>
              <w:jc w:val="center"/>
              <w:spacing w:line="360" w:lineRule="auto"/>
              <w:rPr>
                <w:rFonts w:hint="eastAsia"/>
              </w:rPr>
            </w:pPr>
            <w:r>
              <w:rPr>
                <w:rFonts w:hint="eastAsia"/>
              </w:rPr>
              <w:t xml:space="preserve">服务评价</w:t>
            </w:r>
            <w:r/>
          </w:p>
        </w:tc>
        <w:tc>
          <w:tcPr>
            <w:tcW w:w="700" w:type="dxa"/>
            <w:vAlign w:val="center"/>
            <w:textDirection w:val="lrTb"/>
            <w:noWrap w:val="false"/>
          </w:tcPr>
          <w:p>
            <w:pPr>
              <w:jc w:val="center"/>
              <w:spacing w:line="360" w:lineRule="auto"/>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6128"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lang w:val="en-US" w:eastAsia="zh-CN"/>
              </w:rPr>
              <w:t xml:space="preserve">针对上述第1项提供的有效业绩，投标人能够</w:t>
            </w:r>
            <w:r>
              <w:rPr>
                <w:rFonts w:hint="eastAsia" w:ascii="宋体" w:hAnsi="宋体" w:cs="宋体"/>
                <w:highlight w:val="none"/>
              </w:rPr>
              <w:t xml:space="preserve">提供质量评价表或验收报告或其他证明服务质量的评价材料（须有用户单位盖章或使用部门盖章）。评价材料中每有一份正面评价（满意或优秀或相同含义）的得 1 分，</w:t>
            </w:r>
            <w:r>
              <w:rPr>
                <w:rFonts w:hint="eastAsia" w:ascii="宋体" w:hAnsi="宋体" w:cs="宋体"/>
                <w:color w:val="auto"/>
                <w:highlight w:val="none"/>
              </w:rPr>
              <w:t xml:space="preserve">最高得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tc>
      </w:tr>
      <w:tr>
        <w:trPr>
          <w:jc w:val="center"/>
          <w:trHeight w:val="2140"/>
        </w:trPr>
        <w:tc>
          <w:tcPr>
            <w:tcW w:w="688" w:type="dxa"/>
            <w:vAlign w:val="center"/>
            <w:vMerge w:val="restart"/>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3</w:t>
            </w:r>
            <w:r/>
          </w:p>
        </w:tc>
        <w:tc>
          <w:tcPr>
            <w:tcW w:w="1239" w:type="dxa"/>
            <w:vAlign w:val="center"/>
            <w:vMerge w:val="restart"/>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人员团队</w:t>
            </w:r>
            <w:r>
              <w:rPr>
                <w:rFonts w:hint="eastAsia"/>
                <w:lang w:eastAsia="zh-CN"/>
              </w:rPr>
              <w:t xml:space="preserve">（</w:t>
            </w:r>
            <w:r>
              <w:rPr>
                <w:rFonts w:hint="eastAsia"/>
                <w:lang w:val="en-US" w:eastAsia="zh-CN"/>
              </w:rPr>
              <w:t xml:space="preserve">17分）</w:t>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8</w:t>
            </w:r>
            <w:r/>
          </w:p>
        </w:tc>
        <w:tc>
          <w:tcPr>
            <w:tcW w:w="6128" w:type="dxa"/>
            <w:vAlign w:val="center"/>
            <w:textDirection w:val="lrTb"/>
            <w:noWrap w:val="false"/>
          </w:tcPr>
          <w:p>
            <w:pPr>
              <w:spacing w:line="360" w:lineRule="auto"/>
              <w:rPr>
                <w:rFonts w:hint="eastAsia" w:ascii="宋体" w:hAnsi="宋体" w:cs="宋体"/>
                <w:color w:val="ff0000"/>
                <w:highlight w:val="none"/>
              </w:rPr>
            </w:pPr>
            <w:r>
              <w:rPr>
                <w:rFonts w:hint="eastAsia" w:ascii="宋体" w:hAnsi="宋体" w:cs="宋体"/>
                <w:b/>
                <w:bCs/>
                <w:highlight w:val="none"/>
                <w:lang w:val="en-US" w:eastAsia="zh-CN"/>
              </w:rPr>
              <w:t xml:space="preserve">项目负责人：</w:t>
            </w:r>
            <w:r>
              <w:rPr>
                <w:rFonts w:hint="eastAsia" w:ascii="宋体" w:hAnsi="宋体" w:cs="宋体"/>
                <w:highlight w:val="none"/>
                <w:lang w:val="en-US" w:eastAsia="zh-CN"/>
              </w:rPr>
              <w:t xml:space="preserve">具有类似会计核算工作经验10年（含）及以上的得8分，7（含）至 10（不含）年的得5分，5（含）至 7（不含）年的得 3 分，3（含）至 5（不含）年的得 1分，3年以下的不得分。注：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268"/>
        </w:trPr>
        <w:tc>
          <w:tcPr>
            <w:tcW w:w="688" w:type="dxa"/>
            <w:vAlign w:val="center"/>
            <w:vMerge w:val="continue"/>
            <w:textDirection w:val="lrTb"/>
            <w:noWrap w:val="false"/>
          </w:tcPr>
          <w:p>
            <w:pPr>
              <w:jc w:val="center"/>
              <w:spacing w:line="360" w:lineRule="auto"/>
              <w:rPr>
                <w:rFonts w:hint="default" w:ascii="宋体" w:hAnsi="宋体" w:cs="宋体"/>
                <w:lang w:val="en-US" w:eastAsia="zh-CN"/>
              </w:rPr>
            </w:pPr>
            <w:r>
              <w:rPr>
                <w:rFonts w:hint="default"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3</w:t>
            </w:r>
            <w:r/>
          </w:p>
        </w:tc>
        <w:tc>
          <w:tcPr>
            <w:tcW w:w="6128" w:type="dxa"/>
            <w:vAlign w:val="center"/>
            <w:textDirection w:val="lrTb"/>
            <w:noWrap w:val="false"/>
          </w:tcPr>
          <w:p>
            <w:pPr>
              <w:spacing w:line="360" w:lineRule="auto"/>
              <w:rPr>
                <w:rFonts w:hint="default" w:ascii="宋体" w:hAnsi="宋体" w:eastAsia="宋体" w:cs="宋体"/>
                <w:highlight w:val="none"/>
                <w:lang w:val="en-US" w:eastAsia="zh-CN"/>
              </w:rPr>
            </w:pPr>
            <w:r>
              <w:rPr>
                <w:rFonts w:hint="eastAsia" w:ascii="宋体" w:hAnsi="宋体" w:cs="宋体"/>
                <w:b/>
                <w:bCs/>
                <w:highlight w:val="none"/>
                <w:lang w:val="en-US" w:eastAsia="zh-CN"/>
              </w:rPr>
              <w:t xml:space="preserve">组长：</w:t>
            </w:r>
            <w:r>
              <w:rPr>
                <w:rFonts w:hint="eastAsia" w:ascii="宋体" w:hAnsi="宋体" w:cs="宋体"/>
                <w:b w:val="0"/>
                <w:bCs w:val="0"/>
                <w:highlight w:val="none"/>
                <w:lang w:val="en-US" w:eastAsia="zh-CN"/>
              </w:rPr>
              <w:t xml:space="preserve">具有类似会计核算工作经验5年及以上的得3分。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1744"/>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6128" w:type="dxa"/>
            <w:vAlign w:val="center"/>
            <w:textDirection w:val="lrTb"/>
            <w:noWrap w:val="false"/>
          </w:tcPr>
          <w:p>
            <w:pPr>
              <w:spacing w:line="360" w:lineRule="auto"/>
              <w:rPr>
                <w:rFonts w:hint="eastAsia" w:ascii="宋体" w:hAnsi="宋体" w:cs="宋体"/>
                <w:highlight w:val="none"/>
                <w:lang w:eastAsia="zh-CN"/>
              </w:rPr>
            </w:pPr>
            <w:r>
              <w:rPr>
                <w:rFonts w:hint="eastAsia" w:ascii="宋体" w:hAnsi="宋体" w:cs="宋体"/>
                <w:b/>
                <w:bCs/>
                <w:highlight w:val="none"/>
              </w:rPr>
              <w:t xml:space="preserve">团队成员</w:t>
            </w:r>
            <w:r>
              <w:rPr>
                <w:rFonts w:hint="eastAsia" w:ascii="宋体" w:hAnsi="宋体" w:cs="宋体"/>
                <w:highlight w:val="none"/>
              </w:rPr>
              <w:t xml:space="preserve">（不含</w:t>
            </w:r>
            <w:r>
              <w:rPr>
                <w:rFonts w:hint="eastAsia" w:ascii="宋体" w:hAnsi="宋体" w:cs="宋体"/>
                <w:highlight w:val="none"/>
                <w:lang w:val="en-US" w:eastAsia="zh-CN"/>
              </w:rPr>
              <w:t xml:space="preserve">项目</w:t>
            </w:r>
            <w:r>
              <w:rPr>
                <w:rFonts w:hint="eastAsia" w:ascii="宋体" w:hAnsi="宋体" w:cs="宋体"/>
                <w:highlight w:val="none"/>
              </w:rPr>
              <w:t xml:space="preserve">负责人</w:t>
            </w:r>
            <w:r>
              <w:rPr>
                <w:rFonts w:hint="eastAsia" w:ascii="宋体" w:hAnsi="宋体" w:cs="宋体"/>
                <w:highlight w:val="none"/>
                <w:lang w:val="en-US" w:eastAsia="zh-CN"/>
              </w:rPr>
              <w:t xml:space="preserve">和组长</w:t>
            </w:r>
            <w:r>
              <w:rPr>
                <w:rFonts w:hint="eastAsia" w:ascii="宋体" w:hAnsi="宋体" w:cs="宋体"/>
                <w:highlight w:val="none"/>
              </w:rPr>
              <w:t xml:space="preserve">）</w:t>
            </w:r>
            <w:r>
              <w:rPr>
                <w:rFonts w:hint="eastAsia" w:ascii="宋体" w:hAnsi="宋体" w:cs="宋体"/>
                <w:highlight w:val="none"/>
                <w:lang w:eastAsia="zh-CN"/>
              </w:rPr>
              <w:t xml:space="preserve">：</w:t>
            </w:r>
            <w:r/>
          </w:p>
          <w:p>
            <w:pPr>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①驻场服务人员中，</w:t>
            </w:r>
            <w:r>
              <w:rPr>
                <w:rFonts w:hint="eastAsia" w:ascii="宋体" w:hAnsi="宋体" w:cs="宋体"/>
                <w:highlight w:val="none"/>
                <w:lang w:eastAsia="zh-CN"/>
              </w:rPr>
              <w:t xml:space="preserve">每有一人具有类似会计核算工作经验</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年及以上的，得 1 分，最高得</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p>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②</w:t>
            </w:r>
            <w:r>
              <w:rPr>
                <w:rFonts w:hint="eastAsia" w:ascii="宋体" w:hAnsi="宋体" w:cs="宋体"/>
                <w:highlight w:val="none"/>
                <w:lang w:eastAsia="zh-CN"/>
              </w:rPr>
              <w:t xml:space="preserve">其余储备服务人员，每有一人具有类似会计核算工作经验</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年及以上的，得 1分，最高得</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2537"/>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4</w:t>
            </w:r>
            <w:r/>
          </w:p>
        </w:tc>
        <w:tc>
          <w:tcPr>
            <w:tcW w:w="1239" w:type="dxa"/>
            <w:vAlign w:val="center"/>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服务承诺</w:t>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4</w:t>
            </w:r>
            <w:r/>
          </w:p>
        </w:tc>
        <w:tc>
          <w:tcPr>
            <w:tcW w:w="6128" w:type="dxa"/>
            <w:vAlign w:val="center"/>
            <w:textDirection w:val="lrTb"/>
            <w:noWrap w:val="false"/>
          </w:tcPr>
          <w:p>
            <w:pP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①投标人承诺服务人员制单量，非甲方原因，在每日基础制单量90单基础上，每人每日每增加10单得</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分。注：提供承诺函并加盖公章。</w:t>
            </w:r>
            <w:r/>
          </w:p>
          <w:p>
            <w:pPr>
              <w:spacing w:line="360" w:lineRule="auto"/>
              <w:rPr>
                <w:rFonts w:hint="eastAsia" w:ascii="宋体" w:hAnsi="宋体" w:cs="宋体"/>
                <w:highlight w:val="none"/>
              </w:rPr>
            </w:pPr>
            <w:r>
              <w:rPr>
                <w:rFonts w:hint="eastAsia" w:ascii="宋体" w:hAnsi="宋体" w:eastAsia="宋体" w:cs="宋体"/>
                <w:highlight w:val="none"/>
                <w:lang w:val="en-US" w:eastAsia="zh-CN"/>
              </w:rPr>
              <w:t xml:space="preserve">②在保证服务人员日均完成凭证制单量90单且可容忍差错率控制在3%以内的前提下，承诺进一步降低差错率，每降低0.25%得</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分，最多得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分。注：提供承诺函并加盖公章。</w:t>
            </w:r>
            <w:r/>
          </w:p>
        </w:tc>
      </w:tr>
      <w:tr>
        <w:trPr>
          <w:jc w:val="center"/>
          <w:trHeight w:val="1551"/>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5</w:t>
            </w:r>
            <w:r/>
          </w:p>
        </w:tc>
        <w:tc>
          <w:tcPr>
            <w:tcW w:w="1239" w:type="dxa"/>
            <w:vAlign w:val="center"/>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增值服务</w:t>
            </w:r>
            <w:r/>
          </w:p>
        </w:tc>
        <w:tc>
          <w:tcPr>
            <w:tcW w:w="700" w:type="dxa"/>
            <w:vAlign w:val="center"/>
            <w:textDirection w:val="lrTb"/>
            <w:noWrap w:val="false"/>
          </w:tcPr>
          <w:p>
            <w:pPr>
              <w:jc w:val="center"/>
              <w:spacing w:line="36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6128" w:type="dxa"/>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①在完成会计核算业务服务的基础上，投标人提供增值服务方案。经评委认定对本项目有帮助的增值服务方案有一项得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w:t>
            </w:r>
            <w:r/>
          </w:p>
          <w:p>
            <w:pPr>
              <w:spacing w:line="360" w:lineRule="auto"/>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cs="宋体"/>
                <w:color w:val="auto"/>
                <w:highlight w:val="none"/>
                <w:lang w:val="en-US" w:eastAsia="zh-CN"/>
              </w:rPr>
              <w:t xml:space="preserve">投标人承诺能提供</w:t>
            </w:r>
            <w:r>
              <w:rPr>
                <w:rFonts w:hint="eastAsia" w:ascii="宋体" w:hAnsi="宋体" w:eastAsia="宋体" w:cs="宋体"/>
                <w:color w:val="auto"/>
                <w:highlight w:val="none"/>
                <w:lang w:val="en-US" w:eastAsia="zh-CN"/>
              </w:rPr>
              <w:t xml:space="preserve">相关</w:t>
            </w:r>
            <w:r>
              <w:rPr>
                <w:rFonts w:hint="eastAsia" w:ascii="宋体" w:hAnsi="宋体" w:cs="宋体"/>
                <w:color w:val="auto"/>
                <w:highlight w:val="none"/>
                <w:lang w:val="en-US" w:eastAsia="zh-CN"/>
              </w:rPr>
              <w:t xml:space="preserve">业务</w:t>
            </w:r>
            <w:r>
              <w:rPr>
                <w:rFonts w:hint="eastAsia" w:ascii="宋体" w:hAnsi="宋体" w:eastAsia="宋体" w:cs="宋体"/>
                <w:color w:val="auto"/>
                <w:highlight w:val="none"/>
                <w:lang w:val="en-US" w:eastAsia="zh-CN"/>
              </w:rPr>
              <w:t xml:space="preserve">咨询服务得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分，提供承诺函并加盖公章。</w:t>
            </w:r>
            <w:r/>
          </w:p>
        </w:tc>
      </w:tr>
      <w:tr>
        <w:trPr>
          <w:jc w:val="center"/>
          <w:trHeight w:val="3208"/>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6</w:t>
            </w:r>
            <w:r/>
          </w:p>
        </w:tc>
        <w:tc>
          <w:tcPr>
            <w:tcW w:w="1239" w:type="dxa"/>
            <w:vAlign w:val="center"/>
            <w:textDirection w:val="lrTb"/>
            <w:noWrap w:val="false"/>
          </w:tcPr>
          <w:p>
            <w:pPr>
              <w:ind w:right="-87"/>
              <w:jc w:val="center"/>
              <w:spacing w:line="360" w:lineRule="auto"/>
              <w:rPr>
                <w:rFonts w:hint="eastAsia"/>
                <w:lang w:val="en-US" w:eastAsia="zh-CN"/>
              </w:rPr>
            </w:pPr>
            <w:r>
              <w:rPr>
                <w:rFonts w:hint="eastAsia"/>
                <w:lang w:val="en-US" w:eastAsia="zh-CN"/>
              </w:rPr>
              <w:t xml:space="preserve">管理机构与管理制度</w:t>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3</w:t>
            </w:r>
            <w:r/>
          </w:p>
        </w:tc>
        <w:tc>
          <w:tcPr>
            <w:tcW w:w="6128" w:type="dxa"/>
            <w:vAlign w:val="center"/>
            <w:textDirection w:val="lrTb"/>
            <w:noWrap w:val="false"/>
          </w:tcPr>
          <w:p>
            <w:pPr>
              <w:spacing w:line="360" w:lineRule="auto"/>
              <w:rPr>
                <w:rFonts w:hint="eastAsia" w:ascii="宋体" w:hAnsi="宋体" w:cs="宋体"/>
                <w:lang w:val="en-US" w:eastAsia="zh-CN"/>
              </w:rPr>
            </w:pPr>
            <w:r>
              <w:rPr>
                <w:rFonts w:hint="eastAsia" w:ascii="宋体" w:hAnsi="宋体" w:cs="宋体"/>
                <w:lang w:val="en-US" w:eastAsia="zh-CN"/>
              </w:rPr>
              <w:t xml:space="preserve">根据各投标人提供的针对本项目的管理机构设置、管理职责，各项工作流程，各类规章制度和针对服务所做的规划等进行综合评审：管理机构设置合理、工作流程及各类规章制度完整可行、针对性强的得3分；</w:t>
            </w:r>
            <w:r/>
          </w:p>
          <w:p>
            <w:pPr>
              <w:spacing w:line="360" w:lineRule="auto"/>
              <w:rPr>
                <w:rFonts w:hint="eastAsia" w:ascii="宋体" w:hAnsi="宋体" w:cs="宋体"/>
                <w:lang w:val="en-US" w:eastAsia="zh-CN"/>
              </w:rPr>
            </w:pPr>
            <w:r>
              <w:rPr>
                <w:rFonts w:hint="eastAsia" w:ascii="宋体" w:hAnsi="宋体" w:cs="宋体"/>
                <w:lang w:val="en-US" w:eastAsia="zh-CN"/>
              </w:rPr>
              <w:t xml:space="preserve">管理机构设置有瑕疵、工作流程及各类规章制度基本可行、有针对性的得2分；</w:t>
            </w:r>
            <w:r/>
          </w:p>
          <w:p>
            <w:pPr>
              <w:spacing w:line="360" w:lineRule="auto"/>
              <w:rPr>
                <w:rFonts w:hint="eastAsia" w:ascii="宋体" w:hAnsi="宋体" w:cs="宋体"/>
                <w:lang w:val="en-US" w:eastAsia="zh-CN"/>
              </w:rPr>
            </w:pPr>
            <w:r>
              <w:rPr>
                <w:rFonts w:hint="eastAsia" w:ascii="宋体" w:hAnsi="宋体" w:cs="宋体"/>
                <w:lang w:val="en-US" w:eastAsia="zh-CN"/>
              </w:rPr>
              <w:t xml:space="preserve">管理机构设置不合理、工作流程及各类规章制度不可行、无针对性的得1分；未提供的不得分。</w:t>
            </w:r>
            <w:r/>
          </w:p>
        </w:tc>
      </w:tr>
      <w:tr>
        <w:trPr>
          <w:jc w:val="center"/>
          <w:trHeight w:val="268"/>
        </w:trPr>
        <w:tc>
          <w:tcPr>
            <w:tcW w:w="688" w:type="dxa"/>
            <w:vAlign w:val="center"/>
            <w:vMerge w:val="restart"/>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7</w:t>
            </w:r>
            <w:r/>
          </w:p>
        </w:tc>
        <w:tc>
          <w:tcPr>
            <w:tcW w:w="1239" w:type="dxa"/>
            <w:vAlign w:val="center"/>
            <w:vMerge w:val="restart"/>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项目实施方案（21分）</w:t>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eastAsia="宋体" w:cs="宋体"/>
                <w:lang w:val="en-US" w:eastAsia="zh-CN"/>
              </w:rPr>
            </w:pPr>
            <w:r>
              <w:rPr>
                <w:rFonts w:hint="eastAsia" w:ascii="宋体" w:hAnsi="宋体" w:eastAsia="宋体" w:cs="宋体"/>
                <w:b/>
                <w:bCs/>
                <w:lang w:val="en-US" w:eastAsia="zh-CN"/>
              </w:rPr>
              <w:t xml:space="preserve">服务方案：</w:t>
            </w:r>
            <w:r>
              <w:rPr>
                <w:rFonts w:hint="eastAsia" w:ascii="宋体" w:hAnsi="宋体" w:eastAsia="宋体" w:cs="宋体"/>
                <w:lang w:val="en-US" w:eastAsia="zh-CN"/>
              </w:rPr>
              <w:t xml:space="preserve">根据各投标人提供的项目服务方案（包括服务定位、具体实施方案、会计核算工作方式方法、人员岗前培训计划、服务质量自查方案等）进行综合评分： </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服务方案详细完善有针对性，工作方法科学合理，服务质量自查方案切实可行的得</w:t>
            </w:r>
            <w:r>
              <w:rPr>
                <w:rFonts w:hint="eastAsia" w:ascii="宋体" w:hAnsi="宋体" w:cs="宋体"/>
                <w:lang w:val="en-US" w:eastAsia="zh-CN"/>
              </w:rPr>
              <w:t xml:space="preserve">6</w:t>
            </w:r>
            <w:r>
              <w:rPr>
                <w:rFonts w:hint="eastAsia" w:ascii="宋体" w:hAnsi="宋体" w:eastAsia="宋体" w:cs="宋体"/>
                <w:lang w:val="en-US" w:eastAsia="zh-CN"/>
              </w:rPr>
              <w:t xml:space="preserve">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服务方案尚可，工作方法基本合理、服务质量自查方案切实可行的得</w:t>
            </w:r>
            <w:r>
              <w:rPr>
                <w:rFonts w:hint="eastAsia" w:ascii="宋体" w:hAnsi="宋体" w:cs="宋体"/>
                <w:lang w:val="en-US" w:eastAsia="zh-CN"/>
              </w:rPr>
              <w:t xml:space="preserve">4</w:t>
            </w:r>
            <w:r>
              <w:rPr>
                <w:rFonts w:hint="eastAsia" w:ascii="宋体" w:hAnsi="宋体" w:eastAsia="宋体" w:cs="宋体"/>
                <w:lang w:val="en-US" w:eastAsia="zh-CN"/>
              </w:rPr>
              <w:t xml:space="preserve">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服务方案略有瑕疵，工作方法的合理性和服务质量自查方案的可行性略有欠缺的得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p>
          <w:p>
            <w:pPr>
              <w:spacing w:line="360" w:lineRule="auto"/>
              <w:rPr>
                <w:rFonts w:hint="eastAsia" w:ascii="宋体" w:hAnsi="宋体" w:cs="宋体"/>
              </w:rPr>
            </w:pPr>
            <w:r>
              <w:rPr>
                <w:rFonts w:hint="eastAsia" w:ascii="宋体" w:hAnsi="宋体" w:eastAsia="宋体" w:cs="宋体"/>
                <w:lang w:val="en-US" w:eastAsia="zh-CN"/>
              </w:rPr>
              <w:t xml:space="preserve">服务方案粗略笼统，工作方法缺乏合理性，服务质量自查方案难以落实的得1分；未提供相关内容不得分。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难点、要点分析：</w:t>
            </w:r>
            <w:r>
              <w:rPr>
                <w:rFonts w:hint="eastAsia" w:ascii="宋体" w:hAnsi="宋体" w:cs="宋体"/>
              </w:rPr>
              <w:t xml:space="preserve">根据投标人提供的针对本项目的难点、要点分析及管理目标进行综合评分：</w:t>
            </w:r>
            <w:r/>
          </w:p>
          <w:p>
            <w:pPr>
              <w:spacing w:line="360" w:lineRule="auto"/>
              <w:rPr>
                <w:rFonts w:hint="eastAsia" w:ascii="宋体" w:hAnsi="宋体" w:cs="宋体"/>
              </w:rPr>
            </w:pPr>
            <w:r>
              <w:rPr>
                <w:rFonts w:hint="eastAsia" w:ascii="宋体" w:hAnsi="宋体" w:cs="宋体"/>
              </w:rPr>
              <w:t xml:space="preserve">对项目难点、要点分析透彻，采取的相关措施合理可行、具有针对性，管理目标明确的得</w:t>
            </w:r>
            <w:r>
              <w:rPr>
                <w:rFonts w:hint="eastAsia" w:ascii="宋体" w:hAnsi="宋体" w:cs="宋体"/>
                <w:lang w:val="en-US" w:eastAsia="zh-CN"/>
              </w:rPr>
              <w:t xml:space="preserve">6</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对项目难点、要点分析尚可，采取的相关措施基本可行、有针对性，管理目标明确的得</w:t>
            </w:r>
            <w:r>
              <w:rPr>
                <w:rFonts w:hint="eastAsia" w:ascii="宋体" w:hAnsi="宋体" w:cs="宋体"/>
                <w:lang w:val="en-US" w:eastAsia="zh-CN"/>
              </w:rPr>
              <w:t xml:space="preserve">4</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对项目难点、要点分析缺乏深度，采取的相关措施可行性和针对性有瑕疵，管理目录模糊的得</w:t>
            </w:r>
            <w:r>
              <w:rPr>
                <w:rFonts w:hint="eastAsia" w:ascii="宋体" w:hAnsi="宋体" w:cs="宋体"/>
                <w:lang w:val="en-US" w:eastAsia="zh-CN"/>
              </w:rPr>
              <w:t xml:space="preserve">2</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对项目难点、要点分析笼统，采取的相关措施没有可行性和针对性，缺乏管理目标的得1分；未提供相关内容不得分。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质量保障措施</w:t>
            </w:r>
            <w:r>
              <w:rPr>
                <w:rFonts w:hint="eastAsia" w:ascii="宋体" w:hAnsi="宋体" w:cs="宋体"/>
                <w:b/>
                <w:bCs/>
                <w:lang w:eastAsia="zh-CN"/>
              </w:rPr>
              <w:t xml:space="preserve">：</w:t>
            </w:r>
            <w:r>
              <w:rPr>
                <w:rFonts w:hint="eastAsia" w:ascii="宋体" w:hAnsi="宋体" w:cs="宋体"/>
              </w:rPr>
              <w:t xml:space="preserve">根据各</w:t>
            </w:r>
            <w:r>
              <w:rPr>
                <w:rFonts w:hint="eastAsia" w:ascii="宋体" w:hAnsi="宋体" w:cs="宋体"/>
                <w:lang w:val="en-US" w:eastAsia="zh-CN"/>
              </w:rPr>
              <w:t xml:space="preserve">投标人</w:t>
            </w:r>
            <w:r>
              <w:rPr>
                <w:rFonts w:hint="eastAsia" w:ascii="宋体" w:hAnsi="宋体" w:cs="宋体"/>
              </w:rPr>
              <w:t xml:space="preserve">提供的针对本项目的服务质量保障措施（包括但不限于差错率控制方案及措施、拟派人员稳定性保障措施</w:t>
            </w:r>
            <w:r>
              <w:rPr>
                <w:rFonts w:hint="eastAsia" w:ascii="宋体" w:hAnsi="宋体" w:cs="宋体"/>
                <w:lang w:eastAsia="zh-CN"/>
              </w:rPr>
              <w:t xml:space="preserve">、</w:t>
            </w:r>
            <w:r>
              <w:rPr>
                <w:rFonts w:hint="eastAsia" w:ascii="宋体" w:hAnsi="宋体" w:cs="宋体"/>
                <w:lang w:val="en-US" w:eastAsia="zh-CN"/>
              </w:rPr>
              <w:t xml:space="preserve">人员替补措施</w:t>
            </w:r>
            <w:r>
              <w:rPr>
                <w:rFonts w:hint="eastAsia" w:ascii="宋体" w:hAnsi="宋体" w:cs="宋体"/>
              </w:rPr>
              <w:t xml:space="preserve">等）进行综合评分：</w:t>
            </w:r>
            <w:r/>
          </w:p>
          <w:p>
            <w:pPr>
              <w:spacing w:line="360" w:lineRule="auto"/>
              <w:rPr>
                <w:rFonts w:hint="eastAsia" w:ascii="宋体" w:hAnsi="宋体" w:cs="宋体"/>
              </w:rPr>
            </w:pPr>
            <w:r>
              <w:rPr>
                <w:rFonts w:hint="eastAsia" w:ascii="宋体" w:hAnsi="宋体" w:cs="宋体"/>
              </w:rPr>
              <w:t xml:space="preserve">服务质量控制措施完善具体、切实可行的得</w:t>
            </w:r>
            <w:r>
              <w:rPr>
                <w:rFonts w:hint="eastAsia" w:ascii="宋体" w:hAnsi="宋体" w:cs="宋体"/>
                <w:lang w:val="en-US" w:eastAsia="zh-CN"/>
              </w:rPr>
              <w:t xml:space="preserve">6</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服务质量控制措施尚可的得</w:t>
            </w:r>
            <w:r>
              <w:rPr>
                <w:rFonts w:hint="eastAsia" w:ascii="宋体" w:hAnsi="宋体" w:cs="宋体"/>
                <w:lang w:val="en-US" w:eastAsia="zh-CN"/>
              </w:rPr>
              <w:t xml:space="preserve">4</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服务质量控制措施有瑕疵的得</w:t>
            </w:r>
            <w:r>
              <w:rPr>
                <w:rFonts w:hint="eastAsia" w:ascii="宋体" w:hAnsi="宋体" w:cs="宋体"/>
                <w:lang w:val="en-US" w:eastAsia="zh-CN"/>
              </w:rPr>
              <w:t xml:space="preserve">2</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服务质量控制措施笼统、表述不清的得1分；</w:t>
            </w:r>
            <w:r/>
          </w:p>
          <w:p>
            <w:pPr>
              <w:spacing w:line="360" w:lineRule="auto"/>
              <w:rPr>
                <w:rFonts w:hint="eastAsia" w:ascii="宋体" w:hAnsi="宋体" w:cs="宋体"/>
              </w:rPr>
            </w:pPr>
            <w:r>
              <w:rPr>
                <w:rFonts w:hint="eastAsia" w:ascii="宋体" w:hAnsi="宋体" w:cs="宋体"/>
              </w:rPr>
              <w:t xml:space="preserve">未提供的得0分。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3</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sz w:val="21"/>
                <w:szCs w:val="21"/>
                <w:lang w:val="zh-CN"/>
              </w:rPr>
              <w:t xml:space="preserve">培训服务：</w:t>
            </w:r>
            <w:r>
              <w:rPr>
                <w:rFonts w:hint="eastAsia" w:ascii="宋体" w:hAnsi="宋体" w:cs="宋体"/>
                <w:sz w:val="21"/>
                <w:szCs w:val="21"/>
              </w:rPr>
              <w:t xml:space="preserve">根据</w:t>
            </w:r>
            <w:r>
              <w:rPr>
                <w:rFonts w:hint="eastAsia" w:ascii="宋体" w:hAnsi="宋体" w:cs="宋体"/>
                <w:sz w:val="21"/>
                <w:szCs w:val="21"/>
                <w:lang w:val="en-US" w:eastAsia="zh-CN"/>
              </w:rPr>
              <w:t xml:space="preserve">投标人</w:t>
            </w:r>
            <w:r>
              <w:rPr>
                <w:rFonts w:hint="eastAsia" w:ascii="宋体" w:hAnsi="宋体" w:cs="宋体"/>
                <w:sz w:val="21"/>
                <w:szCs w:val="21"/>
              </w:rPr>
              <w:t xml:space="preserve">提供的针对本项目的培训服务方案进行综</w:t>
            </w:r>
            <w:r>
              <w:rPr>
                <w:rFonts w:hint="eastAsia" w:ascii="宋体" w:hAnsi="宋体" w:cs="宋体"/>
              </w:rPr>
              <w:t xml:space="preserve">合评审；</w:t>
            </w:r>
            <w:r/>
          </w:p>
          <w:p>
            <w:pPr>
              <w:spacing w:line="360" w:lineRule="auto"/>
              <w:rPr>
                <w:rFonts w:hint="eastAsia" w:ascii="宋体" w:hAnsi="宋体" w:cs="宋体"/>
              </w:rPr>
            </w:pPr>
            <w:r>
              <w:rPr>
                <w:rFonts w:hint="eastAsia" w:ascii="宋体" w:hAnsi="宋体" w:cs="宋体"/>
              </w:rPr>
              <w:t xml:space="preserve">培训服务方案合理可行的得3分；</w:t>
            </w:r>
            <w:r/>
          </w:p>
          <w:p>
            <w:pPr>
              <w:spacing w:line="360" w:lineRule="auto"/>
              <w:rPr>
                <w:rFonts w:hint="eastAsia" w:ascii="宋体" w:hAnsi="宋体" w:cs="宋体"/>
              </w:rPr>
            </w:pPr>
            <w:r>
              <w:rPr>
                <w:rFonts w:hint="eastAsia" w:ascii="宋体" w:hAnsi="宋体" w:cs="宋体"/>
              </w:rPr>
              <w:t xml:space="preserve">培训服务方案一般，基本满足需求的得2分；</w:t>
            </w:r>
            <w:r/>
          </w:p>
          <w:p>
            <w:pPr>
              <w:spacing w:line="360" w:lineRule="auto"/>
              <w:rPr>
                <w:rFonts w:hint="eastAsia" w:ascii="宋体" w:hAnsi="宋体" w:cs="宋体"/>
              </w:rPr>
            </w:pPr>
            <w:r>
              <w:rPr>
                <w:rFonts w:hint="eastAsia" w:ascii="宋体" w:hAnsi="宋体" w:cs="宋体"/>
              </w:rPr>
              <w:t xml:space="preserve">培训方案欠缺合理性，难以满足需要的得1分；</w:t>
            </w:r>
            <w:r/>
          </w:p>
          <w:p>
            <w:pPr>
              <w:spacing w:line="360" w:lineRule="auto"/>
              <w:rPr>
                <w:rFonts w:hint="eastAsia" w:ascii="宋体" w:hAnsi="宋体" w:cs="宋体"/>
              </w:rPr>
            </w:pPr>
            <w:r>
              <w:rPr>
                <w:rFonts w:hint="eastAsia" w:ascii="宋体" w:hAnsi="宋体" w:cs="宋体"/>
              </w:rPr>
              <w:t xml:space="preserve">未提供的本项不得分。</w:t>
            </w:r>
            <w:r/>
          </w:p>
        </w:tc>
      </w:tr>
      <w:tr>
        <w:trPr>
          <w:jc w:val="center"/>
          <w:trHeight w:val="567"/>
        </w:trPr>
        <w:tc>
          <w:tcPr>
            <w:gridSpan w:val="3"/>
            <w:tcW w:w="26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lang w:val="en-US" w:eastAsia="zh-CN"/>
              </w:rPr>
              <w:t xml:space="preserve">70</w:t>
            </w:r>
            <w:r>
              <w:rPr>
                <w:rFonts w:hint="eastAsia" w:ascii="宋体" w:hAnsi="宋体" w:cs="宋体"/>
              </w:rPr>
              <w:t xml:space="preserve">分</w:t>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注：招标人与中标人在签订合同时,有权要求中标人提供其投标文件中承诺响应的证明材料原件进行真实性核实，如中标人无法提供,或无法核实真实性的,则视为虚假响应,报财政部门按照政府采购相关规定处理。</w:t>
      </w:r>
      <w:bookmarkEnd w:id="72"/>
      <w:r/>
      <w:r/>
    </w:p>
    <w:p>
      <w:pPr>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73" w:name="_Toc17597"/>
      <w:r/>
      <w:bookmarkStart w:id="74" w:name="_Toc9739"/>
      <w:r>
        <w:rPr>
          <w:rFonts w:hint="eastAsia" w:ascii="宋体" w:hAnsi="宋体" w:eastAsia="宋体" w:cs="宋体"/>
          <w:b/>
          <w:bCs/>
          <w:lang w:val="zh-CN"/>
        </w:rPr>
        <w:t xml:space="preserve">第六章  投标文件格式</w:t>
      </w:r>
      <w:bookmarkEnd w:id="73"/>
      <w:r/>
      <w:bookmarkEnd w:id="74"/>
      <w:r/>
      <w:r/>
    </w:p>
    <w:p>
      <w:pPr>
        <w:jc w:val="center"/>
        <w:spacing w:line="360" w:lineRule="auto"/>
        <w:rPr>
          <w:rFonts w:ascii="宋体" w:hAnsi="宋体" w:cs="宋体"/>
          <w:b/>
          <w:color w:val="000000"/>
          <w:sz w:val="72"/>
        </w:rPr>
      </w:pPr>
      <w:r/>
      <w:bookmarkStart w:id="75" w:name="_Hlt26671244"/>
      <w:r/>
      <w:bookmarkEnd w:id="75"/>
      <w:r/>
      <w:bookmarkStart w:id="76" w:name="_Hlt26955039"/>
      <w:r/>
      <w:bookmarkEnd w:id="76"/>
      <w:r/>
      <w:bookmarkStart w:id="77" w:name="_Toc49090576"/>
      <w:r/>
      <w:bookmarkStart w:id="78" w:name="_Toc120614282"/>
      <w:r/>
      <w:bookmarkStart w:id="79" w:name="_Toc26554094"/>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ascii="宋体" w:hAnsi="宋体" w:cs="宋体"/>
          <w:b/>
          <w:bCs/>
          <w:color w:val="000000"/>
          <w:sz w:val="36"/>
          <w:szCs w:val="36"/>
          <w:u w:val="single"/>
        </w:rPr>
        <w:t xml:space="preserve">（加盖CA电子公章）</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End w:id="77"/>
      <w:r/>
      <w:bookmarkEnd w:id="78"/>
      <w:r/>
      <w:bookmarkEnd w:id="79"/>
      <w:r/>
      <w:bookmarkStart w:id="80" w:name="_Toc498020244"/>
      <w:r/>
      <w:bookmarkStart w:id="81" w:name="_Toc20972"/>
      <w:r/>
      <w:bookmarkStart w:id="82" w:name="_Toc4695306"/>
      <w:r/>
      <w:bookmarkStart w:id="83" w:name="_Toc20241702"/>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80"/>
      <w:r/>
      <w:bookmarkEnd w:id="81"/>
      <w:r/>
      <w:bookmarkEnd w:id="82"/>
      <w:r/>
      <w:bookmarkEnd w:id="83"/>
      <w:r/>
      <w:r/>
    </w:p>
    <w:p>
      <w:pPr>
        <w:pStyle w:val="1088"/>
        <w:spacing w:line="360" w:lineRule="auto"/>
        <w:rPr>
          <w:rFonts w:hAnsi="宋体" w:cs="宋体"/>
          <w:bCs/>
        </w:rPr>
      </w:pPr>
      <w:r/>
      <w:bookmarkStart w:id="84" w:name="_Hlk205473364"/>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088"/>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088"/>
        <w:spacing w:line="360" w:lineRule="auto"/>
        <w:rPr>
          <w:rFonts w:hAnsi="宋体" w:cs="宋体"/>
          <w:b/>
        </w:rPr>
      </w:pPr>
      <w:r>
        <w:rPr>
          <w:rFonts w:hint="eastAsia" w:hAnsi="宋体" w:cs="宋体"/>
          <w:bCs/>
        </w:rPr>
        <w:t xml:space="preserve">授权代表宣布如下：</w:t>
      </w:r>
      <w:r/>
    </w:p>
    <w:p>
      <w:pPr>
        <w:pStyle w:val="1088"/>
        <w:ind w:left="496" w:hanging="495"/>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088"/>
        <w:ind w:left="496" w:hanging="495"/>
        <w:spacing w:line="360" w:lineRule="auto"/>
        <w:rPr>
          <w:rFonts w:hAnsi="宋体" w:cs="宋体"/>
          <w:bCs/>
        </w:rPr>
      </w:pPr>
      <w:r>
        <w:rPr>
          <w:rFonts w:hint="eastAsia" w:hAnsi="宋体" w:cs="宋体"/>
          <w:bCs/>
        </w:rPr>
        <w:t xml:space="preserve">（2）我方将按招标文件的规定履行合同责任和义务。</w:t>
      </w:r>
      <w:r/>
    </w:p>
    <w:p>
      <w:pPr>
        <w:pStyle w:val="1088"/>
        <w:ind w:left="496" w:hanging="495"/>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088"/>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088"/>
        <w:ind w:left="496" w:hanging="495"/>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088"/>
        <w:ind w:left="496" w:hanging="495"/>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088"/>
        <w:spacing w:line="360" w:lineRule="auto"/>
        <w:rPr>
          <w:rFonts w:hAnsi="宋体" w:cs="宋体"/>
          <w:bCs/>
        </w:rPr>
      </w:pPr>
      <w:r>
        <w:rPr>
          <w:rFonts w:hint="eastAsia" w:hAnsi="宋体" w:cs="宋体"/>
          <w:bCs/>
        </w:rPr>
        <w:t xml:space="preserve">（7）与本投标有关的一切正式往来通讯请寄：</w:t>
      </w:r>
      <w:r/>
    </w:p>
    <w:p>
      <w:pPr>
        <w:pStyle w:val="1088"/>
        <w:spacing w:line="360" w:lineRule="auto"/>
        <w:rPr>
          <w:rFonts w:hAnsi="宋体" w:cs="宋体"/>
          <w:bCs/>
        </w:rPr>
      </w:pPr>
      <w:r>
        <w:rPr>
          <w:rFonts w:hint="eastAsia" w:hAnsi="宋体" w:cs="宋体"/>
          <w:bCs/>
        </w:rPr>
        <w:t xml:space="preserve">    地址：＿＿＿＿＿＿＿＿＿＿＿    邮编：＿＿＿＿＿＿＿＿＿＿＿＿＿</w:t>
      </w:r>
      <w:r/>
    </w:p>
    <w:p>
      <w:pPr>
        <w:pStyle w:val="1088"/>
        <w:spacing w:line="360" w:lineRule="auto"/>
        <w:rPr>
          <w:rFonts w:hAnsi="宋体" w:cs="宋体"/>
          <w:bCs/>
        </w:rPr>
      </w:pPr>
      <w:r>
        <w:rPr>
          <w:rFonts w:hint="eastAsia" w:hAnsi="宋体" w:cs="宋体"/>
          <w:bCs/>
        </w:rPr>
        <w:t xml:space="preserve">    电话：＿＿＿＿＿＿＿＿＿＿＿    传真：＿＿＿＿＿＿＿＿＿＿＿＿＿</w:t>
      </w:r>
      <w:r/>
    </w:p>
    <w:p>
      <w:pPr>
        <w:pStyle w:val="1088"/>
        <w:spacing w:line="360" w:lineRule="auto"/>
        <w:rPr>
          <w:rFonts w:hAnsi="宋体" w:cs="宋体"/>
          <w:bCs/>
        </w:rPr>
      </w:pPr>
      <w:r>
        <w:rPr>
          <w:rFonts w:hint="eastAsia" w:hAnsi="宋体" w:cs="宋体"/>
          <w:bCs/>
        </w:rPr>
        <w:t xml:space="preserve">    投标人授权代表姓名、职务＿＿＿＿＿＿＿＿＿＿＿＿＿＿＿</w:t>
      </w:r>
      <w:r/>
    </w:p>
    <w:p>
      <w:pPr>
        <w:pStyle w:val="1088"/>
        <w:spacing w:line="360" w:lineRule="auto"/>
        <w:rPr>
          <w:rFonts w:hAnsi="宋体" w:cs="宋体"/>
          <w:bCs/>
        </w:rPr>
      </w:pPr>
      <w:r>
        <w:rPr>
          <w:rFonts w:hint="eastAsia" w:hAnsi="宋体" w:cs="宋体"/>
          <w:bCs/>
        </w:rPr>
        <w:t xml:space="preserve">    投标人名称：＿＿＿＿＿＿＿＿＿＿＿＿＿＿＿＿＿＿＿＿＿＿＿＿＿＿</w:t>
      </w:r>
      <w:r/>
    </w:p>
    <w:p>
      <w:pPr>
        <w:pStyle w:val="1088"/>
        <w:ind w:firstLine="630"/>
        <w:spacing w:line="360" w:lineRule="auto"/>
        <w:rPr>
          <w:rFonts w:hAnsi="宋体" w:cs="宋体"/>
          <w:bCs/>
        </w:rPr>
      </w:pPr>
      <w:r>
        <w:rPr>
          <w:rFonts w:hint="eastAsia" w:hAnsi="宋体" w:cs="宋体"/>
          <w:bCs/>
        </w:rPr>
        <w:t xml:space="preserve">（公章）：＿＿＿＿＿＿＿＿＿＿＿＿＿＿</w:t>
      </w:r>
      <w:r/>
    </w:p>
    <w:p>
      <w:pPr>
        <w:pStyle w:val="1088"/>
        <w:ind w:firstLine="630"/>
        <w:spacing w:line="360" w:lineRule="auto"/>
        <w:rPr>
          <w:rFonts w:hAnsi="宋体" w:cs="宋体"/>
          <w:bCs/>
        </w:rPr>
      </w:pPr>
      <w:r>
        <w:rPr>
          <w:rFonts w:hint="eastAsia" w:hAnsi="宋体" w:cs="宋体"/>
          <w:bCs/>
        </w:rPr>
        <w:t xml:space="preserve">（法定代表人签字或盖章）：＿＿＿＿＿＿＿＿＿＿＿＿＿</w:t>
      </w:r>
      <w:r/>
    </w:p>
    <w:p>
      <w:pPr>
        <w:pStyle w:val="1088"/>
        <w:spacing w:line="360" w:lineRule="auto"/>
        <w:rPr>
          <w:rFonts w:hAnsi="宋体" w:cs="宋体"/>
          <w:u w:val="single"/>
        </w:rPr>
      </w:pP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088"/>
        <w:ind w:firstLine="630"/>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bookmarkEnd w:id="84"/>
      <w:r/>
      <w:r/>
    </w:p>
    <w:p>
      <w:pPr>
        <w:pStyle w:val="1105"/>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85" w:name="_Toc4695307"/>
      <w:r/>
      <w:bookmarkStart w:id="86" w:name="_Toc498020245"/>
      <w:r/>
      <w:bookmarkStart w:id="87" w:name="_Toc18485"/>
      <w:r/>
      <w:bookmarkStart w:id="88" w:name="_Toc20241703"/>
      <w:r>
        <w:rPr>
          <w:rFonts w:hint="eastAsia" w:ascii="宋体" w:hAnsi="宋体" w:cs="宋体"/>
          <w:b/>
          <w:bCs/>
        </w:rPr>
        <w:t xml:space="preserve">附件2  法定代表人等资格证明书（格式）</w:t>
      </w:r>
      <w:bookmarkEnd w:id="85"/>
      <w:r/>
      <w:bookmarkEnd w:id="86"/>
      <w:r/>
      <w:bookmarkEnd w:id="87"/>
      <w:r/>
      <w:bookmarkEnd w:id="88"/>
      <w:r/>
      <w:r/>
    </w:p>
    <w:p>
      <w:pPr>
        <w:pStyle w:val="1105"/>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05"/>
        <w:ind w:firstLine="420"/>
        <w:spacing w:before="0" w:beforeAutospacing="0" w:after="0" w:afterAutospacing="0" w:line="360" w:lineRule="auto"/>
        <w:rPr>
          <w:sz w:val="21"/>
          <w:szCs w:val="21"/>
        </w:rPr>
      </w:pPr>
      <w:r>
        <w:rPr>
          <w:rFonts w:hint="eastAsia"/>
          <w:sz w:val="21"/>
          <w:szCs w:val="21"/>
        </w:rPr>
        <w:t xml:space="preserve">附：</w:t>
      </w:r>
      <w:r/>
    </w:p>
    <w:p>
      <w:pPr>
        <w:pStyle w:val="1105"/>
        <w:ind w:firstLine="420"/>
        <w:spacing w:before="0" w:beforeAutospacing="0" w:after="0" w:afterAutospacing="0" w:line="360" w:lineRule="auto"/>
        <w:rPr>
          <w:sz w:val="21"/>
          <w:szCs w:val="21"/>
        </w:rPr>
      </w:pPr>
      <w:r/>
      <w:bookmarkStart w:id="89" w:name="_Hlk507779904"/>
      <w:r>
        <w:rPr>
          <w:rFonts w:hint="eastAsia"/>
          <w:sz w:val="21"/>
          <w:szCs w:val="21"/>
        </w:rPr>
        <w:t xml:space="preserve">统一社会信用代码</w:t>
      </w:r>
      <w:bookmarkEnd w:id="89"/>
      <w:r>
        <w:rPr>
          <w:rFonts w:hint="eastAsia"/>
          <w:sz w:val="21"/>
          <w:szCs w:val="21"/>
        </w:rPr>
        <w:t xml:space="preserve">：                单位类型：</w:t>
      </w:r>
      <w:r/>
    </w:p>
    <w:p>
      <w:pPr>
        <w:pStyle w:val="1105"/>
        <w:ind w:firstLine="420"/>
        <w:spacing w:before="0" w:beforeAutospacing="0" w:after="0" w:afterAutospacing="0" w:line="360" w:lineRule="auto"/>
        <w:rPr>
          <w:sz w:val="21"/>
          <w:szCs w:val="21"/>
        </w:rPr>
      </w:pPr>
      <w:r>
        <w:rPr>
          <w:rFonts w:hint="eastAsia"/>
          <w:sz w:val="21"/>
          <w:szCs w:val="21"/>
        </w:rPr>
        <w:t xml:space="preserve">经营范围：</w:t>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05"/>
        <w:ind w:firstLine="420"/>
        <w:spacing w:beforeAutospacing="0" w:afterAutospacing="0" w:line="360" w:lineRule="auto"/>
        <w:rPr>
          <w:sz w:val="21"/>
          <w:szCs w:val="21"/>
        </w:rPr>
      </w:pPr>
      <w:r>
        <w:rPr>
          <w:rFonts w:hint="eastAsia"/>
          <w:sz w:val="21"/>
          <w:szCs w:val="21"/>
        </w:rPr>
        <w:t xml:space="preserve">                                             日期：       年    月   日</w:t>
      </w:r>
      <w:r/>
    </w:p>
    <w:tbl>
      <w:tblPr>
        <w:tblStyle w:val="107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90" w:name="_Toc4695308"/>
      <w:r/>
      <w:bookmarkStart w:id="91" w:name="_Toc26391"/>
      <w:r/>
      <w:bookmarkStart w:id="92" w:name="_Toc498020246"/>
      <w:r/>
      <w:bookmarkStart w:id="93" w:name="_Toc20241704"/>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90"/>
      <w:r/>
      <w:bookmarkEnd w:id="91"/>
      <w:r/>
      <w:bookmarkEnd w:id="92"/>
      <w:r/>
      <w:bookmarkEnd w:id="93"/>
      <w:r/>
      <w:r/>
    </w:p>
    <w:p>
      <w:pPr>
        <w:pStyle w:val="1105"/>
        <w:ind w:firstLine="420"/>
        <w:spacing w:line="360" w:lineRule="auto"/>
        <w:rPr>
          <w:sz w:val="21"/>
          <w:szCs w:val="21"/>
        </w:rPr>
      </w:pPr>
      <w:r/>
      <w:bookmarkStart w:id="94" w:name="_Hlk205473407"/>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05"/>
        <w:ind w:firstLine="420"/>
        <w:spacing w:line="360" w:lineRule="auto"/>
        <w:rPr>
          <w:bCs/>
          <w:sz w:val="21"/>
          <w:szCs w:val="21"/>
        </w:rPr>
      </w:pPr>
      <w:r>
        <w:rPr>
          <w:bCs/>
          <w:sz w:val="21"/>
          <w:szCs w:val="21"/>
        </w:rPr>
      </w:r>
      <w:r/>
    </w:p>
    <w:p>
      <w:pPr>
        <w:pStyle w:val="1105"/>
        <w:ind w:firstLine="420"/>
        <w:spacing w:line="360" w:lineRule="auto"/>
        <w:rPr>
          <w:bCs/>
          <w:sz w:val="21"/>
          <w:szCs w:val="21"/>
        </w:rPr>
      </w:pPr>
      <w:r>
        <w:rPr>
          <w:rFonts w:hint="eastAsia"/>
          <w:bCs/>
          <w:sz w:val="21"/>
          <w:szCs w:val="21"/>
        </w:rPr>
        <w:t xml:space="preserve">受委托人性别：＿＿＿＿年龄：＿＿＿＿＿＿＿＿</w:t>
      </w:r>
      <w:r/>
    </w:p>
    <w:p>
      <w:pPr>
        <w:pStyle w:val="1105"/>
        <w:ind w:firstLine="420"/>
        <w:spacing w:line="360" w:lineRule="auto"/>
        <w:rPr>
          <w:bCs/>
          <w:sz w:val="21"/>
          <w:szCs w:val="21"/>
        </w:rPr>
      </w:pPr>
      <w:r>
        <w:rPr>
          <w:rFonts w:hint="eastAsia"/>
          <w:bCs/>
          <w:sz w:val="21"/>
          <w:szCs w:val="21"/>
        </w:rPr>
        <w:t xml:space="preserve">工作部门：＿＿＿＿＿＿＿＿＿职务：＿＿＿＿联系电话：＿＿＿＿＿＿</w:t>
      </w:r>
      <w:r/>
    </w:p>
    <w:p>
      <w:pPr>
        <w:pStyle w:val="1105"/>
        <w:ind w:firstLine="420"/>
        <w:spacing w:line="360" w:lineRule="auto"/>
        <w:rPr>
          <w:bCs/>
          <w:sz w:val="21"/>
          <w:szCs w:val="21"/>
        </w:rPr>
      </w:pPr>
      <w:r>
        <w:rPr>
          <w:rFonts w:hint="eastAsia"/>
          <w:bCs/>
          <w:sz w:val="21"/>
          <w:szCs w:val="21"/>
        </w:rPr>
        <w:t xml:space="preserve">身份证号码：＿＿＿＿＿＿＿＿＿＿＿</w:t>
      </w:r>
      <w:r/>
    </w:p>
    <w:p>
      <w:pPr>
        <w:pStyle w:val="1105"/>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bookmarkEnd w:id="94"/>
      <w:r/>
      <w:r/>
    </w:p>
    <w:p>
      <w:pPr>
        <w:pStyle w:val="1105"/>
        <w:spacing w:line="360" w:lineRule="auto"/>
        <w:rPr>
          <w:bCs/>
          <w:sz w:val="21"/>
          <w:szCs w:val="21"/>
        </w:rPr>
      </w:pPr>
      <w:r>
        <w:rPr>
          <w:rFonts w:hint="eastAsia"/>
          <w:bCs/>
          <w:sz w:val="21"/>
          <w:szCs w:val="21"/>
        </w:rPr>
        <w:t xml:space="preserve">                                        </w:t>
      </w:r>
      <w:r/>
    </w:p>
    <w:tbl>
      <w:tblPr>
        <w:tblStyle w:val="107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05"/>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95" w:name="_Toc498020247"/>
      <w:r/>
      <w:bookmarkStart w:id="96" w:name="_Toc4695309"/>
      <w:r/>
      <w:bookmarkStart w:id="97" w:name="_Toc1263"/>
      <w:r/>
      <w:bookmarkStart w:id="98" w:name="_Toc20241705"/>
      <w:r/>
      <w:bookmarkEnd w:id="95"/>
      <w:r/>
      <w:bookmarkEnd w:id="96"/>
      <w:r/>
      <w:bookmarkEnd w:id="97"/>
      <w:r/>
      <w:bookmarkEnd w:id="98"/>
      <w:r/>
      <w:r/>
    </w:p>
    <w:p>
      <w:pPr>
        <w:jc w:val="center"/>
        <w:spacing w:line="360" w:lineRule="auto"/>
        <w:rPr>
          <w:rFonts w:ascii="宋体" w:hAnsi="宋体" w:cs="宋体"/>
          <w:b/>
          <w:bCs/>
        </w:rPr>
        <w:outlineLvl w:val="1"/>
      </w:pPr>
      <w:r/>
      <w:bookmarkStart w:id="99" w:name="_Toc498020248"/>
      <w:r/>
      <w:bookmarkStart w:id="100" w:name="_Toc20241706"/>
      <w:r/>
      <w:bookmarkStart w:id="101" w:name="_Toc31972"/>
      <w:r/>
      <w:bookmarkStart w:id="102" w:name="_Toc4695310"/>
      <w:r>
        <w:rPr>
          <w:rFonts w:hint="eastAsia" w:ascii="宋体" w:hAnsi="宋体" w:cs="宋体"/>
          <w:b/>
          <w:bCs/>
        </w:rPr>
        <w:t xml:space="preserve">附件4  开标一览表（格式）</w:t>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Style w:val="1072"/>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05"/>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05"/>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2730"/>
              <w:tabs>
                <w:tab w:val="left" w:pos="12285" w:leader="none"/>
              </w:tabs>
              <w:rPr>
                <w:rFonts w:asciiTheme="minorEastAsia" w:hAnsiTheme="minorEastAsia" w:eastAsiaTheme="minorEastAsia" w:cstheme="minorEastAsia"/>
                <w:bCs/>
              </w:rPr>
            </w:pP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w:t>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2730"/>
              <w:tabs>
                <w:tab w:val="left" w:pos="12285" w:leader="none"/>
              </w:tabs>
              <w:rPr>
                <w:rFonts w:asciiTheme="minorEastAsia" w:hAnsiTheme="minorEastAsia" w:eastAsiaTheme="minorEastAsia" w:cstheme="minorEastAsia"/>
                <w:bCs/>
              </w:rPr>
            </w:pP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w:t>
            </w:r>
            <w:r/>
          </w:p>
        </w:tc>
      </w:tr>
      <w:tr>
        <w:trPr>
          <w:cantSplit/>
          <w:trHeight w:val="723"/>
        </w:trPr>
        <w:tc>
          <w:tcPr>
            <w:tcW w:w="2409" w:type="dxa"/>
            <w:vAlign w:val="center"/>
            <w:textDirection w:val="lrTb"/>
            <w:noWrap w:val="false"/>
          </w:tcPr>
          <w:p>
            <w:pPr>
              <w:jc w:val="center"/>
              <w:tabs>
                <w:tab w:val="left" w:pos="12285" w:leader="none"/>
              </w:tabs>
              <w:rPr>
                <w:rFonts w:hint="eastAsia" w:ascii="宋体" w:hAnsi="宋体" w:cs="宋体"/>
              </w:rPr>
            </w:pPr>
            <w:r>
              <w:rPr>
                <w:rFonts w:hint="eastAsia" w:ascii="宋体" w:hAnsi="宋体" w:cs="宋体"/>
              </w:rPr>
              <w:t xml:space="preserve">服务期限</w:t>
            </w:r>
            <w:r/>
          </w:p>
        </w:tc>
        <w:tc>
          <w:tcPr>
            <w:gridSpan w:val="2"/>
            <w:tcW w:w="5963" w:type="dxa"/>
            <w:vAlign w:val="center"/>
            <w:textDirection w:val="lrTb"/>
            <w:noWrap w:val="false"/>
          </w:tcPr>
          <w:p>
            <w:pPr>
              <w:jc w:val="center"/>
              <w:tabs>
                <w:tab w:val="left" w:pos="12285" w:leader="none"/>
              </w:tabs>
              <w:rPr>
                <w:rFonts w:hint="eastAsia" w:ascii="宋体" w:hAnsi="宋体" w:cs="宋体"/>
              </w:rPr>
            </w:pPr>
            <w:r>
              <w:rPr>
                <w:rFonts w:hint="eastAsia" w:ascii="宋体" w:hAnsi="宋体" w:cs="宋体"/>
              </w:rPr>
              <w:t xml:space="preserve">本项目服务期三年，合同一年一签。合同期满，经招标人对合同约定的制单量及差错率等进行考核，验收合格后，方可签订下一年合同。</w:t>
            </w:r>
            <w:r/>
          </w:p>
        </w:tc>
      </w:tr>
    </w:tbl>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rFonts w:hint="eastAsia"/>
          <w:bCs/>
          <w:sz w:val="21"/>
          <w:szCs w:val="21"/>
        </w:rPr>
        <w:t xml:space="preserve">注：</w:t>
      </w:r>
      <w:r/>
    </w:p>
    <w:p>
      <w:pPr>
        <w:pStyle w:val="1105"/>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05"/>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05"/>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05"/>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rPr>
          <w:rFonts w:hint="eastAsia" w:ascii="宋体" w:hAnsi="宋体" w:cs="宋体"/>
          <w:b/>
          <w:bCs/>
        </w:rPr>
        <w:t xml:space="preserve">附件5  投标报价明细表</w:t>
      </w:r>
      <w:bookmarkEnd w:id="99"/>
      <w:r/>
      <w:bookmarkEnd w:id="100"/>
      <w:r/>
      <w:bookmarkEnd w:id="101"/>
      <w:r/>
      <w:bookmarkEnd w:id="102"/>
      <w:r>
        <w:rPr>
          <w:rFonts w:hint="eastAsia" w:ascii="宋体" w:hAnsi="宋体" w:cs="宋体"/>
          <w:b/>
          <w:bCs/>
        </w:rPr>
        <w:t xml:space="preserve">（格式可自拟）</w:t>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sz w:val="21"/>
          <w:szCs w:val="21"/>
        </w:rPr>
      </w:pPr>
      <w:r>
        <w:rPr>
          <w:rFonts w:hint="eastAsia"/>
          <w:bCs/>
          <w:sz w:val="21"/>
          <w:szCs w:val="21"/>
        </w:rPr>
        <w:t xml:space="preserve">                                                          货币单位：元 （人民币）</w:t>
      </w:r>
      <w:r/>
    </w:p>
    <w:tbl>
      <w:tblPr>
        <w:tblStyle w:val="11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jc w:val="center"/>
          <w:trHeight w:val="5536"/>
        </w:trPr>
        <w:tc>
          <w:tcPr>
            <w:tcW w:w="8946" w:type="dxa"/>
            <w:vAlign w:val="center"/>
            <w:textDirection w:val="lrTb"/>
            <w:noWrap w:val="false"/>
          </w:tcPr>
          <w:p>
            <w:pPr>
              <w:ind w:firstLine="482"/>
              <w:jc w:val="center"/>
              <w:rPr>
                <w:rFonts w:ascii="宋体" w:hAnsi="宋体"/>
                <w:b/>
                <w:bCs/>
              </w:rPr>
            </w:pPr>
            <w:r>
              <w:rPr>
                <w:rFonts w:ascii="宋体" w:hAnsi="宋体"/>
                <w:b/>
                <w:bCs/>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rPr>
        <w:br w:type="page" w:clear="all"/>
      </w:r>
      <w:bookmarkStart w:id="103" w:name="_Toc4695311"/>
      <w:r/>
      <w:bookmarkStart w:id="104" w:name="_Toc7613"/>
      <w:r/>
      <w:bookmarkStart w:id="105" w:name="_Toc498020249"/>
      <w:r/>
      <w:bookmarkStart w:id="106" w:name="_Toc20241707"/>
      <w:r/>
      <w:r/>
    </w:p>
    <w:p>
      <w:pPr>
        <w:jc w:val="center"/>
        <w:spacing w:line="360" w:lineRule="auto"/>
        <w:rPr>
          <w:rFonts w:ascii="宋体" w:hAnsi="宋体" w:cs="宋体"/>
          <w:b/>
          <w:bCs/>
        </w:rPr>
        <w:outlineLvl w:val="1"/>
      </w:pPr>
      <w:r>
        <w:rPr>
          <w:rFonts w:hint="eastAsia" w:ascii="宋体" w:hAnsi="宋体" w:cs="宋体"/>
          <w:b/>
          <w:bCs/>
        </w:rPr>
        <w:t xml:space="preserve">附件6  偏离表（格式）</w:t>
      </w:r>
      <w:bookmarkEnd w:id="103"/>
      <w:r/>
      <w:bookmarkEnd w:id="104"/>
      <w:r/>
      <w:bookmarkEnd w:id="105"/>
      <w:r/>
      <w:bookmarkEnd w:id="106"/>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Style w:val="1072"/>
        <w:tblW w:w="91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088"/>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07" w:name="_Toc20241719"/>
      <w:r/>
      <w:bookmarkStart w:id="108" w:name="_Toc4695323"/>
      <w:r/>
      <w:bookmarkStart w:id="109" w:name="_Toc13953"/>
      <w:r/>
      <w:bookmarkEnd w:id="107"/>
      <w:r/>
      <w:bookmarkEnd w:id="108"/>
      <w:r/>
      <w:bookmarkEnd w:id="109"/>
      <w:r/>
      <w:r/>
    </w:p>
    <w:p>
      <w:pPr>
        <w:jc w:val="center"/>
        <w:spacing w:line="360" w:lineRule="auto"/>
        <w:rPr>
          <w:rFonts w:ascii="宋体" w:hAnsi="宋体" w:cs="宋体"/>
          <w:b/>
          <w:bCs/>
        </w:rPr>
        <w:outlineLvl w:val="1"/>
      </w:pPr>
      <w:r/>
      <w:bookmarkStart w:id="110" w:name="_Toc20241721"/>
      <w:r/>
      <w:bookmarkStart w:id="111" w:name="_Toc32168"/>
      <w:r/>
      <w:bookmarkStart w:id="112" w:name="_Toc4695325"/>
      <w:r>
        <w:rPr>
          <w:rFonts w:hint="eastAsia" w:ascii="宋体" w:hAnsi="宋体" w:cs="宋体"/>
          <w:b/>
          <w:bCs/>
        </w:rPr>
        <w:t xml:space="preserve">附件7  服务内容（格式可自拟）</w:t>
      </w:r>
      <w:r/>
    </w:p>
    <w:p>
      <w:pPr>
        <w:pStyle w:val="1117"/>
        <w:jc w:val="left"/>
        <w:spacing w:before="48"/>
        <w:rPr>
          <w:rFonts w:ascii="宋体" w:cs="宋体"/>
          <w:b/>
          <w:bCs/>
          <w:sz w:val="21"/>
          <w:szCs w:val="21"/>
        </w:rPr>
      </w:pPr>
      <w:r>
        <w:rPr>
          <w:rFonts w:ascii="宋体" w:cs="宋体"/>
          <w:b/>
          <w:bCs/>
          <w:sz w:val="21"/>
          <w:szCs w:val="21"/>
        </w:rPr>
      </w:r>
      <w:r/>
    </w:p>
    <w:p>
      <w:pPr>
        <w:pStyle w:val="1117"/>
        <w:jc w:val="left"/>
        <w:spacing w:before="48"/>
        <w:rPr>
          <w:rFonts w:ascii="宋体" w:cs="宋体"/>
          <w:b/>
          <w:bCs/>
          <w:sz w:val="21"/>
          <w:szCs w:val="21"/>
        </w:rPr>
      </w:pPr>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3"/>
        </w:numPr>
        <w:spacing w:line="360" w:lineRule="auto"/>
        <w:rPr>
          <w:rFonts w:ascii="宋体" w:hAnsi="宋体"/>
        </w:rPr>
      </w:pPr>
      <w:r>
        <w:rPr>
          <w:rFonts w:hint="eastAsia" w:ascii="宋体" w:hAnsi="宋体"/>
        </w:rPr>
        <w:t xml:space="preserve">评分标准2.1</w:t>
      </w:r>
      <w:r/>
    </w:p>
    <w:p>
      <w:pPr>
        <w:numPr>
          <w:ilvl w:val="0"/>
          <w:numId w:val="3"/>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3"/>
        </w:numPr>
        <w:spacing w:line="360" w:lineRule="auto"/>
      </w:pPr>
      <w:r>
        <w:rPr>
          <w:rFonts w:ascii="宋体" w:hAnsi="宋体"/>
        </w:rPr>
        <w:t xml:space="preserve">…</w:t>
      </w:r>
      <w:r/>
    </w:p>
    <w:p>
      <w:pPr>
        <w:numPr>
          <w:ilvl w:val="0"/>
          <w:numId w:val="3"/>
        </w:numPr>
        <w:spacing w:line="360" w:lineRule="auto"/>
      </w:pPr>
      <w:r>
        <w:rPr>
          <w:rFonts w:hint="eastAsia"/>
        </w:rPr>
        <w:t xml:space="preserve">投标人认为有必要说明的其他事项。</w:t>
      </w:r>
      <w:r/>
    </w:p>
    <w:p>
      <w:pPr>
        <w:pStyle w:val="1162"/>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13" w:name="_Toc2346"/>
      <w:r/>
      <w:bookmarkStart w:id="114" w:name="_Toc507427182"/>
      <w:r/>
      <w:bookmarkStart w:id="115" w:name="_Toc516072036"/>
      <w:r/>
      <w:bookmarkStart w:id="116" w:name="_Toc516072007"/>
      <w:r/>
      <w:bookmarkStart w:id="117" w:name="_Toc516075565"/>
      <w:r>
        <w:rPr>
          <w:rFonts w:hint="eastAsia" w:ascii="宋体" w:hAnsi="宋体"/>
          <w:b/>
        </w:rPr>
        <w:t xml:space="preserve">附件7-</w:t>
      </w:r>
      <w:r>
        <w:rPr>
          <w:rFonts w:ascii="宋体" w:hAnsi="宋体"/>
          <w:b/>
        </w:rPr>
        <w:t xml:space="preserve">1</w:t>
      </w:r>
      <w:r>
        <w:rPr>
          <w:rFonts w:hint="eastAsia" w:ascii="宋体" w:hAnsi="宋体"/>
          <w:b/>
        </w:rPr>
        <w:t xml:space="preserve">  拟投入本项目的项目主要负责人情况表（格式可</w:t>
      </w:r>
      <w:r>
        <w:rPr>
          <w:rFonts w:ascii="宋体" w:hAnsi="宋体"/>
          <w:b/>
        </w:rPr>
        <w:t xml:space="preserve">自拟</w:t>
      </w:r>
      <w:r>
        <w:rPr>
          <w:rFonts w:hint="eastAsia" w:ascii="宋体" w:hAnsi="宋体"/>
          <w:b/>
        </w:rPr>
        <w:t xml:space="preserve">）</w:t>
      </w:r>
      <w:bookmarkEnd w:id="113"/>
      <w:r/>
      <w:bookmarkEnd w:id="114"/>
      <w:r/>
      <w:bookmarkEnd w:id="115"/>
      <w:r/>
      <w:bookmarkEnd w:id="116"/>
      <w:r/>
      <w:bookmarkEnd w:id="117"/>
      <w:r/>
      <w:r/>
    </w:p>
    <w:p>
      <w:pPr>
        <w:rPr>
          <w:rFonts w:ascii="宋体" w:hAnsi="宋体"/>
          <w:u w:val="single"/>
        </w:rPr>
      </w:pPr>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Style w:val="1072"/>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18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r/>
    </w:p>
    <w:p>
      <w:r>
        <w:rPr>
          <w:rFonts w:hint="eastAsia"/>
        </w:rPr>
        <w:br w:type="page" w:clear="all"/>
      </w:r>
      <w:r/>
    </w:p>
    <w:p>
      <w:pPr>
        <w:ind w:firstLine="422"/>
        <w:jc w:val="center"/>
        <w:rPr>
          <w:rFonts w:ascii="宋体" w:hAnsi="宋体"/>
          <w:b/>
        </w:rPr>
        <w:outlineLvl w:val="1"/>
      </w:pPr>
      <w:r/>
      <w:bookmarkStart w:id="118" w:name="_Toc516072037"/>
      <w:r/>
      <w:bookmarkStart w:id="119" w:name="_Toc15022"/>
      <w:r/>
      <w:bookmarkStart w:id="120" w:name="_Toc507427183"/>
      <w:r/>
      <w:bookmarkStart w:id="121" w:name="_Toc516075566"/>
      <w:r/>
      <w:bookmarkStart w:id="122" w:name="_Toc516072008"/>
      <w:r>
        <w:rPr>
          <w:rFonts w:hint="eastAsia" w:ascii="宋体" w:hAnsi="宋体"/>
          <w:b/>
        </w:rPr>
        <w:t xml:space="preserve">附件7-</w:t>
      </w:r>
      <w:r>
        <w:rPr>
          <w:rFonts w:ascii="宋体" w:hAnsi="宋体"/>
          <w:b/>
        </w:rPr>
        <w:t xml:space="preserve">2</w:t>
      </w:r>
      <w:r>
        <w:rPr>
          <w:rFonts w:hint="eastAsia" w:ascii="宋体" w:hAnsi="宋体"/>
          <w:b/>
        </w:rPr>
        <w:t xml:space="preserve">  拟投入本项目人员一览表（格式）</w:t>
      </w:r>
      <w:bookmarkEnd w:id="118"/>
      <w:r/>
      <w:bookmarkEnd w:id="119"/>
      <w:r/>
      <w:bookmarkEnd w:id="120"/>
      <w:r/>
      <w:bookmarkEnd w:id="121"/>
      <w:r/>
      <w:bookmarkEnd w:id="122"/>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Style w:val="107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r/>
    </w:p>
    <w:p>
      <w:pPr>
        <w:ind w:firstLine="422"/>
        <w:jc w:val="center"/>
      </w:pPr>
      <w:r>
        <w:rPr>
          <w:rFonts w:hint="eastAsia"/>
        </w:rPr>
        <w:br w:type="page" w:clear="all"/>
      </w:r>
      <w:bookmarkStart w:id="123" w:name="_Toc516075567"/>
      <w:r/>
      <w:bookmarkStart w:id="124" w:name="_Toc516072009"/>
      <w:r/>
      <w:bookmarkStart w:id="125" w:name="_Toc516072038"/>
      <w:r/>
      <w:bookmarkStart w:id="126" w:name="_Toc15867"/>
      <w:r/>
      <w:bookmarkStart w:id="127" w:name="_Toc507427184"/>
      <w:r/>
      <w:r/>
    </w:p>
    <w:p>
      <w:pPr>
        <w:ind w:firstLine="422"/>
        <w:jc w:val="center"/>
        <w:rPr>
          <w:rFonts w:ascii="宋体" w:hAnsi="宋体"/>
          <w:b/>
        </w:rPr>
        <w:outlineLvl w:val="1"/>
      </w:pPr>
      <w:r>
        <w:rPr>
          <w:rFonts w:hint="eastAsia" w:ascii="宋体" w:hAnsi="宋体"/>
          <w:b/>
        </w:rPr>
        <w:t xml:space="preserve">附件7-3 近三年（202</w:t>
      </w:r>
      <w:r>
        <w:rPr>
          <w:rFonts w:ascii="宋体" w:hAnsi="宋体"/>
          <w:b/>
        </w:rPr>
        <w:t xml:space="preserve">3</w:t>
      </w:r>
      <w:r>
        <w:rPr>
          <w:rFonts w:hint="eastAsia" w:ascii="宋体" w:hAnsi="宋体"/>
          <w:b/>
        </w:rPr>
        <w:t xml:space="preserve">年01月至今）类似项目业绩（格式）</w:t>
      </w:r>
      <w:bookmarkEnd w:id="123"/>
      <w:r/>
      <w:bookmarkEnd w:id="124"/>
      <w:r/>
      <w:bookmarkEnd w:id="125"/>
      <w:r/>
      <w:bookmarkEnd w:id="126"/>
      <w:r/>
      <w:bookmarkEnd w:id="127"/>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Style w:val="107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 资格证明文件</w:t>
      </w:r>
      <w:bookmarkEnd w:id="110"/>
      <w:r/>
      <w:bookmarkEnd w:id="111"/>
      <w:r/>
      <w:r/>
    </w:p>
    <w:p>
      <w:pPr>
        <w:ind w:left="15" w:firstLine="420"/>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bookmarkEnd w:id="112"/>
      <w:r/>
      <w:r/>
    </w:p>
    <w:p>
      <w:pPr>
        <w:jc w:val="center"/>
        <w:spacing w:line="360" w:lineRule="auto"/>
        <w:rPr>
          <w:rFonts w:ascii="宋体" w:hAnsi="宋体" w:cs="宋体"/>
          <w:b/>
          <w:bCs/>
        </w:rPr>
        <w:outlineLvl w:val="1"/>
      </w:pPr>
      <w:r/>
      <w:bookmarkStart w:id="128" w:name="_Toc20241723"/>
      <w:r/>
      <w:bookmarkStart w:id="129" w:name="_Toc25171"/>
      <w:r>
        <w:rPr>
          <w:rFonts w:hint="eastAsia" w:ascii="宋体" w:hAnsi="宋体" w:cs="宋体"/>
          <w:b/>
          <w:bCs/>
        </w:rPr>
        <w:t xml:space="preserve">附件8-1 投标人资格声明函（格式）</w:t>
      </w:r>
      <w:bookmarkEnd w:id="128"/>
      <w:r/>
      <w:bookmarkEnd w:id="129"/>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r/>
    </w:p>
    <w:p>
      <w:pPr>
        <w:ind w:left="15" w:firstLine="420"/>
        <w:spacing w:line="360" w:lineRule="auto"/>
        <w:rPr>
          <w:rFonts w:ascii="宋体" w:hAnsi="宋体" w:cs="宋体"/>
        </w:rPr>
      </w:pPr>
      <w:r/>
      <w:bookmarkStart w:id="130" w:name="_Hlk205473753"/>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30"/>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r/>
    </w:p>
    <w:p>
      <w:pPr>
        <w:ind w:firstLine="480"/>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eastAsia="宋体" w:cs="宋体"/>
          <w:sz w:val="21"/>
          <w:szCs w:val="21"/>
        </w:rPr>
      </w:pPr>
      <w:r/>
      <w:bookmarkStart w:id="131" w:name="_Toc20241724"/>
      <w:r/>
      <w:bookmarkStart w:id="132" w:name="_Toc4695326"/>
      <w:r/>
      <w:bookmarkStart w:id="133" w:name="_Toc28957"/>
      <w:r>
        <w:rPr>
          <w:rFonts w:hint="eastAsia" w:ascii="宋体" w:hAnsi="宋体" w:eastAsia="宋体" w:cs="宋体"/>
          <w:sz w:val="21"/>
          <w:szCs w:val="21"/>
        </w:rPr>
        <w:t xml:space="preserve">附件8-2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附件8-3  投标人依法缴纳税收的证明材料</w:t>
      </w:r>
      <w:bookmarkEnd w:id="131"/>
      <w:r/>
      <w:bookmarkEnd w:id="132"/>
      <w:r/>
      <w:bookmarkEnd w:id="133"/>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（提供投标截止日前6个月内任意一期缴纳增值税或企业所得税的凭据复印件并加盖投标人公章，投标人依法享受缓缴、免缴税收的提供相关证明材料，不得提供税务部门发出的缴款通知书作为缴纳凭证。）</w:t>
      </w:r>
      <w:r/>
    </w:p>
    <w:tbl>
      <w:tblPr>
        <w:tblStyle w:val="107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34" w:name="_Toc3273"/>
      <w:r/>
      <w:bookmarkStart w:id="135"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附件8-4 投标人依法缴纳社会保障资金的证明材料</w:t>
      </w:r>
      <w:bookmarkEnd w:id="134"/>
      <w:r/>
      <w:bookmarkEnd w:id="135"/>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Style w:val="107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36" w:name="_Toc4695327"/>
      <w:r/>
      <w:bookmarkStart w:id="137" w:name="_Toc20241726"/>
      <w:r/>
      <w:bookmarkStart w:id="138" w:name="_Toc9816"/>
      <w:r/>
      <w:r/>
    </w:p>
    <w:p>
      <w:pPr>
        <w:jc w:val="center"/>
        <w:spacing w:line="360" w:lineRule="auto"/>
        <w:rPr>
          <w:rFonts w:ascii="宋体" w:hAnsi="宋体" w:cs="宋体"/>
          <w:b/>
          <w:bCs/>
        </w:rPr>
        <w:outlineLvl w:val="1"/>
      </w:pPr>
      <w:r>
        <w:rPr>
          <w:rFonts w:hint="eastAsia" w:ascii="宋体" w:hAnsi="宋体" w:cs="宋体"/>
          <w:b/>
          <w:bCs/>
        </w:rPr>
        <w:t xml:space="preserve">附件8-5 </w:t>
      </w:r>
      <w:bookmarkEnd w:id="136"/>
      <w:r/>
      <w:bookmarkEnd w:id="137"/>
      <w:r/>
      <w:bookmarkEnd w:id="138"/>
      <w:r>
        <w:rPr>
          <w:rFonts w:hint="eastAsia" w:ascii="宋体" w:hAnsi="宋体" w:cs="宋体"/>
          <w:b/>
          <w:bCs/>
        </w:rPr>
        <w:t xml:space="preserve">具有良好的商业信誉和健全的财务会计制度</w:t>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Style w:val="1072"/>
        <w:tblpPr w:horzAnchor="page" w:tblpX="1634" w:vertAnchor="text" w:tblpY="30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39" w:name="_Toc1504"/>
      <w:r/>
      <w:bookmarkStart w:id="140" w:name="_Toc4695328"/>
      <w:r/>
      <w:bookmarkStart w:id="141" w:name="_Toc20241727"/>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附件8-6 参加政府采购活动前3年内在经营活动中没有重大违法记录的书面声明（格式）</w:t>
      </w:r>
      <w:bookmarkEnd w:id="139"/>
      <w:r/>
      <w:bookmarkEnd w:id="140"/>
      <w:r/>
      <w:bookmarkEnd w:id="141"/>
      <w:r/>
      <w:r/>
    </w:p>
    <w:p>
      <w:pPr>
        <w:ind w:firstLine="420"/>
        <w:spacing w:line="360" w:lineRule="auto"/>
        <w:rPr>
          <w:rFonts w:ascii="宋体" w:hAnsi="宋体" w:cs="宋体"/>
          <w:u w:val="single"/>
        </w:rPr>
      </w:pPr>
      <w:r/>
      <w:bookmarkStart w:id="142" w:name="_Hlk205474499"/>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bookmarkEnd w:id="142"/>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cs="宋体"/>
          <w:sz w:val="21"/>
          <w:szCs w:val="21"/>
        </w:rPr>
      </w:pPr>
      <w:r>
        <w:rPr>
          <w:rFonts w:hint="eastAsia" w:ascii="宋体" w:hAnsi="宋体" w:eastAsia="宋体" w:cs="宋体"/>
          <w:sz w:val="21"/>
          <w:szCs w:val="21"/>
        </w:rPr>
        <w:t xml:space="preserve">附件8-7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企业声明函（格式）</w:t>
      </w:r>
      <w:r/>
    </w:p>
    <w:p>
      <w:pPr>
        <w:jc w:val="center"/>
        <w:spacing w:before="100" w:beforeAutospacing="1" w:after="100" w:afterAutospacing="1" w:line="360" w:lineRule="auto"/>
        <w:widowControl/>
        <w:rPr>
          <w:rFonts w:ascii="宋体" w:hAnsi="宋体" w:cs="宋体"/>
        </w:rPr>
      </w:pPr>
      <w:r/>
      <w:bookmarkStart w:id="143" w:name="_Toc18598"/>
      <w:r/>
      <w:bookmarkStart w:id="144" w:name="_Toc20241729"/>
      <w:r/>
      <w:bookmarkStart w:id="145" w:name="_Toc4695330"/>
      <w:r>
        <w:rPr>
          <w:rStyle w:val="1124"/>
          <w:rFonts w:hint="eastAsia" w:ascii="宋体" w:hAnsi="宋体" w:eastAsia="宋体" w:cs="宋体"/>
          <w:sz w:val="21"/>
          <w:szCs w:val="21"/>
        </w:rPr>
        <w:t xml:space="preserve">中小企业声明函</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 号）及《关于进一步加大政府采购支持中小企业力度的通知》 (财库( 2022 19·号)的规定，本公司（联合体）参加</w:t>
      </w:r>
      <w:r>
        <w:rPr>
          <w:rFonts w:hint="eastAsia" w:ascii="宋体" w:hAnsi="宋体" w:eastAsia="宋体" w:cs="宋体"/>
          <w:sz w:val="21"/>
          <w:szCs w:val="21"/>
          <w:u w:val="single"/>
        </w:rPr>
        <w:t xml:space="preserve">  [招标人单位名称]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采购</w:t>
      </w:r>
      <w:r>
        <w:rPr>
          <w:rFonts w:hint="eastAsia" w:ascii="宋体" w:hAns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1、</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2、</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如组成联合体或者接受分包合同的中小企业与联合体内的其他企业，分包企业之间不存在直接控制、管理关系。</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1080"/>
        <w:ind w:firstLine="420"/>
        <w:rPr>
          <w:rFonts w:ascii="宋体" w:hAnsi="宋体" w:eastAsia="宋体" w:cs="宋体"/>
          <w:sz w:val="21"/>
          <w:szCs w:val="21"/>
        </w:rPr>
      </w:pPr>
      <w:r>
        <w:rPr>
          <w:rFonts w:ascii="宋体" w:hAnsi="宋体" w:eastAsia="宋体" w:cs="宋体"/>
          <w:sz w:val="21"/>
          <w:szCs w:val="21"/>
        </w:rPr>
      </w:r>
      <w:r/>
    </w:p>
    <w:p>
      <w:pPr>
        <w:spacing w:line="300" w:lineRule="auto"/>
        <w:rPr>
          <w:rFonts w:ascii="宋体" w:hAnsi="宋体" w:cs="宋体"/>
          <w:b/>
          <w:bCs/>
        </w:rPr>
      </w:pPr>
      <w:r>
        <w:rPr>
          <w:rFonts w:hint="eastAsia" w:ascii="宋体" w:hAnsi="宋体" w:cs="宋体"/>
          <w:b/>
          <w:bCs/>
        </w:rPr>
        <w:t xml:space="preserve">备注：</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(2)上述“相关企业”含联合体中的中小企业、签订分包意向协议的中小企业。</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(3)投标人如未按要求提供此声明函，报价将不做相应扣除；中标供应商如享受本项目小微企业扶持政策的，其《中小企业声明函》将随本项目的中标结果同时公告，接受社会监督。 </w:t>
      </w:r>
      <w:r/>
    </w:p>
    <w:p>
      <w:pPr>
        <w:pStyle w:val="1080"/>
        <w:spacing w:line="300" w:lineRule="auto"/>
        <w:rPr>
          <w:rFonts w:ascii="宋体" w:hAnsi="宋体" w:eastAsia="宋体" w:cs="宋体"/>
          <w:sz w:val="21"/>
          <w:szCs w:val="21"/>
        </w:rPr>
      </w:pPr>
      <w:r>
        <w:rPr>
          <w:rFonts w:ascii="宋体" w:hAnsi="宋体" w:eastAsia="宋体" w:cs="宋体"/>
          <w:sz w:val="21"/>
          <w:szCs w:val="21"/>
        </w:rPr>
      </w:r>
      <w:r/>
    </w:p>
    <w:p>
      <w:pPr>
        <w:ind w:left="5250"/>
        <w:jc w:val="left"/>
        <w:spacing w:line="360" w:lineRule="auto"/>
        <w:rPr>
          <w:rFonts w:ascii="宋体" w:hAnsi="宋体" w:cs="宋体"/>
        </w:rPr>
      </w:pPr>
      <w:r>
        <w:rPr>
          <w:rFonts w:hint="eastAsia" w:ascii="宋体" w:hAnsi="宋体" w:cs="宋体"/>
        </w:rPr>
        <w:t xml:space="preserve">投标人名称（盖章）：</w:t>
      </w:r>
      <w:r/>
    </w:p>
    <w:p>
      <w:pPr>
        <w:ind w:left="5250"/>
        <w:jc w:val="left"/>
        <w:spacing w:line="360" w:lineRule="auto"/>
        <w:rPr>
          <w:rFonts w:ascii="宋体" w:hAnsi="宋体" w:cs="宋体"/>
        </w:rPr>
      </w:pPr>
      <w:r>
        <w:rPr>
          <w:rFonts w:hint="eastAsia" w:ascii="宋体" w:hAnsi="宋体" w:cs="宋体"/>
        </w:rPr>
        <w:t xml:space="preserve">日  期：</w:t>
      </w:r>
      <w:r/>
    </w:p>
    <w:p>
      <w:pPr>
        <w:spacing w:line="360" w:lineRule="auto"/>
        <w:rPr>
          <w:rFonts w:ascii="宋体" w:hAnsi="宋体" w:cs="宋体"/>
        </w:rPr>
      </w:pPr>
      <w:r>
        <w:rPr>
          <w:rFonts w:ascii="宋体" w:hAnsi="宋体" w:cs="宋体"/>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残疾人福利性单位声明函（格式）（如有请提供）</w:t>
      </w:r>
      <w:bookmarkEnd w:id="143"/>
      <w:r/>
      <w:bookmarkEnd w:id="144"/>
      <w:r/>
      <w:bookmarkEnd w:id="145"/>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05"/>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05"/>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jc w:val="center"/>
        <w:spacing w:line="360" w:lineRule="auto"/>
        <w:rPr>
          <w:rFonts w:hint="eastAsia" w:ascii="宋体" w:hAnsi="宋体" w:eastAsia="宋体" w:cs="宋体"/>
          <w:b/>
          <w:bCs/>
        </w:rPr>
        <w:outlineLvl w:val="1"/>
      </w:pPr>
      <w:r>
        <w:rPr>
          <w:rFonts w:hint="eastAsia" w:ascii="宋体" w:hAnsi="宋体" w:eastAsia="宋体" w:cs="宋体"/>
          <w:b/>
          <w:bCs/>
        </w:rPr>
        <w:t xml:space="preserve">附件1</w:t>
      </w:r>
      <w:bookmarkStart w:id="146" w:name="_Toc4695331"/>
      <w:r/>
      <w:bookmarkStart w:id="147" w:name="_Toc19679"/>
      <w:r/>
      <w:bookmarkStart w:id="148" w:name="_Toc20241731"/>
      <w:r>
        <w:rPr>
          <w:rFonts w:hint="eastAsia" w:ascii="宋体" w:hAnsi="宋体" w:eastAsia="宋体" w:cs="宋体"/>
          <w:b/>
          <w:bCs/>
        </w:rPr>
        <w:t xml:space="preserve">1属于监狱企业的证明文件（如有请提供）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2</w:t>
      </w:r>
      <w:r>
        <w:rPr>
          <w:rFonts w:hint="eastAsia" w:ascii="宋体" w:hAnsi="宋体" w:cs="宋体"/>
          <w:b/>
          <w:bCs/>
        </w:rPr>
        <w:t xml:space="preserve"> 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bookmarkEnd w:id="146"/>
      <w:r/>
      <w:bookmarkEnd w:id="147"/>
      <w:r/>
      <w:bookmarkEnd w:id="148"/>
      <w:r/>
      <w:r/>
    </w:p>
    <w:p>
      <w:pPr>
        <w:jc w:val="center"/>
        <w:spacing w:line="360" w:lineRule="auto"/>
        <w:rPr>
          <w:rFonts w:ascii="宋体" w:hAnsi="宋体" w:cs="宋体"/>
          <w:b/>
          <w:bCs/>
        </w:rPr>
      </w:pPr>
      <w:r/>
      <w:bookmarkStart w:id="149" w:name="_Toc11994"/>
      <w:r/>
      <w:bookmarkStart w:id="150" w:name="_Toc31841"/>
      <w:r/>
      <w:bookmarkStart w:id="151" w:name="_Toc4695333"/>
      <w:r/>
      <w:bookmarkStart w:id="152" w:name="_Toc20241733"/>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03"/>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Style w:val="10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03"/>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49"/>
      <w:r/>
      <w:bookmarkEnd w:id="150"/>
      <w:r/>
      <w:bookmarkEnd w:id="151"/>
      <w:r/>
      <w:bookmarkEnd w:id="152"/>
      <w:r/>
      <w:r/>
    </w:p>
    <w:p>
      <w:pPr>
        <w:jc w:val="center"/>
        <w:spacing w:line="360" w:lineRule="auto"/>
        <w:rPr>
          <w:rFonts w:ascii="宋体" w:hAnsi="宋体" w:cs="宋体"/>
          <w:b/>
        </w:rPr>
        <w:outlineLvl w:val="1"/>
      </w:pPr>
      <w:r>
        <w:rPr>
          <w:rFonts w:hint="eastAsia" w:ascii="宋体" w:hAnsi="宋体" w:cs="宋体"/>
          <w:b/>
          <w:bCs/>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Style w:val="1072"/>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53"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088"/>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088"/>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088"/>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1</w:t>
            </w:r>
            <w:r/>
          </w:p>
        </w:tc>
        <w:tc>
          <w:tcPr>
            <w:tcW w:w="5624"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关于符合本国产品标准的声明函（或财政部会同有关部门规定的有关证明文件）（格式见招标文件第六章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3</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53"/>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3031473</wp:posOffset>
              </wp:positionH>
              <wp:positionV relativeFrom="paragraph">
                <wp:posOffset>-12711</wp:posOffset>
              </wp:positionV>
              <wp:extent cx="152758" cy="131433"/>
              <wp:effectExtent l="6350" t="6350" r="6350" b="6350"/>
              <wp:wrapNone/>
              <wp:docPr id="3" name="文本框 1040"/>
              <wp:cNvGraphicFramePr/>
              <a:graphic xmlns:a="http://schemas.openxmlformats.org/drawingml/2006/main">
                <a:graphicData uri="http://schemas.microsoft.com/office/word/2010/wordprocessingShape">
                  <wps:wsp>
                    <wps:cNvPr id="0" name=""/>
                    <wps:cNvSpPr txBox="1"/>
                    <wps:spPr bwMode="auto">
                      <a:xfrm flipH="0" flipV="0">
                        <a:off x="0" y="0"/>
                        <a:ext cx="152757" cy="131433"/>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anchor>
          </w:drawing>
        </mc:Choice>
        <mc:Fallback>
          <w:pict>
            <v:shape id="shape 2" o:spid="_x0000_s2" o:spt="202" type="#_x0000_t202" style="position:absolute;z-index:251659264;o:allowoverlap:true;o:allowincell:true;mso-position-horizontal-relative:margin;margin-left:238.7pt;mso-position-horizontal:absolute;mso-position-vertical-relative:text;margin-top:-1.0pt;mso-position-vertical:absolute;width:12.0pt;height:10.3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2861310</wp:posOffset>
              </wp:positionH>
              <wp:positionV relativeFrom="paragraph">
                <wp:posOffset>-2540</wp:posOffset>
              </wp:positionV>
              <wp:extent cx="259715" cy="144780"/>
              <wp:effectExtent l="0" t="0" r="6985" b="762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259715" cy="14478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5.3pt;mso-position-horizontal:absolute;mso-position-vertical-relative:text;margin-top:-0.2pt;mso-position-vertical:absolute;width:20.4pt;height:11.4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2850515" cy="466090"/>
              <wp:effectExtent l="0" t="0" r="14604"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85676" name="图片 1"/>
                      <pic:cNvPicPr>
                        <a:picLocks noChangeAspect="1"/>
                      </pic:cNvPicPr>
                      <pic:nvPr/>
                    </pic:nvPicPr>
                    <pic:blipFill>
                      <a:blip r:embed="rId1"/>
                      <a:stretch/>
                    </pic:blipFill>
                    <pic:spPr bwMode="auto">
                      <a:xfrm>
                        <a:off x="0" y="0"/>
                        <a:ext cx="2850515" cy="466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4.4pt;height:36.7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left"/>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2633"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1 Char"/>
    <w:basedOn w:val="1071"/>
    <w:link w:val="1062"/>
    <w:uiPriority w:val="9"/>
    <w:rPr>
      <w:rFonts w:ascii="Arial" w:hAnsi="Arial" w:eastAsia="Arial" w:cs="Arial"/>
      <w:sz w:val="40"/>
      <w:szCs w:val="40"/>
    </w:rPr>
  </w:style>
  <w:style w:type="character" w:styleId="910">
    <w:name w:val="Heading 2 Char"/>
    <w:basedOn w:val="1071"/>
    <w:link w:val="1063"/>
    <w:uiPriority w:val="9"/>
    <w:rPr>
      <w:rFonts w:ascii="Arial" w:hAnsi="Arial" w:eastAsia="Arial" w:cs="Arial"/>
      <w:sz w:val="34"/>
    </w:rPr>
  </w:style>
  <w:style w:type="character" w:styleId="911">
    <w:name w:val="Heading 3 Char"/>
    <w:basedOn w:val="1071"/>
    <w:link w:val="1160"/>
    <w:uiPriority w:val="9"/>
    <w:rPr>
      <w:rFonts w:ascii="Arial" w:hAnsi="Arial" w:eastAsia="Arial" w:cs="Arial"/>
      <w:sz w:val="30"/>
      <w:szCs w:val="30"/>
    </w:rPr>
  </w:style>
  <w:style w:type="character" w:styleId="912">
    <w:name w:val="Heading 4 Char"/>
    <w:basedOn w:val="1071"/>
    <w:link w:val="1065"/>
    <w:uiPriority w:val="9"/>
    <w:rPr>
      <w:rFonts w:ascii="Arial" w:hAnsi="Arial" w:eastAsia="Arial" w:cs="Arial"/>
      <w:b/>
      <w:bCs/>
      <w:sz w:val="26"/>
      <w:szCs w:val="26"/>
    </w:rPr>
  </w:style>
  <w:style w:type="character" w:styleId="913">
    <w:name w:val="Heading 5 Char"/>
    <w:basedOn w:val="1071"/>
    <w:link w:val="1066"/>
    <w:uiPriority w:val="9"/>
    <w:rPr>
      <w:rFonts w:ascii="Arial" w:hAnsi="Arial" w:eastAsia="Arial" w:cs="Arial"/>
      <w:b/>
      <w:bCs/>
      <w:sz w:val="24"/>
      <w:szCs w:val="24"/>
    </w:rPr>
  </w:style>
  <w:style w:type="character" w:styleId="914">
    <w:name w:val="Heading 6 Char"/>
    <w:basedOn w:val="1071"/>
    <w:link w:val="1067"/>
    <w:uiPriority w:val="9"/>
    <w:rPr>
      <w:rFonts w:ascii="Arial" w:hAnsi="Arial" w:eastAsia="Arial" w:cs="Arial"/>
      <w:b/>
      <w:bCs/>
      <w:sz w:val="22"/>
      <w:szCs w:val="22"/>
    </w:rPr>
  </w:style>
  <w:style w:type="character" w:styleId="915">
    <w:name w:val="Heading 7 Char"/>
    <w:basedOn w:val="1071"/>
    <w:link w:val="1068"/>
    <w:uiPriority w:val="9"/>
    <w:rPr>
      <w:rFonts w:ascii="Arial" w:hAnsi="Arial" w:eastAsia="Arial" w:cs="Arial"/>
      <w:b/>
      <w:bCs/>
      <w:i/>
      <w:iCs/>
      <w:sz w:val="22"/>
      <w:szCs w:val="22"/>
    </w:rPr>
  </w:style>
  <w:style w:type="character" w:styleId="916">
    <w:name w:val="Heading 8 Char"/>
    <w:basedOn w:val="1071"/>
    <w:link w:val="1069"/>
    <w:uiPriority w:val="9"/>
    <w:rPr>
      <w:rFonts w:ascii="Arial" w:hAnsi="Arial" w:eastAsia="Arial" w:cs="Arial"/>
      <w:i/>
      <w:iCs/>
      <w:sz w:val="22"/>
      <w:szCs w:val="22"/>
    </w:rPr>
  </w:style>
  <w:style w:type="character" w:styleId="917">
    <w:name w:val="Heading 9 Char"/>
    <w:basedOn w:val="1071"/>
    <w:link w:val="1070"/>
    <w:uiPriority w:val="9"/>
    <w:rPr>
      <w:rFonts w:ascii="Arial" w:hAnsi="Arial" w:eastAsia="Arial" w:cs="Arial"/>
      <w:i/>
      <w:iCs/>
      <w:sz w:val="21"/>
      <w:szCs w:val="21"/>
    </w:rPr>
  </w:style>
  <w:style w:type="character" w:styleId="918">
    <w:name w:val="Title Char"/>
    <w:basedOn w:val="1071"/>
    <w:link w:val="1107"/>
    <w:uiPriority w:val="10"/>
    <w:rPr>
      <w:sz w:val="48"/>
      <w:szCs w:val="48"/>
    </w:rPr>
  </w:style>
  <w:style w:type="paragraph" w:styleId="919">
    <w:name w:val="Subtitle"/>
    <w:basedOn w:val="1061"/>
    <w:next w:val="1061"/>
    <w:link w:val="920"/>
    <w:uiPriority w:val="11"/>
    <w:qFormat/>
    <w:pPr>
      <w:spacing w:before="200" w:after="200"/>
    </w:pPr>
    <w:rPr>
      <w:sz w:val="24"/>
      <w:szCs w:val="24"/>
    </w:rPr>
  </w:style>
  <w:style w:type="character" w:styleId="920">
    <w:name w:val="Subtitle Char"/>
    <w:basedOn w:val="1071"/>
    <w:link w:val="919"/>
    <w:uiPriority w:val="11"/>
    <w:rPr>
      <w:sz w:val="24"/>
      <w:szCs w:val="24"/>
    </w:rPr>
  </w:style>
  <w:style w:type="paragraph" w:styleId="921">
    <w:name w:val="Quote"/>
    <w:basedOn w:val="1061"/>
    <w:next w:val="1061"/>
    <w:link w:val="922"/>
    <w:uiPriority w:val="29"/>
    <w:qFormat/>
    <w:pPr>
      <w:ind w:left="720" w:right="720"/>
    </w:pPr>
    <w:rPr>
      <w:i/>
    </w:rPr>
  </w:style>
  <w:style w:type="character" w:styleId="922">
    <w:name w:val="Quote Char"/>
    <w:link w:val="921"/>
    <w:uiPriority w:val="29"/>
    <w:rPr>
      <w:i/>
    </w:rPr>
  </w:style>
  <w:style w:type="paragraph" w:styleId="923">
    <w:name w:val="Intense Quote"/>
    <w:basedOn w:val="1061"/>
    <w:next w:val="1061"/>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1"/>
    <w:link w:val="1094"/>
    <w:uiPriority w:val="99"/>
  </w:style>
  <w:style w:type="character" w:styleId="926">
    <w:name w:val="Footer Char"/>
    <w:basedOn w:val="1071"/>
    <w:link w:val="1093"/>
    <w:uiPriority w:val="99"/>
  </w:style>
  <w:style w:type="paragraph" w:styleId="927">
    <w:name w:val="Caption"/>
    <w:basedOn w:val="1061"/>
    <w:next w:val="1061"/>
    <w:uiPriority w:val="35"/>
    <w:semiHidden/>
    <w:unhideWhenUsed/>
    <w:qFormat/>
    <w:pPr>
      <w:spacing w:line="276" w:lineRule="auto"/>
    </w:pPr>
    <w:rPr>
      <w:b/>
      <w:bCs/>
      <w:color w:val="4f81bd" w:themeColor="accent1"/>
      <w:sz w:val="18"/>
      <w:szCs w:val="18"/>
    </w:rPr>
  </w:style>
  <w:style w:type="character" w:styleId="928">
    <w:name w:val="Caption Char"/>
    <w:basedOn w:val="927"/>
    <w:link w:val="1093"/>
    <w:uiPriority w:val="99"/>
  </w:style>
  <w:style w:type="table" w:styleId="929">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1"/>
    <w:uiPriority w:val="99"/>
    <w:unhideWhenUsed/>
    <w:rPr>
      <w:vertAlign w:val="superscript"/>
    </w:rPr>
  </w:style>
  <w:style w:type="paragraph" w:styleId="1057">
    <w:name w:val="endnote text"/>
    <w:basedOn w:val="106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1"/>
    <w:uiPriority w:val="99"/>
    <w:semiHidden/>
    <w:unhideWhenUsed/>
    <w:rPr>
      <w:vertAlign w:val="superscript"/>
    </w:rPr>
  </w:style>
  <w:style w:type="paragraph" w:styleId="1060">
    <w:name w:val="TOC Heading"/>
    <w:uiPriority w:val="39"/>
    <w:unhideWhenUsed/>
  </w:style>
  <w:style w:type="paragraph" w:styleId="1061" w:default="1">
    <w:name w:val="Normal"/>
    <w:next w:val="1073"/>
    <w:uiPriority w:val="0"/>
    <w:qFormat/>
    <w:pPr>
      <w:jc w:val="both"/>
      <w:widowControl w:val="off"/>
    </w:pPr>
    <w:rPr>
      <w:rFonts w:ascii="Times New Roman" w:hAnsi="Times New Roman" w:eastAsia="宋体" w:cs="Times New Roman"/>
      <w:sz w:val="21"/>
      <w:szCs w:val="21"/>
      <w:lang w:val="en-US" w:eastAsia="zh-CN" w:bidi="ar-SA"/>
    </w:rPr>
  </w:style>
  <w:style w:type="paragraph" w:styleId="1062">
    <w:name w:val="Heading 1"/>
    <w:basedOn w:val="1061"/>
    <w:next w:val="1061"/>
    <w:link w:val="1123"/>
    <w:uiPriority w:val="0"/>
    <w:qFormat/>
    <w:pPr>
      <w:jc w:val="center"/>
      <w:keepNext/>
      <w:outlineLvl w:val="0"/>
    </w:pPr>
    <w:rPr>
      <w:rFonts w:ascii="楷体_GB2312" w:eastAsia="楷体_GB2312"/>
      <w:sz w:val="28"/>
      <w:szCs w:val="28"/>
    </w:rPr>
  </w:style>
  <w:style w:type="paragraph" w:styleId="1063">
    <w:name w:val="Heading 2"/>
    <w:basedOn w:val="1061"/>
    <w:next w:val="1061"/>
    <w:link w:val="11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4">
    <w:name w:val="Heading 3"/>
    <w:basedOn w:val="1061"/>
    <w:next w:val="1061"/>
    <w:link w:val="1125"/>
    <w:uiPriority w:val="0"/>
    <w:qFormat/>
    <w:pPr>
      <w:keepLines/>
      <w:keepNext/>
      <w:spacing w:before="260" w:after="260" w:line="416" w:lineRule="auto"/>
      <w:outlineLvl w:val="2"/>
    </w:pPr>
    <w:rPr>
      <w:b/>
      <w:bCs/>
      <w:sz w:val="32"/>
      <w:szCs w:val="32"/>
    </w:rPr>
  </w:style>
  <w:style w:type="paragraph" w:styleId="1065">
    <w:name w:val="Heading 4"/>
    <w:basedOn w:val="1061"/>
    <w:next w:val="1074"/>
    <w:uiPriority w:val="0"/>
    <w:qFormat/>
    <w:pPr>
      <w:keepLines/>
      <w:keepNext/>
      <w:spacing w:before="280" w:after="290" w:line="376" w:lineRule="auto"/>
      <w:outlineLvl w:val="3"/>
    </w:pPr>
    <w:rPr>
      <w:rFonts w:ascii="Arial" w:hAnsi="Arial" w:eastAsia="黑体" w:cs="Arial"/>
      <w:b/>
      <w:bCs/>
      <w:sz w:val="28"/>
      <w:szCs w:val="28"/>
    </w:rPr>
  </w:style>
  <w:style w:type="paragraph" w:styleId="1066">
    <w:name w:val="Heading 5"/>
    <w:basedOn w:val="1061"/>
    <w:next w:val="1074"/>
    <w:uiPriority w:val="0"/>
    <w:qFormat/>
    <w:pPr>
      <w:keepNext/>
      <w:outlineLvl w:val="4"/>
    </w:pPr>
    <w:rPr>
      <w:rFonts w:ascii="宋体"/>
      <w:color w:val="000000"/>
      <w:sz w:val="28"/>
      <w:szCs w:val="28"/>
    </w:rPr>
  </w:style>
  <w:style w:type="paragraph" w:styleId="1067">
    <w:name w:val="Heading 6"/>
    <w:basedOn w:val="1061"/>
    <w:next w:val="1061"/>
    <w:uiPriority w:val="0"/>
    <w:qFormat/>
    <w:pPr>
      <w:keepLines/>
      <w:keepNext/>
      <w:spacing w:before="240" w:after="64" w:line="320" w:lineRule="auto"/>
      <w:outlineLvl w:val="5"/>
    </w:pPr>
    <w:rPr>
      <w:rFonts w:ascii="Arial" w:hAnsi="Arial" w:eastAsia="黑体"/>
      <w:b/>
      <w:bCs/>
      <w:sz w:val="24"/>
      <w:szCs w:val="24"/>
    </w:rPr>
  </w:style>
  <w:style w:type="paragraph" w:styleId="1068">
    <w:name w:val="Heading 7"/>
    <w:basedOn w:val="1061"/>
    <w:next w:val="1061"/>
    <w:uiPriority w:val="0"/>
    <w:qFormat/>
    <w:pPr>
      <w:keepLines/>
      <w:keepNext/>
      <w:spacing w:before="240" w:after="64" w:line="320" w:lineRule="auto"/>
      <w:outlineLvl w:val="6"/>
    </w:pPr>
    <w:rPr>
      <w:b/>
      <w:bCs/>
      <w:sz w:val="24"/>
      <w:szCs w:val="24"/>
    </w:rPr>
  </w:style>
  <w:style w:type="paragraph" w:styleId="1069">
    <w:name w:val="Heading 8"/>
    <w:basedOn w:val="1061"/>
    <w:next w:val="1061"/>
    <w:uiPriority w:val="0"/>
    <w:qFormat/>
    <w:pPr>
      <w:keepLines/>
      <w:keepNext/>
      <w:spacing w:before="240" w:after="64" w:line="320" w:lineRule="auto"/>
      <w:outlineLvl w:val="7"/>
    </w:pPr>
    <w:rPr>
      <w:rFonts w:ascii="Arial" w:hAnsi="Arial" w:eastAsia="黑体"/>
      <w:sz w:val="24"/>
      <w:szCs w:val="24"/>
    </w:rPr>
  </w:style>
  <w:style w:type="paragraph" w:styleId="1070">
    <w:name w:val="Heading 9"/>
    <w:basedOn w:val="1061"/>
    <w:next w:val="1061"/>
    <w:uiPriority w:val="0"/>
    <w:qFormat/>
    <w:pPr>
      <w:keepLines/>
      <w:keepNext/>
      <w:spacing w:before="240" w:after="64" w:line="320" w:lineRule="auto"/>
      <w:outlineLvl w:val="8"/>
    </w:pPr>
    <w:rPr>
      <w:rFonts w:ascii="Arial" w:hAnsi="Arial" w:eastAsia="黑体"/>
    </w:rPr>
  </w:style>
  <w:style w:type="character" w:styleId="1071" w:default="1">
    <w:name w:val="Default Paragraph Font"/>
    <w:uiPriority w:val="1"/>
    <w:semiHidden/>
    <w:unhideWhenUsed/>
    <w:qFormat/>
  </w:style>
  <w:style w:type="table" w:styleId="1072" w:default="1">
    <w:name w:val="Normal Table"/>
    <w:uiPriority w:val="99"/>
    <w:semiHidden/>
    <w:unhideWhenUsed/>
    <w:qFormat/>
    <w:tblPr>
      <w:tblCellMar>
        <w:left w:w="108" w:type="dxa"/>
        <w:top w:w="0" w:type="dxa"/>
        <w:right w:w="108" w:type="dxa"/>
        <w:bottom w:w="0" w:type="dxa"/>
      </w:tblCellMar>
    </w:tblPr>
  </w:style>
  <w:style w:type="paragraph" w:styleId="1073" w:customStyle="1">
    <w:name w:val="首行缩进"/>
    <w:basedOn w:val="1061"/>
    <w:uiPriority w:val="0"/>
    <w:qFormat/>
    <w:pPr>
      <w:ind w:firstLine="200"/>
      <w:jc w:val="left"/>
      <w:spacing w:line="360" w:lineRule="auto"/>
    </w:pPr>
    <w:rPr>
      <w:rFonts w:ascii="宋体"/>
      <w:sz w:val="24"/>
      <w:szCs w:val="24"/>
    </w:rPr>
  </w:style>
  <w:style w:type="paragraph" w:styleId="1074">
    <w:name w:val="Normal Indent"/>
    <w:basedOn w:val="1061"/>
    <w:link w:val="1126"/>
    <w:uiPriority w:val="0"/>
    <w:qFormat/>
    <w:pPr>
      <w:ind w:firstLine="420"/>
    </w:pPr>
  </w:style>
  <w:style w:type="paragraph" w:styleId="1075">
    <w:name w:val="List 3"/>
    <w:basedOn w:val="1061"/>
    <w:uiPriority w:val="0"/>
    <w:qFormat/>
    <w:pPr>
      <w:ind w:left="100" w:hanging="200"/>
    </w:pPr>
  </w:style>
  <w:style w:type="paragraph" w:styleId="1076">
    <w:name w:val="toc 7"/>
    <w:basedOn w:val="1061"/>
    <w:next w:val="1061"/>
    <w:uiPriority w:val="0"/>
    <w:semiHidden/>
    <w:qFormat/>
    <w:pPr>
      <w:ind w:left="1260"/>
      <w:jc w:val="left"/>
    </w:pPr>
  </w:style>
  <w:style w:type="paragraph" w:styleId="1077">
    <w:name w:val="Document Map"/>
    <w:basedOn w:val="1061"/>
    <w:link w:val="1122"/>
    <w:uiPriority w:val="0"/>
    <w:semiHidden/>
    <w:qFormat/>
    <w:pPr>
      <w:shd w:val="clear" w:color="auto" w:fill="000080"/>
    </w:pPr>
  </w:style>
  <w:style w:type="paragraph" w:styleId="1078">
    <w:name w:val="annotation text"/>
    <w:basedOn w:val="1061"/>
    <w:uiPriority w:val="0"/>
    <w:semiHidden/>
    <w:qFormat/>
    <w:pPr>
      <w:jc w:val="left"/>
    </w:pPr>
  </w:style>
  <w:style w:type="paragraph" w:styleId="1079">
    <w:name w:val="Body Text 3"/>
    <w:basedOn w:val="1061"/>
    <w:uiPriority w:val="0"/>
    <w:qFormat/>
    <w:rPr>
      <w:rFonts w:ascii="仿宋_GB2312" w:hAnsi="Arial" w:eastAsia="仿宋_GB2312"/>
      <w:sz w:val="32"/>
      <w:szCs w:val="32"/>
    </w:rPr>
  </w:style>
  <w:style w:type="paragraph" w:styleId="1080">
    <w:name w:val="Body Text"/>
    <w:basedOn w:val="1061"/>
    <w:uiPriority w:val="0"/>
    <w:qFormat/>
    <w:rPr>
      <w:rFonts w:ascii="楷体_GB2312" w:hAnsi="Arial" w:eastAsia="楷体_GB2312"/>
      <w:sz w:val="28"/>
      <w:szCs w:val="28"/>
    </w:rPr>
  </w:style>
  <w:style w:type="paragraph" w:styleId="1081">
    <w:name w:val="Body Text Indent"/>
    <w:basedOn w:val="1061"/>
    <w:next w:val="1082"/>
    <w:uiPriority w:val="0"/>
    <w:qFormat/>
    <w:pPr>
      <w:ind w:firstLine="645"/>
    </w:pPr>
    <w:rPr>
      <w:rFonts w:ascii="楷体_GB2312" w:eastAsia="楷体_GB2312"/>
      <w:sz w:val="32"/>
      <w:szCs w:val="32"/>
    </w:rPr>
  </w:style>
  <w:style w:type="paragraph" w:styleId="1082">
    <w:name w:val="envelope return"/>
    <w:basedOn w:val="1061"/>
    <w:uiPriority w:val="99"/>
    <w:unhideWhenUsed/>
    <w:qFormat/>
    <w:rPr>
      <w:rFonts w:ascii="Arial" w:hAnsi="Arial"/>
    </w:rPr>
  </w:style>
  <w:style w:type="paragraph" w:styleId="1083">
    <w:name w:val="List 2"/>
    <w:basedOn w:val="1061"/>
    <w:uiPriority w:val="0"/>
    <w:qFormat/>
    <w:pPr>
      <w:ind w:left="100" w:hanging="200"/>
    </w:pPr>
  </w:style>
  <w:style w:type="paragraph" w:styleId="1084">
    <w:name w:val="Block Text"/>
    <w:basedOn w:val="1061"/>
    <w:uiPriority w:val="0"/>
    <w:qFormat/>
    <w:pPr>
      <w:ind w:left="256" w:right="6" w:firstLine="624"/>
    </w:pPr>
    <w:rPr>
      <w:rFonts w:eastAsia="仿宋_GB2312"/>
      <w:sz w:val="28"/>
      <w:szCs w:val="20"/>
    </w:rPr>
  </w:style>
  <w:style w:type="paragraph" w:styleId="1085">
    <w:name w:val="index 4"/>
    <w:basedOn w:val="1061"/>
    <w:next w:val="1061"/>
    <w:uiPriority w:val="99"/>
    <w:unhideWhenUsed/>
    <w:qFormat/>
    <w:pPr>
      <w:ind w:left="600"/>
    </w:pPr>
  </w:style>
  <w:style w:type="paragraph" w:styleId="1086">
    <w:name w:val="toc 5"/>
    <w:basedOn w:val="1061"/>
    <w:next w:val="1061"/>
    <w:uiPriority w:val="0"/>
    <w:semiHidden/>
    <w:qFormat/>
    <w:pPr>
      <w:ind w:left="840"/>
      <w:jc w:val="left"/>
    </w:pPr>
  </w:style>
  <w:style w:type="paragraph" w:styleId="1087">
    <w:name w:val="toc 3"/>
    <w:basedOn w:val="1061"/>
    <w:next w:val="1061"/>
    <w:uiPriority w:val="0"/>
    <w:semiHidden/>
    <w:qFormat/>
    <w:pPr>
      <w:ind w:left="420"/>
      <w:jc w:val="left"/>
    </w:pPr>
    <w:rPr>
      <w:i/>
      <w:iCs/>
      <w:szCs w:val="24"/>
    </w:rPr>
  </w:style>
  <w:style w:type="paragraph" w:styleId="1088">
    <w:name w:val="Plain Text"/>
    <w:basedOn w:val="1061"/>
    <w:link w:val="1127"/>
    <w:uiPriority w:val="0"/>
    <w:qFormat/>
    <w:rPr>
      <w:rFonts w:ascii="宋体" w:hAnsi="Courier New"/>
    </w:rPr>
  </w:style>
  <w:style w:type="paragraph" w:styleId="1089">
    <w:name w:val="toc 8"/>
    <w:basedOn w:val="1061"/>
    <w:next w:val="1061"/>
    <w:uiPriority w:val="0"/>
    <w:semiHidden/>
    <w:qFormat/>
    <w:pPr>
      <w:ind w:left="1470"/>
      <w:jc w:val="left"/>
    </w:pPr>
  </w:style>
  <w:style w:type="paragraph" w:styleId="1090">
    <w:name w:val="Date"/>
    <w:basedOn w:val="1061"/>
    <w:next w:val="1061"/>
    <w:uiPriority w:val="0"/>
    <w:qFormat/>
    <w:rPr>
      <w:sz w:val="24"/>
      <w:szCs w:val="24"/>
    </w:rPr>
  </w:style>
  <w:style w:type="paragraph" w:styleId="1091">
    <w:name w:val="Body Text Indent 2"/>
    <w:basedOn w:val="1061"/>
    <w:uiPriority w:val="0"/>
    <w:qFormat/>
    <w:pPr>
      <w:ind w:left="630" w:firstLine="645"/>
    </w:pPr>
    <w:rPr>
      <w:rFonts w:ascii="Arial" w:hAnsi="Arial" w:eastAsia="仿宋_GB2312" w:cs="Arial"/>
      <w:sz w:val="32"/>
      <w:szCs w:val="32"/>
    </w:rPr>
  </w:style>
  <w:style w:type="paragraph" w:styleId="1092">
    <w:name w:val="Balloon Text"/>
    <w:basedOn w:val="1061"/>
    <w:uiPriority w:val="0"/>
    <w:semiHidden/>
    <w:qFormat/>
    <w:rPr>
      <w:sz w:val="18"/>
      <w:szCs w:val="18"/>
    </w:rPr>
  </w:style>
  <w:style w:type="paragraph" w:styleId="1093">
    <w:name w:val="Footer"/>
    <w:basedOn w:val="1061"/>
    <w:uiPriority w:val="0"/>
    <w:qFormat/>
    <w:pPr>
      <w:jc w:val="left"/>
      <w:tabs>
        <w:tab w:val="center" w:pos="4153" w:leader="none"/>
        <w:tab w:val="right" w:pos="8306" w:leader="none"/>
      </w:tabs>
    </w:pPr>
    <w:rPr>
      <w:sz w:val="18"/>
      <w:szCs w:val="18"/>
    </w:rPr>
  </w:style>
  <w:style w:type="paragraph" w:styleId="1094">
    <w:name w:val="Header"/>
    <w:basedOn w:val="1061"/>
    <w:uiPriority w:val="0"/>
    <w:qFormat/>
    <w:pPr>
      <w:jc w:val="center"/>
      <w:tabs>
        <w:tab w:val="center" w:pos="4153" w:leader="none"/>
        <w:tab w:val="right" w:pos="8306" w:leader="none"/>
      </w:tabs>
      <w:pBdr>
        <w:bottom w:val="single" w:color="auto" w:sz="6" w:space="1"/>
      </w:pBdr>
    </w:pPr>
    <w:rPr>
      <w:sz w:val="18"/>
      <w:szCs w:val="18"/>
    </w:rPr>
  </w:style>
  <w:style w:type="paragraph" w:styleId="1095">
    <w:name w:val="toc 1"/>
    <w:basedOn w:val="1061"/>
    <w:next w:val="1061"/>
    <w:uiPriority w:val="0"/>
    <w:semiHidden/>
    <w:qFormat/>
    <w:pPr>
      <w:jc w:val="left"/>
      <w:spacing w:before="120" w:after="120" w:line="400" w:lineRule="exact"/>
      <w:tabs>
        <w:tab w:val="right" w:pos="8720" w:leader="dot"/>
      </w:tabs>
    </w:pPr>
    <w:rPr>
      <w:rFonts w:ascii="宋体" w:hAnsi="宋体"/>
      <w:caps/>
      <w:sz w:val="24"/>
      <w:szCs w:val="24"/>
    </w:rPr>
  </w:style>
  <w:style w:type="paragraph" w:styleId="1096">
    <w:name w:val="toc 4"/>
    <w:basedOn w:val="1061"/>
    <w:next w:val="1061"/>
    <w:uiPriority w:val="0"/>
    <w:semiHidden/>
    <w:qFormat/>
    <w:pPr>
      <w:ind w:left="630"/>
      <w:jc w:val="left"/>
    </w:pPr>
  </w:style>
  <w:style w:type="paragraph" w:styleId="1097">
    <w:name w:val="List"/>
    <w:basedOn w:val="1061"/>
    <w:uiPriority w:val="0"/>
    <w:qFormat/>
    <w:pPr>
      <w:ind w:left="200" w:hanging="200"/>
    </w:pPr>
  </w:style>
  <w:style w:type="paragraph" w:styleId="1098">
    <w:name w:val="toc 6"/>
    <w:basedOn w:val="1061"/>
    <w:next w:val="1061"/>
    <w:uiPriority w:val="0"/>
    <w:semiHidden/>
    <w:qFormat/>
    <w:pPr>
      <w:ind w:left="1050"/>
      <w:jc w:val="left"/>
    </w:pPr>
  </w:style>
  <w:style w:type="paragraph" w:styleId="1099">
    <w:name w:val="Body Text Indent 3"/>
    <w:basedOn w:val="1061"/>
    <w:uiPriority w:val="0"/>
    <w:qFormat/>
    <w:pPr>
      <w:ind w:left="645" w:firstLine="645"/>
    </w:pPr>
    <w:rPr>
      <w:rFonts w:ascii="Arial" w:hAnsi="Arial" w:eastAsia="仿宋_GB2312" w:cs="Arial"/>
      <w:color w:val="ffff00"/>
      <w:sz w:val="32"/>
      <w:szCs w:val="32"/>
    </w:rPr>
  </w:style>
  <w:style w:type="paragraph" w:styleId="1100">
    <w:name w:val="table of figures"/>
    <w:basedOn w:val="1061"/>
    <w:next w:val="1061"/>
    <w:uiPriority w:val="0"/>
    <w:semiHidden/>
    <w:qFormat/>
    <w:pPr>
      <w:ind w:left="840" w:hanging="420"/>
    </w:pPr>
  </w:style>
  <w:style w:type="paragraph" w:styleId="1101">
    <w:name w:val="toc 2"/>
    <w:basedOn w:val="1061"/>
    <w:next w:val="1061"/>
    <w:uiPriority w:val="0"/>
    <w:semiHidden/>
    <w:qFormat/>
    <w:pPr>
      <w:ind w:left="210"/>
      <w:jc w:val="left"/>
    </w:pPr>
    <w:rPr>
      <w:smallCaps/>
      <w:szCs w:val="24"/>
    </w:rPr>
  </w:style>
  <w:style w:type="paragraph" w:styleId="1102">
    <w:name w:val="toc 9"/>
    <w:basedOn w:val="1061"/>
    <w:next w:val="1061"/>
    <w:uiPriority w:val="0"/>
    <w:semiHidden/>
    <w:qFormat/>
    <w:pPr>
      <w:ind w:left="1680"/>
      <w:jc w:val="left"/>
    </w:pPr>
  </w:style>
  <w:style w:type="paragraph" w:styleId="1103">
    <w:name w:val="Body Text 2"/>
    <w:basedOn w:val="1061"/>
    <w:uiPriority w:val="0"/>
    <w:qFormat/>
    <w:pPr>
      <w:jc w:val="center"/>
      <w:widowControl/>
    </w:pPr>
    <w:rPr>
      <w:rFonts w:ascii="楷体_GB2312" w:eastAsia="楷体_GB2312"/>
      <w:sz w:val="28"/>
      <w:szCs w:val="28"/>
    </w:rPr>
  </w:style>
  <w:style w:type="paragraph" w:styleId="1104">
    <w:name w:val="HTML Preformatted"/>
    <w:basedOn w:val="10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5">
    <w:name w:val="Normal (Web)"/>
    <w:basedOn w:val="1061"/>
    <w:uiPriority w:val="0"/>
    <w:qFormat/>
    <w:pPr>
      <w:jc w:val="left"/>
      <w:spacing w:before="100" w:beforeAutospacing="1" w:after="100" w:afterAutospacing="1"/>
      <w:widowControl/>
    </w:pPr>
    <w:rPr>
      <w:rFonts w:ascii="宋体" w:hAnsi="宋体" w:cs="宋体"/>
      <w:sz w:val="24"/>
      <w:szCs w:val="24"/>
    </w:rPr>
  </w:style>
  <w:style w:type="paragraph" w:styleId="1106">
    <w:name w:val="index 1"/>
    <w:basedOn w:val="1061"/>
    <w:next w:val="1061"/>
    <w:uiPriority w:val="0"/>
    <w:semiHidden/>
    <w:qFormat/>
    <w:pPr>
      <w:spacing w:line="240" w:lineRule="atLeast"/>
    </w:pPr>
    <w:rPr>
      <w:b/>
      <w:bCs/>
    </w:rPr>
  </w:style>
  <w:style w:type="paragraph" w:styleId="1107">
    <w:name w:val="Title"/>
    <w:basedOn w:val="1061"/>
    <w:uiPriority w:val="0"/>
    <w:qFormat/>
    <w:pPr>
      <w:ind w:firstLine="200"/>
      <w:jc w:val="center"/>
      <w:spacing w:before="240" w:after="60" w:line="360" w:lineRule="auto"/>
      <w:outlineLvl w:val="0"/>
    </w:pPr>
    <w:rPr>
      <w:rFonts w:ascii="Arial" w:hAnsi="Arial"/>
      <w:b/>
      <w:bCs/>
      <w:sz w:val="32"/>
      <w:szCs w:val="32"/>
    </w:rPr>
  </w:style>
  <w:style w:type="paragraph" w:styleId="1108">
    <w:name w:val="annotation subject"/>
    <w:basedOn w:val="1078"/>
    <w:next w:val="1078"/>
    <w:uiPriority w:val="0"/>
    <w:semiHidden/>
    <w:qFormat/>
    <w:rPr>
      <w:b/>
      <w:bCs/>
    </w:rPr>
  </w:style>
  <w:style w:type="paragraph" w:styleId="1109">
    <w:name w:val="Body Text First Indent"/>
    <w:basedOn w:val="1061"/>
    <w:uiPriority w:val="0"/>
    <w:qFormat/>
    <w:pPr>
      <w:ind w:firstLine="200"/>
      <w:spacing w:line="360" w:lineRule="auto"/>
    </w:pPr>
    <w:rPr>
      <w:rFonts w:ascii="仿宋_GB2312" w:eastAsia="仿宋_GB2312"/>
      <w:sz w:val="30"/>
      <w:szCs w:val="30"/>
    </w:rPr>
  </w:style>
  <w:style w:type="paragraph" w:styleId="1110">
    <w:name w:val="Body Text First Indent 2"/>
    <w:basedOn w:val="1081"/>
    <w:link w:val="1128"/>
    <w:uiPriority w:val="0"/>
    <w:qFormat/>
    <w:pPr>
      <w:ind w:firstLine="420"/>
      <w:spacing w:line="360" w:lineRule="auto"/>
    </w:pPr>
    <w:rPr>
      <w:rFonts w:ascii="宋体" w:hAnsi="宋体" w:eastAsia="宋体"/>
      <w:sz w:val="21"/>
      <w:szCs w:val="20"/>
    </w:rPr>
  </w:style>
  <w:style w:type="table" w:styleId="1111">
    <w:name w:val="Table Grid"/>
    <w:basedOn w:val="10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name w:val="Strong"/>
    <w:uiPriority w:val="0"/>
    <w:qFormat/>
    <w:rPr>
      <w:b/>
      <w:bCs/>
    </w:rPr>
  </w:style>
  <w:style w:type="character" w:styleId="1113">
    <w:name w:val="page number"/>
    <w:basedOn w:val="1071"/>
    <w:uiPriority w:val="0"/>
    <w:qFormat/>
  </w:style>
  <w:style w:type="character" w:styleId="1114">
    <w:name w:val="FollowedHyperlink"/>
    <w:basedOn w:val="1071"/>
    <w:uiPriority w:val="0"/>
    <w:qFormat/>
    <w:rPr>
      <w:color w:val="555555"/>
      <w:u w:val="none"/>
    </w:rPr>
  </w:style>
  <w:style w:type="character" w:styleId="1115">
    <w:name w:val="Hyperlink"/>
    <w:basedOn w:val="1071"/>
    <w:uiPriority w:val="0"/>
    <w:qFormat/>
    <w:rPr>
      <w:color w:val="555555"/>
      <w:u w:val="none"/>
    </w:rPr>
  </w:style>
  <w:style w:type="character" w:styleId="1116">
    <w:name w:val="annotation reference"/>
    <w:uiPriority w:val="0"/>
    <w:semiHidden/>
    <w:qFormat/>
    <w:rPr>
      <w:sz w:val="21"/>
      <w:szCs w:val="21"/>
    </w:rPr>
  </w:style>
  <w:style w:type="paragraph" w:styleId="1117"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118" w:customStyle="1">
    <w:name w:val="文档正文"/>
    <w:basedOn w:val="1061"/>
    <w:uiPriority w:val="0"/>
    <w:qFormat/>
    <w:pPr>
      <w:ind w:firstLine="567"/>
    </w:pPr>
    <w:rPr>
      <w:rFonts w:ascii="长城仿宋" w:eastAsia="长城仿宋"/>
      <w:sz w:val="28"/>
    </w:rPr>
  </w:style>
  <w:style w:type="paragraph" w:styleId="1119" w:customStyle="1">
    <w:name w:val="一级条标题"/>
    <w:basedOn w:val="1120"/>
    <w:next w:val="11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0" w:customStyle="1">
    <w:name w:val="章标题"/>
    <w:next w:val="106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1" w:customStyle="1">
    <w:name w:val="段"/>
    <w:next w:val="1061"/>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122" w:customStyle="1">
    <w:name w:val="文档结构图 字符"/>
    <w:link w:val="1077"/>
    <w:uiPriority w:val="0"/>
    <w:qFormat/>
    <w:rPr>
      <w:rFonts w:eastAsia="宋体"/>
      <w:sz w:val="21"/>
      <w:szCs w:val="21"/>
      <w:lang w:val="en-US" w:eastAsia="zh-CN" w:bidi="ar-SA"/>
    </w:rPr>
  </w:style>
  <w:style w:type="character" w:styleId="1123" w:customStyle="1">
    <w:name w:val="标题 1 字符"/>
    <w:link w:val="1062"/>
    <w:uiPriority w:val="9"/>
    <w:qFormat/>
    <w:rPr>
      <w:rFonts w:ascii="楷体_GB2312" w:eastAsia="楷体_GB2312"/>
      <w:sz w:val="28"/>
      <w:szCs w:val="28"/>
    </w:rPr>
  </w:style>
  <w:style w:type="character" w:styleId="1124" w:customStyle="1">
    <w:name w:val="标题 2 字符"/>
    <w:link w:val="1063"/>
    <w:uiPriority w:val="0"/>
    <w:qFormat/>
    <w:rPr>
      <w:rFonts w:ascii="Arial" w:hAnsi="Arial" w:eastAsia="幼圆" w:cs="Arial"/>
      <w:b/>
      <w:bCs/>
      <w:sz w:val="44"/>
      <w:szCs w:val="44"/>
    </w:rPr>
  </w:style>
  <w:style w:type="character" w:styleId="1125" w:customStyle="1">
    <w:name w:val="标题 3 字符"/>
    <w:link w:val="1064"/>
    <w:uiPriority w:val="0"/>
    <w:qFormat/>
    <w:rPr>
      <w:rFonts w:eastAsia="宋体"/>
      <w:b/>
      <w:bCs/>
      <w:sz w:val="32"/>
      <w:szCs w:val="32"/>
      <w:lang w:val="en-US" w:eastAsia="zh-CN" w:bidi="ar-SA"/>
    </w:rPr>
  </w:style>
  <w:style w:type="character" w:styleId="1126" w:customStyle="1">
    <w:name w:val="正文缩进 字符"/>
    <w:link w:val="1074"/>
    <w:uiPriority w:val="0"/>
    <w:qFormat/>
    <w:rPr>
      <w:sz w:val="21"/>
      <w:szCs w:val="21"/>
    </w:rPr>
  </w:style>
  <w:style w:type="character" w:styleId="1127" w:customStyle="1">
    <w:name w:val="纯文本 字符"/>
    <w:link w:val="1088"/>
    <w:uiPriority w:val="0"/>
    <w:qFormat/>
    <w:rPr>
      <w:rFonts w:ascii="宋体" w:hAnsi="Courier New" w:cs="Courier New"/>
      <w:sz w:val="21"/>
      <w:szCs w:val="21"/>
    </w:rPr>
  </w:style>
  <w:style w:type="character" w:styleId="1128" w:customStyle="1">
    <w:name w:val="正文文本首行缩进 2 字符"/>
    <w:link w:val="1110"/>
    <w:uiPriority w:val="0"/>
    <w:qFormat/>
    <w:rPr>
      <w:rFonts w:ascii="宋体" w:hAnsi="宋体"/>
      <w:sz w:val="21"/>
    </w:rPr>
  </w:style>
  <w:style w:type="paragraph" w:styleId="112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130" w:customStyle="1">
    <w:name w:val="普通正文 Char"/>
    <w:link w:val="1131"/>
    <w:uiPriority w:val="0"/>
    <w:qFormat/>
    <w:rPr>
      <w:rFonts w:ascii="Arial" w:hAnsi="Arial"/>
      <w:sz w:val="24"/>
      <w:szCs w:val="24"/>
    </w:rPr>
  </w:style>
  <w:style w:type="paragraph" w:styleId="1131" w:customStyle="1">
    <w:name w:val="普通正文"/>
    <w:basedOn w:val="1061"/>
    <w:link w:val="1130"/>
    <w:uiPriority w:val="0"/>
    <w:qFormat/>
    <w:pPr>
      <w:ind w:firstLine="480"/>
      <w:jc w:val="left"/>
      <w:spacing w:before="120" w:after="120" w:line="360" w:lineRule="auto"/>
    </w:pPr>
    <w:rPr>
      <w:rFonts w:ascii="Arial" w:hAnsi="Arial"/>
      <w:sz w:val="24"/>
      <w:szCs w:val="24"/>
    </w:rPr>
  </w:style>
  <w:style w:type="character" w:styleId="1132" w:customStyle="1">
    <w:name w:val="列出段落 Char"/>
    <w:link w:val="1133"/>
    <w:uiPriority w:val="0"/>
    <w:qFormat/>
    <w:rPr>
      <w:rFonts w:ascii="Calibri" w:hAnsi="Calibri"/>
      <w:sz w:val="24"/>
      <w:szCs w:val="24"/>
      <w:lang w:eastAsia="en-US" w:bidi="en-US"/>
    </w:rPr>
  </w:style>
  <w:style w:type="paragraph" w:styleId="1133" w:customStyle="1">
    <w:name w:val="列出段落1"/>
    <w:basedOn w:val="1061"/>
    <w:link w:val="1132"/>
    <w:uiPriority w:val="0"/>
    <w:qFormat/>
    <w:pPr>
      <w:contextualSpacing/>
      <w:ind w:left="720"/>
      <w:jc w:val="left"/>
      <w:widowControl/>
    </w:pPr>
    <w:rPr>
      <w:rFonts w:ascii="Calibri" w:hAnsi="Calibri"/>
      <w:sz w:val="24"/>
      <w:szCs w:val="24"/>
      <w:lang w:eastAsia="en-US" w:bidi="en-US"/>
    </w:rPr>
  </w:style>
  <w:style w:type="character" w:styleId="1134" w:customStyle="1">
    <w:name w:val="apple-converted-space"/>
    <w:uiPriority w:val="99"/>
    <w:qFormat/>
  </w:style>
  <w:style w:type="character" w:styleId="1135" w:customStyle="1">
    <w:name w:val="NormalCharacter"/>
    <w:uiPriority w:val="0"/>
    <w:semiHidden/>
    <w:qFormat/>
  </w:style>
  <w:style w:type="character" w:styleId="1136" w:customStyle="1">
    <w:name w:val="Char Char Char Char Char"/>
    <w:link w:val="1137"/>
    <w:uiPriority w:val="0"/>
    <w:qFormat/>
    <w:rPr>
      <w:rFonts w:ascii="Tahoma" w:hAnsi="Tahoma" w:eastAsia="宋体"/>
      <w:sz w:val="24"/>
      <w:szCs w:val="24"/>
      <w:lang w:val="en-US" w:eastAsia="zh-CN" w:bidi="ar-SA"/>
    </w:rPr>
  </w:style>
  <w:style w:type="paragraph" w:styleId="1137" w:customStyle="1">
    <w:name w:val="Char Char Char Char"/>
    <w:basedOn w:val="1077"/>
    <w:link w:val="1136"/>
    <w:uiPriority w:val="0"/>
    <w:qFormat/>
    <w:pPr>
      <w:spacing w:line="360" w:lineRule="auto"/>
    </w:pPr>
    <w:rPr>
      <w:rFonts w:ascii="Tahoma" w:hAnsi="Tahoma"/>
      <w:sz w:val="24"/>
      <w:szCs w:val="24"/>
    </w:rPr>
  </w:style>
  <w:style w:type="character" w:styleId="1138" w:customStyle="1">
    <w:name w:val="font01"/>
    <w:uiPriority w:val="0"/>
    <w:qFormat/>
    <w:rPr>
      <w:rFonts w:hint="eastAsia" w:ascii="宋体" w:hAnsi="宋体" w:eastAsia="宋体" w:cs="宋体"/>
      <w:color w:val="000000"/>
      <w:sz w:val="21"/>
      <w:szCs w:val="21"/>
      <w:u w:val="none"/>
    </w:rPr>
  </w:style>
  <w:style w:type="character" w:styleId="1139" w:customStyle="1">
    <w:name w:val="二级目录 Char"/>
    <w:link w:val="1140"/>
    <w:uiPriority w:val="0"/>
    <w:qFormat/>
    <w:rPr>
      <w:b/>
      <w:sz w:val="30"/>
      <w:szCs w:val="28"/>
    </w:rPr>
  </w:style>
  <w:style w:type="paragraph" w:styleId="1140" w:customStyle="1">
    <w:name w:val="二级目录"/>
    <w:next w:val="1061"/>
    <w:link w:val="11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1" w:customStyle="1">
    <w:name w:val="font21"/>
    <w:uiPriority w:val="0"/>
    <w:qFormat/>
    <w:rPr>
      <w:rFonts w:hint="eastAsia" w:ascii="宋体" w:hAnsi="宋体" w:eastAsia="宋体"/>
      <w:color w:val="000000"/>
      <w:sz w:val="22"/>
      <w:szCs w:val="22"/>
      <w:u w:val="none"/>
    </w:rPr>
  </w:style>
  <w:style w:type="character" w:styleId="1142" w:customStyle="1">
    <w:name w:val="font5 Char"/>
    <w:uiPriority w:val="0"/>
    <w:qFormat/>
    <w:rPr>
      <w:rFonts w:ascii="宋体" w:hAnsi="宋体" w:eastAsia="宋体"/>
      <w:sz w:val="28"/>
      <w:szCs w:val="28"/>
      <w:lang w:val="en-US" w:eastAsia="zh-CN" w:bidi="ar-SA"/>
    </w:rPr>
  </w:style>
  <w:style w:type="paragraph" w:styleId="1143">
    <w:name w:val="No Spacing"/>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table_1stline"/>
    <w:basedOn w:val="1061"/>
    <w:uiPriority w:val="0"/>
    <w:qFormat/>
    <w:pPr>
      <w:jc w:val="left"/>
      <w:spacing w:before="120"/>
      <w:widowControl/>
    </w:pPr>
    <w:rPr>
      <w:bCs/>
      <w:sz w:val="20"/>
      <w:szCs w:val="20"/>
      <w:lang w:val="de-DE" w:eastAsia="de-DE"/>
    </w:rPr>
  </w:style>
  <w:style w:type="paragraph" w:styleId="1145" w:customStyle="1">
    <w:name w:val="xl24"/>
    <w:basedOn w:val="10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6" w:customStyle="1">
    <w:name w:val="Char Char Char Char Char Char Char Char Char Char"/>
    <w:basedOn w:val="1061"/>
    <w:uiPriority w:val="0"/>
    <w:qFormat/>
    <w:pPr>
      <w:spacing w:line="360" w:lineRule="auto"/>
    </w:pPr>
    <w:rPr>
      <w:sz w:val="24"/>
      <w:szCs w:val="20"/>
    </w:rPr>
  </w:style>
  <w:style w:type="paragraph" w:styleId="1147" w:customStyle="1">
    <w:name w:val="font6"/>
    <w:basedOn w:val="1061"/>
    <w:uiPriority w:val="0"/>
    <w:qFormat/>
    <w:pPr>
      <w:jc w:val="left"/>
      <w:spacing w:before="100" w:beforeAutospacing="1" w:after="100" w:afterAutospacing="1"/>
      <w:widowControl/>
    </w:pPr>
    <w:rPr>
      <w:rFonts w:hint="eastAsia" w:ascii="宋体" w:hAnsi="宋体"/>
      <w:sz w:val="28"/>
      <w:szCs w:val="28"/>
      <w:u w:val="single"/>
    </w:rPr>
  </w:style>
  <w:style w:type="paragraph" w:styleId="1148" w:customStyle="1">
    <w:name w:val="Char Char Char Char Char Char Char Char"/>
    <w:basedOn w:val="1061"/>
    <w:uiPriority w:val="0"/>
    <w:qFormat/>
    <w:pPr>
      <w:jc w:val="left"/>
      <w:spacing w:after="160" w:line="240" w:lineRule="exact"/>
      <w:widowControl/>
    </w:pPr>
    <w:rPr>
      <w:rFonts w:ascii="Verdana" w:hAnsi="Verdana"/>
      <w:sz w:val="20"/>
      <w:szCs w:val="20"/>
      <w:lang w:eastAsia="en-US"/>
    </w:rPr>
  </w:style>
  <w:style w:type="paragraph" w:styleId="1149"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1150" w:customStyle="1">
    <w:name w:val="样式1"/>
    <w:basedOn w:val="1061"/>
    <w:uiPriority w:val="0"/>
    <w:qFormat/>
    <w:pPr>
      <w:ind w:left="709" w:hanging="709"/>
      <w:tabs>
        <w:tab w:val="left" w:pos="709" w:leader="none"/>
      </w:tabs>
    </w:pPr>
    <w:rPr>
      <w:rFonts w:ascii="宋体" w:hAnsi="宋体"/>
    </w:rPr>
  </w:style>
  <w:style w:type="paragraph" w:styleId="1151" w:customStyle="1">
    <w:name w:val="列出段落2"/>
    <w:basedOn w:val="1061"/>
    <w:uiPriority w:val="34"/>
    <w:qFormat/>
    <w:pPr>
      <w:ind w:firstLine="420"/>
    </w:pPr>
    <w:rPr>
      <w:szCs w:val="24"/>
    </w:rPr>
  </w:style>
  <w:style w:type="paragraph" w:styleId="1152" w:customStyle="1">
    <w:name w:val="Char"/>
    <w:basedOn w:val="1077"/>
    <w:uiPriority w:val="0"/>
    <w:qFormat/>
    <w:rPr>
      <w:rFonts w:ascii="Tahoma" w:hAnsi="Tahoma"/>
      <w:sz w:val="24"/>
      <w:szCs w:val="24"/>
    </w:rPr>
  </w:style>
  <w:style w:type="paragraph" w:styleId="1153" w:customStyle="1">
    <w:name w:val="table_lines"/>
    <w:basedOn w:val="1061"/>
    <w:uiPriority w:val="0"/>
    <w:qFormat/>
    <w:pPr>
      <w:jc w:val="left"/>
      <w:widowControl/>
    </w:pPr>
    <w:rPr>
      <w:sz w:val="20"/>
      <w:szCs w:val="20"/>
      <w:lang w:val="de-DE" w:eastAsia="de-DE"/>
    </w:rPr>
  </w:style>
  <w:style w:type="paragraph" w:styleId="1154" w:customStyle="1">
    <w:name w:val="xl27"/>
    <w:basedOn w:val="10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5" w:customStyle="1">
    <w:name w:val="NormalIndent"/>
    <w:basedOn w:val="1061"/>
    <w:uiPriority w:val="0"/>
    <w:qFormat/>
    <w:pPr>
      <w:ind w:firstLine="420"/>
    </w:pPr>
  </w:style>
  <w:style w:type="paragraph" w:styleId="1156" w:customStyle="1">
    <w:name w:val="Body Text(ch)"/>
    <w:basedOn w:val="1061"/>
    <w:next w:val="1080"/>
    <w:uiPriority w:val="0"/>
    <w:qFormat/>
    <w:pPr>
      <w:spacing w:after="120"/>
    </w:pPr>
    <w:rPr>
      <w:rFonts w:ascii="宋体" w:hAnsi="Arial"/>
      <w:bCs/>
      <w:iCs/>
      <w:szCs w:val="24"/>
    </w:rPr>
  </w:style>
  <w:style w:type="paragraph" w:styleId="1157" w:customStyle="1">
    <w:name w:val="font7"/>
    <w:basedOn w:val="1061"/>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Normal]"/>
    <w:uiPriority w:val="0"/>
    <w:qFormat/>
    <w:rPr>
      <w:rFonts w:ascii="方正仿宋简体" w:hAnsi="方正仿宋简体" w:eastAsia="方正仿宋简体" w:cs="Courier New"/>
      <w:sz w:val="24"/>
      <w:szCs w:val="22"/>
      <w:lang w:val="zh-CN" w:eastAsia="zh-CN" w:bidi="ar-SA"/>
    </w:rPr>
  </w:style>
  <w:style w:type="paragraph" w:styleId="1159" w:customStyle="1">
    <w:name w:val="标题1"/>
    <w:basedOn w:val="1061"/>
    <w:next w:val="10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0" w:customStyle="1">
    <w:name w:val="Heading 3"/>
    <w:basedOn w:val="1061"/>
    <w:next w:val="1155"/>
    <w:uiPriority w:val="0"/>
    <w:qFormat/>
    <w:pPr>
      <w:keepLines/>
      <w:keepNext/>
      <w:spacing w:before="260" w:after="260" w:line="416" w:lineRule="auto"/>
    </w:pPr>
    <w:rPr>
      <w:sz w:val="32"/>
      <w:szCs w:val="32"/>
    </w:rPr>
  </w:style>
  <w:style w:type="paragraph" w:styleId="1161" w:customStyle="1">
    <w:name w:val="4"/>
    <w:basedOn w:val="1061"/>
    <w:next w:val="1099"/>
    <w:uiPriority w:val="99"/>
    <w:qFormat/>
    <w:pPr>
      <w:ind w:firstLine="420"/>
      <w:spacing w:line="360" w:lineRule="auto"/>
    </w:pPr>
    <w:rPr>
      <w:color w:val="ff0000"/>
      <w:sz w:val="24"/>
      <w:szCs w:val="24"/>
    </w:rPr>
  </w:style>
  <w:style w:type="paragraph" w:styleId="1162">
    <w:name w:val="List Paragraph"/>
    <w:basedOn w:val="1061"/>
    <w:uiPriority w:val="34"/>
    <w:qFormat/>
    <w:pPr>
      <w:contextualSpacing/>
      <w:ind w:left="720"/>
      <w:jc w:val="left"/>
      <w:widowControl/>
    </w:pPr>
    <w:rPr>
      <w:rFonts w:ascii="Calibri" w:hAnsi="Calibri"/>
      <w:sz w:val="24"/>
      <w:szCs w:val="24"/>
      <w:lang w:eastAsia="en-US" w:bidi="en-US"/>
    </w:rPr>
  </w:style>
  <w:style w:type="paragraph" w:styleId="1163" w:customStyle="1">
    <w:name w:val="Char Char Char Char1"/>
    <w:basedOn w:val="1077"/>
    <w:uiPriority w:val="0"/>
    <w:qFormat/>
    <w:pPr>
      <w:spacing w:line="360" w:lineRule="auto"/>
    </w:pPr>
    <w:rPr>
      <w:rFonts w:ascii="Tahoma" w:hAnsi="Tahoma"/>
      <w:sz w:val="24"/>
      <w:szCs w:val="24"/>
    </w:rPr>
  </w:style>
  <w:style w:type="paragraph" w:styleId="1164" w:customStyle="1">
    <w:name w:val="BodyText1I"/>
    <w:basedOn w:val="1165"/>
    <w:uiPriority w:val="0"/>
    <w:qFormat/>
    <w:pPr>
      <w:ind w:firstLine="420"/>
    </w:pPr>
  </w:style>
  <w:style w:type="paragraph" w:styleId="1165" w:customStyle="1">
    <w:name w:val="BodyText"/>
    <w:basedOn w:val="1061"/>
    <w:uiPriority w:val="0"/>
    <w:qFormat/>
    <w:pPr>
      <w:spacing w:after="120"/>
    </w:pPr>
    <w:rPr>
      <w:sz w:val="20"/>
      <w:szCs w:val="24"/>
    </w:rPr>
  </w:style>
  <w:style w:type="paragraph" w:styleId="1166" w:customStyle="1">
    <w:name w:val="图标"/>
    <w:basedOn w:val="1061"/>
    <w:next w:val="10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7" w:customStyle="1">
    <w:name w:val="普通 (Web)"/>
    <w:basedOn w:val="1061"/>
    <w:uiPriority w:val="0"/>
    <w:qFormat/>
    <w:pPr>
      <w:jc w:val="left"/>
      <w:spacing w:before="100" w:beforeAutospacing="1" w:after="100" w:afterAutospacing="1"/>
      <w:widowControl/>
    </w:pPr>
    <w:rPr>
      <w:rFonts w:ascii="宋体" w:hAnsi="宋体"/>
      <w:sz w:val="24"/>
      <w:szCs w:val="24"/>
    </w:rPr>
  </w:style>
  <w:style w:type="paragraph" w:styleId="1168" w:customStyle="1">
    <w:name w:val="xl29"/>
    <w:basedOn w:val="10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0" w:customStyle="1">
    <w:name w:val="xl25"/>
    <w:basedOn w:val="10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1" w:customStyle="1">
    <w:name w:val="Char1"/>
    <w:basedOn w:val="1061"/>
    <w:uiPriority w:val="0"/>
    <w:qFormat/>
    <w:pPr>
      <w:ind w:firstLine="200"/>
      <w:tabs>
        <w:tab w:val="left" w:pos="360" w:leader="none"/>
      </w:tabs>
    </w:pPr>
    <w:rPr>
      <w:sz w:val="28"/>
      <w:szCs w:val="30"/>
    </w:rPr>
  </w:style>
  <w:style w:type="paragraph" w:styleId="1172" w:customStyle="1">
    <w:name w:val="标题3"/>
    <w:basedOn w:val="1061"/>
    <w:next w:val="1061"/>
    <w:uiPriority w:val="0"/>
    <w:qFormat/>
    <w:pPr>
      <w:ind w:firstLine="624"/>
      <w:spacing w:line="590" w:lineRule="atLeast"/>
    </w:pPr>
    <w:rPr>
      <w:rFonts w:ascii="方正黑体_GBK" w:eastAsia="方正黑体_GBK"/>
      <w:sz w:val="32"/>
      <w:szCs w:val="32"/>
    </w:rPr>
  </w:style>
  <w:style w:type="paragraph" w:styleId="1173" w:customStyle="1">
    <w:name w:val="Char Char Char Char Char Char Char Char1"/>
    <w:basedOn w:val="1061"/>
    <w:uiPriority w:val="0"/>
    <w:qFormat/>
    <w:pPr>
      <w:jc w:val="left"/>
      <w:spacing w:after="160" w:line="240" w:lineRule="exact"/>
      <w:widowControl/>
    </w:pPr>
    <w:rPr>
      <w:rFonts w:ascii="Verdana" w:hAnsi="Verdana"/>
      <w:sz w:val="20"/>
      <w:szCs w:val="20"/>
      <w:lang w:eastAsia="en-US"/>
    </w:rPr>
  </w:style>
  <w:style w:type="paragraph" w:styleId="1174" w:customStyle="1">
    <w:name w:val="Other|1"/>
    <w:basedOn w:val="1061"/>
    <w:uiPriority w:val="0"/>
    <w:qFormat/>
    <w:pPr>
      <w:ind w:firstLine="400"/>
      <w:spacing w:after="140" w:line="331" w:lineRule="auto"/>
    </w:pPr>
    <w:rPr>
      <w:rFonts w:ascii="宋体" w:hAnsi="宋体" w:cs="宋体"/>
      <w:sz w:val="20"/>
      <w:szCs w:val="20"/>
      <w:lang w:val="zh-TW" w:eastAsia="zh-TW" w:bidi="zh-TW"/>
    </w:rPr>
  </w:style>
  <w:style w:type="paragraph" w:styleId="1175" w:customStyle="1">
    <w:name w:val="xl28"/>
    <w:basedOn w:val="10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76" w:customStyle="1">
    <w:name w:val="p17"/>
    <w:basedOn w:val="1061"/>
    <w:uiPriority w:val="0"/>
    <w:qFormat/>
    <w:pPr>
      <w:jc w:val="left"/>
      <w:spacing w:before="100" w:beforeAutospacing="1" w:after="100" w:afterAutospacing="1"/>
      <w:widowControl/>
    </w:pPr>
    <w:rPr>
      <w:rFonts w:ascii="宋体" w:hAnsi="宋体" w:cs="宋体"/>
      <w:sz w:val="24"/>
      <w:szCs w:val="24"/>
    </w:rPr>
  </w:style>
  <w:style w:type="paragraph" w:styleId="1177" w:customStyle="1">
    <w:name w:val="font5"/>
    <w:basedOn w:val="1061"/>
    <w:uiPriority w:val="0"/>
    <w:qFormat/>
    <w:pPr>
      <w:jc w:val="left"/>
      <w:spacing w:before="100" w:beforeAutospacing="1" w:after="100" w:afterAutospacing="1"/>
      <w:widowControl/>
    </w:pPr>
    <w:rPr>
      <w:rFonts w:hint="eastAsia" w:ascii="宋体" w:hAnsi="宋体"/>
      <w:sz w:val="28"/>
      <w:szCs w:val="28"/>
    </w:rPr>
  </w:style>
  <w:style w:type="paragraph" w:styleId="1178" w:customStyle="1">
    <w:name w:val="xl26"/>
    <w:basedOn w:val="10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9" w:customStyle="1">
    <w:name w:val="xl30"/>
    <w:basedOn w:val="1061"/>
    <w:uiPriority w:val="0"/>
    <w:qFormat/>
    <w:pPr>
      <w:jc w:val="center"/>
      <w:spacing w:before="100" w:beforeAutospacing="1" w:after="100" w:afterAutospacing="1"/>
      <w:widowControl/>
    </w:pPr>
    <w:rPr>
      <w:rFonts w:ascii="宋体" w:hAnsi="宋体"/>
      <w:b/>
      <w:bCs/>
      <w:sz w:val="36"/>
      <w:szCs w:val="36"/>
    </w:rPr>
  </w:style>
  <w:style w:type="character" w:styleId="1180" w:customStyle="1">
    <w:name w:val="纯文本 Char1"/>
    <w:basedOn w:val="1071"/>
    <w:uiPriority w:val="0"/>
    <w:qFormat/>
    <w:rPr>
      <w:rFonts w:ascii="宋体" w:hAnsi="Courier New" w:eastAsia="宋体"/>
      <w:sz w:val="21"/>
      <w:lang w:val="en-US" w:eastAsia="zh-CN" w:bidi="ar-SA"/>
    </w:rPr>
  </w:style>
  <w:style w:type="paragraph" w:styleId="1181" w:customStyle="1">
    <w:name w:val="WPSOffice手动目录 1"/>
    <w:uiPriority w:val="0"/>
    <w:qFormat/>
    <w:rPr>
      <w:rFonts w:ascii="Times New Roman" w:hAnsi="Times New Roman" w:eastAsia="宋体" w:cs="Times New Roman"/>
      <w:lang w:val="en-US" w:eastAsia="zh-CN" w:bidi="ar-SA"/>
    </w:rPr>
  </w:style>
  <w:style w:type="character" w:styleId="1182" w:customStyle="1">
    <w:name w:val="black1"/>
    <w:uiPriority w:val="0"/>
    <w:qFormat/>
    <w:rPr>
      <w:rFonts w:hint="default" w:ascii="ˎ̥" w:hAnsi="ˎ̥"/>
      <w:color w:val="333333"/>
      <w:sz w:val="18"/>
      <w:szCs w:val="18"/>
      <w:u w:val="none"/>
    </w:rPr>
  </w:style>
  <w:style w:type="paragraph" w:styleId="1183" w:customStyle="1">
    <w:name w:val="flNote"/>
    <w:basedOn w:val="1061"/>
    <w:uiPriority w:val="0"/>
    <w:qFormat/>
    <w:pPr>
      <w:jc w:val="center"/>
      <w:spacing w:before="320" w:after="160" w:line="360" w:lineRule="atLeast"/>
    </w:pPr>
    <w:rPr>
      <w:rFonts w:ascii="Arial" w:eastAsia="黑体"/>
      <w:sz w:val="30"/>
      <w:szCs w:val="20"/>
    </w:rPr>
  </w:style>
  <w:style w:type="paragraph" w:styleId="1184" w:customStyle="1">
    <w:name w:val="列表段落1"/>
    <w:basedOn w:val="1061"/>
    <w:uiPriority w:val="99"/>
    <w:qFormat/>
    <w:pPr>
      <w:ind w:firstLine="420"/>
    </w:pPr>
    <w:rPr>
      <w:szCs w:val="20"/>
    </w:rPr>
  </w:style>
  <w:style w:type="paragraph" w:styleId="1185" w:customStyle="1">
    <w:name w:val="_Style 52"/>
    <w:basedOn w:val="1061"/>
    <w:next w:val="1162"/>
    <w:uiPriority w:val="0"/>
    <w:qFormat/>
    <w:pPr>
      <w:ind w:firstLine="420"/>
      <w:jc w:val="both"/>
      <w:spacing w:line="240" w:lineRule="auto"/>
    </w:pPr>
    <w:rPr>
      <w:rFonts w:ascii="Calibri" w:hAnsi="Calibri" w:cs="Times New Roman"/>
      <w:sz w:val="21"/>
      <w:szCs w:val="22"/>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34</cp:revision>
  <dcterms:created xsi:type="dcterms:W3CDTF">2025-02-19T08:38:00Z</dcterms:created>
  <dcterms:modified xsi:type="dcterms:W3CDTF">2026-07-20T08:52:04Z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8BE7F40B8597463C9649E0AF887ED9AF_13</vt:lpwstr>
  </property>
  <property fmtid="{D5CDD505-2E9C-101B-9397-08002B2CF9AE}" pid="4" name="KSOSaveFontToCloudKey">
    <vt:lpwstr>0_embed</vt:lpwstr>
  </property>
  <property fmtid="{D5CDD505-2E9C-101B-9397-08002B2CF9AE}" pid="5" name="KSOTemplateDocerSaveRecord">
    <vt:lpwstr>eyJoZGlkIjoiZmQ2NWIzNGIzMTVhYTRlZGFjNjg5Y2ViOWU0Mjk1ODgiLCJ1c2VySWQiOiI0Mzg2MTczMDgifQ==</vt:lpwstr>
  </property>
</Properties>
</file>