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hint="eastAsia" w:ascii="宋体" w:hAnsi="宋体" w:eastAsia="宋体" w:cs="宋体"/>
          <w:b/>
          <w:color w:val="auto"/>
          <w:sz w:val="84"/>
          <w:highlight w:val="none"/>
          <w:lang w:val="en-US" w:eastAsia="zh-CN"/>
        </w:rPr>
      </w:pPr>
      <w:r>
        <w:rPr>
          <w:rFonts w:hint="eastAsia" w:ascii="宋体" w:hAnsi="宋体" w:eastAsia="宋体" w:cs="宋体"/>
          <w:b/>
          <w:color w:val="auto"/>
          <w:sz w:val="84"/>
          <w:highlight w:val="none"/>
          <w:lang w:val="en-US" w:eastAsia="zh-CN"/>
        </w:rPr>
        <w:t xml:space="preserve">                                                                                                        </w:t>
      </w:r>
      <w:r/>
    </w:p>
    <w:p>
      <w:pPr>
        <w:jc w:val="center"/>
        <w:spacing w:line="360" w:lineRule="auto"/>
        <w:rPr>
          <w:rFonts w:hint="eastAsia" w:ascii="宋体" w:hAnsi="宋体" w:cs="宋体"/>
          <w:b/>
          <w:color w:val="auto"/>
          <w:sz w:val="84"/>
          <w:highlight w:val="none"/>
          <w:lang w:val="en-US" w:eastAsia="zh-CN"/>
        </w:rPr>
      </w:pPr>
      <w:r>
        <w:rPr>
          <w:rFonts w:hint="eastAsia" w:ascii="宋体" w:hAnsi="宋体" w:eastAsia="宋体" w:cs="宋体"/>
          <w:b/>
          <w:color w:val="auto"/>
          <w:sz w:val="84"/>
          <w:highlight w:val="none"/>
        </w:rPr>
        <w:t xml:space="preserve">招   标   文   件</w:t>
      </w:r>
      <w:r/>
    </w:p>
    <w:p>
      <w:pPr>
        <w:jc w:val="center"/>
        <w:spacing w:line="360" w:lineRule="auto"/>
        <w:rPr>
          <w:rFonts w:hint="eastAsia" w:ascii="宋体" w:hAnsi="宋体" w:cs="宋体"/>
          <w:b/>
          <w:color w:val="auto"/>
          <w:sz w:val="84"/>
          <w:highlight w:val="none"/>
          <w:lang w:val="en-US" w:eastAsia="zh-CN"/>
        </w:rPr>
      </w:pPr>
      <w:r>
        <w:rPr>
          <w:rFonts w:hint="eastAsia" w:ascii="宋体" w:hAnsi="宋体" w:cs="宋体"/>
          <w:b/>
          <w:color w:val="auto"/>
          <w:sz w:val="84"/>
          <w:highlight w:val="none"/>
          <w:lang w:val="en-US" w:eastAsia="zh-CN"/>
        </w:rPr>
      </w:r>
      <w:r/>
    </w:p>
    <w:p>
      <w:pPr>
        <w:jc w:val="center"/>
        <w:spacing w:line="360" w:lineRule="auto"/>
        <w:rPr>
          <w:rFonts w:hint="eastAsia" w:ascii="宋体" w:hAnsi="宋体" w:eastAsia="宋体" w:cs="宋体"/>
          <w:color w:val="auto"/>
          <w:sz w:val="44"/>
          <w:szCs w:val="44"/>
          <w:highlight w:val="none"/>
        </w:rPr>
      </w:pPr>
      <w:r>
        <w:rPr>
          <w:rFonts w:hint="eastAsia" w:ascii="宋体" w:hAnsi="宋体" w:eastAsia="宋体" w:cs="宋体"/>
          <w:color w:val="auto"/>
          <w:sz w:val="44"/>
          <w:szCs w:val="44"/>
          <w:highlight w:val="none"/>
        </w:rPr>
      </w:r>
      <w:r/>
    </w:p>
    <w:p>
      <w:pPr>
        <w:pStyle w:val="1021"/>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361"/>
        <w:jc w:val="both"/>
        <w:spacing w:line="360" w:lineRule="auto"/>
        <w:rPr>
          <w:rFonts w:hint="eastAsia" w:ascii="宋体" w:hAnsi="宋体" w:eastAsia="宋体" w:cs="宋体"/>
          <w:b/>
          <w:color w:val="auto"/>
          <w:sz w:val="36"/>
          <w:highlight w:val="none"/>
          <w:lang w:eastAsia="zh-CN"/>
        </w:rPr>
      </w:pPr>
      <w:r>
        <w:rPr>
          <w:rFonts w:hint="eastAsia" w:ascii="宋体" w:hAnsi="宋体" w:eastAsia="宋体" w:cs="宋体"/>
          <w:b/>
          <w:color w:val="auto"/>
          <w:sz w:val="36"/>
          <w:highlight w:val="none"/>
        </w:rPr>
        <w:t xml:space="preserve">项目编号：</w:t>
      </w:r>
      <w:r>
        <w:rPr>
          <w:rFonts w:hint="eastAsia" w:ascii="宋体" w:hAnsi="宋体" w:cs="宋体"/>
          <w:b/>
          <w:color w:val="auto"/>
          <w:sz w:val="36"/>
          <w:highlight w:val="none"/>
          <w:lang w:eastAsia="zh-CN"/>
        </w:rPr>
        <w:t xml:space="preserve">JSZC-321183-DDTC-G2026-0002</w:t>
      </w:r>
      <w:r/>
    </w:p>
    <w:p>
      <w:pPr>
        <w:spacing w:line="360" w:lineRule="auto"/>
        <w:rPr>
          <w:rFonts w:hint="eastAsia" w:ascii="宋体" w:hAnsi="宋体" w:eastAsia="宋体" w:cs="宋体"/>
          <w:color w:val="auto"/>
          <w:sz w:val="32"/>
          <w:highlight w:val="none"/>
        </w:rPr>
      </w:pPr>
      <w:r>
        <w:rPr>
          <w:rFonts w:hint="eastAsia" w:ascii="宋体" w:hAnsi="宋体" w:eastAsia="宋体" w:cs="宋体"/>
          <w:color w:val="auto"/>
          <w:sz w:val="32"/>
          <w:highlight w:val="none"/>
        </w:rPr>
      </w:r>
      <w:r/>
    </w:p>
    <w:p>
      <w:pPr>
        <w:jc w:val="center"/>
        <w:spacing w:line="360" w:lineRule="auto"/>
        <w:rPr>
          <w:rFonts w:hint="eastAsia" w:ascii="宋体" w:hAnsi="宋体" w:eastAsia="宋体" w:cs="宋体"/>
          <w:color w:val="auto"/>
          <w:sz w:val="32"/>
          <w:highlight w:val="none"/>
        </w:rPr>
      </w:pPr>
      <w:r>
        <w:rPr>
          <w:rFonts w:hint="eastAsia" w:ascii="宋体" w:hAnsi="宋体" w:eastAsia="宋体" w:cs="宋体"/>
          <w:color w:val="auto"/>
          <w:sz w:val="32"/>
          <w:highlight w:val="none"/>
        </w:rPr>
      </w:r>
      <w:r/>
    </w:p>
    <w:p>
      <w:pPr>
        <w:jc w:val="center"/>
        <w:spacing w:line="360" w:lineRule="auto"/>
        <w:rPr>
          <w:rFonts w:hint="eastAsia" w:ascii="宋体" w:hAnsi="宋体" w:eastAsia="宋体" w:cs="宋体"/>
          <w:b/>
          <w:color w:val="auto"/>
          <w:sz w:val="36"/>
          <w:highlight w:val="none"/>
          <w:lang w:eastAsia="zh-CN"/>
        </w:rPr>
      </w:pPr>
      <w:r>
        <w:rPr>
          <w:rFonts w:hint="eastAsia" w:ascii="宋体" w:hAnsi="宋体" w:eastAsia="宋体" w:cs="宋体"/>
          <w:b/>
          <w:color w:val="auto"/>
          <w:sz w:val="36"/>
          <w:szCs w:val="36"/>
          <w:highlight w:val="none"/>
        </w:rPr>
        <w:t xml:space="preserve">项目名称</w:t>
      </w:r>
      <w:r>
        <w:rPr>
          <w:rFonts w:hint="eastAsia" w:ascii="宋体" w:hAnsi="宋体" w:eastAsia="宋体" w:cs="宋体"/>
          <w:color w:val="auto"/>
          <w:sz w:val="36"/>
          <w:szCs w:val="36"/>
          <w:highlight w:val="none"/>
        </w:rPr>
        <w:t xml:space="preserve">：</w:t>
      </w:r>
      <w:r>
        <w:rPr>
          <w:rFonts w:hint="eastAsia" w:ascii="宋体" w:hAnsi="宋体" w:cs="宋体"/>
          <w:b/>
          <w:color w:val="auto"/>
          <w:sz w:val="36"/>
          <w:highlight w:val="none"/>
          <w:lang w:eastAsia="zh-CN"/>
        </w:rPr>
        <w:t xml:space="preserve">宝华新城实验幼儿园教育教学设备设施、办公家具采购</w:t>
      </w:r>
      <w:r>
        <w:rPr>
          <w:rFonts w:hint="eastAsia" w:ascii="宋体" w:hAnsi="宋体" w:eastAsia="宋体" w:cs="宋体"/>
          <w:b/>
          <w:color w:val="auto"/>
          <w:sz w:val="36"/>
          <w:highlight w:val="none"/>
          <w:lang w:eastAsia="zh-CN"/>
        </w:rPr>
        <w:t xml:space="preserve"> </w:t>
      </w:r>
      <w:r/>
    </w:p>
    <w:p>
      <w:pPr>
        <w:jc w:val="center"/>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center"/>
        <w:spacing w:line="360" w:lineRule="auto"/>
        <w:rPr>
          <w:rFonts w:hint="eastAsia" w:ascii="宋体" w:hAnsi="宋体" w:eastAsia="宋体" w:cs="宋体"/>
          <w:b/>
          <w:color w:val="auto"/>
          <w:sz w:val="36"/>
          <w:highlight w:val="none"/>
        </w:rPr>
      </w:pPr>
      <w:r/>
      <w:bookmarkStart w:id="0" w:name="EB741dc7ac76b840eda3655487e97e50de"/>
      <w:r/>
      <w:bookmarkEnd w:id="0"/>
      <w:r/>
      <w:r/>
    </w:p>
    <w:p>
      <w:pPr>
        <w:jc w:val="center"/>
        <w:spacing w:line="360" w:lineRule="auto"/>
        <w:rPr>
          <w:rFonts w:hint="eastAsia" w:ascii="宋体" w:hAnsi="宋体" w:cs="宋体"/>
          <w:b/>
          <w:color w:val="auto"/>
          <w:sz w:val="36"/>
          <w:highlight w:val="none"/>
          <w:lang w:eastAsia="zh-CN"/>
        </w:rPr>
      </w:pPr>
      <w:r/>
      <w:bookmarkStart w:id="1" w:name="EBeeeac7429c024d7f89f845ec6ed233d6"/>
      <w:r>
        <w:rPr>
          <w:rFonts w:hint="eastAsia" w:ascii="宋体" w:hAnsi="宋体" w:cs="宋体"/>
          <w:b/>
          <w:color w:val="auto"/>
          <w:sz w:val="36"/>
          <w:highlight w:val="none"/>
          <w:lang w:eastAsia="zh-CN"/>
        </w:rPr>
        <w:t xml:space="preserve">德道天诚（南京）房地产评估咨询有限公司</w:t>
      </w:r>
      <w:bookmarkEnd w:id="1"/>
      <w:r/>
      <w:r/>
    </w:p>
    <w:p>
      <w:pPr>
        <w:jc w:val="center"/>
        <w:spacing w:line="360" w:lineRule="auto"/>
        <w:rPr>
          <w:rFonts w:ascii="宋体" w:hAnsi="宋体" w:eastAsia="宋体" w:cs="宋体"/>
          <w:b/>
          <w:color w:val="auto"/>
          <w:sz w:val="36"/>
          <w:szCs w:val="22"/>
          <w:highlight w:val="none"/>
        </w:rPr>
      </w:pPr>
      <w:r>
        <w:rPr>
          <w:rFonts w:hint="eastAsia" w:ascii="宋体" w:hAnsi="宋体" w:cs="宋体"/>
          <w:b/>
          <w:color w:val="auto"/>
          <w:sz w:val="36"/>
          <w:szCs w:val="22"/>
          <w:highlight w:val="none"/>
          <w:lang w:eastAsia="zh-CN"/>
        </w:rPr>
        <w:t xml:space="preserve">2026-7-27</w:t>
      </w:r>
      <w:r/>
    </w:p>
    <w:p>
      <w:pPr>
        <w:spacing w:line="360" w:lineRule="auto"/>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r>
      <w:r/>
    </w:p>
    <w:p>
      <w:pPr>
        <w:jc w:val="both"/>
        <w:spacing w:line="360" w:lineRule="auto"/>
        <w:rPr>
          <w:rFonts w:hint="eastAsia" w:ascii="宋体" w:hAnsi="宋体" w:eastAsia="宋体" w:cs="宋体"/>
          <w:b/>
          <w:color w:val="auto"/>
          <w:sz w:val="44"/>
          <w:highlight w:val="none"/>
        </w:rPr>
      </w:pPr>
      <w:r>
        <w:rPr>
          <w:rFonts w:hint="eastAsia" w:ascii="宋体" w:hAnsi="宋体" w:eastAsia="宋体" w:cs="宋体"/>
          <w:b/>
          <w:color w:val="auto"/>
          <w:sz w:val="44"/>
          <w:highlight w:val="none"/>
        </w:rPr>
      </w:r>
      <w:r/>
    </w:p>
    <w:p>
      <w:pPr>
        <w:jc w:val="center"/>
        <w:spacing w:line="360" w:lineRule="auto"/>
        <w:rPr>
          <w:rFonts w:hint="eastAsia" w:ascii="宋体" w:hAnsi="宋体" w:eastAsia="宋体" w:cs="宋体"/>
          <w:b/>
          <w:color w:val="auto"/>
          <w:sz w:val="44"/>
          <w:highlight w:val="none"/>
        </w:rPr>
      </w:pPr>
      <w:r>
        <w:rPr>
          <w:rFonts w:hint="eastAsia" w:ascii="宋体" w:hAnsi="宋体" w:eastAsia="宋体" w:cs="宋体"/>
          <w:b/>
          <w:color w:val="auto"/>
          <w:sz w:val="44"/>
          <w:highlight w:val="none"/>
        </w:rPr>
      </w:r>
      <w:r/>
    </w:p>
    <w:p>
      <w:pPr>
        <w:jc w:val="center"/>
        <w:spacing w:line="360" w:lineRule="auto"/>
        <w:rPr>
          <w:rFonts w:hint="eastAsia" w:ascii="宋体" w:hAnsi="宋体" w:eastAsia="宋体" w:cs="宋体"/>
          <w:b/>
          <w:color w:val="auto"/>
          <w:sz w:val="44"/>
          <w:highlight w:val="none"/>
        </w:rPr>
      </w:pPr>
      <w:r>
        <w:rPr>
          <w:rFonts w:hint="eastAsia" w:ascii="宋体" w:hAnsi="宋体" w:eastAsia="宋体" w:cs="宋体"/>
          <w:b/>
          <w:color w:val="auto"/>
          <w:sz w:val="44"/>
          <w:highlight w:val="none"/>
        </w:rPr>
        <w:t xml:space="preserve">招标文件目录</w:t>
      </w:r>
      <w:r/>
    </w:p>
    <w:p>
      <w:pPr>
        <w:ind w:firstLine="883"/>
        <w:jc w:val="center"/>
        <w:spacing w:line="360" w:lineRule="auto"/>
        <w:rPr>
          <w:rFonts w:hint="eastAsia" w:ascii="宋体" w:hAnsi="宋体" w:eastAsia="宋体" w:cs="宋体"/>
          <w:b/>
          <w:color w:val="auto"/>
          <w:sz w:val="44"/>
          <w:highlight w:val="none"/>
        </w:rPr>
      </w:pPr>
      <w:r>
        <w:rPr>
          <w:rFonts w:hint="eastAsia" w:ascii="宋体" w:hAnsi="宋体" w:eastAsia="宋体" w:cs="宋体"/>
          <w:b/>
          <w:color w:val="auto"/>
          <w:sz w:val="44"/>
          <w:highlight w:val="none"/>
        </w:rPr>
      </w:r>
      <w:r/>
    </w:p>
    <w:p>
      <w:pPr>
        <w:spacing w:line="360" w:lineRule="auto"/>
        <w:rPr>
          <w:rFonts w:hint="eastAsia" w:ascii="宋体" w:hAnsi="宋体" w:eastAsia="宋体" w:cs="宋体"/>
          <w:b/>
          <w:color w:val="auto"/>
          <w:sz w:val="30"/>
          <w:highlight w:val="none"/>
        </w:rPr>
      </w:pPr>
      <w:r>
        <w:rPr>
          <w:rFonts w:hint="eastAsia" w:ascii="宋体" w:hAnsi="宋体" w:eastAsia="宋体" w:cs="宋体"/>
          <w:b/>
          <w:color w:val="auto"/>
          <w:sz w:val="30"/>
          <w:highlight w:val="none"/>
        </w:rPr>
        <w:t xml:space="preserve">第一部分    投标邀请   </w:t>
      </w:r>
      <w:r/>
    </w:p>
    <w:p>
      <w:pPr>
        <w:spacing w:line="360" w:lineRule="auto"/>
        <w:rPr>
          <w:rFonts w:hint="eastAsia" w:ascii="宋体" w:hAnsi="宋体" w:eastAsia="宋体" w:cs="宋体"/>
          <w:b/>
          <w:color w:val="auto"/>
          <w:sz w:val="30"/>
          <w:highlight w:val="none"/>
        </w:rPr>
      </w:pPr>
      <w:r>
        <w:rPr>
          <w:rFonts w:hint="eastAsia" w:ascii="宋体" w:hAnsi="宋体" w:eastAsia="宋体" w:cs="宋体"/>
          <w:b/>
          <w:color w:val="auto"/>
          <w:sz w:val="30"/>
          <w:highlight w:val="none"/>
        </w:rPr>
        <w:t xml:space="preserve">第二部分    投标人须知                  </w:t>
      </w:r>
      <w:r/>
    </w:p>
    <w:p>
      <w:pPr>
        <w:spacing w:line="360" w:lineRule="auto"/>
        <w:rPr>
          <w:rFonts w:hint="eastAsia" w:ascii="宋体" w:hAnsi="宋体" w:eastAsia="宋体" w:cs="宋体"/>
          <w:b/>
          <w:color w:val="auto"/>
          <w:sz w:val="30"/>
          <w:highlight w:val="none"/>
        </w:rPr>
      </w:pPr>
      <w:r>
        <w:rPr>
          <w:rFonts w:hint="eastAsia" w:ascii="宋体" w:hAnsi="宋体" w:eastAsia="宋体" w:cs="宋体"/>
          <w:b/>
          <w:color w:val="auto"/>
          <w:sz w:val="30"/>
          <w:highlight w:val="none"/>
        </w:rPr>
        <w:t xml:space="preserve">第三部分    拟签订的合同文本</w:t>
      </w:r>
      <w:r/>
    </w:p>
    <w:p>
      <w:pPr>
        <w:spacing w:line="360" w:lineRule="auto"/>
        <w:rPr>
          <w:rFonts w:hint="eastAsia" w:ascii="宋体" w:hAnsi="宋体" w:eastAsia="宋体" w:cs="宋体"/>
          <w:b/>
          <w:color w:val="auto"/>
          <w:sz w:val="30"/>
          <w:highlight w:val="none"/>
        </w:rPr>
      </w:pPr>
      <w:r>
        <w:rPr>
          <w:rFonts w:hint="eastAsia" w:ascii="宋体" w:hAnsi="宋体" w:eastAsia="宋体" w:cs="宋体"/>
          <w:b/>
          <w:color w:val="auto"/>
          <w:sz w:val="30"/>
          <w:highlight w:val="none"/>
        </w:rPr>
        <w:t xml:space="preserve">第四部分    采购需求</w:t>
      </w:r>
      <w:r/>
    </w:p>
    <w:p>
      <w:pPr>
        <w:spacing w:line="360" w:lineRule="auto"/>
        <w:rPr>
          <w:rFonts w:hint="eastAsia" w:ascii="宋体" w:hAnsi="宋体" w:eastAsia="宋体" w:cs="宋体"/>
          <w:b/>
          <w:color w:val="auto"/>
          <w:sz w:val="30"/>
          <w:highlight w:val="none"/>
        </w:rPr>
      </w:pPr>
      <w:r>
        <w:rPr>
          <w:rFonts w:hint="eastAsia" w:ascii="宋体" w:hAnsi="宋体" w:eastAsia="宋体" w:cs="宋体"/>
          <w:b/>
          <w:color w:val="auto"/>
          <w:sz w:val="30"/>
          <w:highlight w:val="none"/>
        </w:rPr>
        <w:t xml:space="preserve">第五部分    评标办法和标准</w:t>
      </w:r>
      <w:r/>
    </w:p>
    <w:p>
      <w:pPr>
        <w:jc w:val="left"/>
        <w:spacing w:line="360" w:lineRule="auto"/>
        <w:rPr>
          <w:rFonts w:hint="eastAsia" w:ascii="宋体" w:hAnsi="宋体" w:eastAsia="宋体" w:cs="宋体"/>
          <w:b/>
          <w:color w:val="auto"/>
          <w:sz w:val="30"/>
          <w:highlight w:val="none"/>
        </w:rPr>
      </w:pPr>
      <w:r>
        <w:rPr>
          <w:rFonts w:hint="eastAsia" w:ascii="宋体" w:hAnsi="宋体" w:eastAsia="宋体" w:cs="宋体"/>
          <w:b/>
          <w:color w:val="auto"/>
          <w:sz w:val="30"/>
          <w:highlight w:val="none"/>
        </w:rPr>
        <w:t xml:space="preserve">第六部分    投标文件（格式）</w:t>
      </w:r>
      <w:r/>
    </w:p>
    <w:p>
      <w:pPr>
        <w:pStyle w:val="1022"/>
        <w:ind w:left="779" w:right="900" w:firstLine="420"/>
        <w:jc w:val="center"/>
        <w:keepLines w:val="0"/>
        <w:keepNext w:val="0"/>
        <w:spacing w:before="200" w:after="200" w:line="360" w:lineRule="auto"/>
        <w:rPr>
          <w:rFonts w:hint="eastAsia" w:ascii="宋体" w:hAnsi="宋体" w:eastAsia="宋体" w:cs="宋体"/>
          <w:color w:val="auto"/>
          <w:sz w:val="36"/>
          <w:szCs w:val="36"/>
          <w:highlight w:val="none"/>
        </w:rPr>
      </w:pPr>
      <w:r>
        <w:rPr>
          <w:rFonts w:hint="eastAsia" w:ascii="宋体" w:hAnsi="宋体" w:eastAsia="宋体" w:cs="宋体"/>
          <w:color w:val="auto"/>
          <w:sz w:val="30"/>
          <w:highlight w:val="none"/>
        </w:rPr>
        <w:br w:type="page" w:clear="all"/>
      </w:r>
      <w:bookmarkStart w:id="2" w:name="_Toc100386033"/>
      <w:r/>
      <w:bookmarkStart w:id="3" w:name="_Toc20732967"/>
      <w:r/>
      <w:bookmarkStart w:id="4" w:name="_Toc92167999"/>
      <w:r>
        <w:rPr>
          <w:rFonts w:hint="eastAsia" w:ascii="宋体" w:hAnsi="宋体" w:eastAsia="宋体" w:cs="宋体"/>
          <w:color w:val="auto"/>
          <w:sz w:val="36"/>
          <w:szCs w:val="36"/>
          <w:highlight w:val="none"/>
        </w:rPr>
        <w:t xml:space="preserve">第一部分  投标邀请</w:t>
      </w:r>
      <w:bookmarkEnd w:id="2"/>
      <w:r/>
      <w:bookmarkEnd w:id="3"/>
      <w:r/>
      <w:bookmarkEnd w:id="4"/>
      <w:r/>
      <w:r/>
    </w:p>
    <w:p>
      <w:pPr>
        <w:ind w:firstLine="480"/>
        <w:spacing w:line="360" w:lineRule="auto"/>
        <w:rPr>
          <w:rFonts w:hint="eastAsia" w:ascii="宋体" w:hAnsi="宋体" w:eastAsia="宋体" w:cs="宋体"/>
          <w:color w:val="auto"/>
          <w:sz w:val="24"/>
          <w:szCs w:val="28"/>
          <w:highlight w:val="none"/>
        </w:rPr>
        <w:pBdr>
          <w:top w:val="single" w:color="000000" w:sz="4" w:space="1"/>
          <w:left w:val="single" w:color="000000" w:sz="4" w:space="4"/>
          <w:bottom w:val="single" w:color="000000" w:sz="4" w:space="1"/>
          <w:right w:val="single" w:color="000000" w:sz="4" w:space="4"/>
        </w:pBdr>
      </w:pPr>
      <w:r/>
      <w:bookmarkStart w:id="5" w:name="_Toc98669341"/>
      <w:r/>
      <w:bookmarkStart w:id="6" w:name="_Toc100386044"/>
      <w:r/>
      <w:bookmarkStart w:id="7" w:name="_Toc98669699"/>
      <w:r/>
      <w:bookmarkStart w:id="8" w:name="_Toc92168010"/>
      <w:r/>
      <w:bookmarkStart w:id="9" w:name="_Toc20732978"/>
      <w:r>
        <w:rPr>
          <w:rFonts w:hint="eastAsia" w:ascii="宋体" w:hAnsi="宋体" w:eastAsia="宋体" w:cs="宋体"/>
          <w:color w:val="auto"/>
          <w:sz w:val="24"/>
          <w:szCs w:val="28"/>
          <w:highlight w:val="none"/>
        </w:rPr>
        <w:t xml:space="preserve">项目概况</w:t>
      </w:r>
      <w:r/>
    </w:p>
    <w:p>
      <w:pPr>
        <w:ind w:firstLine="480"/>
        <w:spacing w:line="360" w:lineRule="auto"/>
        <w:rPr>
          <w:rFonts w:hint="eastAsia" w:ascii="宋体" w:hAnsi="宋体" w:eastAsia="宋体" w:cs="宋体"/>
          <w:color w:val="auto"/>
          <w:sz w:val="24"/>
          <w:szCs w:val="28"/>
          <w:highlight w:val="none"/>
          <w:u w:val="single"/>
        </w:rPr>
        <w:pBdr>
          <w:top w:val="single" w:color="000000" w:sz="4" w:space="0"/>
          <w:left w:val="single" w:color="000000" w:sz="4" w:space="3"/>
          <w:bottom w:val="single" w:color="000000" w:sz="4" w:space="0"/>
          <w:right w:val="single" w:color="000000" w:sz="4" w:space="3"/>
        </w:pBdr>
      </w:pPr>
      <w:r>
        <w:rPr>
          <w:rFonts w:hint="eastAsia" w:ascii="宋体" w:hAnsi="宋体" w:cs="宋体"/>
          <w:color w:val="auto"/>
          <w:sz w:val="24"/>
          <w:szCs w:val="28"/>
          <w:highlight w:val="none"/>
          <w:u w:val="single"/>
          <w:lang w:eastAsia="zh-CN"/>
        </w:rPr>
        <w:t xml:space="preserve">宝华新城实验幼儿园教育教学设备设施、办公家具采购</w:t>
      </w:r>
      <w:r>
        <w:rPr>
          <w:rFonts w:hint="eastAsia" w:ascii="宋体" w:hAnsi="宋体" w:eastAsia="宋体" w:cs="宋体"/>
          <w:color w:val="auto"/>
          <w:sz w:val="24"/>
          <w:szCs w:val="28"/>
          <w:highlight w:val="none"/>
          <w:u w:val="single"/>
          <w:lang w:eastAsia="zh-CN"/>
        </w:rPr>
        <w:t xml:space="preserve"> </w:t>
      </w:r>
      <w:r>
        <w:rPr>
          <w:rFonts w:hint="eastAsia" w:ascii="宋体" w:hAnsi="宋体" w:eastAsia="宋体" w:cs="宋体"/>
          <w:color w:val="auto"/>
          <w:sz w:val="24"/>
          <w:szCs w:val="28"/>
          <w:highlight w:val="none"/>
          <w:u w:val="none"/>
        </w:rPr>
        <w:t xml:space="preserve">项目</w:t>
      </w:r>
      <w:r>
        <w:rPr>
          <w:rFonts w:hint="eastAsia" w:ascii="宋体" w:hAnsi="宋体" w:eastAsia="宋体" w:cs="宋体"/>
          <w:color w:val="auto"/>
          <w:sz w:val="24"/>
          <w:szCs w:val="28"/>
          <w:highlight w:val="none"/>
        </w:rPr>
        <w:t xml:space="preserve">的潜在投标人应在</w:t>
      </w:r>
      <w:r>
        <w:rPr>
          <w:rFonts w:hint="eastAsia" w:ascii="宋体" w:hAnsi="宋体" w:eastAsia="宋体" w:cs="宋体"/>
          <w:color w:val="auto"/>
          <w:sz w:val="24"/>
          <w:szCs w:val="28"/>
          <w:highlight w:val="none"/>
          <w:u w:val="single"/>
        </w:rPr>
        <w:t xml:space="preserve">江苏政府采购网-苏采云平台</w:t>
      </w:r>
      <w:r>
        <w:rPr>
          <w:rFonts w:hint="eastAsia" w:ascii="宋体" w:hAnsi="宋体" w:eastAsia="宋体" w:cs="宋体"/>
          <w:color w:val="auto"/>
          <w:sz w:val="24"/>
          <w:highlight w:val="none"/>
          <w:u w:val="single"/>
        </w:rPr>
        <w:t xml:space="preserve">http://jszfcg.jsczt.cn/jszc/login</w:t>
      </w:r>
      <w:r>
        <w:rPr>
          <w:rFonts w:hint="eastAsia" w:ascii="宋体" w:hAnsi="宋体" w:eastAsia="宋体" w:cs="宋体"/>
          <w:color w:val="auto"/>
          <w:sz w:val="24"/>
          <w:szCs w:val="28"/>
          <w:highlight w:val="none"/>
        </w:rPr>
        <w:t xml:space="preserve">获取招标文件，并于</w:t>
      </w:r>
      <w:r>
        <w:rPr>
          <w:rFonts w:hint="eastAsia" w:ascii="宋体" w:hAnsi="宋体" w:cs="宋体"/>
          <w:color w:val="auto"/>
          <w:sz w:val="24"/>
          <w:szCs w:val="28"/>
          <w:highlight w:val="yellow"/>
          <w:u w:val="single"/>
          <w:lang w:eastAsia="zh-CN"/>
        </w:rPr>
        <w:t xml:space="preserve">2026年8月13日</w:t>
      </w:r>
      <w:r>
        <w:rPr>
          <w:rFonts w:hint="eastAsia" w:ascii="宋体" w:hAnsi="宋体" w:eastAsia="宋体" w:cs="宋体"/>
          <w:color w:val="auto"/>
          <w:sz w:val="24"/>
          <w:szCs w:val="24"/>
          <w:highlight w:val="none"/>
          <w:u w:val="single"/>
        </w:rPr>
        <w:t xml:space="preserve">09点</w:t>
      </w:r>
      <w:r>
        <w:rPr>
          <w:rFonts w:hint="eastAsia" w:ascii="宋体" w:hAnsi="宋体" w:eastAsia="宋体" w:cs="宋体"/>
          <w:color w:val="auto"/>
          <w:sz w:val="24"/>
          <w:szCs w:val="24"/>
          <w:highlight w:val="none"/>
          <w:u w:val="single"/>
          <w:lang w:val="en-US" w:eastAsia="zh-CN"/>
        </w:rPr>
        <w:t xml:space="preserve">30</w:t>
      </w:r>
      <w:r>
        <w:rPr>
          <w:rFonts w:hint="eastAsia" w:ascii="宋体" w:hAnsi="宋体" w:eastAsia="宋体" w:cs="宋体"/>
          <w:color w:val="auto"/>
          <w:sz w:val="24"/>
          <w:szCs w:val="24"/>
          <w:highlight w:val="none"/>
          <w:u w:val="single"/>
        </w:rPr>
        <w:t xml:space="preserve">分</w:t>
      </w:r>
      <w:r>
        <w:rPr>
          <w:rFonts w:hint="eastAsia" w:ascii="宋体" w:hAnsi="宋体" w:eastAsia="宋体" w:cs="宋体"/>
          <w:color w:val="auto"/>
          <w:sz w:val="24"/>
          <w:szCs w:val="28"/>
          <w:highlight w:val="none"/>
        </w:rPr>
        <w:t xml:space="preserve">（</w:t>
      </w:r>
      <w:r>
        <w:rPr>
          <w:rFonts w:hint="eastAsia" w:ascii="宋体" w:hAnsi="宋体" w:eastAsia="宋体" w:cs="宋体"/>
          <w:bCs/>
          <w:color w:val="auto"/>
          <w:sz w:val="24"/>
          <w:szCs w:val="28"/>
          <w:highlight w:val="none"/>
        </w:rPr>
        <w:t xml:space="preserve">北京时间）前按要求递交投标文件</w:t>
      </w:r>
      <w:r>
        <w:rPr>
          <w:rFonts w:hint="eastAsia" w:ascii="宋体" w:hAnsi="宋体" w:eastAsia="宋体" w:cs="宋体"/>
          <w:color w:val="auto"/>
          <w:sz w:val="24"/>
          <w:szCs w:val="28"/>
          <w:highlight w:val="none"/>
        </w:rPr>
        <w:t xml:space="preserve">。</w:t>
      </w:r>
      <w:r/>
    </w:p>
    <w:p>
      <w:pPr>
        <w:pStyle w:val="1021"/>
        <w:ind w:left="-142"/>
        <w:jc w:val="both"/>
        <w:spacing w:line="360" w:lineRule="auto"/>
        <w:rPr>
          <w:rFonts w:hint="eastAsia" w:ascii="宋体" w:hAnsi="宋体" w:eastAsia="宋体" w:cs="宋体"/>
          <w:b w:val="0"/>
          <w:color w:val="auto"/>
          <w:sz w:val="24"/>
          <w:szCs w:val="28"/>
          <w:highlight w:val="none"/>
        </w:rPr>
      </w:pPr>
      <w:r/>
      <w:bookmarkStart w:id="10" w:name="_Toc28359079"/>
      <w:r/>
      <w:bookmarkStart w:id="11" w:name="_Toc28359002"/>
      <w:r/>
      <w:bookmarkStart w:id="12" w:name="_Toc35393790"/>
      <w:r/>
      <w:bookmarkStart w:id="13" w:name="_Toc35393621"/>
      <w:r/>
      <w:bookmarkStart w:id="14" w:name="_Hlk24379207"/>
      <w:r>
        <w:rPr>
          <w:rFonts w:hint="eastAsia" w:ascii="宋体" w:hAnsi="宋体" w:eastAsia="宋体" w:cs="宋体"/>
          <w:b w:val="0"/>
          <w:color w:val="auto"/>
          <w:sz w:val="24"/>
          <w:szCs w:val="28"/>
          <w:highlight w:val="none"/>
        </w:rPr>
        <w:t xml:space="preserve">一、项目基本情况</w:t>
      </w:r>
      <w:bookmarkEnd w:id="10"/>
      <w:r/>
      <w:bookmarkEnd w:id="11"/>
      <w:r/>
      <w:bookmarkEnd w:id="12"/>
      <w:r/>
      <w:bookmarkEnd w:id="13"/>
      <w:r/>
      <w:r/>
    </w:p>
    <w:p>
      <w:pPr>
        <w:ind w:firstLine="480"/>
        <w:spacing w:line="360" w:lineRule="auto"/>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项目编号：</w:t>
      </w:r>
      <w:r>
        <w:rPr>
          <w:rFonts w:hint="eastAsia" w:ascii="宋体" w:hAnsi="宋体" w:cs="宋体"/>
          <w:color w:val="auto"/>
          <w:sz w:val="24"/>
          <w:szCs w:val="28"/>
          <w:highlight w:val="none"/>
          <w:lang w:eastAsia="zh-CN"/>
        </w:rPr>
        <w:t xml:space="preserve">JSZC-321183-DDTC-G2026-0002</w:t>
      </w:r>
      <w:r/>
    </w:p>
    <w:p>
      <w:pPr>
        <w:ind w:left="479" w:firstLine="0"/>
        <w:spacing w:line="360" w:lineRule="auto"/>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项目名称：</w:t>
      </w:r>
      <w:bookmarkEnd w:id="14"/>
      <w:r>
        <w:rPr>
          <w:rFonts w:hint="eastAsia" w:ascii="宋体" w:hAnsi="宋体" w:cs="宋体"/>
          <w:color w:val="auto"/>
          <w:sz w:val="24"/>
          <w:szCs w:val="28"/>
          <w:highlight w:val="none"/>
          <w:lang w:eastAsia="zh-CN"/>
        </w:rPr>
        <w:t xml:space="preserve">宝华新城实验幼儿园教育教学设备设施、办公家具采购</w:t>
      </w:r>
      <w:r>
        <w:rPr>
          <w:rFonts w:hint="eastAsia" w:ascii="宋体" w:hAnsi="宋体" w:eastAsia="宋体" w:cs="宋体"/>
          <w:color w:val="auto"/>
          <w:sz w:val="24"/>
          <w:szCs w:val="28"/>
          <w:highlight w:val="none"/>
          <w:lang w:eastAsia="zh-CN"/>
        </w:rPr>
        <w:t xml:space="preserve">  </w:t>
      </w:r>
      <w:r/>
    </w:p>
    <w:p>
      <w:pPr>
        <w:ind w:firstLine="480"/>
        <w:spacing w:line="360" w:lineRule="auto"/>
        <w:rPr>
          <w:rFonts w:hint="eastAsia" w:ascii="宋体" w:hAnsi="宋体" w:cs="宋体"/>
          <w:color w:val="auto"/>
          <w:sz w:val="24"/>
          <w:szCs w:val="28"/>
          <w:highlight w:val="none"/>
        </w:rPr>
      </w:pPr>
      <w:r>
        <w:rPr>
          <w:rFonts w:hint="eastAsia" w:ascii="宋体" w:hAnsi="宋体" w:eastAsia="宋体" w:cs="宋体"/>
          <w:color w:val="auto"/>
          <w:sz w:val="24"/>
          <w:szCs w:val="28"/>
          <w:highlight w:val="none"/>
        </w:rPr>
        <w:t xml:space="preserve">预算金额：</w:t>
      </w:r>
      <w:r>
        <w:rPr>
          <w:rFonts w:hint="eastAsia" w:ascii="宋体" w:hAnsi="宋体" w:cs="宋体"/>
          <w:color w:val="auto"/>
          <w:sz w:val="24"/>
          <w:szCs w:val="28"/>
          <w:highlight w:val="none"/>
          <w:lang w:val="en-US" w:eastAsia="zh-CN"/>
        </w:rPr>
        <w:t xml:space="preserve">3491120.00元</w:t>
      </w:r>
      <w:r/>
    </w:p>
    <w:p>
      <w:pPr>
        <w:pStyle w:val="1021"/>
        <w:ind w:firstLine="480"/>
        <w:jc w:val="both"/>
        <w:spacing w:before="0" w:after="0" w:line="360" w:lineRule="auto"/>
        <w:rPr>
          <w:rFonts w:hint="eastAsia" w:ascii="宋体" w:hAnsi="宋体" w:eastAsia="宋体" w:cs="宋体"/>
          <w:b w:val="0"/>
          <w:color w:val="auto"/>
          <w:sz w:val="24"/>
          <w:szCs w:val="28"/>
          <w:highlight w:val="none"/>
        </w:rPr>
      </w:pPr>
      <w:r>
        <w:rPr>
          <w:rFonts w:hint="eastAsia" w:ascii="宋体" w:hAnsi="宋体" w:eastAsia="宋体" w:cs="宋体"/>
          <w:b w:val="0"/>
          <w:color w:val="auto"/>
          <w:sz w:val="24"/>
          <w:szCs w:val="28"/>
          <w:highlight w:val="none"/>
          <w:lang w:val="en-US" w:eastAsia="zh-CN" w:bidi="ar-SA"/>
        </w:rPr>
        <w:t xml:space="preserve">最高限价：3412112.00元</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8"/>
          <w:highlight w:val="none"/>
        </w:rPr>
        <w:t xml:space="preserve">采购需求：详细内容及要求见招标文件。</w:t>
      </w:r>
      <w:r/>
    </w:p>
    <w:p>
      <w:pPr>
        <w:ind w:firstLine="480"/>
        <w:spacing w:line="360" w:lineRule="auto"/>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合同履行期限：详细内容及要求见招标文件。</w:t>
      </w:r>
      <w:r/>
    </w:p>
    <w:p>
      <w:pPr>
        <w:ind w:firstLine="480"/>
        <w:spacing w:line="360" w:lineRule="auto"/>
        <w:rPr>
          <w:rFonts w:hint="eastAsia" w:ascii="宋体" w:hAnsi="宋体" w:eastAsia="宋体" w:cs="宋体"/>
          <w:color w:val="auto"/>
          <w:sz w:val="24"/>
          <w:szCs w:val="28"/>
          <w:highlight w:val="none"/>
        </w:rPr>
      </w:pPr>
      <w:r>
        <w:rPr>
          <w:rFonts w:hint="eastAsia" w:ascii="宋体" w:hAnsi="宋体" w:eastAsia="宋体" w:cs="宋体"/>
          <w:color w:val="auto"/>
          <w:sz w:val="24"/>
          <w:highlight w:val="none"/>
        </w:rPr>
        <w:t xml:space="preserve">本项目是否接受联合体投标：</w:t>
      </w:r>
      <w:r>
        <w:rPr>
          <w:rFonts w:hint="eastAsia" w:ascii="宋体" w:hAnsi="宋体" w:eastAsia="宋体" w:cs="宋体"/>
          <w:color w:val="auto"/>
          <w:sz w:val="24"/>
          <w:szCs w:val="28"/>
          <w:highlight w:val="none"/>
        </w:rPr>
        <w:t xml:space="preserve">不接受</w:t>
      </w:r>
      <w:r/>
    </w:p>
    <w:p>
      <w:pPr>
        <w:pStyle w:val="1021"/>
        <w:ind w:left="-142"/>
        <w:jc w:val="both"/>
        <w:spacing w:line="360" w:lineRule="auto"/>
        <w:rPr>
          <w:rFonts w:hint="eastAsia" w:ascii="宋体" w:hAnsi="宋体" w:eastAsia="宋体" w:cs="宋体"/>
          <w:b w:val="0"/>
          <w:color w:val="auto"/>
          <w:sz w:val="24"/>
          <w:szCs w:val="28"/>
          <w:highlight w:val="none"/>
        </w:rPr>
      </w:pPr>
      <w:r/>
      <w:bookmarkStart w:id="15" w:name="_Toc35393622"/>
      <w:r/>
      <w:bookmarkStart w:id="16" w:name="_Toc28359003"/>
      <w:r/>
      <w:bookmarkStart w:id="17" w:name="_Toc35393791"/>
      <w:r/>
      <w:bookmarkStart w:id="18" w:name="_Toc28359080"/>
      <w:r>
        <w:rPr>
          <w:rFonts w:hint="eastAsia" w:ascii="宋体" w:hAnsi="宋体" w:eastAsia="宋体" w:cs="宋体"/>
          <w:b w:val="0"/>
          <w:color w:val="auto"/>
          <w:sz w:val="24"/>
          <w:szCs w:val="28"/>
          <w:highlight w:val="none"/>
        </w:rPr>
        <w:t xml:space="preserve">二、申请人的资格要求：</w:t>
      </w:r>
      <w:bookmarkEnd w:id="15"/>
      <w:r/>
      <w:bookmarkEnd w:id="16"/>
      <w:r/>
      <w:bookmarkEnd w:id="17"/>
      <w:r/>
      <w:bookmarkEnd w:id="18"/>
      <w:r/>
      <w:r/>
    </w:p>
    <w:p>
      <w:pPr>
        <w:ind w:firstLine="480"/>
        <w:spacing w:line="360" w:lineRule="auto"/>
        <w:rPr>
          <w:rFonts w:hint="eastAsia" w:ascii="宋体" w:hAnsi="宋体" w:eastAsia="宋体" w:cs="宋体"/>
          <w:color w:val="auto"/>
          <w:sz w:val="24"/>
          <w:szCs w:val="28"/>
          <w:highlight w:val="none"/>
        </w:rPr>
      </w:pPr>
      <w:r/>
      <w:bookmarkStart w:id="19" w:name="_Toc35393792"/>
      <w:r/>
      <w:bookmarkStart w:id="20" w:name="_Toc28359081"/>
      <w:r/>
      <w:bookmarkStart w:id="21" w:name="_Toc28359004"/>
      <w:r/>
      <w:bookmarkStart w:id="22" w:name="_Toc35393623"/>
      <w:r>
        <w:rPr>
          <w:rFonts w:hint="eastAsia" w:ascii="宋体" w:hAnsi="宋体" w:eastAsia="宋体" w:cs="宋体"/>
          <w:color w:val="auto"/>
          <w:sz w:val="24"/>
          <w:szCs w:val="28"/>
          <w:highlight w:val="none"/>
        </w:rPr>
        <w:t xml:space="preserve">1.满足《中华人民共和国政府采购法》第二十二条规定：</w:t>
      </w:r>
      <w:r/>
    </w:p>
    <w:p>
      <w:pPr>
        <w:ind w:firstLine="480"/>
        <w:spacing w:line="360" w:lineRule="auto"/>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1.1具有独立承担民事责任的能力（提供法人或者其他组织的营业执照等证明文件扫描件；投标人为自然人的，提供其身份证扫描件）；</w:t>
      </w:r>
      <w:r/>
    </w:p>
    <w:p>
      <w:pPr>
        <w:ind w:firstLine="480"/>
        <w:spacing w:line="360" w:lineRule="auto"/>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1.2具有良好的商业信誉和健全的财务会计制度</w:t>
      </w:r>
      <w:r>
        <w:rPr>
          <w:rFonts w:hint="eastAsia" w:ascii="宋体" w:hAnsi="宋体" w:eastAsia="宋体" w:cs="宋体"/>
          <w:color w:val="auto"/>
          <w:sz w:val="24"/>
          <w:szCs w:val="28"/>
          <w:highlight w:val="none"/>
          <w:lang w:eastAsia="zh-CN"/>
        </w:rPr>
        <w:t xml:space="preserve">（</w:t>
      </w:r>
      <w:r>
        <w:rPr>
          <w:rFonts w:hint="eastAsia" w:ascii="宋体" w:hAnsi="宋体" w:eastAsia="宋体" w:cs="宋体"/>
          <w:color w:val="auto"/>
          <w:sz w:val="24"/>
          <w:szCs w:val="28"/>
          <w:highlight w:val="none"/>
        </w:rPr>
        <w:t xml:space="preserve">提供</w:t>
      </w:r>
      <w:r>
        <w:rPr>
          <w:rFonts w:hint="eastAsia" w:ascii="宋体" w:hAnsi="宋体" w:eastAsia="宋体" w:cs="宋体"/>
          <w:color w:val="auto"/>
          <w:sz w:val="24"/>
          <w:szCs w:val="28"/>
          <w:highlight w:val="none"/>
          <w:lang w:val="en-US" w:eastAsia="zh-CN"/>
        </w:rPr>
        <w:t xml:space="preserve">2024</w:t>
      </w:r>
      <w:r>
        <w:rPr>
          <w:rFonts w:hint="eastAsia" w:ascii="宋体" w:hAnsi="宋体" w:eastAsia="宋体" w:cs="宋体"/>
          <w:color w:val="auto"/>
          <w:sz w:val="24"/>
          <w:szCs w:val="28"/>
          <w:highlight w:val="none"/>
        </w:rPr>
        <w:t xml:space="preserve">年或2025年度财务报告、成立不满一年的提供至少一个月财务报告，或银行出具的资信证明，或财政部门认可的政府采购专业担保机构出具的投标担保函等，或资格承诺函</w:t>
      </w:r>
      <w:r>
        <w:rPr>
          <w:rFonts w:hint="eastAsia" w:ascii="宋体" w:hAnsi="宋体" w:eastAsia="宋体" w:cs="宋体"/>
          <w:color w:val="auto"/>
          <w:sz w:val="24"/>
          <w:szCs w:val="28"/>
          <w:highlight w:val="none"/>
          <w:lang w:eastAsia="zh-CN"/>
        </w:rPr>
        <w:t xml:space="preserve">）</w:t>
      </w:r>
      <w:r>
        <w:rPr>
          <w:rFonts w:hint="eastAsia" w:ascii="宋体" w:hAnsi="宋体" w:eastAsia="宋体" w:cs="宋体"/>
          <w:color w:val="auto"/>
          <w:sz w:val="24"/>
          <w:szCs w:val="28"/>
          <w:highlight w:val="none"/>
        </w:rPr>
        <w:t xml:space="preserve">；</w:t>
      </w:r>
      <w:r/>
    </w:p>
    <w:p>
      <w:pPr>
        <w:ind w:firstLine="480"/>
        <w:spacing w:line="360" w:lineRule="auto"/>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1.3具有履行合同所必需的设备和专业技术能力</w:t>
      </w:r>
      <w:r>
        <w:rPr>
          <w:rFonts w:hint="eastAsia" w:ascii="宋体" w:hAnsi="宋体" w:eastAsia="宋体" w:cs="宋体"/>
          <w:color w:val="auto"/>
          <w:sz w:val="24"/>
          <w:szCs w:val="28"/>
          <w:highlight w:val="none"/>
          <w:lang w:eastAsia="zh-CN"/>
        </w:rPr>
        <w:t xml:space="preserve">（提供具备履行合同所必需的设备和专业技术能力的书面声明或资格承诺函）</w:t>
      </w:r>
      <w:r>
        <w:rPr>
          <w:rFonts w:hint="eastAsia" w:ascii="宋体" w:hAnsi="宋体" w:eastAsia="宋体" w:cs="宋体"/>
          <w:color w:val="auto"/>
          <w:sz w:val="24"/>
          <w:szCs w:val="28"/>
          <w:highlight w:val="none"/>
        </w:rPr>
        <w:t xml:space="preserve">；</w:t>
      </w:r>
      <w:r/>
    </w:p>
    <w:p>
      <w:pPr>
        <w:ind w:firstLine="480"/>
        <w:spacing w:line="360" w:lineRule="auto"/>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1.4有依法缴纳税收和社会保障资金的良好记录</w:t>
      </w:r>
      <w:r>
        <w:rPr>
          <w:rFonts w:hint="eastAsia" w:ascii="宋体" w:hAnsi="宋体" w:eastAsia="宋体" w:cs="宋体"/>
          <w:color w:val="auto"/>
          <w:sz w:val="24"/>
          <w:szCs w:val="28"/>
          <w:highlight w:val="none"/>
          <w:lang w:eastAsia="zh-CN"/>
        </w:rPr>
        <w:t xml:space="preserve">（</w:t>
      </w:r>
      <w:r>
        <w:rPr>
          <w:rFonts w:hint="eastAsia" w:ascii="宋体" w:hAnsi="宋体" w:eastAsia="宋体" w:cs="宋体"/>
          <w:color w:val="auto"/>
          <w:sz w:val="24"/>
          <w:szCs w:val="28"/>
          <w:highlight w:val="none"/>
        </w:rPr>
        <w:t xml:space="preserve">提供参加本次政府采购活动前半年内至少一个月依法缴纳税收和社会保险的凭据或资格承诺函</w:t>
      </w:r>
      <w:r>
        <w:rPr>
          <w:rFonts w:hint="eastAsia" w:ascii="宋体" w:hAnsi="宋体" w:eastAsia="宋体" w:cs="宋体"/>
          <w:color w:val="auto"/>
          <w:sz w:val="24"/>
          <w:szCs w:val="28"/>
          <w:highlight w:val="none"/>
          <w:lang w:eastAsia="zh-CN"/>
        </w:rPr>
        <w:t xml:space="preserve">）</w:t>
      </w:r>
      <w:r>
        <w:rPr>
          <w:rFonts w:hint="eastAsia" w:ascii="宋体" w:hAnsi="宋体" w:eastAsia="宋体" w:cs="宋体"/>
          <w:color w:val="auto"/>
          <w:sz w:val="24"/>
          <w:szCs w:val="28"/>
          <w:highlight w:val="none"/>
        </w:rPr>
        <w:t xml:space="preserve">；</w:t>
      </w:r>
      <w:r/>
    </w:p>
    <w:p>
      <w:pPr>
        <w:ind w:firstLine="480"/>
        <w:spacing w:line="360" w:lineRule="auto"/>
        <w:rPr>
          <w:rFonts w:hint="eastAsia" w:ascii="宋体" w:hAnsi="宋体" w:eastAsia="宋体" w:cs="宋体"/>
          <w:color w:val="auto"/>
          <w:sz w:val="24"/>
          <w:szCs w:val="28"/>
          <w:highlight w:val="none"/>
          <w:lang w:eastAsia="zh-CN"/>
        </w:rPr>
      </w:pPr>
      <w:r>
        <w:rPr>
          <w:rFonts w:hint="eastAsia" w:ascii="宋体" w:hAnsi="宋体" w:eastAsia="宋体" w:cs="宋体"/>
          <w:color w:val="auto"/>
          <w:sz w:val="24"/>
          <w:szCs w:val="28"/>
          <w:highlight w:val="none"/>
        </w:rPr>
        <w:t xml:space="preserve">1.5参加政府采购活动前三年内，在经营活动中没有重大违法记录</w:t>
      </w:r>
      <w:r>
        <w:rPr>
          <w:rFonts w:hint="eastAsia" w:ascii="宋体" w:hAnsi="宋体" w:eastAsia="宋体" w:cs="宋体"/>
          <w:color w:val="auto"/>
          <w:sz w:val="24"/>
          <w:szCs w:val="28"/>
          <w:highlight w:val="none"/>
          <w:lang w:eastAsia="zh-CN"/>
        </w:rPr>
        <w:t xml:space="preserve">（</w:t>
      </w:r>
      <w:r>
        <w:rPr>
          <w:rFonts w:hint="eastAsia" w:ascii="宋体" w:hAnsi="宋体" w:eastAsia="宋体" w:cs="宋体"/>
          <w:color w:val="auto"/>
          <w:sz w:val="24"/>
          <w:szCs w:val="28"/>
          <w:highlight w:val="none"/>
        </w:rPr>
        <w:t xml:space="preserve">见投标函或提供资格承诺函</w:t>
      </w:r>
      <w:r>
        <w:rPr>
          <w:rFonts w:hint="eastAsia" w:ascii="宋体" w:hAnsi="宋体" w:eastAsia="宋体" w:cs="宋体"/>
          <w:color w:val="auto"/>
          <w:sz w:val="24"/>
          <w:szCs w:val="28"/>
          <w:highlight w:val="none"/>
          <w:lang w:eastAsia="zh-CN"/>
        </w:rPr>
        <w:t xml:space="preserve">）</w:t>
      </w:r>
      <w:r>
        <w:rPr>
          <w:rFonts w:hint="eastAsia" w:ascii="宋体" w:hAnsi="宋体" w:cs="宋体"/>
          <w:color w:val="auto"/>
          <w:sz w:val="24"/>
          <w:szCs w:val="28"/>
          <w:highlight w:val="none"/>
          <w:lang w:eastAsia="zh-CN"/>
        </w:rPr>
        <w:t xml:space="preserve">；</w:t>
      </w:r>
      <w:r/>
    </w:p>
    <w:p>
      <w:pPr>
        <w:ind w:firstLine="480"/>
        <w:spacing w:line="360" w:lineRule="auto"/>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1.6法律、行政法规规定的其他条件：无。</w:t>
      </w:r>
      <w:r/>
    </w:p>
    <w:p>
      <w:pPr>
        <w:ind w:firstLine="480"/>
        <w:spacing w:line="360" w:lineRule="auto"/>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2.落实政府采购政策需满足的资格要求：</w:t>
      </w:r>
      <w:r/>
    </w:p>
    <w:p>
      <w:pPr>
        <w:pStyle w:val="1023"/>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2.1</w:t>
      </w:r>
      <w:r>
        <w:rPr>
          <w:rFonts w:hint="eastAsia" w:ascii="宋体" w:hAnsi="宋体" w:eastAsia="宋体" w:cs="宋体"/>
          <w:color w:val="auto"/>
          <w:sz w:val="24"/>
          <w:highlight w:val="none"/>
        </w:rPr>
        <w:t xml:space="preserve">本项目属于</w:t>
      </w:r>
      <w:r>
        <w:rPr>
          <w:rFonts w:hint="eastAsia" w:ascii="宋体" w:hAnsi="宋体" w:cs="宋体"/>
          <w:color w:val="auto"/>
          <w:sz w:val="24"/>
          <w:highlight w:val="none"/>
          <w:lang w:eastAsia="zh-CN"/>
        </w:rPr>
        <w:t xml:space="preserve">不专门面向中小微企业采购</w:t>
      </w:r>
      <w:r>
        <w:rPr>
          <w:rFonts w:hint="eastAsia" w:ascii="宋体" w:hAnsi="宋体" w:eastAsia="宋体" w:cs="宋体"/>
          <w:color w:val="auto"/>
          <w:sz w:val="24"/>
          <w:highlight w:val="none"/>
        </w:rPr>
        <w:t xml:space="preserve">的项目，根据《关于做好政府采购支持企业发展有关事项的通知》(苏财购(2020) 52号)及关于转发《江苏省财政厅关于做好政府采购支持企业发展有关事项的通知》的通知(镇财采(2020) 12号) 的要求，划型标准请对照《关于印发中小企业划型标准规定的通知》(工信部联企业 (2011) 300号)。</w:t>
      </w:r>
      <w:r/>
    </w:p>
    <w:p>
      <w:pPr>
        <w:ind w:firstLine="480"/>
        <w:spacing w:line="360" w:lineRule="auto"/>
        <w:rPr>
          <w:rFonts w:hint="eastAsia" w:ascii="宋体" w:hAnsi="宋体" w:eastAsia="宋体" w:cs="宋体"/>
          <w:color w:val="auto"/>
          <w:sz w:val="24"/>
          <w:highlight w:val="none"/>
        </w:rPr>
      </w:pPr>
      <w:r>
        <w:rPr>
          <w:rFonts w:hint="eastAsia" w:ascii="宋体" w:hAnsi="宋体"/>
          <w:color w:val="auto"/>
          <w:sz w:val="24"/>
          <w:szCs w:val="28"/>
          <w:highlight w:val="none"/>
          <w:lang w:val="en-US" w:eastAsia="zh-CN"/>
        </w:rPr>
        <w:t xml:space="preserve">2.2 本项目</w:t>
      </w:r>
      <w:r>
        <w:rPr>
          <w:rFonts w:hint="eastAsia" w:ascii="宋体" w:hAnsi="宋体" w:eastAsia="宋体" w:cs="宋体"/>
          <w:color w:val="auto"/>
          <w:sz w:val="24"/>
          <w:highlight w:val="none"/>
        </w:rPr>
        <w:t xml:space="preserve">不允许采购</w:t>
      </w:r>
      <w:r>
        <w:rPr>
          <w:rFonts w:hint="eastAsia" w:ascii="宋体" w:hAnsi="宋体" w:cs="宋体"/>
          <w:color w:val="auto"/>
          <w:sz w:val="24"/>
          <w:highlight w:val="none"/>
          <w:lang w:val="en-US" w:eastAsia="zh-CN"/>
        </w:rPr>
        <w:t xml:space="preserve">进口</w:t>
      </w:r>
      <w:r>
        <w:rPr>
          <w:rFonts w:hint="eastAsia" w:ascii="宋体" w:hAnsi="宋体" w:eastAsia="宋体" w:cs="宋体"/>
          <w:color w:val="auto"/>
          <w:sz w:val="24"/>
          <w:highlight w:val="none"/>
        </w:rPr>
        <w:t xml:space="preserve">产品</w:t>
      </w:r>
      <w:r>
        <w:rPr>
          <w:rFonts w:hint="eastAsia" w:ascii="宋体" w:hAnsi="宋体" w:cs="宋体"/>
          <w:color w:val="auto"/>
          <w:sz w:val="24"/>
          <w:highlight w:val="none"/>
          <w:lang w:eastAsia="zh-CN"/>
        </w:rPr>
        <w:t xml:space="preserve">。</w:t>
      </w:r>
      <w:r>
        <w:rPr>
          <w:rFonts w:hint="eastAsia" w:ascii="宋体" w:hAnsi="宋体" w:eastAsia="宋体" w:cs="宋体"/>
          <w:color w:val="auto"/>
          <w:sz w:val="24"/>
          <w:szCs w:val="28"/>
          <w:highlight w:val="none"/>
        </w:rPr>
        <w:t xml:space="preserve">根据</w:t>
      </w:r>
      <w:r>
        <w:rPr>
          <w:rFonts w:ascii="宋体" w:hAnsi="宋体" w:eastAsia="宋体" w:cs="宋体"/>
          <w:color w:val="auto"/>
          <w:sz w:val="24"/>
          <w:szCs w:val="28"/>
          <w:highlight w:val="none"/>
        </w:rPr>
        <w:fldChar w:fldCharType="begin"/>
      </w:r>
      <w:r>
        <w:rPr>
          <w:rFonts w:ascii="宋体" w:hAnsi="宋体" w:eastAsia="宋体" w:cs="宋体"/>
          <w:color w:val="auto"/>
          <w:sz w:val="24"/>
          <w:szCs w:val="28"/>
          <w:highlight w:val="none"/>
        </w:rPr>
        <w:instrText xml:space="preserve"> HYPERLINK "https://www.gov.cn/zhengce/content/202509/content_7042999.htm" \t "http://jszfcg.jsczt.cn/jszc/wf/project/purchaseDocEdit/_blank" </w:instrText>
      </w:r>
      <w:r>
        <w:rPr>
          <w:rFonts w:ascii="宋体" w:hAnsi="宋体" w:eastAsia="宋体" w:cs="宋体"/>
          <w:color w:val="auto"/>
          <w:sz w:val="24"/>
          <w:szCs w:val="28"/>
          <w:highlight w:val="none"/>
        </w:rPr>
        <w:fldChar w:fldCharType="separate"/>
      </w:r>
      <w:r>
        <w:rPr>
          <w:rFonts w:ascii="宋体" w:hAnsi="宋体" w:eastAsia="宋体" w:cs="宋体"/>
          <w:color w:val="auto"/>
          <w:sz w:val="24"/>
          <w:szCs w:val="28"/>
          <w:highlight w:val="none"/>
        </w:rPr>
        <w:t xml:space="preserve">《国务院办公厅关于在政府采购中实施本国产品标准及相关政策的通知》</w:t>
      </w:r>
      <w:r>
        <w:rPr>
          <w:rFonts w:ascii="宋体" w:hAnsi="宋体" w:eastAsia="宋体" w:cs="宋体"/>
          <w:color w:val="auto"/>
          <w:sz w:val="24"/>
          <w:szCs w:val="28"/>
          <w:highlight w:val="none"/>
        </w:rPr>
        <w:fldChar w:fldCharType="end"/>
      </w:r>
      <w:r>
        <w:rPr>
          <w:rFonts w:ascii="宋体" w:hAnsi="宋体" w:eastAsia="宋体" w:cs="宋体"/>
          <w:color w:val="auto"/>
          <w:sz w:val="24"/>
          <w:szCs w:val="28"/>
          <w:highlight w:val="none"/>
        </w:rPr>
        <w:t xml:space="preserve">(国办发〔2025〕34号)和</w:t>
      </w:r>
      <w:r>
        <w:rPr>
          <w:rFonts w:ascii="宋体" w:hAnsi="宋体" w:eastAsia="宋体" w:cs="宋体"/>
          <w:color w:val="auto"/>
          <w:sz w:val="24"/>
          <w:szCs w:val="28"/>
          <w:highlight w:val="none"/>
        </w:rPr>
        <w:fldChar w:fldCharType="begin"/>
      </w:r>
      <w:r>
        <w:rPr>
          <w:rFonts w:ascii="宋体" w:hAnsi="宋体" w:eastAsia="宋体" w:cs="宋体"/>
          <w:color w:val="auto"/>
          <w:sz w:val="24"/>
          <w:szCs w:val="28"/>
          <w:highlight w:val="none"/>
        </w:rPr>
        <w:instrText xml:space="preserve"> HYPERLINK "https://gks.mof.gov.cn/guizhangzhidu/202512/t20251219_3979568.htm" \t "http://jszfcg.jsczt.cn/jszc/wf/project/purchaseDocEdit/_blank" </w:instrText>
      </w:r>
      <w:r>
        <w:rPr>
          <w:rFonts w:ascii="宋体" w:hAnsi="宋体" w:eastAsia="宋体" w:cs="宋体"/>
          <w:color w:val="auto"/>
          <w:sz w:val="24"/>
          <w:szCs w:val="28"/>
          <w:highlight w:val="none"/>
        </w:rPr>
        <w:fldChar w:fldCharType="separate"/>
      </w:r>
      <w:r>
        <w:rPr>
          <w:rFonts w:ascii="宋体" w:hAnsi="宋体" w:eastAsia="宋体" w:cs="宋体"/>
          <w:color w:val="auto"/>
          <w:sz w:val="24"/>
          <w:szCs w:val="28"/>
          <w:highlight w:val="none"/>
        </w:rPr>
        <w:t xml:space="preserve">《关于贯彻落实〈国务院办公厅关于在政府采购中实施本国产品标准及相关政策的通知〉的意见》</w:t>
      </w:r>
      <w:r>
        <w:rPr>
          <w:rFonts w:ascii="宋体" w:hAnsi="宋体" w:eastAsia="宋体" w:cs="宋体"/>
          <w:color w:val="auto"/>
          <w:sz w:val="24"/>
          <w:szCs w:val="28"/>
          <w:highlight w:val="none"/>
        </w:rPr>
        <w:fldChar w:fldCharType="end"/>
      </w:r>
      <w:r>
        <w:rPr>
          <w:rFonts w:ascii="宋体" w:hAnsi="宋体" w:eastAsia="宋体" w:cs="宋体"/>
          <w:color w:val="auto"/>
          <w:sz w:val="24"/>
          <w:szCs w:val="28"/>
          <w:highlight w:val="none"/>
        </w:rPr>
        <w:t xml:space="preserve">(财库〔2025〕30号)</w:t>
      </w:r>
      <w:r>
        <w:rPr>
          <w:rFonts w:hint="eastAsia" w:ascii="宋体" w:hAnsi="宋体" w:cs="宋体"/>
          <w:color w:val="auto"/>
          <w:sz w:val="24"/>
          <w:szCs w:val="28"/>
          <w:highlight w:val="none"/>
          <w:lang w:eastAsia="zh-CN"/>
        </w:rPr>
        <w:t xml:space="preserve">的要求，供应商</w:t>
      </w:r>
      <w:r>
        <w:rPr>
          <w:rFonts w:hint="eastAsia" w:ascii="宋体" w:hAnsi="宋体" w:eastAsia="宋体" w:cs="宋体"/>
          <w:color w:val="auto"/>
          <w:sz w:val="24"/>
          <w:szCs w:val="28"/>
          <w:highlight w:val="none"/>
        </w:rPr>
        <w:t xml:space="preserve">必须提供</w:t>
      </w:r>
      <w:r>
        <w:rPr>
          <w:rFonts w:hint="eastAsia" w:ascii="宋体" w:hAnsi="宋体" w:cs="宋体"/>
          <w:color w:val="auto"/>
          <w:sz w:val="24"/>
          <w:szCs w:val="28"/>
          <w:highlight w:val="none"/>
          <w:lang w:eastAsia="zh-CN"/>
        </w:rPr>
        <w:t xml:space="preserve">《关于符合本国产品标准的声明函》</w:t>
      </w:r>
      <w:r>
        <w:rPr>
          <w:rFonts w:hint="eastAsia" w:ascii="宋体" w:hAnsi="宋体" w:eastAsia="宋体" w:cs="宋体"/>
          <w:color w:val="auto"/>
          <w:sz w:val="24"/>
          <w:szCs w:val="28"/>
          <w:highlight w:val="none"/>
        </w:rPr>
        <w:t xml:space="preserve">（见格式）</w:t>
      </w:r>
      <w:r/>
    </w:p>
    <w:p>
      <w:pPr>
        <w:ind w:firstLine="480"/>
        <w:spacing w:line="440" w:lineRule="exact"/>
        <w:rPr>
          <w:rFonts w:hint="eastAsia" w:ascii="宋体" w:hAnsi="宋体" w:eastAsia="宋体" w:cs="宋体"/>
          <w:color w:val="auto"/>
          <w:sz w:val="24"/>
          <w:szCs w:val="28"/>
          <w:highlight w:val="none"/>
        </w:rPr>
      </w:pP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szCs w:val="28"/>
          <w:highlight w:val="none"/>
        </w:rPr>
        <w:t xml:space="preserve">本项目的特定资格要求：</w:t>
      </w:r>
      <w:r>
        <w:rPr>
          <w:rFonts w:hint="eastAsia" w:ascii="宋体" w:hAnsi="宋体" w:cs="宋体"/>
          <w:color w:val="auto"/>
          <w:sz w:val="24"/>
          <w:highlight w:val="none"/>
          <w:lang w:val="en-US" w:eastAsia="zh-CN"/>
        </w:rPr>
        <w:t xml:space="preserve">无。</w:t>
      </w:r>
      <w:r/>
    </w:p>
    <w:p>
      <w:pPr>
        <w:ind w:firstLine="480"/>
        <w:spacing w:line="440" w:lineRule="exact"/>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4.拒绝下述供应商参加本次采购活动： </w:t>
      </w:r>
      <w:r/>
    </w:p>
    <w:p>
      <w:pPr>
        <w:ind w:firstLine="480"/>
        <w:spacing w:line="440" w:lineRule="exact"/>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（1）供应商单位负责人为同一人或者存在直接控股、管理关系的不同供应商，不得参加同一合同项下的政府采购活动； </w:t>
      </w:r>
      <w:r/>
    </w:p>
    <w:p>
      <w:pPr>
        <w:ind w:firstLine="480"/>
        <w:spacing w:line="440" w:lineRule="exact"/>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（2）为采购项目提供整体设计、规范编制或者项目管理、监理、检测等服务的供应商，不得参加本项目的采购活动； </w:t>
      </w:r>
      <w:r/>
    </w:p>
    <w:p>
      <w:pPr>
        <w:ind w:firstLine="480"/>
        <w:spacing w:line="440" w:lineRule="exact"/>
        <w:rPr>
          <w:rFonts w:hint="eastAsia" w:ascii="宋体" w:hAnsi="宋体" w:eastAsia="宋体" w:cs="宋体"/>
          <w:b/>
          <w:color w:val="auto"/>
          <w:highlight w:val="none"/>
        </w:rPr>
      </w:pPr>
      <w:r>
        <w:rPr>
          <w:rFonts w:hint="eastAsia" w:ascii="宋体" w:hAnsi="宋体" w:eastAsia="宋体" w:cs="宋体"/>
          <w:color w:val="auto"/>
          <w:sz w:val="24"/>
          <w:szCs w:val="28"/>
          <w:highlight w:val="none"/>
        </w:rPr>
        <w:t xml:space="preserve">（3）供应商被“信用中国”网站（www.creditchina.gov.cn）、“中国政府采购网”(www.ccgp.gov.cn)列入失信被执行人、重大税收违法案件当事人名单、政府采购严重违法失信行为记录名单。</w:t>
      </w:r>
      <w:r/>
    </w:p>
    <w:p>
      <w:pPr>
        <w:pStyle w:val="1021"/>
        <w:ind w:left="-142"/>
        <w:jc w:val="both"/>
        <w:spacing w:line="360" w:lineRule="auto"/>
        <w:rPr>
          <w:rFonts w:hint="eastAsia" w:ascii="宋体" w:hAnsi="宋体" w:eastAsia="宋体" w:cs="宋体"/>
          <w:b w:val="0"/>
          <w:color w:val="auto"/>
          <w:sz w:val="24"/>
          <w:szCs w:val="28"/>
          <w:highlight w:val="none"/>
        </w:rPr>
      </w:pPr>
      <w:r>
        <w:rPr>
          <w:rFonts w:hint="eastAsia" w:ascii="宋体" w:hAnsi="宋体" w:eastAsia="宋体" w:cs="宋体"/>
          <w:b w:val="0"/>
          <w:color w:val="auto"/>
          <w:sz w:val="24"/>
          <w:szCs w:val="28"/>
          <w:highlight w:val="none"/>
        </w:rPr>
        <w:t xml:space="preserve">三、获取招标文件</w:t>
      </w:r>
      <w:bookmarkEnd w:id="19"/>
      <w:r/>
      <w:bookmarkEnd w:id="20"/>
      <w:r/>
      <w:bookmarkEnd w:id="21"/>
      <w:r/>
      <w:bookmarkEnd w:id="22"/>
      <w:r/>
      <w:r/>
    </w:p>
    <w:p>
      <w:pPr>
        <w:ind w:firstLine="480"/>
        <w:spacing w:line="360" w:lineRule="auto"/>
        <w:rPr>
          <w:rFonts w:hint="eastAsia" w:ascii="宋体" w:hAnsi="宋体" w:eastAsia="宋体" w:cs="宋体"/>
          <w:color w:val="auto"/>
          <w:sz w:val="24"/>
          <w:szCs w:val="28"/>
          <w:highlight w:val="none"/>
          <w:lang w:val="en-US" w:eastAsia="zh-CN"/>
        </w:rPr>
      </w:pPr>
      <w:r>
        <w:rPr>
          <w:rFonts w:hint="eastAsia" w:ascii="宋体" w:hAnsi="宋体" w:eastAsia="宋体" w:cs="宋体"/>
          <w:color w:val="auto"/>
          <w:sz w:val="24"/>
          <w:szCs w:val="28"/>
          <w:highlight w:val="none"/>
        </w:rPr>
        <w:t xml:space="preserve">获取时间：</w:t>
      </w:r>
      <w:r>
        <w:rPr>
          <w:rFonts w:hint="eastAsia" w:ascii="宋体" w:hAnsi="宋体" w:cs="宋体"/>
          <w:color w:val="auto"/>
          <w:sz w:val="24"/>
          <w:highlight w:val="none"/>
          <w:lang w:eastAsia="zh-CN"/>
        </w:rPr>
        <w:t xml:space="preserve">公告发布之日起至2026年7月14日23:59（北京时间）</w:t>
      </w:r>
      <w:r/>
    </w:p>
    <w:p>
      <w:pPr>
        <w:ind w:firstLine="480"/>
        <w:spacing w:line="360" w:lineRule="auto"/>
        <w:rPr>
          <w:rFonts w:hint="eastAsia" w:ascii="宋体" w:hAnsi="宋体" w:eastAsia="宋体" w:cs="宋体"/>
          <w:i/>
          <w:iCs/>
          <w:color w:val="auto"/>
          <w:sz w:val="24"/>
          <w:szCs w:val="28"/>
          <w:highlight w:val="none"/>
        </w:rPr>
      </w:pPr>
      <w:r>
        <w:rPr>
          <w:rFonts w:hint="eastAsia" w:ascii="宋体" w:hAnsi="宋体" w:eastAsia="宋体" w:cs="宋体"/>
          <w:color w:val="auto"/>
          <w:sz w:val="24"/>
          <w:szCs w:val="28"/>
          <w:highlight w:val="none"/>
        </w:rPr>
        <w:t xml:space="preserve">获取地点：江苏政府采购网-苏采云平台获取招标文件</w:t>
      </w:r>
      <w:r/>
    </w:p>
    <w:p>
      <w:pPr>
        <w:ind w:left="479"/>
        <w:jc w:val="left"/>
        <w:spacing w:line="360" w:lineRule="auto"/>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获取方式：（操作指南：http://www.ccgp-jiangsu.gov.cn/jiangsu/zlxz/ee/ee3a4bc5a3454aa2b0d9312230633ce9.html）</w:t>
      </w:r>
      <w:r/>
    </w:p>
    <w:p>
      <w:pPr>
        <w:ind w:firstLine="480"/>
        <w:spacing w:line="360" w:lineRule="auto"/>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采购文件售价：免费</w:t>
      </w:r>
      <w:r/>
    </w:p>
    <w:p>
      <w:pPr>
        <w:pStyle w:val="1021"/>
        <w:ind w:left="-142"/>
        <w:jc w:val="both"/>
        <w:spacing w:line="360" w:lineRule="auto"/>
        <w:rPr>
          <w:rFonts w:hint="eastAsia" w:ascii="宋体" w:hAnsi="宋体" w:eastAsia="宋体" w:cs="宋体"/>
          <w:b w:val="0"/>
          <w:color w:val="auto"/>
          <w:sz w:val="24"/>
          <w:szCs w:val="28"/>
          <w:highlight w:val="none"/>
        </w:rPr>
      </w:pPr>
      <w:r/>
      <w:bookmarkStart w:id="23" w:name="_Toc35393624"/>
      <w:r/>
      <w:bookmarkStart w:id="24" w:name="_Toc28359082"/>
      <w:r/>
      <w:bookmarkStart w:id="25" w:name="_Toc35393793"/>
      <w:r/>
      <w:bookmarkStart w:id="26" w:name="_Toc28359005"/>
      <w:r>
        <w:rPr>
          <w:rFonts w:hint="eastAsia" w:ascii="宋体" w:hAnsi="宋体" w:eastAsia="宋体" w:cs="宋体"/>
          <w:b w:val="0"/>
          <w:color w:val="auto"/>
          <w:sz w:val="24"/>
          <w:szCs w:val="28"/>
          <w:highlight w:val="none"/>
        </w:rPr>
        <w:t xml:space="preserve">四、</w:t>
      </w:r>
      <w:bookmarkEnd w:id="23"/>
      <w:r/>
      <w:bookmarkEnd w:id="24"/>
      <w:r/>
      <w:bookmarkEnd w:id="25"/>
      <w:r/>
      <w:bookmarkEnd w:id="26"/>
      <w:r>
        <w:rPr>
          <w:rFonts w:hint="eastAsia" w:ascii="宋体" w:hAnsi="宋体" w:eastAsia="宋体" w:cs="宋体"/>
          <w:b w:val="0"/>
          <w:color w:val="auto"/>
          <w:sz w:val="24"/>
          <w:szCs w:val="28"/>
          <w:highlight w:val="none"/>
        </w:rPr>
        <w:t xml:space="preserve">提交投标文件截止时间、开标时间和地点</w:t>
      </w:r>
      <w:r/>
    </w:p>
    <w:p>
      <w:pPr>
        <w:ind w:firstLine="480"/>
        <w:spacing w:line="360" w:lineRule="auto"/>
        <w:rPr>
          <w:rFonts w:hint="eastAsia" w:ascii="宋体" w:hAnsi="宋体" w:eastAsia="宋体" w:cs="宋体"/>
          <w:bCs/>
          <w:color w:val="auto"/>
          <w:sz w:val="24"/>
          <w:szCs w:val="28"/>
          <w:highlight w:val="none"/>
          <w:u w:val="single"/>
        </w:rPr>
      </w:pPr>
      <w:r>
        <w:rPr>
          <w:rFonts w:hint="eastAsia" w:ascii="宋体" w:hAnsi="宋体" w:eastAsia="宋体" w:cs="宋体"/>
          <w:bCs/>
          <w:color w:val="auto"/>
          <w:sz w:val="24"/>
          <w:szCs w:val="28"/>
          <w:highlight w:val="none"/>
        </w:rPr>
        <w:t xml:space="preserve">提交截止时间及开标时间：</w:t>
      </w:r>
      <w:r>
        <w:rPr>
          <w:rFonts w:hint="eastAsia" w:ascii="宋体" w:hAnsi="宋体" w:cs="宋体"/>
          <w:bCs/>
          <w:color w:val="auto"/>
          <w:sz w:val="24"/>
          <w:szCs w:val="28"/>
          <w:highlight w:val="none"/>
          <w:u w:val="single"/>
          <w:lang w:eastAsia="zh-CN"/>
        </w:rPr>
        <w:t xml:space="preserve">2026年8月13日</w:t>
      </w:r>
      <w:r>
        <w:rPr>
          <w:rFonts w:hint="eastAsia" w:ascii="宋体" w:hAnsi="宋体" w:eastAsia="宋体" w:cs="宋体"/>
          <w:bCs/>
          <w:color w:val="auto"/>
          <w:sz w:val="24"/>
          <w:szCs w:val="28"/>
          <w:highlight w:val="none"/>
          <w:u w:val="single"/>
        </w:rPr>
        <w:t xml:space="preserve">09点</w:t>
      </w:r>
      <w:r>
        <w:rPr>
          <w:rFonts w:hint="eastAsia" w:ascii="宋体" w:hAnsi="宋体" w:eastAsia="宋体" w:cs="宋体"/>
          <w:bCs/>
          <w:color w:val="auto"/>
          <w:sz w:val="24"/>
          <w:szCs w:val="28"/>
          <w:highlight w:val="none"/>
          <w:u w:val="single"/>
          <w:lang w:val="en-US" w:eastAsia="zh-CN"/>
        </w:rPr>
        <w:t xml:space="preserve">30</w:t>
      </w:r>
      <w:r>
        <w:rPr>
          <w:rFonts w:hint="eastAsia" w:ascii="宋体" w:hAnsi="宋体" w:eastAsia="宋体" w:cs="宋体"/>
          <w:bCs/>
          <w:color w:val="auto"/>
          <w:sz w:val="24"/>
          <w:szCs w:val="28"/>
          <w:highlight w:val="none"/>
          <w:u w:val="single"/>
        </w:rPr>
        <w:t xml:space="preserve">分</w:t>
      </w:r>
      <w:r>
        <w:rPr>
          <w:rFonts w:hint="eastAsia" w:ascii="宋体" w:hAnsi="宋体" w:eastAsia="宋体" w:cs="宋体"/>
          <w:bCs/>
          <w:color w:val="auto"/>
          <w:sz w:val="24"/>
          <w:szCs w:val="28"/>
          <w:highlight w:val="none"/>
        </w:rPr>
        <w:t xml:space="preserve">（北京时间）</w:t>
      </w:r>
      <w:r/>
    </w:p>
    <w:p>
      <w:pPr>
        <w:ind w:firstLine="480"/>
        <w:spacing w:line="360" w:lineRule="auto"/>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开标地点：“苏采云”系统（网址：http://jszfcg.jsczt.cn/）“开标大厅”</w:t>
      </w:r>
      <w:r/>
    </w:p>
    <w:p>
      <w:pPr>
        <w:pStyle w:val="1021"/>
        <w:ind w:left="-142"/>
        <w:jc w:val="both"/>
        <w:spacing w:line="360" w:lineRule="auto"/>
        <w:rPr>
          <w:rFonts w:hint="eastAsia" w:ascii="宋体" w:hAnsi="宋体" w:eastAsia="宋体" w:cs="宋体"/>
          <w:b w:val="0"/>
          <w:bCs/>
          <w:color w:val="auto"/>
          <w:sz w:val="24"/>
          <w:szCs w:val="28"/>
          <w:highlight w:val="none"/>
        </w:rPr>
      </w:pPr>
      <w:r/>
      <w:bookmarkStart w:id="27" w:name="_Toc28359007"/>
      <w:r/>
      <w:bookmarkStart w:id="28" w:name="_Toc35393625"/>
      <w:r/>
      <w:bookmarkStart w:id="29" w:name="_Toc28359084"/>
      <w:r/>
      <w:bookmarkStart w:id="30" w:name="_Toc35393794"/>
      <w:r>
        <w:rPr>
          <w:rFonts w:hint="eastAsia" w:ascii="宋体" w:hAnsi="宋体" w:eastAsia="宋体" w:cs="宋体"/>
          <w:b w:val="0"/>
          <w:bCs/>
          <w:color w:val="auto"/>
          <w:sz w:val="24"/>
          <w:szCs w:val="28"/>
          <w:highlight w:val="none"/>
        </w:rPr>
        <w:t xml:space="preserve">五、公告期限</w:t>
      </w:r>
      <w:bookmarkEnd w:id="27"/>
      <w:r/>
      <w:bookmarkEnd w:id="28"/>
      <w:r/>
      <w:bookmarkEnd w:id="29"/>
      <w:r/>
      <w:bookmarkEnd w:id="30"/>
      <w:r/>
      <w:r/>
    </w:p>
    <w:p>
      <w:pPr>
        <w:ind w:firstLine="480"/>
        <w:spacing w:line="360" w:lineRule="auto"/>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自本公告发布之日起5个工作日。</w:t>
      </w:r>
      <w:r/>
    </w:p>
    <w:p>
      <w:pPr>
        <w:pStyle w:val="1021"/>
        <w:ind w:left="-142"/>
        <w:jc w:val="both"/>
        <w:spacing w:line="360" w:lineRule="auto"/>
        <w:rPr>
          <w:rFonts w:hint="eastAsia" w:ascii="宋体" w:hAnsi="宋体" w:eastAsia="宋体" w:cs="宋体"/>
          <w:color w:val="auto"/>
          <w:sz w:val="24"/>
          <w:szCs w:val="28"/>
          <w:highlight w:val="none"/>
        </w:rPr>
      </w:pPr>
      <w:r/>
      <w:bookmarkStart w:id="31" w:name="_Toc35393795"/>
      <w:r/>
      <w:bookmarkStart w:id="32" w:name="_Toc35393626"/>
      <w:r>
        <w:rPr>
          <w:rFonts w:hint="eastAsia" w:ascii="宋体" w:hAnsi="宋体" w:eastAsia="宋体" w:cs="宋体"/>
          <w:b w:val="0"/>
          <w:color w:val="auto"/>
          <w:sz w:val="24"/>
          <w:szCs w:val="28"/>
          <w:highlight w:val="none"/>
        </w:rPr>
        <w:t xml:space="preserve">六、其他补充事宜</w:t>
      </w:r>
      <w:bookmarkEnd w:id="31"/>
      <w:r/>
      <w:bookmarkEnd w:id="32"/>
      <w:r/>
      <w:bookmarkStart w:id="33" w:name="_Toc28359085"/>
      <w:r/>
      <w:bookmarkStart w:id="34" w:name="_Toc28359008"/>
      <w:r/>
      <w:bookmarkStart w:id="35" w:name="_Toc35393796"/>
      <w:r/>
      <w:bookmarkStart w:id="36" w:name="_Toc35393627"/>
      <w:r/>
      <w:r/>
    </w:p>
    <w:p>
      <w:pPr>
        <w:pStyle w:val="1024"/>
        <w:numPr>
          <w:ilvl w:val="0"/>
          <w:numId w:val="1"/>
        </w:numPr>
        <w:ind w:firstLine="480"/>
        <w:jc w:val="left"/>
        <w:spacing w:line="360" w:lineRule="auto"/>
        <w:widowControl/>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本项目通过电子交易平台进行采购，投标人须通过“苏采云”平台在线制作并提交投标文件。请在投标前详细阅读《</w:t>
      </w:r>
      <w:r>
        <w:rPr>
          <w:rFonts w:hint="eastAsia" w:ascii="宋体" w:hAnsi="宋体" w:eastAsia="宋体" w:cs="宋体"/>
          <w:color w:val="auto"/>
          <w:sz w:val="24"/>
          <w:szCs w:val="28"/>
          <w:highlight w:val="none"/>
          <w:lang w:eastAsia="zh-CN"/>
        </w:rPr>
        <w:t xml:space="preserve">苏采云</w:t>
      </w:r>
      <w:r>
        <w:rPr>
          <w:rFonts w:hint="eastAsia" w:ascii="宋体" w:hAnsi="宋体" w:eastAsia="宋体" w:cs="宋体"/>
          <w:color w:val="auto"/>
          <w:sz w:val="24"/>
          <w:szCs w:val="28"/>
          <w:highlight w:val="none"/>
        </w:rPr>
        <w:t xml:space="preserve">操作手册》（网址：</w:t>
      </w:r>
      <w:r>
        <w:rPr>
          <w:rFonts w:hint="eastAsia" w:ascii="宋体" w:hAnsi="宋体" w:eastAsia="宋体" w:cs="宋体"/>
          <w:color w:val="auto"/>
          <w:sz w:val="24"/>
          <w:szCs w:val="28"/>
          <w:highlight w:val="none"/>
        </w:rPr>
        <w:fldChar w:fldCharType="begin"/>
      </w:r>
      <w:r>
        <w:rPr>
          <w:rFonts w:hint="eastAsia" w:ascii="宋体" w:hAnsi="宋体" w:eastAsia="宋体" w:cs="宋体"/>
          <w:color w:val="auto"/>
          <w:sz w:val="24"/>
          <w:szCs w:val="28"/>
          <w:highlight w:val="none"/>
        </w:rPr>
        <w:instrText xml:space="preserve"> HYPERLINK "http://www.ccgp-jiangsu.gov.cn/jiangsu/zlxz/ee/ee3a4bc5a3454aa2b0d9312230633ce9.html）；" </w:instrText>
      </w:r>
      <w:r>
        <w:rPr>
          <w:rFonts w:hint="eastAsia" w:ascii="宋体" w:hAnsi="宋体" w:eastAsia="宋体" w:cs="宋体"/>
          <w:color w:val="auto"/>
          <w:sz w:val="24"/>
          <w:szCs w:val="28"/>
          <w:highlight w:val="none"/>
        </w:rPr>
        <w:fldChar w:fldCharType="separate"/>
      </w:r>
      <w:r>
        <w:rPr>
          <w:rStyle w:val="1025"/>
          <w:rFonts w:hint="eastAsia" w:ascii="宋体" w:hAnsi="宋体" w:eastAsia="宋体" w:cs="宋体"/>
          <w:color w:val="auto"/>
          <w:sz w:val="24"/>
          <w:szCs w:val="28"/>
          <w:highlight w:val="none"/>
        </w:rPr>
        <w:t xml:space="preserve">http://www.ccgp-jiangsu.gov.cn/jiangsu/zlxz/ee/ee3a4bc5a3454aa2b0d9312230633ce9.html）；</w:t>
      </w:r>
      <w:r>
        <w:rPr>
          <w:rFonts w:hint="eastAsia" w:ascii="宋体" w:hAnsi="宋体" w:eastAsia="宋体" w:cs="宋体"/>
          <w:color w:val="auto"/>
          <w:sz w:val="24"/>
          <w:szCs w:val="28"/>
          <w:highlight w:val="none"/>
        </w:rPr>
        <w:fldChar w:fldCharType="end"/>
      </w:r>
      <w:r>
        <w:rPr>
          <w:rFonts w:hint="eastAsia" w:ascii="宋体" w:hAnsi="宋体" w:eastAsia="宋体" w:cs="宋体"/>
          <w:color w:val="auto"/>
          <w:sz w:val="24"/>
          <w:szCs w:val="28"/>
          <w:highlight w:val="none"/>
        </w:rPr>
        <w:t xml:space="preserve">截至投标截止时间，电子交易平台投标通道将关闭，投标人未完成电子投标文件有效提交的，其投标将被拒绝。</w:t>
      </w:r>
      <w:r/>
    </w:p>
    <w:p>
      <w:pPr>
        <w:ind w:firstLine="480"/>
        <w:spacing w:line="360" w:lineRule="auto"/>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lang w:val="en-US" w:eastAsia="zh-CN"/>
        </w:rPr>
        <w:t xml:space="preserve">2.</w:t>
      </w:r>
      <w:r>
        <w:rPr>
          <w:rFonts w:hint="eastAsia" w:ascii="宋体" w:hAnsi="宋体" w:eastAsia="宋体" w:cs="宋体"/>
          <w:color w:val="auto"/>
          <w:sz w:val="24"/>
          <w:szCs w:val="28"/>
          <w:highlight w:val="none"/>
        </w:rPr>
        <w:t xml:space="preserve">本项目采用网上开标方式，考虑到网络环境、网络带宽等风险因素，请投标人事先做好电脑环境准备，自行选择互联网连接畅通的场地，在规定的开标时间登录网上开标大厅进行投标文件解密。竞争性磋商、竞争性谈判、单一来源采购项目将与供应商就磋商（谈判）文件进行线上磋商（谈判），需要同时准备好耳麦和摄像设备。因供应商网络或电源不稳定、未按要求配置上述设备、上述设备发生故障</w:t>
      </w:r>
      <w:r>
        <w:rPr>
          <w:rFonts w:hint="eastAsia" w:ascii="宋体" w:hAnsi="宋体" w:eastAsia="宋体" w:cs="宋体"/>
          <w:color w:val="auto"/>
          <w:sz w:val="24"/>
          <w:szCs w:val="28"/>
          <w:highlight w:val="none"/>
          <w:lang w:eastAsia="zh-CN"/>
        </w:rPr>
        <w:t xml:space="preserve">、</w:t>
      </w:r>
      <w:r>
        <w:rPr>
          <w:rFonts w:hint="eastAsia" w:ascii="宋体" w:hAnsi="宋体" w:eastAsia="宋体" w:cs="宋体"/>
          <w:color w:val="auto"/>
          <w:sz w:val="24"/>
          <w:szCs w:val="28"/>
          <w:highlight w:val="none"/>
        </w:rPr>
        <w:t xml:space="preserve">解密锁发生故障等自身原因，导致响应文件在规定时间内未能解密、解密失败或解密超时，供应商自行承担其后果。</w:t>
      </w:r>
      <w:r/>
    </w:p>
    <w:p>
      <w:pPr>
        <w:pStyle w:val="1024"/>
        <w:numPr>
          <w:ilvl w:val="0"/>
          <w:numId w:val="0"/>
        </w:numPr>
        <w:ind w:firstLine="480"/>
        <w:jc w:val="left"/>
        <w:spacing w:line="360" w:lineRule="auto"/>
        <w:widowControl/>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lang w:val="en-US" w:eastAsia="zh-CN"/>
        </w:rPr>
        <w:t xml:space="preserve">3.</w:t>
      </w:r>
      <w:r>
        <w:rPr>
          <w:rFonts w:hint="eastAsia" w:ascii="宋体" w:hAnsi="宋体" w:eastAsia="宋体" w:cs="宋体"/>
          <w:color w:val="auto"/>
          <w:sz w:val="24"/>
          <w:szCs w:val="28"/>
          <w:highlight w:val="none"/>
        </w:rPr>
        <w:t xml:space="preserve">投标人在使用系统进行投标的过程中如遇到涉及平台使用的任何问题，应在工作日上午9：00-11:30 下午13:30-17:30期间致电技术支持热线咨询，联系方式:0519-86722803、0519-86722805。</w:t>
      </w:r>
      <w:r/>
    </w:p>
    <w:p>
      <w:pPr>
        <w:pStyle w:val="1024"/>
        <w:ind w:firstLine="480"/>
        <w:jc w:val="left"/>
        <w:spacing w:line="360" w:lineRule="auto"/>
        <w:widowControl/>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lang w:val="en-US" w:eastAsia="zh-CN"/>
        </w:rPr>
        <w:t xml:space="preserve">4</w:t>
      </w:r>
      <w:r>
        <w:rPr>
          <w:rFonts w:hint="eastAsia" w:ascii="宋体" w:hAnsi="宋体" w:eastAsia="宋体" w:cs="宋体"/>
          <w:color w:val="auto"/>
          <w:sz w:val="24"/>
          <w:szCs w:val="28"/>
          <w:highlight w:val="none"/>
        </w:rPr>
        <w:t xml:space="preserve">.投标人投标需提前办理数字认证证书，办理方式和注意事项详见:</w:t>
      </w:r>
      <w:r/>
    </w:p>
    <w:p>
      <w:pPr>
        <w:ind w:firstLine="480"/>
        <w:spacing w:line="360" w:lineRule="auto"/>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苏采云系统目前支持意源CA数字证书和方正电子签章，镇江地区意源（方正）办理方式：镇江市润州区冠城路8号工人大厦7楼公共资源交易中心大厅CA窗口，工作日办公时间：9:00-12:00、13:30-17:30联系人：邵娟，联系电话：13655287962。</w:t>
      </w:r>
      <w:r/>
    </w:p>
    <w:p>
      <w:pPr>
        <w:ind w:firstLine="480"/>
        <w:spacing w:line="360" w:lineRule="auto"/>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lang w:val="en-US" w:eastAsia="zh-CN"/>
        </w:rPr>
        <w:t xml:space="preserve">5.</w:t>
      </w:r>
      <w:r>
        <w:rPr>
          <w:rFonts w:hint="eastAsia" w:ascii="宋体" w:hAnsi="宋体" w:eastAsia="宋体" w:cs="宋体"/>
          <w:color w:val="auto"/>
          <w:sz w:val="24"/>
          <w:szCs w:val="28"/>
          <w:highlight w:val="none"/>
        </w:rPr>
        <w:t xml:space="preserve">苏采云系统使用谷歌浏览器参与不见面开标。</w:t>
      </w:r>
      <w:r/>
    </w:p>
    <w:p>
      <w:pPr>
        <w:pStyle w:val="1021"/>
        <w:ind w:left="-142"/>
        <w:jc w:val="both"/>
        <w:spacing w:line="360" w:lineRule="auto"/>
        <w:rPr>
          <w:rFonts w:hint="eastAsia" w:ascii="宋体" w:hAnsi="宋体" w:eastAsia="宋体" w:cs="宋体"/>
          <w:b w:val="0"/>
          <w:color w:val="auto"/>
          <w:sz w:val="24"/>
          <w:szCs w:val="28"/>
          <w:highlight w:val="none"/>
        </w:rPr>
      </w:pPr>
      <w:r>
        <w:rPr>
          <w:rFonts w:hint="eastAsia" w:ascii="宋体" w:hAnsi="宋体" w:eastAsia="宋体" w:cs="宋体"/>
          <w:b w:val="0"/>
          <w:color w:val="auto"/>
          <w:sz w:val="24"/>
          <w:szCs w:val="28"/>
          <w:highlight w:val="none"/>
        </w:rPr>
        <w:t xml:space="preserve">七、对本次招标提出询问，请按以下方式联系。</w:t>
      </w:r>
      <w:bookmarkEnd w:id="33"/>
      <w:r/>
      <w:bookmarkEnd w:id="34"/>
      <w:r/>
      <w:bookmarkEnd w:id="35"/>
      <w:r/>
      <w:bookmarkEnd w:id="36"/>
      <w:r/>
      <w:r/>
    </w:p>
    <w:p>
      <w:pPr>
        <w:ind w:firstLine="720"/>
        <w:jc w:val="left"/>
        <w:spacing w:line="360" w:lineRule="auto"/>
        <w:widowControl/>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1.采购人信息</w:t>
      </w:r>
      <w:r/>
    </w:p>
    <w:p>
      <w:pPr>
        <w:ind w:left="1079" w:hanging="300"/>
        <w:jc w:val="left"/>
        <w:spacing w:line="360" w:lineRule="auto"/>
        <w:rPr>
          <w:rFonts w:hint="eastAsia" w:ascii="宋体" w:hAnsi="宋体" w:eastAsia="宋体" w:cs="宋体"/>
          <w:color w:val="auto"/>
          <w:sz w:val="24"/>
          <w:szCs w:val="24"/>
          <w:highlight w:val="none"/>
          <w:u w:val="none"/>
        </w:rPr>
      </w:pPr>
      <w:r/>
      <w:bookmarkStart w:id="37" w:name="_Toc28359009"/>
      <w:r/>
      <w:bookmarkStart w:id="38" w:name="_Toc28359086"/>
      <w:r>
        <w:rPr>
          <w:rFonts w:hint="eastAsia" w:ascii="宋体" w:hAnsi="宋体" w:eastAsia="宋体" w:cs="宋体"/>
          <w:color w:val="auto"/>
          <w:sz w:val="24"/>
          <w:szCs w:val="24"/>
          <w:highlight w:val="none"/>
          <w:u w:val="none"/>
        </w:rPr>
        <w:t xml:space="preserve">名 称：句容市宝华镇人民政府</w:t>
      </w:r>
      <w:r/>
    </w:p>
    <w:p>
      <w:pPr>
        <w:ind w:left="1079" w:hanging="300"/>
        <w:jc w:val="left"/>
        <w:spacing w:line="360" w:lineRule="auto"/>
        <w:rPr>
          <w:rFonts w:ascii="宋体" w:hAnsi="宋体" w:eastAsia="宋体" w:cs="宋体"/>
          <w:color w:val="auto"/>
          <w:sz w:val="24"/>
          <w:szCs w:val="24"/>
          <w:highlight w:val="none"/>
          <w:u w:val="none"/>
          <w:lang w:val="en-US" w:eastAsia="zh-CN"/>
        </w:rPr>
      </w:pPr>
      <w:r>
        <w:rPr>
          <w:rFonts w:hint="eastAsia" w:ascii="宋体" w:hAnsi="宋体" w:eastAsia="宋体" w:cs="宋体"/>
          <w:color w:val="auto"/>
          <w:sz w:val="24"/>
          <w:szCs w:val="24"/>
          <w:highlight w:val="none"/>
          <w:u w:val="none"/>
        </w:rPr>
        <w:t xml:space="preserve">地址：镇江市句容市</w:t>
      </w:r>
      <w:r>
        <w:rPr>
          <w:rFonts w:hint="eastAsia" w:ascii="宋体" w:hAnsi="宋体" w:cs="宋体"/>
          <w:color w:val="auto"/>
          <w:sz w:val="24"/>
          <w:szCs w:val="24"/>
          <w:highlight w:val="none"/>
          <w:u w:val="none"/>
          <w:lang w:val="en-US" w:eastAsia="zh-CN"/>
        </w:rPr>
        <w:t xml:space="preserve">宝华镇</w:t>
      </w:r>
      <w:r/>
    </w:p>
    <w:p>
      <w:pPr>
        <w:ind w:left="1079" w:hanging="300"/>
        <w:jc w:val="left"/>
        <w:spacing w:line="360" w:lineRule="auto"/>
        <w:rPr>
          <w:rFonts w:hint="eastAsia" w:ascii="宋体" w:hAnsi="宋体" w:eastAsia="宋体" w:cs="宋体"/>
          <w:color w:val="auto"/>
          <w:sz w:val="24"/>
          <w:szCs w:val="24"/>
          <w:highlight w:val="none"/>
          <w:u w:val="none"/>
          <w:lang w:eastAsia="zh-CN"/>
        </w:rPr>
      </w:pPr>
      <w:r>
        <w:rPr>
          <w:rFonts w:hint="eastAsia" w:ascii="宋体" w:hAnsi="宋体" w:eastAsia="宋体" w:cs="宋体"/>
          <w:color w:val="auto"/>
          <w:sz w:val="24"/>
          <w:szCs w:val="24"/>
          <w:highlight w:val="none"/>
          <w:u w:val="none"/>
        </w:rPr>
        <w:t xml:space="preserve">联系人：</w:t>
      </w:r>
      <w:r>
        <w:rPr>
          <w:rFonts w:hint="eastAsia" w:ascii="宋体" w:hAnsi="宋体" w:cs="宋体"/>
          <w:color w:val="auto"/>
          <w:sz w:val="24"/>
          <w:szCs w:val="24"/>
          <w:highlight w:val="none"/>
          <w:u w:val="none"/>
          <w:lang w:eastAsia="zh-CN"/>
        </w:rPr>
        <w:t xml:space="preserve">经超</w:t>
      </w:r>
      <w:r/>
    </w:p>
    <w:p>
      <w:pPr>
        <w:ind w:left="1079" w:hanging="300"/>
        <w:jc w:val="left"/>
        <w:spacing w:line="360" w:lineRule="auto"/>
        <w:rPr>
          <w:rFonts w:hint="eastAsia" w:ascii="宋体" w:hAnsi="宋体" w:eastAsia="宋体" w:cs="宋体"/>
          <w:color w:val="auto"/>
          <w:sz w:val="24"/>
          <w:szCs w:val="24"/>
          <w:highlight w:val="none"/>
          <w:u w:val="none"/>
          <w:lang w:eastAsia="zh-CN"/>
        </w:rPr>
      </w:pPr>
      <w:r>
        <w:rPr>
          <w:rFonts w:hint="eastAsia" w:ascii="宋体" w:hAnsi="宋体" w:eastAsia="宋体" w:cs="宋体"/>
          <w:color w:val="auto"/>
          <w:sz w:val="24"/>
          <w:szCs w:val="24"/>
          <w:highlight w:val="none"/>
          <w:u w:val="none"/>
        </w:rPr>
        <w:t xml:space="preserve">联系方式：</w:t>
      </w:r>
      <w:bookmarkEnd w:id="37"/>
      <w:r/>
      <w:bookmarkEnd w:id="38"/>
      <w:r>
        <w:rPr>
          <w:rFonts w:hint="eastAsia" w:ascii="宋体" w:hAnsi="宋体" w:cs="宋体"/>
          <w:color w:val="auto"/>
          <w:sz w:val="24"/>
          <w:szCs w:val="24"/>
          <w:highlight w:val="none"/>
          <w:u w:val="none"/>
          <w:lang w:eastAsia="zh-CN"/>
        </w:rPr>
        <w:t xml:space="preserve">18205294797</w:t>
      </w:r>
      <w:r/>
    </w:p>
    <w:p>
      <w:pPr>
        <w:ind w:left="1079" w:hanging="300"/>
        <w:jc w:val="left"/>
        <w:spacing w:line="360" w:lineRule="auto"/>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rPr>
        <w:t xml:space="preserve">2.采购代理机构信息</w:t>
      </w:r>
      <w:r/>
    </w:p>
    <w:p>
      <w:pPr>
        <w:ind w:left="1079" w:hanging="300"/>
        <w:jc w:val="left"/>
        <w:spacing w:line="360" w:lineRule="auto"/>
        <w:rPr>
          <w:rFonts w:hint="eastAsia" w:ascii="宋体" w:hAnsi="宋体" w:eastAsia="宋体" w:cs="宋体"/>
          <w:color w:val="auto"/>
          <w:sz w:val="24"/>
          <w:szCs w:val="24"/>
          <w:highlight w:val="none"/>
          <w:u w:val="none"/>
          <w:lang w:eastAsia="zh-CN"/>
        </w:rPr>
      </w:pPr>
      <w:r>
        <w:rPr>
          <w:rFonts w:hint="eastAsia" w:ascii="宋体" w:hAnsi="宋体" w:eastAsia="宋体" w:cs="宋体"/>
          <w:color w:val="auto"/>
          <w:sz w:val="24"/>
          <w:szCs w:val="24"/>
          <w:highlight w:val="none"/>
          <w:u w:val="none"/>
        </w:rPr>
        <w:t xml:space="preserve">名 称：</w:t>
      </w:r>
      <w:r>
        <w:rPr>
          <w:rFonts w:hint="eastAsia" w:ascii="宋体" w:hAnsi="宋体" w:cs="宋体"/>
          <w:color w:val="auto"/>
          <w:sz w:val="24"/>
          <w:szCs w:val="24"/>
          <w:highlight w:val="none"/>
          <w:u w:val="none"/>
          <w:lang w:eastAsia="zh-CN"/>
        </w:rPr>
        <w:t xml:space="preserve">德道天诚（南京）房地产评估咨询有限公司</w:t>
      </w:r>
      <w:r/>
    </w:p>
    <w:p>
      <w:pPr>
        <w:ind w:left="1079" w:hanging="300"/>
        <w:jc w:val="left"/>
        <w:spacing w:line="360" w:lineRule="auto"/>
        <w:rPr>
          <w:rFonts w:hint="eastAsia" w:ascii="宋体" w:hAnsi="宋体" w:eastAsia="宋体" w:cs="宋体"/>
          <w:color w:val="auto"/>
          <w:sz w:val="24"/>
          <w:szCs w:val="24"/>
          <w:highlight w:val="none"/>
          <w:u w:val="none"/>
          <w:lang w:eastAsia="zh-CN"/>
        </w:rPr>
      </w:pPr>
      <w:r>
        <w:rPr>
          <w:rFonts w:hint="eastAsia" w:ascii="宋体" w:hAnsi="宋体" w:eastAsia="宋体" w:cs="宋体"/>
          <w:color w:val="auto"/>
          <w:sz w:val="24"/>
          <w:szCs w:val="24"/>
          <w:highlight w:val="none"/>
          <w:u w:val="none"/>
        </w:rPr>
        <w:t xml:space="preserve">地 址：</w:t>
      </w:r>
      <w:r>
        <w:rPr>
          <w:rFonts w:hint="eastAsia" w:ascii="宋体" w:hAnsi="宋体" w:cs="宋体"/>
          <w:color w:val="auto"/>
          <w:sz w:val="24"/>
          <w:szCs w:val="24"/>
          <w:highlight w:val="none"/>
          <w:u w:val="none"/>
          <w:lang w:eastAsia="zh-CN"/>
        </w:rPr>
        <w:t xml:space="preserve">句容市龙锦新天地1幢702室</w:t>
      </w:r>
      <w:r/>
    </w:p>
    <w:p>
      <w:pPr>
        <w:ind w:left="1079" w:hanging="300"/>
        <w:jc w:val="left"/>
        <w:spacing w:line="360" w:lineRule="auto"/>
        <w:rPr>
          <w:rFonts w:hint="eastAsia" w:ascii="宋体" w:hAnsi="宋体" w:eastAsia="宋体" w:cs="宋体"/>
          <w:color w:val="auto"/>
          <w:sz w:val="24"/>
          <w:szCs w:val="24"/>
          <w:highlight w:val="none"/>
          <w:u w:val="none"/>
          <w:lang w:eastAsia="zh-CN"/>
        </w:rPr>
      </w:pPr>
      <w:r>
        <w:rPr>
          <w:rFonts w:hint="eastAsia" w:ascii="宋体" w:hAnsi="宋体" w:eastAsia="宋体" w:cs="宋体"/>
          <w:color w:val="auto"/>
          <w:sz w:val="24"/>
          <w:szCs w:val="24"/>
          <w:highlight w:val="none"/>
          <w:u w:val="none"/>
        </w:rPr>
        <w:t xml:space="preserve">联系方式：</w:t>
      </w:r>
      <w:r>
        <w:rPr>
          <w:rFonts w:hint="eastAsia" w:ascii="宋体" w:hAnsi="宋体" w:cs="宋体"/>
          <w:color w:val="auto"/>
          <w:sz w:val="24"/>
          <w:szCs w:val="24"/>
          <w:highlight w:val="none"/>
          <w:u w:val="none"/>
          <w:lang w:eastAsia="zh-CN"/>
        </w:rPr>
        <w:t xml:space="preserve">18952993344</w:t>
      </w:r>
      <w:r/>
    </w:p>
    <w:p>
      <w:pPr>
        <w:ind w:left="1079" w:hanging="300"/>
        <w:jc w:val="left"/>
        <w:spacing w:line="360" w:lineRule="auto"/>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rPr>
        <w:t xml:space="preserve">3.项目联系方式</w:t>
      </w:r>
      <w:r/>
    </w:p>
    <w:p>
      <w:pPr>
        <w:ind w:left="1079" w:hanging="300"/>
        <w:jc w:val="left"/>
        <w:spacing w:line="360" w:lineRule="auto"/>
        <w:rPr>
          <w:rFonts w:hint="default" w:ascii="宋体" w:hAnsi="宋体" w:eastAsia="宋体" w:cs="宋体"/>
          <w:color w:val="auto"/>
          <w:sz w:val="24"/>
          <w:szCs w:val="24"/>
          <w:highlight w:val="none"/>
          <w:u w:val="none"/>
          <w:lang w:val="en-US" w:eastAsia="zh-CN"/>
        </w:rPr>
      </w:pPr>
      <w:r>
        <w:rPr>
          <w:rFonts w:hint="eastAsia" w:ascii="宋体" w:hAnsi="宋体" w:eastAsia="宋体" w:cs="宋体"/>
          <w:color w:val="auto"/>
          <w:sz w:val="24"/>
          <w:szCs w:val="24"/>
          <w:highlight w:val="none"/>
          <w:u w:val="none"/>
        </w:rPr>
        <w:t xml:space="preserve">项目联系人：</w:t>
      </w:r>
      <w:r>
        <w:rPr>
          <w:rFonts w:hint="eastAsia" w:ascii="宋体" w:hAnsi="宋体" w:cs="宋体"/>
          <w:color w:val="auto"/>
          <w:sz w:val="24"/>
          <w:szCs w:val="24"/>
          <w:highlight w:val="none"/>
          <w:u w:val="none"/>
          <w:lang w:eastAsia="zh-CN"/>
        </w:rPr>
        <w:t xml:space="preserve">陈</w:t>
      </w:r>
      <w:r>
        <w:rPr>
          <w:rFonts w:hint="eastAsia" w:ascii="宋体" w:hAnsi="宋体" w:cs="宋体"/>
          <w:color w:val="auto"/>
          <w:sz w:val="24"/>
          <w:szCs w:val="24"/>
          <w:highlight w:val="none"/>
          <w:u w:val="none"/>
          <w:lang w:val="en-US" w:eastAsia="zh-CN"/>
        </w:rPr>
        <w:t xml:space="preserve">涛</w:t>
      </w:r>
      <w:r/>
    </w:p>
    <w:p>
      <w:pPr>
        <w:ind w:left="1079" w:hanging="300"/>
        <w:jc w:val="left"/>
        <w:spacing w:line="360" w:lineRule="auto"/>
        <w:rPr>
          <w:rFonts w:hint="eastAsia" w:ascii="宋体" w:hAnsi="宋体" w:eastAsia="宋体" w:cs="宋体"/>
          <w:color w:val="auto"/>
          <w:sz w:val="24"/>
          <w:szCs w:val="24"/>
          <w:highlight w:val="none"/>
          <w:u w:val="none"/>
          <w:lang w:eastAsia="zh-CN"/>
        </w:rPr>
      </w:pPr>
      <w:r>
        <w:rPr>
          <w:rFonts w:hint="eastAsia" w:ascii="宋体" w:hAnsi="宋体" w:eastAsia="宋体" w:cs="宋体"/>
          <w:color w:val="auto"/>
          <w:sz w:val="24"/>
          <w:szCs w:val="24"/>
          <w:highlight w:val="none"/>
          <w:u w:val="none"/>
        </w:rPr>
        <w:t xml:space="preserve">电话：</w:t>
      </w:r>
      <w:r>
        <w:rPr>
          <w:rFonts w:hint="eastAsia" w:ascii="宋体" w:hAnsi="宋体" w:cs="宋体"/>
          <w:color w:val="auto"/>
          <w:sz w:val="24"/>
          <w:szCs w:val="24"/>
          <w:highlight w:val="none"/>
          <w:u w:val="none"/>
          <w:lang w:eastAsia="zh-CN"/>
        </w:rPr>
        <w:t xml:space="preserve">18952993344</w:t>
      </w:r>
      <w:r/>
    </w:p>
    <w:p>
      <w:pPr>
        <w:ind w:left="1079" w:hanging="300"/>
        <w:jc w:val="right"/>
        <w:spacing w:line="360" w:lineRule="auto"/>
        <w:rPr>
          <w:rFonts w:hint="eastAsia" w:ascii="宋体" w:hAnsi="宋体" w:cs="宋体"/>
          <w:color w:val="auto"/>
          <w:sz w:val="24"/>
          <w:szCs w:val="28"/>
          <w:highlight w:val="none"/>
          <w:lang w:eastAsia="zh-CN"/>
        </w:rPr>
      </w:pPr>
      <w:r>
        <w:rPr>
          <w:rFonts w:hint="eastAsia" w:ascii="宋体" w:hAnsi="宋体" w:cs="宋体"/>
          <w:color w:val="auto"/>
          <w:sz w:val="24"/>
          <w:szCs w:val="28"/>
          <w:highlight w:val="none"/>
          <w:lang w:eastAsia="zh-CN"/>
        </w:rPr>
      </w:r>
      <w:r/>
    </w:p>
    <w:p>
      <w:pPr>
        <w:ind w:left="1079" w:hanging="300"/>
        <w:jc w:val="right"/>
        <w:spacing w:line="360" w:lineRule="auto"/>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                                              </w:t>
      </w:r>
      <w:bookmarkEnd w:id="5"/>
      <w:r/>
      <w:bookmarkEnd w:id="6"/>
      <w:r/>
      <w:bookmarkEnd w:id="7"/>
      <w:r/>
      <w:bookmarkEnd w:id="8"/>
      <w:r/>
      <w:bookmarkEnd w:id="9"/>
      <w:r/>
      <w:bookmarkStart w:id="39" w:name="_Toc100386034"/>
      <w:r/>
      <w:bookmarkStart w:id="40" w:name="_Toc92168000"/>
      <w:r>
        <w:rPr>
          <w:rFonts w:hint="eastAsia" w:ascii="宋体" w:hAnsi="宋体" w:eastAsia="宋体" w:cs="宋体"/>
          <w:color w:val="auto"/>
          <w:szCs w:val="32"/>
          <w:highlight w:val="none"/>
        </w:rPr>
        <w:br w:type="page" w:clear="all"/>
      </w:r>
      <w:r/>
    </w:p>
    <w:p>
      <w:pPr>
        <w:pStyle w:val="1022"/>
        <w:ind w:left="779" w:right="900" w:firstLine="420"/>
        <w:jc w:val="center"/>
        <w:keepLines w:val="0"/>
        <w:keepNext w:val="0"/>
        <w:spacing w:before="200" w:after="200" w:line="360" w:lineRule="auto"/>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t xml:space="preserve">第二部分    投标人须知</w:t>
      </w:r>
      <w:r/>
    </w:p>
    <w:p>
      <w:pPr>
        <w:pStyle w:val="1022"/>
        <w:jc w:val="center"/>
        <w:keepLines w:val="0"/>
        <w:keepNext w:val="0"/>
        <w:spacing w:before="0" w:after="0"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前附表</w:t>
      </w:r>
      <w:r/>
    </w:p>
    <w:tbl>
      <w:tblPr>
        <w:tblStyle w:val="850"/>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8"/>
        <w:gridCol w:w="1642"/>
        <w:gridCol w:w="6135"/>
      </w:tblGrid>
      <w:tr>
        <w:trPr/>
        <w:tc>
          <w:tcPr>
            <w:tcW w:w="816" w:type="dxa"/>
            <w:vAlign w:val="center"/>
            <w:textDirection w:val="lrTb"/>
            <w:noWrap w:val="false"/>
          </w:tcPr>
          <w:p>
            <w:pPr>
              <w:pStyle w:val="1023"/>
              <w:ind w:firstLine="0"/>
              <w:jc w:val="center"/>
              <w:rPr>
                <w:rFonts w:hint="eastAsia" w:ascii="宋体" w:hAnsi="宋体" w:eastAsia="宋体" w:cs="宋体"/>
                <w:color w:val="auto"/>
                <w:sz w:val="24"/>
                <w:highlight w:val="none"/>
                <w:lang w:val="en-US" w:eastAsia="en-US"/>
              </w:rPr>
            </w:pPr>
            <w:r>
              <w:rPr>
                <w:rFonts w:hint="eastAsia" w:ascii="宋体" w:hAnsi="宋体" w:eastAsia="宋体" w:cs="宋体"/>
                <w:color w:val="auto"/>
                <w:sz w:val="24"/>
                <w:highlight w:val="none"/>
                <w:lang w:val="en-US" w:eastAsia="en-US"/>
              </w:rPr>
              <w:t xml:space="preserve">序号</w:t>
            </w:r>
            <w:r/>
          </w:p>
        </w:tc>
        <w:tc>
          <w:tcPr>
            <w:tcW w:w="1994" w:type="dxa"/>
            <w:vAlign w:val="center"/>
            <w:textDirection w:val="lrTb"/>
            <w:noWrap w:val="false"/>
          </w:tcPr>
          <w:p>
            <w:pPr>
              <w:pStyle w:val="1023"/>
              <w:ind w:firstLine="0"/>
              <w:jc w:val="center"/>
              <w:rPr>
                <w:rFonts w:hint="eastAsia" w:ascii="宋体" w:hAnsi="宋体" w:eastAsia="宋体" w:cs="宋体"/>
                <w:color w:val="auto"/>
                <w:sz w:val="24"/>
                <w:highlight w:val="none"/>
                <w:lang w:val="en-US" w:eastAsia="en-US"/>
              </w:rPr>
            </w:pPr>
            <w:r>
              <w:rPr>
                <w:rFonts w:hint="eastAsia" w:ascii="宋体" w:hAnsi="宋体" w:eastAsia="宋体" w:cs="宋体"/>
                <w:color w:val="auto"/>
                <w:sz w:val="24"/>
                <w:highlight w:val="none"/>
                <w:lang w:val="en-US" w:eastAsia="en-US"/>
              </w:rPr>
              <w:t xml:space="preserve">事项</w:t>
            </w:r>
            <w:r/>
          </w:p>
        </w:tc>
        <w:tc>
          <w:tcPr>
            <w:tcW w:w="6819" w:type="dxa"/>
            <w:vAlign w:val="center"/>
            <w:textDirection w:val="lrTb"/>
            <w:noWrap w:val="false"/>
          </w:tcPr>
          <w:p>
            <w:pPr>
              <w:pStyle w:val="1023"/>
              <w:ind w:firstLine="0"/>
              <w:jc w:val="center"/>
              <w:rPr>
                <w:rFonts w:hint="eastAsia" w:ascii="宋体" w:hAnsi="宋体" w:eastAsia="宋体" w:cs="宋体"/>
                <w:color w:val="auto"/>
                <w:sz w:val="24"/>
                <w:highlight w:val="none"/>
                <w:lang w:val="en-US" w:eastAsia="en-US"/>
              </w:rPr>
            </w:pPr>
            <w:r>
              <w:rPr>
                <w:rFonts w:hint="eastAsia" w:ascii="宋体" w:hAnsi="宋体" w:eastAsia="宋体" w:cs="宋体"/>
                <w:color w:val="auto"/>
                <w:sz w:val="24"/>
                <w:highlight w:val="none"/>
                <w:lang w:val="en-US" w:eastAsia="en-US"/>
              </w:rPr>
              <w:t xml:space="preserve">本项目规定</w:t>
            </w:r>
            <w:r/>
          </w:p>
        </w:tc>
      </w:tr>
      <w:tr>
        <w:trPr/>
        <w:tc>
          <w:tcPr>
            <w:tcW w:w="816" w:type="dxa"/>
            <w:vAlign w:val="center"/>
            <w:textDirection w:val="lrTb"/>
            <w:noWrap w:val="false"/>
          </w:tcPr>
          <w:p>
            <w:pPr>
              <w:pStyle w:val="1023"/>
              <w:ind w:firstLine="0"/>
              <w:jc w:val="center"/>
              <w:rPr>
                <w:rFonts w:hint="eastAsia" w:ascii="宋体" w:hAnsi="宋体" w:eastAsia="宋体" w:cs="宋体"/>
                <w:color w:val="auto"/>
                <w:sz w:val="24"/>
                <w:highlight w:val="none"/>
                <w:lang w:val="en-US" w:eastAsia="en-US"/>
              </w:rPr>
            </w:pPr>
            <w:r>
              <w:rPr>
                <w:rFonts w:hint="eastAsia" w:ascii="宋体" w:hAnsi="宋体" w:eastAsia="宋体" w:cs="宋体"/>
                <w:color w:val="auto"/>
                <w:sz w:val="24"/>
                <w:highlight w:val="none"/>
                <w:lang w:val="en-US" w:eastAsia="en-US"/>
              </w:rPr>
              <w:t xml:space="preserve">1</w:t>
            </w:r>
            <w:r/>
          </w:p>
        </w:tc>
        <w:tc>
          <w:tcPr>
            <w:tcW w:w="1994" w:type="dxa"/>
            <w:vAlign w:val="center"/>
            <w:textDirection w:val="lrTb"/>
            <w:noWrap w:val="false"/>
          </w:tcPr>
          <w:p>
            <w:pPr>
              <w:pStyle w:val="1023"/>
              <w:ind w:firstLine="0"/>
              <w:jc w:val="center"/>
              <w:rPr>
                <w:rFonts w:hint="eastAsia" w:ascii="宋体" w:hAnsi="宋体" w:eastAsia="宋体" w:cs="宋体"/>
                <w:color w:val="auto"/>
                <w:sz w:val="24"/>
                <w:highlight w:val="none"/>
                <w:lang w:val="en-US" w:eastAsia="en-US"/>
              </w:rPr>
            </w:pPr>
            <w:r>
              <w:rPr>
                <w:rFonts w:hint="eastAsia" w:ascii="宋体" w:hAnsi="宋体" w:eastAsia="宋体" w:cs="宋体"/>
                <w:color w:val="auto"/>
                <w:sz w:val="24"/>
                <w:highlight w:val="none"/>
                <w:lang w:val="en-US" w:eastAsia="en-US"/>
              </w:rPr>
              <w:t xml:space="preserve">报价要求</w:t>
            </w:r>
            <w:r/>
          </w:p>
        </w:tc>
        <w:tc>
          <w:tcPr>
            <w:tcW w:w="6819" w:type="dxa"/>
            <w:vAlign w:val="center"/>
            <w:textDirection w:val="lrTb"/>
            <w:noWrap w:val="false"/>
          </w:tcPr>
          <w:p>
            <w:pPr>
              <w:pStyle w:val="1023"/>
              <w:ind w:firstLine="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本次投标报价的币种为人民币。</w:t>
            </w:r>
            <w:r/>
          </w:p>
          <w:p>
            <w:pPr>
              <w:pStyle w:val="1023"/>
              <w:ind w:firstLine="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投标人应按招标文件所提供的各报价表格式报价。</w:t>
            </w:r>
            <w:r/>
          </w:p>
          <w:p>
            <w:pPr>
              <w:pStyle w:val="1023"/>
              <w:ind w:firstLine="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投标人应对本项目报出最具有竞争力的价格，应包括本次招标要求提供的货物（服务）已支付或将支付的所有费用（含税费）。</w:t>
            </w:r>
            <w:r/>
          </w:p>
          <w:p>
            <w:pPr>
              <w:pStyle w:val="1023"/>
              <w:ind w:firstLine="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最低投标报价不能作为中标的保证。</w:t>
            </w:r>
            <w:r/>
          </w:p>
          <w:p>
            <w:pPr>
              <w:pStyle w:val="1023"/>
              <w:ind w:firstLine="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中标价即为合同签约价。</w:t>
            </w:r>
            <w:r/>
          </w:p>
          <w:p>
            <w:pPr>
              <w:pStyle w:val="1023"/>
              <w:ind w:firstLine="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如出现报价前后不一致的，将按招标文件第五部分“评标办法和标准”第5项规定进行修正。</w:t>
            </w:r>
            <w:r/>
          </w:p>
          <w:p>
            <w:pPr>
              <w:pStyle w:val="1023"/>
              <w:ind w:firstLine="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r>
            <w:r/>
          </w:p>
        </w:tc>
      </w:tr>
      <w:tr>
        <w:trPr>
          <w:trHeight w:val="1366"/>
        </w:trPr>
        <w:tc>
          <w:tcPr>
            <w:tcW w:w="816" w:type="dxa"/>
            <w:vAlign w:val="center"/>
            <w:textDirection w:val="lrTb"/>
            <w:noWrap w:val="false"/>
          </w:tcPr>
          <w:p>
            <w:pPr>
              <w:pStyle w:val="1023"/>
              <w:ind w:firstLine="0"/>
              <w:jc w:val="center"/>
              <w:rPr>
                <w:rFonts w:hint="eastAsia" w:ascii="宋体" w:hAnsi="宋体" w:eastAsia="宋体" w:cs="宋体"/>
                <w:color w:val="auto"/>
                <w:sz w:val="24"/>
                <w:highlight w:val="none"/>
                <w:lang w:val="en-US" w:eastAsia="en-US"/>
              </w:rPr>
            </w:pPr>
            <w:r>
              <w:rPr>
                <w:rFonts w:hint="eastAsia" w:ascii="宋体" w:hAnsi="宋体" w:eastAsia="宋体" w:cs="宋体"/>
                <w:color w:val="auto"/>
                <w:sz w:val="24"/>
                <w:highlight w:val="none"/>
                <w:lang w:val="en-US" w:eastAsia="en-US"/>
              </w:rPr>
              <w:t xml:space="preserve">2</w:t>
            </w:r>
            <w:r/>
          </w:p>
        </w:tc>
        <w:tc>
          <w:tcPr>
            <w:tcW w:w="1994" w:type="dxa"/>
            <w:vAlign w:val="center"/>
            <w:textDirection w:val="lrTb"/>
            <w:noWrap w:val="false"/>
          </w:tcPr>
          <w:p>
            <w:pPr>
              <w:pStyle w:val="1023"/>
              <w:ind w:firstLine="0"/>
              <w:jc w:val="center"/>
              <w:rPr>
                <w:rFonts w:hint="eastAsia" w:ascii="宋体" w:hAnsi="宋体" w:eastAsia="宋体" w:cs="宋体"/>
                <w:color w:val="auto"/>
                <w:sz w:val="24"/>
                <w:highlight w:val="none"/>
                <w:lang w:val="en-US" w:eastAsia="en-US"/>
              </w:rPr>
            </w:pPr>
            <w:r>
              <w:rPr>
                <w:rFonts w:hint="eastAsia" w:ascii="宋体" w:hAnsi="宋体" w:eastAsia="宋体" w:cs="宋体"/>
                <w:color w:val="auto"/>
                <w:sz w:val="24"/>
                <w:highlight w:val="none"/>
                <w:lang w:val="en-US" w:eastAsia="en-US"/>
              </w:rPr>
              <w:t xml:space="preserve">转包及分包</w:t>
            </w:r>
            <w:r/>
          </w:p>
        </w:tc>
        <w:tc>
          <w:tcPr>
            <w:tcW w:w="6819" w:type="dxa"/>
            <w:vAlign w:val="center"/>
            <w:textDirection w:val="lrTb"/>
            <w:noWrap w:val="false"/>
          </w:tcPr>
          <w:p>
            <w:pPr>
              <w:pStyle w:val="1023"/>
              <w:ind w:firstLine="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项目依法不得转包</w:t>
            </w:r>
            <w:r/>
          </w:p>
          <w:p>
            <w:pPr>
              <w:pStyle w:val="1023"/>
              <w:ind w:firstLine="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☑A本项目不同意分包。</w:t>
            </w:r>
            <w:r/>
          </w:p>
          <w:p>
            <w:pPr>
              <w:pStyle w:val="1023"/>
              <w:ind w:firstLine="0"/>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w:t>
            </w:r>
            <w:r>
              <w:rPr>
                <w:rFonts w:hint="eastAsia" w:ascii="宋体" w:hAnsi="宋体" w:eastAsia="宋体" w:cs="宋体"/>
                <w:color w:val="auto"/>
                <w:sz w:val="24"/>
                <w:highlight w:val="none"/>
                <w:lang w:val="en-US" w:eastAsia="zh-CN"/>
              </w:rPr>
              <w:t xml:space="preserve">B同意将非主体、非关键性的</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lang w:val="en-US" w:eastAsia="zh-CN"/>
              </w:rPr>
              <w:t xml:space="preserve">工作分包。投标人应当在投标文件中载明分包承 担主体，分包承担主体应当具备相应资质条件且不得再次分包。享受中小企业扶持政策获得政府采购合同的，小微企业不得将合同分包给大中型企业，中型企业不得将合同分包给大型企业。（提醒：采购人允许采用分包方式履行合同的，应当在采购文件中明确可以分包履行的具体内容、金额或者比例，分包承担主体所需要具有的资质。）</w:t>
            </w:r>
            <w:r/>
          </w:p>
        </w:tc>
      </w:tr>
      <w:tr>
        <w:trPr>
          <w:trHeight w:val="1366"/>
        </w:trPr>
        <w:tc>
          <w:tcPr>
            <w:tcW w:w="816" w:type="dxa"/>
            <w:vAlign w:val="center"/>
            <w:textDirection w:val="lrTb"/>
            <w:noWrap w:val="false"/>
          </w:tcPr>
          <w:p>
            <w:pPr>
              <w:pStyle w:val="1023"/>
              <w:ind w:firstLine="0"/>
              <w:jc w:val="center"/>
              <w:rPr>
                <w:rFonts w:hint="eastAsia" w:ascii="宋体" w:hAnsi="宋体" w:eastAsia="宋体" w:cs="宋体"/>
                <w:color w:val="auto"/>
                <w:sz w:val="24"/>
                <w:highlight w:val="none"/>
                <w:lang w:val="en-US" w:eastAsia="en-US"/>
              </w:rPr>
            </w:pPr>
            <w:r>
              <w:rPr>
                <w:rFonts w:hint="eastAsia" w:ascii="宋体" w:hAnsi="宋体" w:eastAsia="宋体" w:cs="宋体"/>
                <w:color w:val="auto"/>
                <w:sz w:val="24"/>
                <w:highlight w:val="none"/>
                <w:lang w:val="en-US" w:eastAsia="en-US"/>
              </w:rPr>
              <w:t xml:space="preserve">3</w:t>
            </w:r>
            <w:r/>
          </w:p>
        </w:tc>
        <w:tc>
          <w:tcPr>
            <w:tcW w:w="1994" w:type="dxa"/>
            <w:vAlign w:val="center"/>
            <w:textDirection w:val="lrTb"/>
            <w:noWrap w:val="false"/>
          </w:tcPr>
          <w:p>
            <w:pPr>
              <w:pStyle w:val="1027"/>
              <w:ind w:firstLine="0"/>
              <w:jc w:val="center"/>
              <w:rPr>
                <w:rFonts w:hint="eastAsia" w:ascii="宋体" w:hAnsi="宋体" w:eastAsia="宋体" w:cs="宋体"/>
                <w:color w:val="auto"/>
                <w:sz w:val="24"/>
                <w:highlight w:val="none"/>
                <w:lang w:val="en-US" w:eastAsia="en-US"/>
              </w:rPr>
            </w:pPr>
            <w:r>
              <w:rPr>
                <w:rFonts w:hint="eastAsia" w:ascii="宋体" w:hAnsi="宋体" w:eastAsia="宋体" w:cs="宋体"/>
                <w:color w:val="auto"/>
                <w:sz w:val="24"/>
                <w:highlight w:val="none"/>
              </w:rPr>
              <w:t xml:space="preserve">开标前答疑会</w:t>
            </w:r>
            <w:r/>
          </w:p>
        </w:tc>
        <w:tc>
          <w:tcPr>
            <w:tcW w:w="6819" w:type="dxa"/>
            <w:vAlign w:val="center"/>
            <w:textDirection w:val="lrTb"/>
            <w:noWrap w:val="false"/>
          </w:tcPr>
          <w:p>
            <w:pPr>
              <w:pStyle w:val="1027"/>
              <w:ind w:firstLine="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☑A不组织</w:t>
            </w:r>
            <w:r/>
          </w:p>
          <w:p>
            <w:pPr>
              <w:pStyle w:val="1027"/>
              <w:ind w:firstLine="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□B组织</w:t>
            </w:r>
            <w:r/>
          </w:p>
          <w:p>
            <w:pPr>
              <w:pStyle w:val="1027"/>
              <w:ind w:firstLine="0"/>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时间：</w:t>
            </w:r>
            <w:r>
              <w:rPr>
                <w:rFonts w:hint="eastAsia" w:ascii="宋体" w:hAnsi="宋体" w:eastAsia="宋体" w:cs="宋体"/>
                <w:color w:val="auto"/>
                <w:sz w:val="24"/>
                <w:highlight w:val="none"/>
                <w:u w:val="single"/>
              </w:rPr>
              <w:t xml:space="preserve">            </w:t>
            </w:r>
            <w:r/>
          </w:p>
          <w:p>
            <w:pPr>
              <w:pStyle w:val="1027"/>
              <w:ind w:firstLine="0"/>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地点：</w:t>
            </w:r>
            <w:r>
              <w:rPr>
                <w:rFonts w:hint="eastAsia" w:ascii="宋体" w:hAnsi="宋体" w:eastAsia="宋体" w:cs="宋体"/>
                <w:color w:val="auto"/>
                <w:sz w:val="24"/>
                <w:highlight w:val="none"/>
                <w:u w:val="single"/>
              </w:rPr>
              <w:t xml:space="preserve">           </w:t>
            </w:r>
            <w:r/>
          </w:p>
          <w:p>
            <w:pPr>
              <w:pStyle w:val="1027"/>
              <w:ind w:firstLine="0"/>
              <w:rPr>
                <w:rFonts w:hint="eastAsia" w:ascii="宋体" w:hAnsi="宋体" w:eastAsia="宋体" w:cs="宋体"/>
                <w:color w:val="auto"/>
                <w:sz w:val="24"/>
                <w:highlight w:val="none"/>
                <w:lang w:val="en-US" w:eastAsia="en-US"/>
              </w:rPr>
            </w:pPr>
            <w:r>
              <w:rPr>
                <w:rFonts w:hint="eastAsia" w:ascii="宋体" w:hAnsi="宋体" w:eastAsia="宋体" w:cs="宋体"/>
                <w:color w:val="auto"/>
                <w:sz w:val="24"/>
                <w:highlight w:val="none"/>
              </w:rPr>
              <w:t xml:space="preserve">联系人：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联系方式：</w:t>
            </w:r>
            <w:r>
              <w:rPr>
                <w:rFonts w:hint="eastAsia" w:ascii="宋体" w:hAnsi="宋体" w:eastAsia="宋体" w:cs="宋体"/>
                <w:color w:val="auto"/>
                <w:sz w:val="24"/>
                <w:highlight w:val="none"/>
                <w:u w:val="single"/>
              </w:rPr>
              <w:t xml:space="preserve">        </w:t>
            </w:r>
            <w:r/>
          </w:p>
        </w:tc>
      </w:tr>
      <w:tr>
        <w:trPr>
          <w:trHeight w:val="1366"/>
        </w:trPr>
        <w:tc>
          <w:tcPr>
            <w:tcW w:w="816" w:type="dxa"/>
            <w:vAlign w:val="center"/>
            <w:textDirection w:val="lrTb"/>
            <w:noWrap w:val="false"/>
          </w:tcPr>
          <w:p>
            <w:pPr>
              <w:pStyle w:val="1023"/>
              <w:ind w:firstLine="0"/>
              <w:jc w:val="center"/>
              <w:rPr>
                <w:rFonts w:hint="eastAsia" w:ascii="宋体" w:hAnsi="宋体" w:eastAsia="宋体" w:cs="宋体"/>
                <w:color w:val="auto"/>
                <w:sz w:val="24"/>
                <w:highlight w:val="none"/>
                <w:lang w:val="en-US" w:eastAsia="en-US"/>
              </w:rPr>
            </w:pPr>
            <w:r>
              <w:rPr>
                <w:rFonts w:hint="eastAsia" w:ascii="宋体" w:hAnsi="宋体" w:eastAsia="宋体" w:cs="宋体"/>
                <w:color w:val="auto"/>
                <w:sz w:val="24"/>
                <w:highlight w:val="none"/>
                <w:lang w:val="en-US" w:eastAsia="en-US"/>
              </w:rPr>
              <w:t xml:space="preserve">4</w:t>
            </w:r>
            <w:r/>
          </w:p>
        </w:tc>
        <w:tc>
          <w:tcPr>
            <w:tcW w:w="1994" w:type="dxa"/>
            <w:vAlign w:val="center"/>
            <w:textDirection w:val="lrTb"/>
            <w:noWrap w:val="false"/>
          </w:tcPr>
          <w:p>
            <w:pPr>
              <w:pStyle w:val="1027"/>
              <w:ind w:firstLine="0"/>
              <w:jc w:val="center"/>
              <w:rPr>
                <w:rFonts w:hint="eastAsia" w:ascii="宋体" w:hAnsi="宋体" w:eastAsia="宋体" w:cs="宋体"/>
                <w:color w:val="auto"/>
                <w:sz w:val="24"/>
                <w:highlight w:val="none"/>
                <w:lang w:val="en-US" w:eastAsia="en-US"/>
              </w:rPr>
            </w:pPr>
            <w:r>
              <w:rPr>
                <w:rFonts w:hint="eastAsia" w:ascii="宋体" w:hAnsi="宋体" w:eastAsia="宋体" w:cs="宋体"/>
                <w:color w:val="auto"/>
                <w:sz w:val="24"/>
                <w:highlight w:val="none"/>
              </w:rPr>
              <w:t xml:space="preserve">现场踏勘</w:t>
            </w:r>
            <w:r/>
          </w:p>
        </w:tc>
        <w:tc>
          <w:tcPr>
            <w:tcW w:w="6819" w:type="dxa"/>
            <w:vAlign w:val="center"/>
            <w:textDirection w:val="lrTb"/>
            <w:noWrap w:val="false"/>
          </w:tcPr>
          <w:p>
            <w:pPr>
              <w:pStyle w:val="1027"/>
              <w:ind w:firstLine="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☑A不统一组织</w:t>
            </w:r>
            <w:r/>
          </w:p>
          <w:p>
            <w:pPr>
              <w:pStyle w:val="1027"/>
              <w:ind w:firstLine="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□B统一组织</w:t>
            </w:r>
            <w:r/>
          </w:p>
          <w:p>
            <w:pPr>
              <w:pStyle w:val="1027"/>
              <w:ind w:firstLine="0"/>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时间：</w:t>
            </w:r>
            <w:r>
              <w:rPr>
                <w:rFonts w:hint="eastAsia" w:ascii="宋体" w:hAnsi="宋体" w:eastAsia="宋体" w:cs="宋体"/>
                <w:color w:val="auto"/>
                <w:sz w:val="24"/>
                <w:highlight w:val="none"/>
                <w:u w:val="single"/>
              </w:rPr>
              <w:t xml:space="preserve">            </w:t>
            </w:r>
            <w:r/>
          </w:p>
          <w:p>
            <w:pPr>
              <w:pStyle w:val="1027"/>
              <w:ind w:firstLine="0"/>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地点：</w:t>
            </w:r>
            <w:r>
              <w:rPr>
                <w:rFonts w:hint="eastAsia" w:ascii="宋体" w:hAnsi="宋体" w:eastAsia="宋体" w:cs="宋体"/>
                <w:color w:val="auto"/>
                <w:sz w:val="24"/>
                <w:highlight w:val="none"/>
                <w:u w:val="single"/>
              </w:rPr>
              <w:t xml:space="preserve">           </w:t>
            </w:r>
            <w:r/>
          </w:p>
          <w:p>
            <w:pPr>
              <w:pStyle w:val="1027"/>
              <w:ind w:firstLine="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rPr>
              <w:t xml:space="preserve">联系人：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联系方式：</w:t>
            </w:r>
            <w:r>
              <w:rPr>
                <w:rFonts w:hint="eastAsia" w:ascii="宋体" w:hAnsi="宋体" w:eastAsia="宋体" w:cs="宋体"/>
                <w:color w:val="auto"/>
                <w:sz w:val="24"/>
                <w:highlight w:val="none"/>
                <w:u w:val="single"/>
              </w:rPr>
              <w:t xml:space="preserve">        </w:t>
            </w:r>
            <w:r/>
          </w:p>
        </w:tc>
      </w:tr>
      <w:tr>
        <w:trPr>
          <w:trHeight w:val="1366"/>
        </w:trPr>
        <w:tc>
          <w:tcPr>
            <w:tcW w:w="816" w:type="dxa"/>
            <w:vAlign w:val="center"/>
            <w:textDirection w:val="lrTb"/>
            <w:noWrap w:val="false"/>
          </w:tcPr>
          <w:p>
            <w:pPr>
              <w:pStyle w:val="1023"/>
              <w:ind w:firstLine="0"/>
              <w:jc w:val="center"/>
              <w:rPr>
                <w:rFonts w:hint="eastAsia" w:ascii="宋体" w:hAnsi="宋体" w:eastAsia="宋体" w:cs="宋体"/>
                <w:color w:val="auto"/>
                <w:sz w:val="24"/>
                <w:highlight w:val="none"/>
                <w:lang w:val="en-US" w:eastAsia="en-US"/>
              </w:rPr>
            </w:pPr>
            <w:r>
              <w:rPr>
                <w:rFonts w:hint="eastAsia" w:ascii="宋体" w:hAnsi="宋体" w:eastAsia="宋体" w:cs="宋体"/>
                <w:color w:val="auto"/>
                <w:sz w:val="24"/>
                <w:highlight w:val="none"/>
                <w:lang w:val="en-US" w:eastAsia="en-US"/>
              </w:rPr>
              <w:t xml:space="preserve">5</w:t>
            </w:r>
            <w:r/>
          </w:p>
        </w:tc>
        <w:tc>
          <w:tcPr>
            <w:tcW w:w="1994" w:type="dxa"/>
            <w:vAlign w:val="center"/>
            <w:textDirection w:val="lrTb"/>
            <w:noWrap w:val="false"/>
          </w:tcPr>
          <w:p>
            <w:pPr>
              <w:pStyle w:val="1027"/>
              <w:ind w:firstLine="0"/>
              <w:jc w:val="center"/>
              <w:rPr>
                <w:rFonts w:hint="eastAsia" w:ascii="宋体" w:hAnsi="宋体" w:eastAsia="宋体" w:cs="宋体"/>
                <w:color w:val="auto"/>
                <w:sz w:val="24"/>
                <w:highlight w:val="none"/>
                <w:lang w:val="en-US" w:eastAsia="en-US"/>
              </w:rPr>
            </w:pPr>
            <w:r>
              <w:rPr>
                <w:rFonts w:hint="eastAsia" w:ascii="宋体" w:hAnsi="宋体" w:eastAsia="宋体" w:cs="宋体"/>
                <w:color w:val="auto"/>
                <w:sz w:val="24"/>
                <w:highlight w:val="none"/>
              </w:rPr>
              <w:t xml:space="preserve">演示</w:t>
            </w:r>
            <w:r/>
          </w:p>
        </w:tc>
        <w:tc>
          <w:tcPr>
            <w:tcW w:w="6819" w:type="dxa"/>
            <w:vAlign w:val="center"/>
            <w:textDirection w:val="lrTb"/>
            <w:noWrap w:val="false"/>
          </w:tcPr>
          <w:p>
            <w:pPr>
              <w:pStyle w:val="1027"/>
              <w:ind w:firstLine="0"/>
              <w:rPr>
                <w:rFonts w:hint="eastAsia" w:ascii="宋体" w:hAnsi="宋体" w:eastAsia="宋体" w:cs="宋体"/>
                <w:color w:val="auto"/>
                <w:sz w:val="24"/>
                <w:highlight w:val="none"/>
              </w:rPr>
            </w:pP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A无</w:t>
            </w:r>
            <w:r/>
          </w:p>
          <w:p>
            <w:pPr>
              <w:pStyle w:val="1027"/>
              <w:ind w:firstLine="0"/>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B有，本项目演示使用录播上传形式，各投标人自行将录播内容上传至苏采云平台。上传前请详细阅读苏采云操作指南。</w:t>
            </w:r>
            <w:r/>
          </w:p>
        </w:tc>
      </w:tr>
      <w:tr>
        <w:trPr/>
        <w:tc>
          <w:tcPr>
            <w:tcW w:w="816" w:type="dxa"/>
            <w:vAlign w:val="center"/>
            <w:textDirection w:val="lrTb"/>
            <w:noWrap w:val="false"/>
          </w:tcPr>
          <w:p>
            <w:pPr>
              <w:pStyle w:val="1023"/>
              <w:ind w:firstLine="0"/>
              <w:jc w:val="center"/>
              <w:rPr>
                <w:rFonts w:hint="eastAsia" w:ascii="宋体" w:hAnsi="宋体" w:eastAsia="宋体" w:cs="宋体"/>
                <w:color w:val="auto"/>
                <w:sz w:val="24"/>
                <w:highlight w:val="none"/>
                <w:lang w:val="en-US" w:eastAsia="en-US"/>
              </w:rPr>
            </w:pPr>
            <w:r>
              <w:rPr>
                <w:rFonts w:hint="eastAsia" w:ascii="宋体" w:hAnsi="宋体" w:eastAsia="宋体" w:cs="宋体"/>
                <w:color w:val="auto"/>
                <w:sz w:val="24"/>
                <w:highlight w:val="none"/>
                <w:lang w:val="en-US" w:eastAsia="en-US"/>
              </w:rPr>
              <w:t xml:space="preserve">6</w:t>
            </w:r>
            <w:r/>
          </w:p>
        </w:tc>
        <w:tc>
          <w:tcPr>
            <w:tcW w:w="1994" w:type="dxa"/>
            <w:vAlign w:val="center"/>
            <w:textDirection w:val="lrTb"/>
            <w:noWrap w:val="false"/>
          </w:tcPr>
          <w:p>
            <w:pPr>
              <w:pStyle w:val="1027"/>
              <w:ind w:firstLine="0"/>
              <w:jc w:val="center"/>
              <w:rPr>
                <w:rFonts w:hint="eastAsia" w:ascii="宋体" w:hAnsi="宋体" w:eastAsia="宋体" w:cs="宋体"/>
                <w:color w:val="auto"/>
                <w:sz w:val="24"/>
                <w:highlight w:val="none"/>
                <w:lang w:val="en-US" w:eastAsia="en-US"/>
              </w:rPr>
            </w:pPr>
            <w:r>
              <w:rPr>
                <w:rFonts w:hint="eastAsia" w:ascii="宋体" w:hAnsi="宋体" w:eastAsia="宋体" w:cs="宋体"/>
                <w:color w:val="auto"/>
                <w:sz w:val="24"/>
                <w:highlight w:val="none"/>
              </w:rPr>
              <w:t xml:space="preserve">样品</w:t>
            </w:r>
            <w:r/>
          </w:p>
        </w:tc>
        <w:tc>
          <w:tcPr>
            <w:tcW w:w="6819" w:type="dxa"/>
            <w:vAlign w:val="center"/>
            <w:textDirection w:val="lrTb"/>
            <w:noWrap w:val="false"/>
          </w:tcPr>
          <w:p>
            <w:pPr>
              <w:pStyle w:val="1027"/>
              <w:ind w:firstLine="0"/>
              <w:rPr>
                <w:rFonts w:hint="eastAsia" w:ascii="宋体" w:hAnsi="宋体" w:eastAsia="宋体" w:cs="宋体"/>
                <w:color w:val="auto"/>
                <w:sz w:val="24"/>
                <w:highlight w:val="none"/>
              </w:rPr>
            </w:pP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A不要求提供。</w:t>
            </w:r>
            <w:r/>
          </w:p>
          <w:p>
            <w:pPr>
              <w:pStyle w:val="1027"/>
              <w:ind w:firstLine="0"/>
              <w:rPr>
                <w:rFonts w:hint="eastAsia" w:ascii="宋体" w:hAnsi="宋体" w:eastAsia="宋体" w:cs="宋体"/>
                <w:color w:val="auto"/>
                <w:sz w:val="24"/>
                <w:highlight w:val="none"/>
              </w:rPr>
            </w:pP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B要求提供（</w:t>
            </w:r>
            <w:r>
              <w:rPr>
                <w:rFonts w:hint="eastAsia" w:ascii="宋体" w:hAnsi="宋体" w:eastAsia="宋体" w:cs="宋体"/>
                <w:i/>
                <w:iCs/>
                <w:color w:val="auto"/>
                <w:sz w:val="24"/>
                <w:highlight w:val="none"/>
                <w:u w:val="single"/>
              </w:rPr>
              <w:t xml:space="preserve">提醒：除仅凭书面方式不能准确描述采购需求或者需要对样品进行主观判断以确认是否满足采购需求等特殊情况外，不得要求投标人提供样品。</w:t>
            </w:r>
            <w:r>
              <w:rPr>
                <w:rFonts w:hint="eastAsia" w:ascii="宋体" w:hAnsi="宋体" w:eastAsia="宋体" w:cs="宋体"/>
                <w:color w:val="auto"/>
                <w:sz w:val="24"/>
                <w:highlight w:val="none"/>
              </w:rPr>
              <w:t xml:space="preserve">）</w:t>
            </w:r>
            <w:r/>
          </w:p>
          <w:p>
            <w:pPr>
              <w:pStyle w:val="1027"/>
              <w:ind w:firstLine="0"/>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（1）样品：</w:t>
            </w:r>
            <w:r>
              <w:rPr>
                <w:rFonts w:hint="eastAsia" w:ascii="宋体" w:hAnsi="宋体" w:eastAsia="宋体" w:cs="宋体"/>
                <w:color w:val="auto"/>
                <w:sz w:val="24"/>
                <w:highlight w:val="none"/>
                <w:u w:val="single"/>
              </w:rPr>
              <w:t xml:space="preserve"> </w:t>
            </w:r>
            <w:r>
              <w:rPr>
                <w:rFonts w:hint="eastAsia" w:ascii="宋体" w:hAnsi="宋体" w:cs="宋体"/>
                <w:color w:val="auto"/>
                <w:sz w:val="24"/>
                <w:highlight w:val="none"/>
                <w:u w:val="single"/>
                <w:lang w:val="en-US" w:eastAsia="zh-CN"/>
              </w:rPr>
              <w:t xml:space="preserve">单人操作台，玩具柜（带轮）</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w:t>
            </w:r>
            <w:r/>
          </w:p>
          <w:p>
            <w:pPr>
              <w:pStyle w:val="1027"/>
              <w:ind w:firstLine="0"/>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（2）样品制作的标准和要求：</w:t>
            </w:r>
            <w:r>
              <w:rPr>
                <w:rFonts w:hint="eastAsia" w:ascii="宋体" w:hAnsi="宋体" w:eastAsia="宋体" w:cs="宋体"/>
                <w:color w:val="auto"/>
                <w:sz w:val="24"/>
                <w:highlight w:val="none"/>
                <w:u w:val="single"/>
                <w:lang w:val="en-US" w:eastAsia="zh-CN"/>
              </w:rPr>
              <w:t xml:space="preserve">具体详见评</w:t>
            </w:r>
            <w:r>
              <w:rPr>
                <w:rFonts w:hint="eastAsia" w:ascii="宋体" w:hAnsi="宋体" w:cs="宋体"/>
                <w:color w:val="auto"/>
                <w:sz w:val="24"/>
                <w:highlight w:val="none"/>
                <w:u w:val="single"/>
                <w:lang w:val="en-US" w:eastAsia="zh-CN"/>
              </w:rPr>
              <w:t xml:space="preserve">标</w:t>
            </w:r>
            <w:r>
              <w:rPr>
                <w:rFonts w:hint="eastAsia" w:ascii="宋体" w:hAnsi="宋体" w:eastAsia="宋体" w:cs="宋体"/>
                <w:color w:val="auto"/>
                <w:sz w:val="24"/>
                <w:highlight w:val="none"/>
                <w:u w:val="single"/>
                <w:lang w:val="en-US" w:eastAsia="zh-CN"/>
              </w:rPr>
              <w:t xml:space="preserve">办法</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w:t>
            </w:r>
            <w:r/>
          </w:p>
          <w:p>
            <w:pPr>
              <w:pStyle w:val="1027"/>
              <w:ind w:firstLine="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（3）样品的评审方法以及评审标准：详见评标办法；</w:t>
            </w:r>
            <w:r/>
          </w:p>
          <w:p>
            <w:pPr>
              <w:pStyle w:val="1027"/>
              <w:ind w:firstLine="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（4）是否需要随样品提交检测报告：</w:t>
            </w:r>
            <w:r>
              <w:rPr>
                <w:rFonts w:ascii="Wingdings 2" w:hAnsi="Wingdings 2" w:eastAsia="Wingdings 2" w:cs="Wingdings 2"/>
                <w:color w:val="auto"/>
                <w:sz w:val="24"/>
                <w:highlight w:val="none"/>
              </w:rPr>
              <w:t xml:space="preserve">R</w:t>
            </w:r>
            <w:r>
              <w:rPr>
                <w:rFonts w:hint="eastAsia" w:ascii="宋体" w:hAnsi="宋体" w:eastAsia="宋体" w:cs="宋体"/>
                <w:color w:val="auto"/>
                <w:sz w:val="24"/>
                <w:highlight w:val="none"/>
              </w:rPr>
              <w:t xml:space="preserve">否；</w:t>
            </w:r>
            <w:r>
              <w:rPr>
                <w:rFonts w:ascii="Wingdings 2" w:hAnsi="Wingdings 2" w:eastAsia="Wingdings 2" w:cs="Wingdings 2"/>
                <w:color w:val="auto"/>
                <w:sz w:val="24"/>
                <w:highlight w:val="none"/>
              </w:rPr>
              <w:t xml:space="preserve">£</w:t>
            </w:r>
            <w:r>
              <w:rPr>
                <w:rFonts w:hint="eastAsia" w:ascii="宋体" w:hAnsi="宋体" w:eastAsia="宋体" w:cs="宋体"/>
                <w:color w:val="auto"/>
                <w:sz w:val="24"/>
                <w:highlight w:val="none"/>
              </w:rPr>
              <w:t xml:space="preserve">是，检测机构的要求：</w:t>
            </w:r>
            <w:r>
              <w:rPr>
                <w:rFonts w:hint="eastAsia" w:ascii="宋体" w:hAnsi="宋体" w:eastAsia="宋体" w:cs="宋体"/>
                <w:color w:val="auto"/>
                <w:sz w:val="24"/>
                <w:highlight w:val="none"/>
                <w:u w:val="single"/>
              </w:rPr>
              <w:t xml:space="preserve">    </w:t>
            </w:r>
            <w:r>
              <w:rPr>
                <w:rFonts w:hint="eastAsia" w:ascii="宋体" w:hAnsi="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；检测内容：</w:t>
            </w:r>
            <w:r>
              <w:rPr>
                <w:rFonts w:hint="eastAsia" w:ascii="宋体" w:hAnsi="宋体" w:eastAsia="宋体" w:cs="宋体"/>
                <w:color w:val="auto"/>
                <w:sz w:val="24"/>
                <w:highlight w:val="none"/>
                <w:u w:val="single"/>
              </w:rPr>
              <w:t xml:space="preserve">      </w:t>
            </w:r>
            <w:r>
              <w:rPr>
                <w:rFonts w:hint="eastAsia" w:ascii="宋体" w:hAnsi="宋体" w:cs="宋体"/>
                <w:color w:val="auto"/>
                <w:sz w:val="24"/>
                <w:highlight w:val="none"/>
                <w:u w:val="single"/>
                <w:lang w:val="en-US" w:eastAsia="zh-CN"/>
              </w:rPr>
              <w:t xml:space="preserve">/</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w:t>
            </w:r>
            <w:r/>
          </w:p>
          <w:p>
            <w:pPr>
              <w:pStyle w:val="1027"/>
              <w:ind w:firstLine="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（5）提供样品的时间：</w:t>
            </w:r>
            <w:r>
              <w:rPr>
                <w:rFonts w:hint="eastAsia" w:ascii="宋体" w:hAnsi="宋体" w:eastAsia="宋体" w:cs="宋体"/>
                <w:color w:val="auto"/>
                <w:sz w:val="24"/>
                <w:highlight w:val="none"/>
                <w:u w:val="single"/>
              </w:rPr>
              <w:t xml:space="preserve"> </w:t>
            </w:r>
            <w:r>
              <w:rPr>
                <w:rFonts w:hint="eastAsia" w:ascii="宋体" w:hAnsi="宋体" w:cs="宋体"/>
                <w:color w:val="auto"/>
                <w:sz w:val="24"/>
                <w:highlight w:val="yellow"/>
                <w:u w:val="single"/>
                <w:lang w:val="en-US" w:eastAsia="zh-CN"/>
              </w:rPr>
              <w:t xml:space="preserve">2026年8月12日</w:t>
            </w:r>
            <w:r>
              <w:rPr>
                <w:rFonts w:hint="eastAsia" w:ascii="宋体" w:hAnsi="宋体" w:cs="宋体"/>
                <w:color w:val="auto"/>
                <w:sz w:val="24"/>
                <w:highlight w:val="none"/>
                <w:u w:val="single"/>
                <w:lang w:val="en-US" w:eastAsia="zh-CN"/>
              </w:rPr>
              <w:t xml:space="preserve">，上午8:30到下午17:30，过时不受理  </w:t>
            </w:r>
            <w:r>
              <w:rPr>
                <w:rFonts w:hint="eastAsia" w:ascii="宋体" w:hAnsi="宋体" w:eastAsia="宋体" w:cs="宋体"/>
                <w:color w:val="auto"/>
                <w:sz w:val="24"/>
                <w:highlight w:val="none"/>
              </w:rPr>
              <w:t xml:space="preserve">；地点：</w:t>
            </w:r>
            <w:r>
              <w:rPr>
                <w:rFonts w:hint="eastAsia" w:ascii="宋体" w:hAnsi="宋体" w:cs="宋体"/>
                <w:color w:val="auto"/>
                <w:sz w:val="24"/>
                <w:highlight w:val="none"/>
                <w:u w:val="single"/>
                <w:lang w:val="en-US" w:eastAsia="zh-CN"/>
              </w:rPr>
              <w:t xml:space="preserve">江苏省句容市行政服务中心1号楼5楼样品室 </w:t>
            </w:r>
            <w:r>
              <w:rPr>
                <w:rFonts w:hint="eastAsia" w:ascii="宋体" w:hAnsi="宋体" w:eastAsia="宋体" w:cs="宋体"/>
                <w:color w:val="auto"/>
                <w:sz w:val="24"/>
                <w:highlight w:val="none"/>
              </w:rPr>
              <w:t xml:space="preserve">；联系人：</w:t>
            </w:r>
            <w:r>
              <w:rPr>
                <w:rFonts w:hint="eastAsia" w:ascii="宋体" w:hAnsi="宋体" w:eastAsia="宋体" w:cs="宋体"/>
                <w:color w:val="auto"/>
                <w:sz w:val="24"/>
                <w:highlight w:val="none"/>
                <w:u w:val="single"/>
              </w:rPr>
              <w:t xml:space="preserve">  </w:t>
            </w:r>
            <w:r>
              <w:rPr>
                <w:rFonts w:hint="eastAsia" w:ascii="宋体" w:hAnsi="宋体" w:cs="宋体"/>
                <w:color w:val="auto"/>
                <w:sz w:val="24"/>
                <w:highlight w:val="none"/>
                <w:u w:val="single"/>
                <w:lang w:val="en-US" w:eastAsia="zh-CN"/>
              </w:rPr>
              <w:t xml:space="preserve">郑工</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，联系电话：</w:t>
            </w:r>
            <w:r>
              <w:rPr>
                <w:rFonts w:hint="eastAsia" w:ascii="宋体" w:hAnsi="宋体" w:cs="宋体"/>
                <w:color w:val="auto"/>
                <w:sz w:val="24"/>
                <w:highlight w:val="none"/>
                <w:u w:val="single"/>
                <w:lang w:val="en-US" w:eastAsia="zh-CN"/>
              </w:rPr>
              <w:t xml:space="preserve">15365965301</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 。请投标人在上述时间内提供样品并按规定位置安装完毕。超过截止时间的，采购人或采购代理机构将不予接收及安装，并将清场并封闭样品现场。</w:t>
            </w:r>
            <w:r/>
          </w:p>
          <w:p>
            <w:pPr>
              <w:pStyle w:val="1027"/>
              <w:ind w:firstLine="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(6)采购活动结束后，对于未中标人提供的样品，采购人、采购机构将通知未中标人在规定的时间内取回，逾期未取回的，采购人、采购机构不负保管义务；对于中标人提供的样品，采购人将进行保管、封存，并作为履约验收的参考。</w:t>
            </w:r>
            <w:r/>
          </w:p>
          <w:p>
            <w:pPr>
              <w:pStyle w:val="1027"/>
              <w:ind w:firstLine="0"/>
              <w:rPr>
                <w:rFonts w:hint="eastAsia" w:ascii="宋体" w:hAnsi="宋体" w:eastAsia="宋体" w:cs="宋体"/>
                <w:color w:val="auto"/>
                <w:sz w:val="24"/>
                <w:highlight w:val="none"/>
                <w:lang w:val="en-US" w:eastAsia="en-US"/>
              </w:rPr>
            </w:pPr>
            <w:r>
              <w:rPr>
                <w:rFonts w:hint="eastAsia" w:ascii="宋体" w:hAnsi="宋体" w:eastAsia="宋体" w:cs="宋体"/>
                <w:color w:val="auto"/>
                <w:sz w:val="24"/>
                <w:highlight w:val="none"/>
              </w:rPr>
              <w:t xml:space="preserve">（7）制作、运输、安装和保管样品所发生的一切费用由投标人自理。</w:t>
            </w:r>
            <w:r/>
          </w:p>
        </w:tc>
      </w:tr>
      <w:tr>
        <w:trPr/>
        <w:tc>
          <w:tcPr>
            <w:tcW w:w="816" w:type="dxa"/>
            <w:vAlign w:val="center"/>
            <w:textDirection w:val="lrTb"/>
            <w:noWrap w:val="false"/>
          </w:tcPr>
          <w:p>
            <w:pPr>
              <w:pStyle w:val="1023"/>
              <w:ind w:firstLine="0"/>
              <w:jc w:val="center"/>
              <w:rPr>
                <w:rFonts w:hint="eastAsia" w:ascii="宋体" w:hAnsi="宋体" w:eastAsia="宋体" w:cs="宋体"/>
                <w:color w:val="auto"/>
                <w:sz w:val="24"/>
                <w:highlight w:val="none"/>
                <w:lang w:val="en-US" w:eastAsia="en-US"/>
              </w:rPr>
            </w:pPr>
            <w:r>
              <w:rPr>
                <w:rFonts w:hint="eastAsia" w:ascii="宋体" w:hAnsi="宋体" w:eastAsia="宋体" w:cs="宋体"/>
                <w:color w:val="auto"/>
                <w:sz w:val="24"/>
                <w:highlight w:val="none"/>
                <w:lang w:val="en-US" w:eastAsia="en-US"/>
              </w:rPr>
              <w:t xml:space="preserve">7</w:t>
            </w:r>
            <w:r/>
          </w:p>
        </w:tc>
        <w:tc>
          <w:tcPr>
            <w:tcW w:w="1994" w:type="dxa"/>
            <w:vAlign w:val="center"/>
            <w:textDirection w:val="lrTb"/>
            <w:noWrap w:val="false"/>
          </w:tcPr>
          <w:p>
            <w:pPr>
              <w:pStyle w:val="1027"/>
              <w:ind w:firstLine="0"/>
              <w:jc w:val="cente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rPr>
              <w:t xml:space="preserve">是否允许采购</w:t>
            </w:r>
            <w:r>
              <w:rPr>
                <w:rFonts w:hint="eastAsia" w:ascii="宋体" w:hAnsi="宋体" w:cs="宋体"/>
                <w:color w:val="auto"/>
                <w:sz w:val="24"/>
                <w:highlight w:val="none"/>
                <w:lang w:val="en-US" w:eastAsia="zh-CN"/>
              </w:rPr>
              <w:t xml:space="preserve">进口</w:t>
            </w:r>
            <w:r>
              <w:rPr>
                <w:rFonts w:hint="eastAsia" w:ascii="宋体" w:hAnsi="宋体" w:eastAsia="宋体" w:cs="宋体"/>
                <w:color w:val="auto"/>
                <w:sz w:val="24"/>
                <w:highlight w:val="none"/>
              </w:rPr>
              <w:t xml:space="preserve">产品</w:t>
            </w:r>
            <w:r/>
          </w:p>
        </w:tc>
        <w:tc>
          <w:tcPr>
            <w:tcW w:w="6819" w:type="dxa"/>
            <w:vAlign w:val="center"/>
            <w:textDirection w:val="lrTb"/>
            <w:noWrap w:val="false"/>
          </w:tcPr>
          <w:p>
            <w:pPr>
              <w:pStyle w:val="1027"/>
              <w:ind w:firstLine="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☑A本项目不允许采购</w:t>
            </w:r>
            <w:r>
              <w:rPr>
                <w:rFonts w:hint="eastAsia" w:ascii="宋体" w:hAnsi="宋体" w:cs="宋体"/>
                <w:color w:val="auto"/>
                <w:sz w:val="24"/>
                <w:highlight w:val="none"/>
                <w:lang w:val="en-US" w:eastAsia="zh-CN"/>
              </w:rPr>
              <w:t xml:space="preserve">进口</w:t>
            </w:r>
            <w:r>
              <w:rPr>
                <w:rFonts w:hint="eastAsia" w:ascii="宋体" w:hAnsi="宋体" w:eastAsia="宋体" w:cs="宋体"/>
                <w:color w:val="auto"/>
                <w:sz w:val="24"/>
                <w:highlight w:val="none"/>
              </w:rPr>
              <w:t xml:space="preserve">产品。</w:t>
            </w:r>
            <w:r/>
          </w:p>
          <w:p>
            <w:pPr>
              <w:pStyle w:val="1027"/>
              <w:ind w:firstLine="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rPr>
              <w:t xml:space="preserve">□B可以采购</w:t>
            </w:r>
            <w:r>
              <w:rPr>
                <w:rFonts w:hint="eastAsia" w:ascii="宋体" w:hAnsi="宋体" w:cs="宋体"/>
                <w:color w:val="auto"/>
                <w:sz w:val="24"/>
                <w:highlight w:val="none"/>
                <w:lang w:val="en-US" w:eastAsia="zh-CN"/>
              </w:rPr>
              <w:t xml:space="preserve">进口</w:t>
            </w:r>
            <w:r>
              <w:rPr>
                <w:rFonts w:hint="eastAsia" w:ascii="宋体" w:hAnsi="宋体" w:eastAsia="宋体" w:cs="宋体"/>
                <w:color w:val="auto"/>
                <w:sz w:val="24"/>
                <w:highlight w:val="none"/>
              </w:rPr>
              <w:t xml:space="preserve">产品，优先采购向我国企业转让技术、与我国企业签订消化吸收再创新方案的供应商的</w:t>
            </w:r>
            <w:r>
              <w:rPr>
                <w:rFonts w:hint="eastAsia" w:ascii="宋体" w:hAnsi="宋体" w:cs="宋体"/>
                <w:color w:val="auto"/>
                <w:sz w:val="24"/>
                <w:highlight w:val="none"/>
                <w:lang w:val="en-US" w:eastAsia="zh-CN"/>
              </w:rPr>
              <w:t xml:space="preserve">进口</w:t>
            </w:r>
            <w:r>
              <w:rPr>
                <w:rFonts w:hint="eastAsia" w:ascii="宋体" w:hAnsi="宋体" w:eastAsia="宋体" w:cs="宋体"/>
                <w:color w:val="auto"/>
                <w:sz w:val="24"/>
                <w:highlight w:val="none"/>
              </w:rPr>
              <w:t xml:space="preserve">产品；但如果因信息不对称等原因，仍有满足需求的国内产品要求参与采购竞争的，采购人及其委托的采购代理机构不对其加以限制，将按照公平竞争原则实施采购。</w:t>
            </w:r>
            <w:r/>
          </w:p>
        </w:tc>
      </w:tr>
      <w:tr>
        <w:trPr>
          <w:trHeight w:val="90"/>
        </w:trPr>
        <w:tc>
          <w:tcPr>
            <w:tcW w:w="816" w:type="dxa"/>
            <w:vAlign w:val="center"/>
            <w:textDirection w:val="lrTb"/>
            <w:noWrap w:val="false"/>
          </w:tcPr>
          <w:p>
            <w:pPr>
              <w:pStyle w:val="1023"/>
              <w:ind w:firstLine="0"/>
              <w:jc w:val="center"/>
              <w:rPr>
                <w:rFonts w:hint="eastAsia" w:ascii="宋体" w:hAnsi="宋体" w:eastAsia="宋体" w:cs="宋体"/>
                <w:color w:val="auto"/>
                <w:sz w:val="24"/>
                <w:highlight w:val="none"/>
                <w:lang w:val="en-US" w:eastAsia="en-US"/>
              </w:rPr>
            </w:pPr>
            <w:r>
              <w:rPr>
                <w:rFonts w:hint="eastAsia" w:ascii="宋体" w:hAnsi="宋体" w:eastAsia="宋体" w:cs="宋体"/>
                <w:color w:val="auto"/>
                <w:sz w:val="24"/>
                <w:highlight w:val="none"/>
                <w:lang w:val="en-US" w:eastAsia="en-US"/>
              </w:rPr>
              <w:t xml:space="preserve">8</w:t>
            </w:r>
            <w:r/>
          </w:p>
        </w:tc>
        <w:tc>
          <w:tcPr>
            <w:tcW w:w="1994" w:type="dxa"/>
            <w:vAlign w:val="center"/>
            <w:textDirection w:val="lrTb"/>
            <w:noWrap w:val="false"/>
          </w:tcPr>
          <w:p>
            <w:pPr>
              <w:pStyle w:val="1023"/>
              <w:ind w:firstLine="0"/>
              <w:jc w:val="center"/>
              <w:rPr>
                <w:rFonts w:hint="eastAsia" w:ascii="宋体" w:hAnsi="宋体" w:eastAsia="宋体" w:cs="宋体"/>
                <w:color w:val="auto"/>
                <w:sz w:val="24"/>
                <w:highlight w:val="none"/>
                <w:lang w:val="en-US" w:eastAsia="en-US"/>
              </w:rPr>
            </w:pPr>
            <w:r>
              <w:rPr>
                <w:rFonts w:hint="eastAsia" w:ascii="宋体" w:hAnsi="宋体" w:eastAsia="宋体" w:cs="宋体"/>
                <w:color w:val="auto"/>
                <w:sz w:val="24"/>
                <w:highlight w:val="none"/>
                <w:lang w:val="en-US" w:eastAsia="en-US"/>
              </w:rPr>
              <w:t xml:space="preserve">项目属性与核心产品</w:t>
            </w:r>
            <w:r/>
          </w:p>
        </w:tc>
        <w:tc>
          <w:tcPr>
            <w:tcW w:w="6819" w:type="dxa"/>
            <w:vAlign w:val="center"/>
            <w:textDirection w:val="lrTb"/>
            <w:noWrap w:val="false"/>
          </w:tcPr>
          <w:p>
            <w:pPr>
              <w:pStyle w:val="1027"/>
              <w:ind w:firstLine="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☑A货物类。</w:t>
            </w:r>
            <w:r/>
          </w:p>
          <w:p>
            <w:pPr>
              <w:pStyle w:val="1027"/>
              <w:ind w:firstLine="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□B服务类。</w:t>
            </w:r>
            <w:r/>
          </w:p>
          <w:p>
            <w:pPr>
              <w:pStyle w:val="1023"/>
              <w:ind w:firstLine="0"/>
              <w:rPr>
                <w:rFonts w:ascii="宋体" w:hAnsi="宋体" w:eastAsia="宋体" w:cs="宋体"/>
                <w:color w:val="auto"/>
                <w:sz w:val="24"/>
                <w:highlight w:val="none"/>
                <w:lang w:val="en-US"/>
              </w:rPr>
            </w:pPr>
            <w:r>
              <w:rPr>
                <w:rFonts w:hint="eastAsia" w:ascii="宋体" w:hAnsi="宋体" w:eastAsia="宋体" w:cs="宋体"/>
                <w:color w:val="auto"/>
                <w:sz w:val="24"/>
                <w:highlight w:val="none"/>
                <w:lang w:val="en-US" w:eastAsia="zh-CN"/>
              </w:rPr>
              <w:t xml:space="preserve">本项目核心产品为</w:t>
            </w:r>
            <w:r>
              <w:rPr>
                <w:rFonts w:hint="eastAsia" w:ascii="宋体" w:hAnsi="宋体" w:eastAsia="宋体" w:cs="宋体"/>
                <w:color w:val="auto"/>
                <w:sz w:val="24"/>
                <w:highlight w:val="none"/>
                <w:u w:val="single"/>
                <w:lang w:val="en-US" w:eastAsia="zh-CN"/>
              </w:rPr>
              <w:t xml:space="preserve">：</w:t>
            </w:r>
            <w:r>
              <w:rPr>
                <w:rFonts w:hint="eastAsia" w:ascii="宋体" w:hAnsi="宋体" w:cs="宋体"/>
                <w:color w:val="auto"/>
                <w:sz w:val="24"/>
                <w:szCs w:val="28"/>
                <w:highlight w:val="none"/>
                <w:u w:val="single"/>
                <w:lang w:eastAsia="zh-CN"/>
              </w:rPr>
              <w:t xml:space="preserve">自由组合区角柜、VR系统、户外大型运动组合器械</w:t>
            </w:r>
            <w:r>
              <w:rPr>
                <w:rFonts w:hint="eastAsia" w:ascii="宋体" w:hAnsi="宋体" w:cs="宋体"/>
                <w:color w:val="auto"/>
                <w:sz w:val="24"/>
                <w:szCs w:val="28"/>
                <w:highlight w:val="none"/>
                <w:u w:val="none"/>
                <w:lang w:eastAsia="zh-CN"/>
              </w:rPr>
              <w:t xml:space="preserve">。</w:t>
            </w:r>
            <w:r/>
          </w:p>
        </w:tc>
      </w:tr>
      <w:tr>
        <w:trPr/>
        <w:tc>
          <w:tcPr>
            <w:tcW w:w="816" w:type="dxa"/>
            <w:vAlign w:val="center"/>
            <w:textDirection w:val="lrTb"/>
            <w:noWrap w:val="false"/>
          </w:tcPr>
          <w:p>
            <w:pPr>
              <w:pStyle w:val="1023"/>
              <w:ind w:firstLine="0"/>
              <w:jc w:val="center"/>
              <w:rPr>
                <w:rFonts w:hint="eastAsia" w:ascii="宋体" w:hAnsi="宋体" w:eastAsia="宋体" w:cs="宋体"/>
                <w:color w:val="auto"/>
                <w:sz w:val="24"/>
                <w:highlight w:val="none"/>
                <w:lang w:val="en-US" w:eastAsia="en-US"/>
              </w:rPr>
            </w:pPr>
            <w:r>
              <w:rPr>
                <w:rFonts w:hint="eastAsia" w:ascii="宋体" w:hAnsi="宋体" w:eastAsia="宋体" w:cs="宋体"/>
                <w:color w:val="auto"/>
                <w:sz w:val="24"/>
                <w:highlight w:val="none"/>
                <w:lang w:val="en-US" w:eastAsia="en-US"/>
              </w:rPr>
              <w:t xml:space="preserve">9</w:t>
            </w:r>
            <w:r/>
          </w:p>
        </w:tc>
        <w:tc>
          <w:tcPr>
            <w:tcW w:w="1994" w:type="dxa"/>
            <w:vAlign w:val="center"/>
            <w:textDirection w:val="lrTb"/>
            <w:noWrap w:val="false"/>
          </w:tcPr>
          <w:p>
            <w:pPr>
              <w:pStyle w:val="1023"/>
              <w:ind w:firstLine="0"/>
              <w:jc w:val="cente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采购标的对应的中小企业划分标准所属行业</w:t>
            </w:r>
            <w:r/>
          </w:p>
        </w:tc>
        <w:tc>
          <w:tcPr>
            <w:tcW w:w="6819" w:type="dxa"/>
            <w:vAlign w:val="center"/>
            <w:textDirection w:val="lrTb"/>
            <w:noWrap w:val="false"/>
          </w:tcPr>
          <w:p>
            <w:pPr>
              <w:pStyle w:val="1023"/>
              <w:numPr>
                <w:ilvl w:val="0"/>
                <w:numId w:val="2"/>
              </w:numPr>
              <w:ind w:firstLine="0"/>
              <w:rPr>
                <w:rFonts w:hint="eastAsia" w:ascii="宋体" w:hAnsi="宋体" w:eastAsia="宋体" w:cs="宋体"/>
                <w:color w:val="auto"/>
                <w:sz w:val="24"/>
                <w:highlight w:val="none"/>
                <w:lang w:val="en-US" w:eastAsia="en-US"/>
              </w:rPr>
            </w:pPr>
            <w:r>
              <w:rPr>
                <w:rFonts w:hint="eastAsia" w:ascii="宋体" w:hAnsi="宋体" w:eastAsia="宋体" w:cs="宋体"/>
                <w:color w:val="auto"/>
                <w:sz w:val="24"/>
                <w:highlight w:val="none"/>
                <w:lang w:val="en-US" w:eastAsia="zh-CN"/>
              </w:rPr>
              <w:t xml:space="preserve">标的：</w:t>
            </w:r>
            <w:r>
              <w:rPr>
                <w:rFonts w:hint="eastAsia" w:ascii="宋体" w:hAnsi="宋体" w:cs="宋体"/>
                <w:color w:val="auto"/>
                <w:sz w:val="24"/>
                <w:szCs w:val="28"/>
                <w:highlight w:val="none"/>
                <w:u w:val="single"/>
                <w:lang w:eastAsia="zh-CN"/>
              </w:rPr>
              <w:t xml:space="preserve">宝华新城实验幼儿园教育教学设备设施、办公家具采购</w:t>
            </w:r>
            <w:r>
              <w:rPr>
                <w:rFonts w:hint="eastAsia" w:ascii="宋体" w:hAnsi="宋体" w:eastAsia="宋体" w:cs="宋体"/>
                <w:color w:val="auto"/>
                <w:sz w:val="24"/>
                <w:szCs w:val="28"/>
                <w:highlight w:val="none"/>
                <w:u w:val="single"/>
                <w:lang w:eastAsia="zh-CN"/>
              </w:rPr>
              <w:t xml:space="preserve">（具体详见采购需求）</w:t>
            </w:r>
            <w:r>
              <w:rPr>
                <w:rFonts w:hint="eastAsia" w:ascii="宋体" w:hAnsi="宋体" w:eastAsia="宋体" w:cs="宋体"/>
                <w:color w:val="auto"/>
                <w:sz w:val="24"/>
                <w:szCs w:val="28"/>
                <w:highlight w:val="none"/>
                <w:lang w:eastAsia="zh-CN"/>
              </w:rPr>
              <w:t xml:space="preserve"> </w:t>
            </w:r>
            <w:r>
              <w:rPr>
                <w:rFonts w:hint="eastAsia" w:ascii="宋体" w:hAnsi="宋体" w:eastAsia="宋体" w:cs="宋体"/>
                <w:color w:val="auto"/>
                <w:sz w:val="24"/>
                <w:highlight w:val="none"/>
                <w:lang w:val="en-US" w:eastAsia="zh-CN"/>
              </w:rPr>
              <w:t xml:space="preserve">，属于行业；</w:t>
            </w:r>
            <w:r>
              <w:rPr>
                <w:rFonts w:hint="eastAsia" w:ascii="宋体" w:hAnsi="宋体" w:eastAsia="宋体" w:cs="宋体"/>
                <w:color w:val="auto"/>
                <w:sz w:val="24"/>
                <w:highlight w:val="none"/>
                <w:u w:val="single"/>
                <w:lang w:val="en-US" w:eastAsia="zh-CN"/>
              </w:rPr>
              <w:t xml:space="preserve">工业</w:t>
            </w:r>
            <w:r>
              <w:rPr>
                <w:rFonts w:hint="eastAsia" w:ascii="宋体" w:hAnsi="宋体" w:eastAsia="宋体" w:cs="宋体"/>
                <w:color w:val="auto"/>
                <w:sz w:val="24"/>
                <w:highlight w:val="none"/>
                <w:lang w:val="en-US" w:eastAsia="zh-CN"/>
              </w:rPr>
              <w:t xml:space="preserve">行业</w:t>
            </w:r>
            <w:r/>
          </w:p>
        </w:tc>
      </w:tr>
      <w:tr>
        <w:trPr/>
        <w:tc>
          <w:tcPr>
            <w:tcW w:w="816" w:type="dxa"/>
            <w:vAlign w:val="center"/>
            <w:textDirection w:val="lrTb"/>
            <w:noWrap w:val="false"/>
          </w:tcPr>
          <w:p>
            <w:pPr>
              <w:pStyle w:val="1023"/>
              <w:ind w:firstLine="0"/>
              <w:jc w:val="center"/>
              <w:rPr>
                <w:rFonts w:hint="eastAsia" w:ascii="宋体" w:hAnsi="宋体" w:eastAsia="宋体" w:cs="宋体"/>
                <w:color w:val="auto"/>
                <w:sz w:val="24"/>
                <w:highlight w:val="none"/>
                <w:lang w:val="en-US" w:eastAsia="en-US"/>
              </w:rPr>
            </w:pPr>
            <w:r>
              <w:rPr>
                <w:rFonts w:hint="eastAsia" w:ascii="宋体" w:hAnsi="宋体" w:eastAsia="宋体" w:cs="宋体"/>
                <w:color w:val="auto"/>
                <w:sz w:val="24"/>
                <w:highlight w:val="none"/>
                <w:lang w:val="en-US" w:eastAsia="en-US"/>
              </w:rPr>
              <w:t xml:space="preserve">10</w:t>
            </w:r>
            <w:r/>
          </w:p>
        </w:tc>
        <w:tc>
          <w:tcPr>
            <w:tcW w:w="1994" w:type="dxa"/>
            <w:vAlign w:val="center"/>
            <w:textDirection w:val="lrTb"/>
            <w:noWrap w:val="false"/>
          </w:tcPr>
          <w:p>
            <w:pPr>
              <w:pStyle w:val="1027"/>
              <w:ind w:firstLine="0"/>
              <w:jc w:val="cente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rPr>
              <w:t xml:space="preserve">节能产品、环境标志产品</w:t>
            </w:r>
            <w:r/>
          </w:p>
        </w:tc>
        <w:tc>
          <w:tcPr>
            <w:tcW w:w="6819" w:type="dxa"/>
            <w:vAlign w:val="center"/>
            <w:textDirection w:val="lrTb"/>
            <w:noWrap w:val="false"/>
          </w:tcPr>
          <w:p>
            <w:pPr>
              <w:pStyle w:val="1027"/>
              <w:ind w:firstLine="0"/>
              <w:rPr>
                <w:rFonts w:hint="eastAsia" w:ascii="宋体" w:hAnsi="宋体" w:eastAsia="宋体" w:cs="宋体"/>
                <w:color w:val="auto"/>
                <w:sz w:val="24"/>
                <w:highlight w:val="none"/>
                <w:lang w:val="en-US" w:eastAsia="en-US"/>
              </w:rPr>
            </w:pPr>
            <w:r>
              <w:rPr>
                <w:rFonts w:hint="eastAsia" w:ascii="宋体" w:hAnsi="宋体" w:eastAsia="宋体" w:cs="宋体"/>
                <w:color w:val="auto"/>
                <w:sz w:val="24"/>
                <w:highlight w:val="none"/>
              </w:rPr>
              <w:t xml:space="preserve">供应商所投产品属于政府采购节能产品、环境标志产品品目清单范围的，采购人及其委托的采购代理机构将依据国家确定的认证机构出具的、处于有效期之内的节能产品、环境标志产品认证证书，对获得证书的产品实施政府优先采购或强制采购。</w:t>
            </w:r>
            <w:r/>
          </w:p>
        </w:tc>
      </w:tr>
      <w:tr>
        <w:trPr/>
        <w:tc>
          <w:tcPr>
            <w:tcW w:w="816" w:type="dxa"/>
            <w:vAlign w:val="center"/>
            <w:textDirection w:val="lrTb"/>
            <w:noWrap w:val="false"/>
          </w:tcPr>
          <w:p>
            <w:pPr>
              <w:pStyle w:val="1023"/>
              <w:ind w:firstLine="0"/>
              <w:jc w:val="center"/>
              <w:rPr>
                <w:rFonts w:hint="eastAsia" w:ascii="宋体" w:hAnsi="宋体" w:eastAsia="宋体" w:cs="宋体"/>
                <w:color w:val="auto"/>
                <w:sz w:val="24"/>
                <w:highlight w:val="none"/>
                <w:lang w:val="en-US" w:eastAsia="en-US"/>
              </w:rPr>
            </w:pPr>
            <w:r>
              <w:rPr>
                <w:rFonts w:hint="eastAsia" w:ascii="宋体" w:hAnsi="宋体" w:eastAsia="宋体" w:cs="宋体"/>
                <w:color w:val="auto"/>
                <w:sz w:val="24"/>
                <w:highlight w:val="none"/>
                <w:lang w:val="en-US" w:eastAsia="en-US"/>
              </w:rPr>
              <w:t xml:space="preserve">11</w:t>
            </w:r>
            <w:r/>
          </w:p>
        </w:tc>
        <w:tc>
          <w:tcPr>
            <w:tcW w:w="1994" w:type="dxa"/>
            <w:vAlign w:val="center"/>
            <w:textDirection w:val="lrTb"/>
            <w:noWrap w:val="false"/>
          </w:tcPr>
          <w:p>
            <w:pPr>
              <w:pStyle w:val="1023"/>
              <w:ind w:firstLine="0"/>
              <w:jc w:val="center"/>
              <w:rPr>
                <w:rFonts w:hint="eastAsia" w:ascii="宋体" w:hAnsi="宋体" w:eastAsia="宋体" w:cs="宋体"/>
                <w:color w:val="auto"/>
                <w:sz w:val="24"/>
                <w:highlight w:val="none"/>
                <w:lang w:val="en-US" w:eastAsia="en-US"/>
              </w:rPr>
            </w:pPr>
            <w:r>
              <w:rPr>
                <w:rFonts w:hint="eastAsia" w:ascii="宋体" w:hAnsi="宋体" w:eastAsia="宋体" w:cs="宋体"/>
                <w:color w:val="auto"/>
                <w:sz w:val="24"/>
                <w:highlight w:val="none"/>
                <w:lang w:val="en-US" w:eastAsia="en-US"/>
              </w:rPr>
              <w:t xml:space="preserve">中小企业信用融资</w:t>
            </w:r>
            <w:r/>
          </w:p>
        </w:tc>
        <w:tc>
          <w:tcPr>
            <w:tcW w:w="6819" w:type="dxa"/>
            <w:vAlign w:val="center"/>
            <w:textDirection w:val="lrTb"/>
            <w:noWrap w:val="false"/>
          </w:tcPr>
          <w:p>
            <w:pPr>
              <w:pStyle w:val="1023"/>
              <w:ind w:firstLine="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为进一步发挥政府采购政策导向作用，有效缓解企业融资难题，推进完善应收账款融资服务平台的融资服务功能，促进中小微企业平稳健康发展，</w:t>
            </w:r>
            <w:bookmarkStart w:id="41" w:name="_Hlk136445673"/>
            <w:r>
              <w:rPr>
                <w:rFonts w:hint="eastAsia" w:ascii="宋体" w:hAnsi="宋体" w:eastAsia="宋体" w:cs="宋体"/>
                <w:color w:val="auto"/>
                <w:sz w:val="24"/>
                <w:highlight w:val="none"/>
                <w:lang w:val="en-US" w:eastAsia="zh-CN"/>
              </w:rPr>
              <w:t xml:space="preserve">镇江市财政局和中国人民银行镇江市中心支行联合印发《关于转发〈关于深入推进政府采购线上合同信用融资工作的通知〉的通知》</w:t>
            </w:r>
            <w:bookmarkEnd w:id="41"/>
            <w:r>
              <w:rPr>
                <w:rFonts w:hint="eastAsia" w:ascii="宋体" w:hAnsi="宋体" w:eastAsia="宋体" w:cs="宋体"/>
                <w:color w:val="auto"/>
                <w:sz w:val="24"/>
                <w:highlight w:val="none"/>
                <w:lang w:val="en-US" w:eastAsia="zh-CN"/>
              </w:rPr>
              <w:t xml:space="preserve">，</w:t>
            </w:r>
            <w:bookmarkStart w:id="42" w:name="_Hlk136444446"/>
            <w:r>
              <w:rPr>
                <w:rFonts w:hint="eastAsia" w:ascii="宋体" w:hAnsi="宋体" w:eastAsia="宋体" w:cs="宋体"/>
                <w:color w:val="auto"/>
                <w:sz w:val="24"/>
                <w:highlight w:val="none"/>
                <w:lang w:val="en-US" w:eastAsia="zh-CN"/>
              </w:rPr>
              <w:t xml:space="preserve">采购项目中标人如有融资需求，可在签订政府采购合同时向采购人说明融资需求，由采购人在录入合同时标注融资需求后，凭政府采购合同在相关金融机构办理无抵押、低利率授信申请。</w:t>
            </w:r>
            <w:bookmarkEnd w:id="42"/>
            <w:r>
              <w:rPr>
                <w:rFonts w:hint="eastAsia" w:ascii="宋体" w:hAnsi="宋体" w:eastAsia="宋体" w:cs="宋体"/>
                <w:color w:val="auto"/>
                <w:sz w:val="24"/>
                <w:highlight w:val="none"/>
                <w:lang w:val="en-US" w:eastAsia="zh-CN"/>
              </w:rPr>
              <w:t xml:space="preserve">办理流程详见江苏政府采购网“政采贷”栏目，网址：http://www.ccgp-jiangsu.gov.cn/jiangsu/paying.html咨询电话：镇江市财政局政府采购处0511-80909958。</w:t>
            </w:r>
            <w:r/>
          </w:p>
        </w:tc>
      </w:tr>
      <w:tr>
        <w:trPr/>
        <w:tc>
          <w:tcPr>
            <w:tcW w:w="816" w:type="dxa"/>
            <w:vAlign w:val="center"/>
            <w:textDirection w:val="lrTb"/>
            <w:noWrap w:val="false"/>
          </w:tcPr>
          <w:p>
            <w:pPr>
              <w:pStyle w:val="1023"/>
              <w:ind w:firstLine="0"/>
              <w:jc w:val="center"/>
              <w:rPr>
                <w:rFonts w:hint="eastAsia" w:ascii="宋体" w:hAnsi="宋体" w:eastAsia="宋体" w:cs="宋体"/>
                <w:color w:val="auto"/>
                <w:sz w:val="24"/>
                <w:highlight w:val="none"/>
                <w:lang w:val="en-US" w:eastAsia="en-US"/>
              </w:rPr>
            </w:pPr>
            <w:r>
              <w:rPr>
                <w:rFonts w:hint="eastAsia" w:ascii="宋体" w:hAnsi="宋体" w:eastAsia="宋体" w:cs="宋体"/>
                <w:color w:val="auto"/>
                <w:sz w:val="24"/>
                <w:highlight w:val="none"/>
                <w:lang w:val="en-US" w:eastAsia="en-US"/>
              </w:rPr>
              <w:t xml:space="preserve">12</w:t>
            </w:r>
            <w:r/>
          </w:p>
        </w:tc>
        <w:tc>
          <w:tcPr>
            <w:tcW w:w="1994" w:type="dxa"/>
            <w:vAlign w:val="center"/>
            <w:textDirection w:val="lrTb"/>
            <w:noWrap w:val="false"/>
          </w:tcPr>
          <w:p>
            <w:pPr>
              <w:pStyle w:val="1023"/>
              <w:ind w:firstLine="0"/>
              <w:jc w:val="center"/>
              <w:rPr>
                <w:rFonts w:hint="eastAsia" w:ascii="宋体" w:hAnsi="宋体" w:eastAsia="宋体" w:cs="宋体"/>
                <w:color w:val="auto"/>
                <w:sz w:val="24"/>
                <w:highlight w:val="none"/>
                <w:lang w:val="en-US" w:eastAsia="en-US"/>
              </w:rPr>
            </w:pPr>
            <w:r>
              <w:rPr>
                <w:rFonts w:hint="eastAsia" w:ascii="宋体" w:hAnsi="宋体" w:eastAsia="宋体" w:cs="宋体"/>
                <w:color w:val="auto"/>
                <w:sz w:val="24"/>
                <w:highlight w:val="none"/>
                <w:lang w:val="en-US" w:eastAsia="en-US"/>
              </w:rPr>
              <w:t xml:space="preserve">特别说明</w:t>
            </w:r>
            <w:r/>
          </w:p>
        </w:tc>
        <w:tc>
          <w:tcPr>
            <w:tcW w:w="6819" w:type="dxa"/>
            <w:vAlign w:val="center"/>
            <w:textDirection w:val="lrTb"/>
            <w:noWrap w:val="false"/>
          </w:tcPr>
          <w:p>
            <w:pPr>
              <w:pStyle w:val="1023"/>
              <w:ind w:firstLine="0"/>
              <w:rPr>
                <w:rFonts w:hint="eastAsia" w:ascii="宋体" w:hAnsi="宋体" w:eastAsia="宋体" w:cs="宋体"/>
                <w:i/>
                <w:iCs/>
                <w:color w:val="auto"/>
                <w:sz w:val="24"/>
                <w:highlight w:val="none"/>
                <w:lang w:val="en-US" w:eastAsia="en-US"/>
              </w:rPr>
            </w:pPr>
            <w:r>
              <w:rPr>
                <w:rFonts w:hint="eastAsia" w:ascii="宋体" w:hAnsi="宋体" w:eastAsia="宋体" w:cs="宋体"/>
                <w:color w:val="auto"/>
                <w:sz w:val="24"/>
                <w:highlight w:val="none"/>
                <w:lang w:val="en-US" w:eastAsia="en-US"/>
              </w:rPr>
              <w:t xml:space="preserve">无</w:t>
            </w:r>
            <w:r/>
          </w:p>
        </w:tc>
      </w:tr>
    </w:tbl>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22"/>
        <w:jc w:val="center"/>
        <w:keepLines w:val="0"/>
        <w:keepNext w:val="0"/>
        <w:spacing w:before="0" w:after="0" w:line="360" w:lineRule="auto"/>
        <w:rPr>
          <w:rFonts w:hint="eastAsia" w:ascii="宋体" w:hAnsi="宋体" w:eastAsia="宋体" w:cs="宋体"/>
          <w:color w:val="auto"/>
          <w:highlight w:val="none"/>
        </w:rPr>
      </w:pPr>
      <w:r>
        <w:rPr>
          <w:rFonts w:hint="eastAsia" w:ascii="宋体" w:hAnsi="宋体" w:eastAsia="宋体" w:cs="宋体"/>
          <w:color w:val="auto"/>
          <w:szCs w:val="32"/>
          <w:highlight w:val="none"/>
        </w:rPr>
        <w:t xml:space="preserve">一、总  则</w:t>
      </w:r>
      <w:bookmarkEnd w:id="39"/>
      <w:r/>
      <w:bookmarkEnd w:id="40"/>
      <w:r/>
      <w:r/>
    </w:p>
    <w:p>
      <w:pPr>
        <w:pStyle w:val="1022"/>
        <w:ind w:firstLine="448"/>
        <w:keepLines w:val="0"/>
        <w:keepNext w:val="0"/>
        <w:pageBreakBefore w:val="0"/>
        <w:spacing w:before="0" w:after="0" w:line="360" w:lineRule="auto"/>
        <w:widowControl w:val="off"/>
        <w:rPr>
          <w:rFonts w:hint="eastAsia" w:ascii="宋体" w:hAnsi="宋体" w:eastAsia="宋体" w:cs="宋体"/>
          <w:color w:val="auto"/>
          <w:sz w:val="30"/>
          <w:highlight w:val="none"/>
        </w:rPr>
      </w:pPr>
      <w:r/>
      <w:bookmarkStart w:id="43" w:name="_Toc92168001"/>
      <w:r/>
      <w:bookmarkStart w:id="44" w:name="_Toc100386035"/>
      <w:r>
        <w:rPr>
          <w:rFonts w:hint="eastAsia" w:ascii="宋体" w:hAnsi="宋体" w:eastAsia="宋体" w:cs="宋体"/>
          <w:color w:val="auto"/>
          <w:sz w:val="30"/>
          <w:highlight w:val="none"/>
        </w:rPr>
        <w:t xml:space="preserve">1．适用范围</w:t>
      </w:r>
      <w:bookmarkEnd w:id="43"/>
      <w:r/>
      <w:bookmarkEnd w:id="44"/>
      <w:r/>
      <w:r/>
    </w:p>
    <w:p>
      <w:pPr>
        <w:ind w:firstLine="480"/>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1.1 本招标文件仅适用于</w:t>
      </w:r>
      <w:r>
        <w:rPr>
          <w:rFonts w:hint="eastAsia" w:ascii="宋体" w:hAnsi="宋体" w:cs="宋体"/>
          <w:color w:val="auto"/>
          <w:sz w:val="24"/>
          <w:highlight w:val="none"/>
          <w:u w:val="single"/>
          <w:lang w:eastAsia="zh-CN"/>
        </w:rPr>
        <w:t xml:space="preserve">宝华新城实验幼儿园教育教学设备设施、办公家具采购</w:t>
      </w:r>
      <w:r>
        <w:rPr>
          <w:rFonts w:hint="eastAsia" w:ascii="宋体" w:hAnsi="宋体" w:eastAsia="宋体" w:cs="宋体"/>
          <w:color w:val="auto"/>
          <w:sz w:val="24"/>
          <w:highlight w:val="none"/>
          <w:u w:val="single"/>
          <w:lang w:eastAsia="zh-CN"/>
        </w:rPr>
        <w:t xml:space="preserve"> </w:t>
      </w:r>
      <w:r>
        <w:rPr>
          <w:rFonts w:hint="eastAsia" w:ascii="宋体" w:hAnsi="宋体" w:eastAsia="宋体" w:cs="宋体"/>
          <w:color w:val="auto"/>
          <w:sz w:val="24"/>
          <w:highlight w:val="none"/>
          <w:u w:val="single"/>
        </w:rPr>
        <w:t xml:space="preserve">。</w:t>
      </w:r>
      <w:r/>
    </w:p>
    <w:p>
      <w:pPr>
        <w:pStyle w:val="1022"/>
        <w:ind w:firstLine="448"/>
        <w:keepLines w:val="0"/>
        <w:keepNext w:val="0"/>
        <w:pageBreakBefore w:val="0"/>
        <w:spacing w:before="0" w:after="0" w:line="360" w:lineRule="auto"/>
        <w:widowControl w:val="off"/>
        <w:rPr>
          <w:rFonts w:hint="eastAsia" w:ascii="宋体" w:hAnsi="宋体" w:eastAsia="宋体" w:cs="宋体"/>
          <w:color w:val="auto"/>
          <w:sz w:val="30"/>
          <w:highlight w:val="none"/>
        </w:rPr>
      </w:pPr>
      <w:r/>
      <w:bookmarkStart w:id="45" w:name="_Toc100386036"/>
      <w:r/>
      <w:bookmarkStart w:id="46" w:name="_Toc92168002"/>
      <w:r>
        <w:rPr>
          <w:rFonts w:hint="eastAsia" w:ascii="宋体" w:hAnsi="宋体" w:eastAsia="宋体" w:cs="宋体"/>
          <w:color w:val="auto"/>
          <w:sz w:val="30"/>
          <w:highlight w:val="none"/>
        </w:rPr>
        <w:t xml:space="preserve">2．定义</w:t>
      </w:r>
      <w:bookmarkEnd w:id="45"/>
      <w:r/>
      <w:bookmarkEnd w:id="46"/>
      <w:r/>
      <w:r/>
    </w:p>
    <w:p>
      <w:pPr>
        <w:ind w:firstLine="480"/>
        <w:spacing w:line="360" w:lineRule="auto"/>
        <w:rPr>
          <w:rFonts w:hint="eastAsia" w:ascii="宋体" w:hAnsi="宋体" w:eastAsia="宋体" w:cs="宋体"/>
          <w:color w:val="auto"/>
          <w:sz w:val="24"/>
          <w:highlight w:val="none"/>
        </w:rPr>
      </w:pPr>
      <w:r/>
      <w:bookmarkStart w:id="47" w:name="_Toc20732971"/>
      <w:r/>
      <w:bookmarkStart w:id="48" w:name="_Toc98669335"/>
      <w:r/>
      <w:bookmarkStart w:id="49" w:name="_Toc92168004"/>
      <w:r/>
      <w:bookmarkStart w:id="50" w:name="_Toc100386038"/>
      <w:r/>
      <w:bookmarkStart w:id="51" w:name="_Toc98669693"/>
      <w:r>
        <w:rPr>
          <w:rFonts w:hint="eastAsia" w:ascii="宋体" w:hAnsi="宋体" w:eastAsia="宋体" w:cs="宋体"/>
          <w:color w:val="auto"/>
          <w:sz w:val="24"/>
          <w:highlight w:val="none"/>
        </w:rPr>
        <w:t xml:space="preserve">招标文件中下列术语应解释为：</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 “采购人”系指依法进行政府采购的国家机关、事业单位、团体组织，即：</w:t>
      </w:r>
      <w:r>
        <w:rPr>
          <w:rFonts w:hint="eastAsia" w:ascii="宋体" w:hAnsi="宋体" w:eastAsia="宋体" w:cs="宋体"/>
          <w:color w:val="auto"/>
          <w:sz w:val="24"/>
          <w:highlight w:val="none"/>
          <w:u w:val="single"/>
          <w:lang w:eastAsia="zh-CN"/>
        </w:rPr>
        <w:t xml:space="preserve">句容市宝华镇人民政府</w:t>
      </w:r>
      <w:r>
        <w:rPr>
          <w:rFonts w:hint="eastAsia" w:ascii="宋体" w:hAnsi="宋体" w:eastAsia="宋体" w:cs="宋体"/>
          <w:color w:val="auto"/>
          <w:sz w:val="24"/>
          <w:highlight w:val="none"/>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2.2 “投标人”系指响应招标、参加投标竞争的法人、其他组织或者自然人。</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2.3 “采购代理机构”系指组织本次采购活动的单位，即：</w:t>
      </w:r>
      <w:r>
        <w:rPr>
          <w:rFonts w:hint="eastAsia" w:ascii="宋体" w:hAnsi="宋体" w:cs="宋体"/>
          <w:color w:val="auto"/>
          <w:sz w:val="24"/>
          <w:highlight w:val="none"/>
          <w:u w:val="single"/>
          <w:lang w:eastAsia="zh-CN"/>
        </w:rPr>
        <w:t xml:space="preserve">德道天诚（南京）房地产评估咨询有限公司</w:t>
      </w:r>
      <w:r>
        <w:rPr>
          <w:rFonts w:hint="eastAsia" w:ascii="宋体" w:hAnsi="宋体" w:eastAsia="宋体" w:cs="宋体"/>
          <w:color w:val="auto"/>
          <w:sz w:val="24"/>
          <w:highlight w:val="none"/>
        </w:rPr>
        <w:t xml:space="preserve">。</w:t>
      </w:r>
      <w:r/>
    </w:p>
    <w:p>
      <w:pPr>
        <w:ind w:firstLine="480"/>
        <w:spacing w:line="360" w:lineRule="auto"/>
        <w:rPr>
          <w:rFonts w:ascii="宋体" w:hAnsi="宋体" w:eastAsia="宋体" w:cs="宋体"/>
          <w:color w:val="auto"/>
          <w:sz w:val="24"/>
          <w:highlight w:val="none"/>
          <w:u w:val="single"/>
          <w:lang w:val="en-US" w:eastAsia="zh-CN"/>
        </w:rPr>
      </w:pPr>
      <w:r>
        <w:rPr>
          <w:rFonts w:hint="eastAsia" w:ascii="宋体" w:hAnsi="宋体" w:eastAsia="宋体" w:cs="宋体"/>
          <w:color w:val="auto"/>
          <w:sz w:val="24"/>
          <w:highlight w:val="none"/>
        </w:rPr>
        <w:t xml:space="preserve">2.4“货物”系指本招标文件所述采购标的涉及的各种形态和种类的物品，即：</w:t>
      </w:r>
      <w:r>
        <w:rPr>
          <w:rFonts w:hint="eastAsia" w:ascii="宋体" w:hAnsi="宋体" w:eastAsia="宋体" w:cs="宋体"/>
          <w:color w:val="auto"/>
          <w:sz w:val="24"/>
          <w:highlight w:val="none"/>
          <w:u w:val="single"/>
          <w:lang w:val="en-US" w:eastAsia="zh-CN"/>
        </w:rPr>
        <w:t xml:space="preserve">宝华新城实验幼儿园教育教学设备设施、办公家具。 </w:t>
      </w:r>
      <w:r/>
    </w:p>
    <w:p>
      <w:pPr>
        <w:ind w:firstLine="480"/>
        <w:spacing w:line="360" w:lineRule="auto"/>
        <w:rPr>
          <w:rFonts w:hint="eastAsia" w:ascii="宋体" w:hAnsi="宋体" w:eastAsia="宋体" w:cs="宋体"/>
          <w:color w:val="auto"/>
          <w:sz w:val="24"/>
          <w:highlight w:val="none"/>
          <w:u w:val="single"/>
          <w:lang w:val="en-US" w:eastAsia="zh-CN"/>
        </w:rPr>
      </w:pPr>
      <w:r>
        <w:rPr>
          <w:rFonts w:hint="eastAsia" w:ascii="楷体" w:hAnsi="楷体" w:eastAsia="楷体"/>
          <w:color w:val="auto"/>
          <w:sz w:val="24"/>
          <w:highlight w:val="none"/>
        </w:rPr>
        <w:t xml:space="preserve">2.5“服务”系指本招标文件所述投标人应该履行的承诺和义务，</w:t>
      </w:r>
      <w:r>
        <w:rPr>
          <w:rFonts w:hint="eastAsia" w:ascii="宋体" w:hAnsi="宋体" w:eastAsia="宋体" w:cs="宋体"/>
          <w:color w:val="auto"/>
          <w:sz w:val="24"/>
          <w:highlight w:val="none"/>
          <w:u w:val="single"/>
          <w:lang w:val="en-US" w:eastAsia="zh-CN"/>
        </w:rPr>
        <w:t xml:space="preserve">即有关教育教学设备设施、办公家具的相关服务。</w:t>
      </w:r>
      <w:r/>
    </w:p>
    <w:p>
      <w:pPr>
        <w:ind w:firstLine="480"/>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t xml:space="preserve">2.6“</w:t>
      </w:r>
      <w:r>
        <w:rPr>
          <w:rFonts w:ascii="Wingdings" w:hAnsi="Wingdings" w:eastAsia="楷体"/>
          <w:color w:val="auto"/>
          <w:sz w:val="24"/>
          <w:highlight w:val="none"/>
        </w:rPr>
        <w:t xml:space="preserve"></w:t>
      </w:r>
      <w:r>
        <w:rPr>
          <w:rFonts w:hint="eastAsia" w:ascii="楷体" w:hAnsi="楷体" w:eastAsia="楷体"/>
          <w:color w:val="auto"/>
          <w:sz w:val="24"/>
          <w:highlight w:val="none"/>
        </w:rPr>
        <w:t xml:space="preserve">”系指适用本项目的要求，“☐”系指不适用本项目的要求。</w:t>
      </w:r>
      <w:r/>
    </w:p>
    <w:p>
      <w:pPr>
        <w:pStyle w:val="1022"/>
        <w:ind w:firstLine="448"/>
        <w:keepLines w:val="0"/>
        <w:keepNext w:val="0"/>
        <w:pageBreakBefore w:val="0"/>
        <w:spacing w:before="0" w:after="0" w:line="360" w:lineRule="auto"/>
        <w:widowControl w:val="off"/>
        <w:rPr>
          <w:rFonts w:hint="eastAsia" w:ascii="宋体" w:hAnsi="宋体" w:eastAsia="宋体" w:cs="宋体"/>
          <w:color w:val="auto"/>
          <w:sz w:val="30"/>
          <w:highlight w:val="none"/>
        </w:rPr>
      </w:pPr>
      <w:r>
        <w:rPr>
          <w:rFonts w:hint="eastAsia" w:ascii="宋体" w:hAnsi="宋体" w:eastAsia="宋体" w:cs="宋体"/>
          <w:color w:val="auto"/>
          <w:sz w:val="30"/>
          <w:highlight w:val="none"/>
        </w:rPr>
        <w:t xml:space="preserve">3．采购方式</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3.1 本次采购采取公开招标方式☑综合评分法□最低评标价法。</w:t>
      </w:r>
      <w:r/>
    </w:p>
    <w:p>
      <w:pPr>
        <w:ind w:firstLine="480"/>
        <w:spacing w:line="360" w:lineRule="auto"/>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3.2 本项目资格审查方式：</w:t>
      </w:r>
      <w:r>
        <w:rPr>
          <w:rFonts w:hint="eastAsia" w:ascii="宋体" w:hAnsi="宋体" w:eastAsia="宋体" w:cs="宋体"/>
          <w:color w:val="auto"/>
          <w:sz w:val="24"/>
          <w:highlight w:val="none"/>
        </w:rPr>
        <w:t xml:space="preserve">式☑</w:t>
      </w:r>
      <w:r>
        <w:rPr>
          <w:rFonts w:hint="eastAsia" w:ascii="宋体" w:hAnsi="宋体" w:eastAsia="宋体" w:cs="宋体"/>
          <w:color w:val="auto"/>
          <w:sz w:val="24"/>
          <w:szCs w:val="28"/>
          <w:highlight w:val="none"/>
        </w:rPr>
        <w:t xml:space="preserve">资格后审  □资格预审</w:t>
      </w:r>
      <w:r/>
    </w:p>
    <w:p>
      <w:pPr>
        <w:ind w:firstLine="480"/>
        <w:spacing w:line="360" w:lineRule="auto"/>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3.3 本次采购确定的中标人数量：1名</w:t>
      </w:r>
      <w:r/>
    </w:p>
    <w:p>
      <w:pPr>
        <w:pStyle w:val="1022"/>
        <w:ind w:firstLine="448"/>
        <w:keepLines w:val="0"/>
        <w:keepNext w:val="0"/>
        <w:pageBreakBefore w:val="0"/>
        <w:spacing w:before="0" w:after="0" w:line="360" w:lineRule="auto"/>
        <w:widowControl w:val="off"/>
        <w:rPr>
          <w:rFonts w:hint="eastAsia" w:ascii="宋体" w:hAnsi="宋体" w:eastAsia="宋体" w:cs="宋体"/>
          <w:color w:val="auto"/>
          <w:sz w:val="30"/>
          <w:highlight w:val="none"/>
        </w:rPr>
      </w:pPr>
      <w:r>
        <w:rPr>
          <w:rFonts w:hint="eastAsia" w:ascii="宋体" w:hAnsi="宋体" w:eastAsia="宋体" w:cs="宋体"/>
          <w:color w:val="auto"/>
          <w:sz w:val="30"/>
          <w:highlight w:val="none"/>
        </w:rPr>
        <w:t xml:space="preserve">4．投标费用</w:t>
      </w:r>
      <w:bookmarkEnd w:id="47"/>
      <w:r/>
      <w:bookmarkEnd w:id="48"/>
      <w:r/>
      <w:bookmarkEnd w:id="49"/>
      <w:r/>
      <w:bookmarkEnd w:id="50"/>
      <w:r/>
      <w:bookmarkEnd w:id="51"/>
      <w:r/>
      <w:r/>
    </w:p>
    <w:p>
      <w:pPr>
        <w:ind w:firstLine="480"/>
        <w:spacing w:line="360" w:lineRule="auto"/>
        <w:rPr>
          <w:rFonts w:hint="eastAsia" w:ascii="宋体" w:hAnsi="宋体" w:eastAsia="宋体" w:cs="宋体"/>
          <w:b/>
          <w:color w:val="auto"/>
          <w:sz w:val="24"/>
          <w:highlight w:val="none"/>
        </w:rPr>
      </w:pPr>
      <w:r>
        <w:rPr>
          <w:rFonts w:hint="eastAsia" w:ascii="宋体" w:hAnsi="宋体" w:eastAsia="宋体" w:cs="宋体"/>
          <w:color w:val="auto"/>
          <w:sz w:val="24"/>
          <w:highlight w:val="none"/>
        </w:rPr>
        <w:t xml:space="preserve">4.1 投标人应自行承担所有与参加投标有关的费用</w:t>
      </w:r>
      <w:r>
        <w:rPr>
          <w:rFonts w:hint="eastAsia" w:ascii="宋体" w:hAnsi="宋体" w:eastAsia="宋体" w:cs="宋体"/>
          <w:b/>
          <w:color w:val="auto"/>
          <w:sz w:val="24"/>
          <w:highlight w:val="none"/>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（1）☑因采购人年度预算中未单独列支代理服务费，中标供应商需向代理机构缴纳招标代理服务费。</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收费标准是参照国家计委关于印发《代理服务收费管理暂行办法》的通知（计价格[2002]1980 号）的70%计算。</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代理费用收款信息：      </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收款单位：</w:t>
      </w:r>
      <w:r>
        <w:rPr>
          <w:rFonts w:hint="eastAsia" w:ascii="宋体" w:hAnsi="宋体" w:cs="宋体"/>
          <w:color w:val="auto"/>
          <w:sz w:val="24"/>
          <w:highlight w:val="none"/>
          <w:lang w:eastAsia="zh-CN"/>
        </w:rPr>
        <w:t xml:space="preserve">德道天诚（南京）房地产评估咨询有限公司</w:t>
      </w:r>
      <w:r>
        <w:rPr>
          <w:rFonts w:hint="eastAsia" w:ascii="宋体" w:hAnsi="宋体" w:eastAsia="宋体" w:cs="宋体"/>
          <w:color w:val="auto"/>
          <w:sz w:val="24"/>
          <w:highlight w:val="none"/>
        </w:rPr>
        <w:t xml:space="preserve">句容分公司    </w:t>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收款账号：</w:t>
      </w:r>
      <w:r>
        <w:rPr>
          <w:rFonts w:hint="eastAsia" w:ascii="宋体" w:hAnsi="宋体" w:cs="宋体"/>
          <w:color w:val="auto"/>
          <w:sz w:val="24"/>
          <w:highlight w:val="none"/>
          <w:lang w:eastAsia="zh-CN"/>
        </w:rPr>
        <w:t xml:space="preserve">70660188000006207</w:t>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开户银行：</w:t>
      </w:r>
      <w:r>
        <w:rPr>
          <w:rFonts w:hint="eastAsia" w:ascii="宋体" w:hAnsi="宋体" w:cs="宋体"/>
          <w:color w:val="auto"/>
          <w:sz w:val="24"/>
          <w:highlight w:val="none"/>
          <w:lang w:eastAsia="zh-CN"/>
        </w:rPr>
        <w:t xml:space="preserve">江苏银行股份有限公司句容长江路支行</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4.2不论投标的结果如何，采购人和采购代理机构在任何情况下均无义务和责任承担上述费用。</w:t>
      </w:r>
      <w:r/>
    </w:p>
    <w:p>
      <w:pPr>
        <w:pStyle w:val="1022"/>
        <w:ind w:firstLine="448"/>
        <w:keepLines w:val="0"/>
        <w:keepNext w:val="0"/>
        <w:pageBreakBefore w:val="0"/>
        <w:spacing w:before="0" w:after="0" w:line="360" w:lineRule="auto"/>
        <w:widowControl w:val="off"/>
        <w:rPr>
          <w:rFonts w:hint="eastAsia" w:ascii="宋体" w:hAnsi="宋体" w:eastAsia="宋体" w:cs="宋体"/>
          <w:color w:val="auto"/>
          <w:sz w:val="30"/>
          <w:highlight w:val="none"/>
        </w:rPr>
      </w:pPr>
      <w:r/>
      <w:bookmarkStart w:id="52" w:name="_Toc20732973"/>
      <w:r/>
      <w:bookmarkStart w:id="53" w:name="_Toc92168005"/>
      <w:r/>
      <w:bookmarkStart w:id="54" w:name="_Toc100386039"/>
      <w:r/>
      <w:bookmarkStart w:id="55" w:name="_Toc98669336"/>
      <w:r/>
      <w:bookmarkStart w:id="56" w:name="_Toc98669694"/>
      <w:r>
        <w:rPr>
          <w:rFonts w:hint="eastAsia" w:ascii="宋体" w:hAnsi="宋体" w:eastAsia="宋体" w:cs="宋体"/>
          <w:color w:val="auto"/>
          <w:sz w:val="30"/>
          <w:highlight w:val="none"/>
        </w:rPr>
        <w:t xml:space="preserve">5．政策功能</w:t>
      </w:r>
      <w:bookmarkEnd w:id="52"/>
      <w:r/>
      <w:bookmarkEnd w:id="53"/>
      <w:r/>
      <w:bookmarkEnd w:id="54"/>
      <w:r/>
      <w:bookmarkEnd w:id="55"/>
      <w:r/>
      <w:bookmarkEnd w:id="56"/>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5.1支持中小企业发展</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5.1.1中小企业，是指在中华人民共和国境内依法设立，依据国务院批准的中小企业划分标准确定的中型企业、小型企业和微型企业，但与大企业的负责人为同一人，或者与大企业存在直接控股、管理关系的除外。</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符合中小企业划分标准的个体工商户，在政府采购活动中视同中小企业。</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5.1.2在未预留份额专门面向中小企业的政府采购货物或服务项目，以及预留份额政府采购货物或服务项目中的非预留部分标项中，投标人提供的货物、工程或者服务符合下列情形的，享受中小企业扶持政策：</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5.1.2.1在货物采购项目中，货物由中小企业制造，即货物由中小企业生产且使用该中小企业商号或者注册商标；</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5.1.2.2在工程采购项目中，工程由中小企业承建，即工程施工单位为中小企业；</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5.1.2.3在服务采购项目中，服务由中小企业承接，即提供服务的人员为中小企业依照《中华人民共和国劳动合同法》订立劳动合同的从业人员。</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在货物采购项目中，投标人提供的货物既有中小企业制造货物，也有大型企业制造货物的，不享受中小企业扶持政策。</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以联合体形式参加政府采购活动，联合体各方均为中小企业的，联合体视同中小企业。其中，联合体各方均为小微企业的，联合体视同小微企业。</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5.1.3根据《政府采购促进中小企业发展管理办法》要求，对于专门面向中小微企业的项目，投标人应按照采购文件格式要求提供《中小企业声明函》；对于未预留份额专门面向中小企业的政府采购货物或服务项目，以及预留份额政府采购货物或服务项目中的非预留部分标项，对小型和微型企业的投标报价给予10%的扣除，用扣除后的价格参与评审。接受大中型企业与小微企业组成联合体或者允许大中型企业向一家或者多家小微企业分包的政府采购货物或服务项目，对于联合协议</w:t>
      </w:r>
      <w:r>
        <w:rPr>
          <w:rFonts w:hint="eastAsia" w:ascii="宋体" w:hAnsi="宋体" w:eastAsia="宋体" w:cs="宋体"/>
          <w:color w:val="auto"/>
          <w:sz w:val="24"/>
          <w:highlight w:val="none"/>
        </w:rPr>
        <w:t xml:space="preserve">或者分包意向协议约定小型、微型企业的协议合同金额占到合同总金额30%以上的，给予联合体4%的价格扣除。联合体各方均为小型、微型企业的，联合体视同为小型、微型企业享受10%的价格扣除，用扣除后的价格参与评审。可享受中小企业扶持政策的投标人应按照采购文件格式要求提供《中小企业声明函》，投标人提供的《中小企业声明函》与实际情况不符的，不享受中小企业扶持政策。声明内容不实属于提供虚假材料谋取中标、成交的，依法承担法律责任。中小企业划型标准见《关于印发中小企业划型标准规定的通知》（工信部联企业[2011]300号）。</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5.1.4根据《财政部 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5.1.5根据《关于促进残疾人就业政府采购政策的通知》（财库〔2017〕141号）要求，残疾人福利性单位视同小型、微型企业，享受与小型、微型企业产品价格同比例扣除的优惠政策。符合条件的残疾人福利性单位应当提供《残疾人福利性单位声明函》，并对声明的真实性负责。</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5.1.6中小企业享受扶持政策获得政府采购合同的，小微企业不得将合同分包给大中型企业，中型企业不得将合同分包给大型企业。</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5.2强制采购信息安全产品</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信息安全产品指国家质检总局国家认监委《信息安全产品强制性认证目录》，并获得强制性产品认证证书的产品。</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5.3支持绿色发展</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5.3.1根据《财政部 发展改革委 生态环境部 市场监管总局关于调整优化节能产品 环境标志产品政府采购执行机制的通知》（财库〔2019〕9号）的规定，对政府采购节能产品、环境标志产品实施品目清单管理。供应商所投产品属于品目清单范围的，依据国家确定的认证机构出具的、处于有效期之内的节能产品、环境标志产品认证证书，对获得证书的产品实施政府优先采购或强制采购。</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5.3.2本项目中涉及商品包装和快递包装的，参考《财政部办公厅关于印发《商品包装政府采购需求标准（试行）》、 《快递包装政府采购需求标准（试行）》的通知》（财办库〔2020〕123号）规定的包装需求标准。</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5.3.3采购产品中涉及数据中心相关设备、运维服务的，应按照《关于印发〈绿色数据中心政府采购需求标准（试行）的通知》（财办库〔2023〕7号）、《江苏省财政厅关于加强政府绿色采购有关事项的通知》（苏财购〔2023〕65号）等文件执行。采购文件中涉及数据中心相关设备、运维服务的，采购人均以《绿色数据中心政府采购需求标准（试行）》提出的指标、标准为准。</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5.3.4采购产品中涉及数据库、操作系统、通用服务器、工作站、一体式计算机、便携式计算机、台式计算机的，供应商所投产品不得违反财政部、工业和信息化部印发的《需求标准》（详见财库〔2023〕29号、30号、31号、32号、33号、34号、35号文件）。采购人可以对《需求标准》中的指标提出更高要求，也可以根据实际需要增加《需求标准》以外的指标。</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5.3.5纳入政府采购管理的装修、修缮等项目，鼓励参考财政部办公厅 住房城乡建设部办公厅 工业和信息化部办公厅关于印发《政府采购支持绿色建材促进建筑品质提升政策项目实施指南》的通知（财办库〔2023〕52号）规定的需求标准。</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5.4 根据国家扶持中小企业的有关政策，采购项目中标人在履约过程中如遇到资金困难，凭政府采购合同在相关金融机构办理授信申请，相关事宜请查阅“江苏政府采购网---政采贷”网站。</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5.5支持创新发展</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5.5.1采购人优先采购被认定为重点推广应用、首台（套）重大装备、重点领域首版次软件的自主创新产品。</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5.6平等对待内外资企业和符合条件的破产重整企业</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5.6.1平等对待内外资企业和符合条件的破产重整企业，切实保障企业公平竞争，平等维护企业的合法利益。</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5.7 强化政府采购异常低价审查</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5.7.1政府采购评审中出现下列情形之一的，评审委员会应当启动异常低价投标（响应）审查程序：</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（1）投标（响应）报价低于全部通过符合性审查供应商投标（响应）报价平均值50%的，即投标（响应）报价&lt;全部通过符合性审查供应商投标（响应）报价平均值×50%；</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（2）投标（响应）报价低于通过符合性审查的次低报价供应商投标（响应）报价50%的，即投标（响应）报价&lt;通过符合性审查的次低报价供应商投标（响应）报价×50%；</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（3）投标（响应）报价低于采购项目最高限价45%的，即投标（响应）报价&lt;采购项目最高限价×45%；</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（4）评审委员会基于专业判断，认为供应商报价过低，有可能影响产品质量或者不能诚信履约的其他情形。</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采购人可以结合具体项目实际情况，提高上述第1项至第3项中启动异常低价投标（响应）审查的数值标准，但是最高不得超过65%。</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5.7.2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5.8实施本国产品标准</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5.8.1本国产品是指</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（1）在中国境内生产</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产品应当在中国境内生产，即在中华人民共和国关境内实现从原材料、组件到产品的属性改变。</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属性改变是指经过制造、加工或者组装等工序，产生完全不同于原材料、组件的新产品，并具有新的名称和特征（用途）。属性改变不包括以下细微操作：</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①为确保产品在运输或者储存期间保持某种状态而进行的操作；</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②为产品运输或者销售进行的包装或者展示；</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③在产品或者其包装上粘贴或者印刷品牌、标志、标识以及其他用于区别的标记；</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④简单的上漆、磨光和分装；</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⑤其他不属于属性改变的情形。</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（2）在中国境内生产的组件成本占比达到规定比例</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产品在中国境内生产的组件成本占比应当达到规定比例，财政部会同有关行业主管部门，分产品确定在中国境内生产的组件成本占比应当达到的规定比例。在分产品的中国境内生产的组件成本占比相关要求实施前，符合第（1）项条件的产品在政府采购活动中视同本国产品。</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（3）特定产品的关键组件、关键工序符合相关要求</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对特定产品，在符合第（1）项和第（2）项条件的基础上，应当符合财政部会同有关行业主管部门确定的其关键组件、关键工序在中国境内生产、完成等要求。</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5.8.2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5.8.3根据《国务院办公厅关于在政府采购中实施本国产品标准及相关政策的通知》要求，政府采购活动中既有本国产品又有非本国产品参与竞争的，依法对本国产品给予价格评审优惠，对本国产品的报价给予20%的价格扣除，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5.8.3.1产品在中国境内生产的组件成本核算规则。产品在中国境内生产的组件成本，按照《中国境内生产的组件成本核算基本规则》计算。</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5.8.3.2有关证明文件。</w:t>
      </w:r>
      <w:r>
        <w:rPr>
          <w:rFonts w:hint="eastAsia" w:ascii="宋体" w:hAnsi="宋体" w:eastAsia="宋体" w:cs="宋体"/>
          <w:color w:val="auto"/>
          <w:sz w:val="24"/>
          <w:highlight w:val="none"/>
        </w:rPr>
        <w:t xml:space="preserve">采购人、采购代理机构应当在采购文件中明确要求供应商对其提供的产品出具《关于符合本国产品标准的声明函》或财政部会同有关部门规定的有关证明文件。出具符合要求的《关于符合本国产品标准的声明函》或有关证明文件的，该产品视为本国产品，采购人、采购代理机构不得再要求供应商提供其他证明材料。供应商提供虚假《关于符合本国产品标准的声明函》、虚假证明文件谋取中标、成交的，依照《中华人民共和国政府采购法》等法律法规规定追究相应责任。采购人、采购代理机构应当随中标、成交结果同时公告中标、成交供应商提供的《声明函》或有关证明文件。</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5.8.3.3平等对待各类经营主体。国有企业、民营企业、外资企业等各类经营主体平等享受对本国产品的政府采购支持政策。采购人、采购代理机构在政府采购信息发布、供应商资格条件确定和资格审查、评审标准等方面，要对各类经营主体一视同仁、平等对待，切实保障各类经营主体公平竞争。各地区、各部门要加强统筹协调，不得出台违反本通知规定的政策措施，在政府采购活动中不得指定品牌或者限制品牌注册地、所有者，不得以所有制形式、组织形式、股权结构、投资者国别以及其他不合理条件对供应商实行差别待遇或者歧视待遇。</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5.8.3.4中华人民共和国缔结或者共同参加的国际条约、协定对政府采购中本国产品政策另有规定的，按照有关条约、协定执行。</w:t>
      </w:r>
      <w:r/>
    </w:p>
    <w:p>
      <w:pPr>
        <w:pStyle w:val="1022"/>
        <w:jc w:val="center"/>
        <w:keepLines w:val="0"/>
        <w:keepNext w:val="0"/>
        <w:spacing w:before="0" w:after="0"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二、招标文件</w:t>
      </w:r>
      <w:r/>
    </w:p>
    <w:p>
      <w:pPr>
        <w:pStyle w:val="1022"/>
        <w:ind w:firstLine="448"/>
        <w:keepLines w:val="0"/>
        <w:keepNext w:val="0"/>
        <w:pageBreakBefore w:val="0"/>
        <w:spacing w:before="0" w:after="0" w:line="360" w:lineRule="auto"/>
        <w:widowControl w:val="off"/>
        <w:rPr>
          <w:rFonts w:hint="eastAsia" w:ascii="宋体" w:hAnsi="宋体" w:eastAsia="宋体" w:cs="宋体"/>
          <w:color w:val="auto"/>
          <w:sz w:val="30"/>
          <w:highlight w:val="none"/>
        </w:rPr>
      </w:pPr>
      <w:r/>
      <w:bookmarkStart w:id="57" w:name="_Toc100386042"/>
      <w:r/>
      <w:bookmarkStart w:id="58" w:name="_Toc98669697"/>
      <w:r/>
      <w:bookmarkStart w:id="59" w:name="_Toc98669339"/>
      <w:r/>
      <w:bookmarkStart w:id="60" w:name="_Toc92168008"/>
      <w:r/>
      <w:bookmarkStart w:id="61" w:name="_Toc20732976"/>
      <w:r>
        <w:rPr>
          <w:rFonts w:hint="eastAsia" w:ascii="宋体" w:hAnsi="宋体" w:eastAsia="宋体" w:cs="宋体"/>
          <w:color w:val="auto"/>
          <w:sz w:val="30"/>
          <w:highlight w:val="none"/>
        </w:rPr>
        <w:t xml:space="preserve">6.招标文件组成</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6.1 招标文件包括：</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（1）投标邀请</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（2）投标人须知                  </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（3）拟签订的合同文本</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（4）采购需求</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（5）评标办法和标准</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（6）投标文件（格式）</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6.2 投标人获取本文件后，应认真阅读本文件中所有的事项、格式条款和规范等要求。</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6.3 </w:t>
      </w:r>
      <w:r>
        <w:rPr>
          <w:rFonts w:hint="eastAsia" w:ascii="宋体" w:hAnsi="宋体" w:eastAsia="宋体" w:cs="宋体"/>
          <w:b/>
          <w:color w:val="auto"/>
          <w:sz w:val="24"/>
          <w:highlight w:val="none"/>
          <w:u w:val="single"/>
        </w:rPr>
        <w:t xml:space="preserve">除非有特殊要求，招标文件不单独提供招标标的所在地自然环境、气象条件、公用设施等情况，投标人被视为熟悉上述与签订和履行合同有关的一切情况</w:t>
      </w:r>
      <w:r>
        <w:rPr>
          <w:rFonts w:hint="eastAsia" w:ascii="宋体" w:hAnsi="宋体" w:eastAsia="宋体" w:cs="宋体"/>
          <w:color w:val="auto"/>
          <w:sz w:val="24"/>
          <w:highlight w:val="none"/>
        </w:rPr>
        <w:t xml:space="preserve">。</w:t>
      </w:r>
      <w:r/>
    </w:p>
    <w:p>
      <w:pPr>
        <w:pStyle w:val="1022"/>
        <w:ind w:firstLine="448"/>
        <w:keepLines w:val="0"/>
        <w:keepNext w:val="0"/>
        <w:pageBreakBefore w:val="0"/>
        <w:spacing w:before="0" w:after="0" w:line="360" w:lineRule="auto"/>
        <w:widowControl w:val="off"/>
        <w:rPr>
          <w:rFonts w:hint="eastAsia" w:ascii="宋体" w:hAnsi="宋体" w:eastAsia="宋体" w:cs="宋体"/>
          <w:color w:val="auto"/>
          <w:sz w:val="30"/>
          <w:highlight w:val="none"/>
        </w:rPr>
      </w:pPr>
      <w:r>
        <w:rPr>
          <w:rFonts w:hint="eastAsia" w:ascii="宋体" w:hAnsi="宋体" w:eastAsia="宋体" w:cs="宋体"/>
          <w:color w:val="auto"/>
          <w:sz w:val="30"/>
          <w:highlight w:val="none"/>
        </w:rPr>
        <w:t xml:space="preserve">7．招标文件的澄清</w:t>
      </w:r>
      <w:bookmarkEnd w:id="57"/>
      <w:r/>
      <w:bookmarkEnd w:id="58"/>
      <w:r/>
      <w:bookmarkEnd w:id="59"/>
      <w:r/>
      <w:bookmarkEnd w:id="60"/>
      <w:r/>
      <w:bookmarkEnd w:id="61"/>
      <w:r/>
      <w:bookmarkStart w:id="62" w:name="_Toc20732977"/>
      <w:r/>
      <w:bookmarkStart w:id="63" w:name="_Toc100386043"/>
      <w:r/>
      <w:bookmarkStart w:id="64" w:name="_Toc98669340"/>
      <w:r/>
      <w:bookmarkStart w:id="65" w:name="_Toc92168009"/>
      <w:r/>
      <w:bookmarkStart w:id="66" w:name="_Toc98669698"/>
      <w:r>
        <w:rPr>
          <w:rFonts w:hint="eastAsia" w:ascii="宋体" w:hAnsi="宋体" w:eastAsia="宋体" w:cs="宋体"/>
          <w:color w:val="auto"/>
          <w:sz w:val="30"/>
          <w:highlight w:val="none"/>
        </w:rPr>
        <w:t xml:space="preserve">和修改</w:t>
      </w:r>
      <w:bookmarkEnd w:id="62"/>
      <w:r/>
      <w:bookmarkEnd w:id="63"/>
      <w:r/>
      <w:bookmarkEnd w:id="64"/>
      <w:r/>
      <w:bookmarkEnd w:id="65"/>
      <w:r/>
      <w:bookmarkEnd w:id="66"/>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7.1 任何要求对招标文件进行澄清的潜在投标人，应及时联系项目联系人。</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7.2 </w:t>
      </w:r>
      <w:r>
        <w:rPr>
          <w:rFonts w:hint="eastAsia" w:ascii="宋体" w:hAnsi="宋体" w:eastAsia="宋体" w:cs="宋体"/>
          <w:b/>
          <w:color w:val="auto"/>
          <w:sz w:val="24"/>
          <w:highlight w:val="none"/>
        </w:rPr>
        <w:t xml:space="preserve">按照权责相一致原则，投标人提出的对于招标文件主要商务、技术指标的相关澄清、修改要求，由采购人负责答复并视情况作出澄清或修改的决定。</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7.3 采购代理机构可以对已发出的招标文件、资格预审文件、投标邀请进行必要的澄清或者修改，但不改变采购标的和资格要求。澄清或者修改将在原公告媒体上发布澄清公告，澄清或者修改的内容为招标文件、资格预审文件、投标邀请的组成部分。</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7.4 澄清或者修改的内容可能影响投标文件编制的，采购代理机构将在提交截止时间至少15日前，在系统中以书面形式通知所有已获取招标文件的潜在投标人；不足15日的，采购代理机构将顺延提交投标文件的截止时间。投标人应及时自行登录系统查看相应内容。</w:t>
      </w:r>
      <w:r/>
    </w:p>
    <w:p>
      <w:pPr>
        <w:pStyle w:val="1022"/>
        <w:keepLines w:val="0"/>
        <w:keepNext w:val="0"/>
        <w:spacing w:before="0" w:after="0" w:line="360" w:lineRule="auto"/>
        <w:tabs>
          <w:tab w:val="left" w:pos="492" w:leader="none"/>
        </w:tabs>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rPr>
        <w:tab/>
      </w:r>
      <w:r>
        <w:rPr>
          <w:rFonts w:hint="eastAsia" w:ascii="宋体" w:hAnsi="宋体" w:eastAsia="宋体" w:cs="宋体"/>
          <w:b w:val="0"/>
          <w:color w:val="auto"/>
          <w:sz w:val="24"/>
          <w:szCs w:val="24"/>
          <w:highlight w:val="none"/>
        </w:rPr>
        <w:t xml:space="preserve">7.5</w:t>
      </w:r>
      <w:r>
        <w:rPr>
          <w:rFonts w:hint="eastAsia" w:ascii="宋体" w:hAnsi="宋体" w:eastAsia="宋体" w:cs="宋体"/>
          <w:color w:val="auto"/>
          <w:sz w:val="24"/>
          <w:szCs w:val="24"/>
          <w:highlight w:val="none"/>
        </w:rPr>
        <w:t xml:space="preserve"> 如</w:t>
      </w:r>
      <w:r>
        <w:rPr>
          <w:rFonts w:hint="eastAsia" w:ascii="宋体" w:hAnsi="宋体" w:eastAsia="宋体" w:cs="宋体"/>
          <w:color w:val="auto"/>
          <w:sz w:val="24"/>
          <w:highlight w:val="none"/>
        </w:rPr>
        <w:t xml:space="preserve">澄清或修改公告</w:t>
      </w:r>
      <w:r>
        <w:rPr>
          <w:rFonts w:hint="eastAsia" w:ascii="宋体" w:hAnsi="宋体" w:eastAsia="宋体" w:cs="宋体"/>
          <w:color w:val="auto"/>
          <w:sz w:val="24"/>
          <w:szCs w:val="24"/>
          <w:highlight w:val="none"/>
        </w:rPr>
        <w:t xml:space="preserve">有重新发布招标文件的，投标人应下载最新发布的招标文件制作投标文件。因投标人自身原因未能及时获取的，一切后果由投标人自行承担。</w:t>
      </w:r>
      <w:r/>
    </w:p>
    <w:p>
      <w:pPr>
        <w:pStyle w:val="1022"/>
        <w:jc w:val="center"/>
        <w:keepLines w:val="0"/>
        <w:keepNext w:val="0"/>
        <w:spacing w:before="200" w:after="200"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三、投标文件</w:t>
      </w:r>
      <w:r/>
    </w:p>
    <w:p>
      <w:pPr>
        <w:pStyle w:val="1022"/>
        <w:ind w:firstLine="448"/>
        <w:keepLines w:val="0"/>
        <w:keepNext w:val="0"/>
        <w:pageBreakBefore w:val="0"/>
        <w:spacing w:before="0" w:after="0" w:line="360" w:lineRule="auto"/>
        <w:widowControl w:val="off"/>
        <w:rPr>
          <w:rFonts w:hint="eastAsia" w:ascii="宋体" w:hAnsi="宋体" w:eastAsia="宋体" w:cs="宋体"/>
          <w:color w:val="auto"/>
          <w:sz w:val="30"/>
          <w:highlight w:val="none"/>
        </w:rPr>
      </w:pPr>
      <w:r>
        <w:rPr>
          <w:rFonts w:hint="eastAsia" w:ascii="宋体" w:hAnsi="宋体" w:eastAsia="宋体" w:cs="宋体"/>
          <w:color w:val="auto"/>
          <w:sz w:val="30"/>
          <w:highlight w:val="none"/>
        </w:rPr>
        <w:t xml:space="preserve">8.编制投标文件的工具</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8.1 供应商须通“苏采云”系统的相关要求编制投标文件。</w:t>
      </w:r>
      <w:r/>
    </w:p>
    <w:p>
      <w:pPr>
        <w:pStyle w:val="1022"/>
        <w:ind w:firstLine="448"/>
        <w:keepLines w:val="0"/>
        <w:keepNext w:val="0"/>
        <w:pageBreakBefore w:val="0"/>
        <w:spacing w:before="0" w:after="0" w:line="360" w:lineRule="auto"/>
        <w:widowControl w:val="off"/>
        <w:rPr>
          <w:rFonts w:hint="eastAsia" w:ascii="宋体" w:hAnsi="宋体" w:eastAsia="宋体" w:cs="宋体"/>
          <w:color w:val="auto"/>
          <w:sz w:val="30"/>
          <w:highlight w:val="none"/>
        </w:rPr>
      </w:pPr>
      <w:r>
        <w:rPr>
          <w:rFonts w:hint="eastAsia" w:ascii="宋体" w:hAnsi="宋体" w:eastAsia="宋体" w:cs="宋体"/>
          <w:color w:val="auto"/>
          <w:sz w:val="30"/>
          <w:highlight w:val="none"/>
        </w:rPr>
        <w:t xml:space="preserve">9.投标文件语言及度量衡单位</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9.1 投标人的投标文件以及投标人就有关投标的所有来往通知、函件和文件均应使用简体中文。投标人提交的支持性文件可以使用另一种语言，但相应内容应翻译成中文，在解释响应文件时以中文文本为准。</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9.2 投标文件中所使用的计量单位除招标文件中另有特殊规定外，一律使用法定计量单位。</w:t>
      </w:r>
      <w:r/>
    </w:p>
    <w:p>
      <w:pPr>
        <w:pStyle w:val="1022"/>
        <w:ind w:firstLine="448"/>
        <w:keepLines w:val="0"/>
        <w:keepNext w:val="0"/>
        <w:pageBreakBefore w:val="0"/>
        <w:spacing w:before="0" w:after="0" w:line="360" w:lineRule="auto"/>
        <w:widowControl w:val="off"/>
        <w:rPr>
          <w:rFonts w:hint="eastAsia" w:ascii="宋体" w:hAnsi="宋体" w:eastAsia="宋体" w:cs="宋体"/>
          <w:color w:val="auto"/>
          <w:sz w:val="30"/>
          <w:highlight w:val="none"/>
        </w:rPr>
      </w:pPr>
      <w:r>
        <w:rPr>
          <w:rFonts w:hint="eastAsia" w:ascii="宋体" w:hAnsi="宋体" w:eastAsia="宋体" w:cs="宋体"/>
          <w:color w:val="auto"/>
          <w:sz w:val="30"/>
          <w:highlight w:val="none"/>
        </w:rPr>
        <w:t xml:space="preserve">10.投标文件的构成</w:t>
      </w:r>
      <w:r/>
    </w:p>
    <w:p>
      <w:pPr>
        <w:pStyle w:val="1028"/>
        <w:ind w:firstLine="425"/>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10.1 投标文件分为资格部分、商务部分、技术部分和价格部分。</w:t>
      </w:r>
      <w:r/>
    </w:p>
    <w:p>
      <w:pPr>
        <w:pStyle w:val="1028"/>
        <w:ind w:firstLine="425"/>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10.2 资格部分系指投标人提交的证明其有资格参加投标的文件。</w:t>
      </w:r>
      <w:r/>
    </w:p>
    <w:p>
      <w:pPr>
        <w:pStyle w:val="1028"/>
        <w:ind w:firstLine="425"/>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10.2 商务部分系指投标人提交的证明其中标后有能力履行合同的文件。</w:t>
      </w:r>
      <w:r/>
    </w:p>
    <w:p>
      <w:pPr>
        <w:pStyle w:val="1028"/>
        <w:ind w:firstLine="425"/>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10.3 技术部分系指投标人提交的能够证明投标人提供的货物（服务）符合招标文件规定的文件。</w:t>
      </w:r>
      <w:r/>
    </w:p>
    <w:p>
      <w:pPr>
        <w:pStyle w:val="1028"/>
        <w:ind w:firstLine="425"/>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10.4 具体填写格式详见招标文件第六部分。</w:t>
      </w:r>
      <w:r/>
    </w:p>
    <w:p>
      <w:pPr>
        <w:pStyle w:val="1022"/>
        <w:ind w:firstLine="446"/>
        <w:keepLines w:val="0"/>
        <w:keepNext w:val="0"/>
        <w:spacing w:before="200" w:after="200" w:line="360" w:lineRule="auto"/>
        <w:rPr>
          <w:rFonts w:hint="eastAsia" w:ascii="宋体" w:hAnsi="宋体" w:eastAsia="宋体" w:cs="宋体"/>
          <w:color w:val="auto"/>
          <w:sz w:val="30"/>
          <w:highlight w:val="none"/>
        </w:rPr>
      </w:pPr>
      <w:r>
        <w:rPr>
          <w:rFonts w:hint="eastAsia" w:ascii="宋体" w:hAnsi="宋体" w:eastAsia="宋体" w:cs="宋体"/>
          <w:color w:val="auto"/>
          <w:sz w:val="30"/>
          <w:highlight w:val="none"/>
        </w:rPr>
        <w:t xml:space="preserve">11．投标文件的编制</w:t>
      </w:r>
      <w:r/>
    </w:p>
    <w:p>
      <w:pPr>
        <w:ind w:left="1" w:firstLine="480"/>
        <w:spacing w:line="360" w:lineRule="auto"/>
        <w:rPr>
          <w:rFonts w:hint="eastAsia" w:ascii="宋体" w:hAnsi="宋体" w:eastAsia="宋体" w:cs="宋体"/>
          <w:b/>
          <w:color w:val="auto"/>
          <w:sz w:val="24"/>
          <w:highlight w:val="none"/>
        </w:rPr>
      </w:pPr>
      <w:r>
        <w:rPr>
          <w:rFonts w:hint="eastAsia" w:ascii="宋体" w:hAnsi="宋体" w:eastAsia="宋体" w:cs="宋体"/>
          <w:color w:val="auto"/>
          <w:sz w:val="24"/>
          <w:highlight w:val="none"/>
        </w:rPr>
        <w:t xml:space="preserve">11.1 投标人应仔细阅读招标文件，按照招标文件的要求编制投标文件。投标文件应当对招标文件提出的要求和条件作出明确响应。</w:t>
      </w:r>
      <w:r/>
    </w:p>
    <w:p>
      <w:pPr>
        <w:ind w:left="1" w:firstLine="480"/>
        <w:spacing w:line="360" w:lineRule="auto"/>
        <w:rPr>
          <w:rFonts w:hint="eastAsia" w:ascii="宋体" w:hAnsi="宋体" w:eastAsia="宋体" w:cs="宋体"/>
          <w:b/>
          <w:color w:val="auto"/>
          <w:sz w:val="24"/>
          <w:highlight w:val="none"/>
        </w:rPr>
      </w:pPr>
      <w:r>
        <w:rPr>
          <w:rFonts w:hint="eastAsia" w:ascii="宋体" w:hAnsi="宋体" w:eastAsia="宋体" w:cs="宋体"/>
          <w:color w:val="auto"/>
          <w:sz w:val="24"/>
          <w:highlight w:val="none"/>
        </w:rPr>
        <w:t xml:space="preserve">11.2 </w:t>
      </w:r>
      <w:r>
        <w:rPr>
          <w:rFonts w:hint="eastAsia" w:ascii="宋体" w:hAnsi="宋体" w:eastAsia="宋体" w:cs="宋体"/>
          <w:b/>
          <w:color w:val="auto"/>
          <w:sz w:val="24"/>
          <w:highlight w:val="none"/>
        </w:rPr>
        <w:t xml:space="preserve">投标人在编制投标文件时，请按照招标文件第六部分规定的格式进行填写并提交到对应位置，无相应内容可填的项应填写“无”、“没有相应指标”等明确的回答文字。</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11.3 如没有按照招标文件要求和规定编制投标文件及提交相关资料，其风险应由投标人自行承担；投标文件编排混乱、文字表达不清或上传资料内容模糊所引起的不利后果，由投标人自行承担。</w:t>
      </w:r>
      <w:r/>
    </w:p>
    <w:p>
      <w:pPr>
        <w:ind w:left="1" w:firstLine="480"/>
        <w:spacing w:line="360" w:lineRule="auto"/>
        <w:rPr>
          <w:rFonts w:hint="eastAsia" w:ascii="宋体" w:hAnsi="宋体" w:eastAsia="宋体" w:cs="宋体"/>
          <w:b/>
          <w:color w:val="auto"/>
          <w:sz w:val="24"/>
          <w:highlight w:val="none"/>
        </w:rPr>
      </w:pPr>
      <w:r>
        <w:rPr>
          <w:rFonts w:hint="eastAsia" w:ascii="宋体" w:hAnsi="宋体" w:eastAsia="宋体" w:cs="宋体"/>
          <w:color w:val="auto"/>
          <w:sz w:val="24"/>
          <w:highlight w:val="none"/>
        </w:rPr>
        <w:t xml:space="preserve">11.4 </w:t>
      </w:r>
      <w:r>
        <w:rPr>
          <w:rFonts w:hint="eastAsia" w:ascii="宋体" w:hAnsi="宋体" w:eastAsia="宋体" w:cs="宋体"/>
          <w:b/>
          <w:color w:val="auto"/>
          <w:sz w:val="24"/>
          <w:highlight w:val="none"/>
        </w:rPr>
        <w:t xml:space="preserve">投标人必须保证投标文件所提供的全部资料合法、真实、可靠。</w:t>
      </w:r>
      <w:r/>
    </w:p>
    <w:p>
      <w:pPr>
        <w:ind w:firstLine="446"/>
        <w:spacing w:line="360" w:lineRule="auto"/>
        <w:rPr>
          <w:rFonts w:hint="eastAsia" w:ascii="宋体" w:hAnsi="宋体" w:eastAsia="宋体" w:cs="宋体"/>
          <w:color w:val="auto"/>
          <w:sz w:val="24"/>
          <w:highlight w:val="none"/>
        </w:rPr>
      </w:pPr>
      <w:r>
        <w:rPr>
          <w:rFonts w:hint="eastAsia" w:ascii="宋体" w:hAnsi="宋体" w:eastAsia="宋体" w:cs="宋体"/>
          <w:b/>
          <w:color w:val="auto"/>
          <w:sz w:val="30"/>
          <w:highlight w:val="none"/>
        </w:rPr>
        <w:t xml:space="preserve">13．投标保证金</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13.1 本项目不收投标保证金。</w:t>
      </w:r>
      <w:r/>
    </w:p>
    <w:p>
      <w:pPr>
        <w:pStyle w:val="1022"/>
        <w:ind w:firstLine="448"/>
        <w:keepLines w:val="0"/>
        <w:keepNext w:val="0"/>
        <w:pageBreakBefore w:val="0"/>
        <w:spacing w:before="0" w:after="0" w:line="360" w:lineRule="auto"/>
        <w:widowControl w:val="off"/>
        <w:rPr>
          <w:rFonts w:hint="eastAsia" w:ascii="宋体" w:hAnsi="宋体" w:eastAsia="宋体" w:cs="宋体"/>
          <w:color w:val="auto"/>
          <w:sz w:val="30"/>
          <w:highlight w:val="none"/>
        </w:rPr>
      </w:pPr>
      <w:r>
        <w:rPr>
          <w:rFonts w:hint="eastAsia" w:ascii="宋体" w:hAnsi="宋体" w:eastAsia="宋体" w:cs="宋体"/>
          <w:color w:val="auto"/>
          <w:sz w:val="30"/>
          <w:highlight w:val="none"/>
        </w:rPr>
        <w:t xml:space="preserve">14．投标有效期</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14.1 投标有效期为：投标文件自</w:t>
      </w:r>
      <w:r>
        <w:rPr>
          <w:rFonts w:hint="eastAsia" w:ascii="宋体" w:hAnsi="宋体" w:eastAsia="宋体" w:cs="宋体"/>
          <w:color w:val="auto"/>
          <w:sz w:val="24"/>
          <w:szCs w:val="28"/>
          <w:highlight w:val="none"/>
        </w:rPr>
        <w:t xml:space="preserve">提交投标文件截止时间</w:t>
      </w:r>
      <w:r>
        <w:rPr>
          <w:rFonts w:hint="eastAsia" w:ascii="宋体" w:hAnsi="宋体" w:eastAsia="宋体" w:cs="宋体"/>
          <w:color w:val="auto"/>
          <w:sz w:val="24"/>
          <w:highlight w:val="none"/>
        </w:rPr>
        <w:t xml:space="preserve">之日起90天内有效。投标人一旦获取了本招标文件并参加投标，即被认为接受了投标有效期的约定。</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14.2 在特殊情况下，采购人于原投标有效期满之前，可向投标人提出延长投标有效期的要求。这种要求与答复均应采用书面形式（如信件、传真或电报等）。投标人可以拒绝采购人的这一要求而放弃投标。同意延长的投标人既不能要求也不允许修改其投标文件。</w:t>
      </w:r>
      <w:r/>
    </w:p>
    <w:p>
      <w:pPr>
        <w:ind w:firstLine="446"/>
        <w:spacing w:line="360" w:lineRule="auto"/>
        <w:rPr>
          <w:rFonts w:hint="eastAsia" w:ascii="宋体" w:hAnsi="宋体" w:eastAsia="宋体" w:cs="宋体"/>
          <w:b/>
          <w:color w:val="auto"/>
          <w:sz w:val="30"/>
          <w:highlight w:val="none"/>
        </w:rPr>
      </w:pPr>
      <w:r>
        <w:rPr>
          <w:rFonts w:hint="eastAsia" w:ascii="宋体" w:hAnsi="宋体" w:eastAsia="宋体" w:cs="宋体"/>
          <w:b/>
          <w:color w:val="auto"/>
          <w:sz w:val="30"/>
          <w:highlight w:val="none"/>
        </w:rPr>
        <w:t xml:space="preserve">15.投标文件的式样和签署</w:t>
      </w:r>
      <w:r/>
    </w:p>
    <w:p>
      <w:pPr>
        <w:ind w:firstLine="42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15.1 投标人应通过响应文件制作软件使用数字认证证书对投标文件进行合成、电子签章及加密打包。</w:t>
      </w:r>
      <w:r/>
    </w:p>
    <w:p>
      <w:pPr>
        <w:pStyle w:val="1022"/>
        <w:ind w:firstLine="448"/>
        <w:keepLines w:val="0"/>
        <w:keepNext w:val="0"/>
        <w:pageBreakBefore w:val="0"/>
        <w:spacing w:before="0" w:after="0" w:line="360" w:lineRule="auto"/>
        <w:widowControl w:val="off"/>
        <w:rPr>
          <w:rFonts w:hint="eastAsia" w:ascii="宋体" w:hAnsi="宋体" w:eastAsia="宋体" w:cs="宋体"/>
          <w:color w:val="auto"/>
          <w:sz w:val="30"/>
          <w:highlight w:val="none"/>
        </w:rPr>
      </w:pPr>
      <w:r>
        <w:rPr>
          <w:rFonts w:hint="eastAsia" w:ascii="宋体" w:hAnsi="宋体" w:eastAsia="宋体" w:cs="宋体"/>
          <w:color w:val="auto"/>
          <w:sz w:val="30"/>
          <w:highlight w:val="none"/>
        </w:rPr>
        <w:t xml:space="preserve">16．投标文件的提交</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16.1 投标文件提交</w:t>
      </w:r>
      <w:r/>
    </w:p>
    <w:p>
      <w:pPr>
        <w:ind w:left="1" w:firstLine="480"/>
        <w:spacing w:line="360" w:lineRule="auto"/>
        <w:rPr>
          <w:rFonts w:hint="eastAsia" w:ascii="宋体" w:hAnsi="宋体" w:eastAsia="宋体" w:cs="宋体"/>
          <w:b/>
          <w:color w:val="auto"/>
          <w:sz w:val="24"/>
          <w:highlight w:val="none"/>
          <w:u w:val="single"/>
        </w:rPr>
      </w:pPr>
      <w:r>
        <w:rPr>
          <w:rFonts w:hint="eastAsia" w:ascii="宋体" w:hAnsi="宋体" w:eastAsia="宋体" w:cs="宋体"/>
          <w:color w:val="auto"/>
          <w:sz w:val="24"/>
          <w:highlight w:val="none"/>
        </w:rPr>
        <w:t xml:space="preserve">16.1.1 投标人须在招标文件规定的截止时间前，通过响应文件编制软件或登录电子交易平台在规定时间内完成提交，提交成功后系统将发送投标回执。</w:t>
      </w:r>
      <w:r>
        <w:rPr>
          <w:rFonts w:hint="eastAsia" w:ascii="宋体" w:hAnsi="宋体" w:eastAsia="宋体" w:cs="宋体"/>
          <w:b/>
          <w:color w:val="auto"/>
          <w:sz w:val="24"/>
          <w:highlight w:val="none"/>
          <w:u w:val="single"/>
        </w:rPr>
        <w:t xml:space="preserve">时间以“苏采云”系统时间为准。</w:t>
      </w:r>
      <w:r/>
    </w:p>
    <w:p>
      <w:pPr>
        <w:ind w:left="1" w:firstLine="480"/>
        <w:spacing w:line="360" w:lineRule="auto"/>
        <w:rPr>
          <w:rFonts w:hint="eastAsia" w:ascii="宋体" w:hAnsi="宋体" w:eastAsia="宋体" w:cs="宋体"/>
          <w:b/>
          <w:color w:val="auto"/>
          <w:sz w:val="24"/>
          <w:highlight w:val="none"/>
          <w:u w:val="single"/>
        </w:rPr>
      </w:pPr>
      <w:r>
        <w:rPr>
          <w:rFonts w:hint="eastAsia" w:ascii="宋体" w:hAnsi="宋体" w:eastAsia="宋体" w:cs="宋体"/>
          <w:color w:val="auto"/>
          <w:sz w:val="24"/>
          <w:highlight w:val="none"/>
        </w:rPr>
        <w:t xml:space="preserve">16.1.2 </w:t>
      </w:r>
      <w:r>
        <w:rPr>
          <w:rFonts w:hint="eastAsia" w:ascii="宋体" w:hAnsi="宋体" w:eastAsia="宋体" w:cs="宋体"/>
          <w:b/>
          <w:color w:val="auto"/>
          <w:sz w:val="24"/>
          <w:highlight w:val="none"/>
          <w:u w:val="single"/>
        </w:rPr>
        <w:t xml:space="preserve">截止时间以后提交的投标文件，“苏采云” 系统将拒绝接收。投标人应充分考虑网络环境、网络带宽等风险因素。</w:t>
      </w:r>
      <w:r/>
    </w:p>
    <w:p>
      <w:pPr>
        <w:ind w:firstLine="480"/>
        <w:spacing w:line="360" w:lineRule="auto"/>
        <w:rPr>
          <w:rFonts w:hint="eastAsia" w:ascii="宋体" w:hAnsi="宋体" w:eastAsia="宋体" w:cs="宋体"/>
          <w:b/>
          <w:color w:val="auto"/>
          <w:sz w:val="24"/>
          <w:szCs w:val="20"/>
          <w:highlight w:val="none"/>
          <w:u w:val="single"/>
        </w:rPr>
      </w:pPr>
      <w:r>
        <w:rPr>
          <w:rFonts w:hint="eastAsia" w:ascii="宋体" w:hAnsi="宋体" w:eastAsia="宋体" w:cs="宋体"/>
          <w:color w:val="auto"/>
          <w:sz w:val="24"/>
          <w:highlight w:val="none"/>
        </w:rPr>
        <w:t xml:space="preserve">16.1.3 </w:t>
      </w:r>
      <w:r>
        <w:rPr>
          <w:rFonts w:hint="eastAsia" w:ascii="宋体" w:hAnsi="宋体" w:eastAsia="宋体" w:cs="宋体"/>
          <w:b/>
          <w:color w:val="auto"/>
          <w:sz w:val="24"/>
          <w:szCs w:val="20"/>
          <w:highlight w:val="none"/>
          <w:u w:val="single"/>
        </w:rPr>
        <w:t xml:space="preserve">提交投标文件时，投标人须使用制作该投标文件的同一数字认证证书进行提交操作。</w:t>
      </w:r>
      <w:r/>
    </w:p>
    <w:p>
      <w:pPr>
        <w:ind w:firstLine="480"/>
        <w:spacing w:line="360" w:lineRule="auto"/>
        <w:rPr>
          <w:rFonts w:hint="eastAsia" w:ascii="宋体" w:hAnsi="宋体" w:eastAsia="宋体" w:cs="宋体"/>
          <w:b/>
          <w:color w:val="auto"/>
          <w:sz w:val="24"/>
          <w:highlight w:val="none"/>
          <w:u w:val="single"/>
        </w:rPr>
      </w:pPr>
      <w:r>
        <w:rPr>
          <w:rFonts w:hint="eastAsia" w:ascii="宋体" w:hAnsi="宋体" w:eastAsia="宋体" w:cs="宋体"/>
          <w:color w:val="auto"/>
          <w:sz w:val="24"/>
          <w:highlight w:val="none"/>
        </w:rPr>
        <w:t xml:space="preserve">16.1.4</w:t>
      </w:r>
      <w:r>
        <w:rPr>
          <w:rFonts w:hint="eastAsia" w:ascii="宋体" w:hAnsi="宋体" w:eastAsia="宋体" w:cs="宋体"/>
          <w:b/>
          <w:color w:val="auto"/>
          <w:sz w:val="24"/>
          <w:highlight w:val="none"/>
          <w:u w:val="single"/>
        </w:rPr>
        <w:t xml:space="preserve">提交完成后至解密前，</w:t>
      </w:r>
      <w:r>
        <w:rPr>
          <w:rFonts w:hint="eastAsia" w:ascii="宋体" w:hAnsi="宋体" w:eastAsia="宋体" w:cs="宋体"/>
          <w:b/>
          <w:color w:val="auto"/>
          <w:sz w:val="24"/>
          <w:szCs w:val="20"/>
          <w:highlight w:val="none"/>
          <w:u w:val="single"/>
        </w:rPr>
        <w:t xml:space="preserve">投标人</w:t>
      </w:r>
      <w:r>
        <w:rPr>
          <w:rFonts w:hint="eastAsia" w:ascii="宋体" w:hAnsi="宋体" w:eastAsia="宋体" w:cs="宋体"/>
          <w:b/>
          <w:color w:val="auto"/>
          <w:sz w:val="24"/>
          <w:highlight w:val="none"/>
          <w:u w:val="single"/>
        </w:rPr>
        <w:t xml:space="preserve">不能对加密投标文件时所使用的数字认证证书进行更新、续费，否则可能引起的投标文件解密失败等相关后果由投标人自行承担。</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16.1.5因不可抗力事件造成的投标文件的损坏、丢失的，采购代理机构不承担责任。</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16.2采购代理机构可以通过修改招标文件自行酌情延长提交截止时间，在此情况下，推迟的提交截止时间将在系统中以书面形式通知已获取招标文件的潜在投标人，并在原公告媒体上发布公告。投标人应及时自行登录系统查看相应内容。</w:t>
      </w:r>
      <w:r/>
    </w:p>
    <w:p>
      <w:pPr>
        <w:pStyle w:val="1022"/>
        <w:ind w:firstLine="448"/>
        <w:keepLines w:val="0"/>
        <w:keepNext w:val="0"/>
        <w:pageBreakBefore w:val="0"/>
        <w:spacing w:before="0" w:after="0" w:line="360" w:lineRule="auto"/>
        <w:widowControl w:val="off"/>
        <w:rPr>
          <w:rFonts w:hint="eastAsia" w:ascii="宋体" w:hAnsi="宋体" w:eastAsia="宋体" w:cs="宋体"/>
          <w:color w:val="auto"/>
          <w:sz w:val="30"/>
          <w:highlight w:val="none"/>
        </w:rPr>
      </w:pPr>
      <w:r>
        <w:rPr>
          <w:rFonts w:hint="eastAsia" w:ascii="宋体" w:hAnsi="宋体" w:eastAsia="宋体" w:cs="宋体"/>
          <w:color w:val="auto"/>
          <w:sz w:val="30"/>
          <w:highlight w:val="none"/>
        </w:rPr>
        <w:t xml:space="preserve">17．投标文件的补充、修改或者撤回</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17.1在提交截止时间前，投标人可以对所提交的投标文件进行补充、修改或者撤回。</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17.2投标人在提交截止时间前需要对投标文件进行补充、修改的，应当使用响应文件制作软件重新制作并提交。</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17.3 在提交截止时间之后，投标人不得对其投标文件作任何修改或撤回。</w:t>
      </w:r>
      <w:r/>
    </w:p>
    <w:p>
      <w:pPr>
        <w:pStyle w:val="1022"/>
        <w:ind w:firstLine="480"/>
        <w:jc w:val="left"/>
        <w:keepLines w:val="0"/>
        <w:keepNext w:val="0"/>
        <w:spacing w:before="0" w:after="0" w:line="360" w:lineRule="auto"/>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17.4 在提交截止时间至招标文件中规定的投标有效期满之间，投标人不得撤回其投标。</w:t>
      </w:r>
      <w:r/>
    </w:p>
    <w:p>
      <w:pPr>
        <w:pStyle w:val="1022"/>
        <w:ind w:firstLine="643"/>
        <w:jc w:val="center"/>
        <w:keepLines w:val="0"/>
        <w:keepNext w:val="0"/>
        <w:spacing w:before="200" w:after="200"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五、开标及评标</w:t>
      </w:r>
      <w:r/>
    </w:p>
    <w:p>
      <w:pPr>
        <w:pStyle w:val="1022"/>
        <w:ind w:firstLine="448"/>
        <w:keepLines w:val="0"/>
        <w:keepNext w:val="0"/>
        <w:pageBreakBefore w:val="0"/>
        <w:spacing w:before="0" w:after="0" w:line="360" w:lineRule="auto"/>
        <w:widowControl w:val="off"/>
        <w:rPr>
          <w:rFonts w:hint="eastAsia" w:ascii="宋体" w:hAnsi="宋体" w:eastAsia="宋体" w:cs="宋体"/>
          <w:color w:val="auto"/>
          <w:sz w:val="30"/>
          <w:highlight w:val="none"/>
        </w:rPr>
      </w:pPr>
      <w:r>
        <w:rPr>
          <w:rFonts w:hint="eastAsia" w:ascii="宋体" w:hAnsi="宋体" w:eastAsia="宋体" w:cs="宋体"/>
          <w:color w:val="auto"/>
          <w:sz w:val="30"/>
          <w:highlight w:val="none"/>
        </w:rPr>
        <w:t xml:space="preserve">18．开标</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18.1 采购代理机构将按招标文件规定的时间、地点主持开标。</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18.2 投标人应当在开标前做好充分准备，使用制作该投标文件的同一数字认证证书准时参加开标。</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18.3开标仪式由采购代理机构组织。苏采云系统将自动对项目进行开标，并公布各投标人名称和投标价格。</w:t>
      </w:r>
      <w:r/>
    </w:p>
    <w:p>
      <w:pPr>
        <w:ind w:left="1" w:firstLine="482"/>
        <w:spacing w:line="360" w:lineRule="auto"/>
        <w:rPr>
          <w:rFonts w:hint="eastAsia" w:ascii="宋体" w:hAnsi="宋体" w:eastAsia="宋体" w:cs="宋体"/>
          <w:color w:val="auto"/>
          <w:highlight w:val="none"/>
        </w:rPr>
      </w:pPr>
      <w:r>
        <w:rPr>
          <w:rFonts w:hint="eastAsia" w:ascii="宋体" w:hAnsi="宋体" w:eastAsia="宋体" w:cs="宋体"/>
          <w:b/>
          <w:color w:val="auto"/>
          <w:sz w:val="24"/>
          <w:highlight w:val="none"/>
        </w:rPr>
        <w:t xml:space="preserve">18.</w:t>
      </w:r>
      <w:r>
        <w:rPr>
          <w:rFonts w:hint="eastAsia" w:ascii="宋体" w:hAnsi="宋体" w:eastAsia="宋体" w:cs="宋体"/>
          <w:b/>
          <w:color w:val="auto"/>
          <w:sz w:val="24"/>
          <w:highlight w:val="none"/>
          <w:lang w:val="en-US" w:eastAsia="zh-CN"/>
        </w:rPr>
        <w:t xml:space="preserve">4</w:t>
      </w:r>
      <w:r>
        <w:rPr>
          <w:rFonts w:hint="eastAsia" w:ascii="宋体" w:hAnsi="宋体" w:eastAsia="宋体" w:cs="宋体"/>
          <w:b/>
          <w:color w:val="auto"/>
          <w:sz w:val="24"/>
          <w:highlight w:val="none"/>
        </w:rPr>
        <w:t xml:space="preserve"> 投标人不足3家，不进入解密程序。</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18.</w:t>
      </w:r>
      <w:r>
        <w:rPr>
          <w:rFonts w:hint="eastAsia" w:ascii="宋体" w:hAnsi="宋体" w:eastAsia="宋体" w:cs="宋体"/>
          <w:color w:val="auto"/>
          <w:sz w:val="24"/>
          <w:highlight w:val="none"/>
          <w:lang w:val="en-US" w:eastAsia="zh-CN"/>
        </w:rPr>
        <w:t xml:space="preserve">5</w:t>
      </w:r>
      <w:r>
        <w:rPr>
          <w:rFonts w:hint="eastAsia" w:ascii="宋体" w:hAnsi="宋体" w:eastAsia="宋体" w:cs="宋体"/>
          <w:color w:val="auto"/>
          <w:sz w:val="24"/>
          <w:highlight w:val="none"/>
        </w:rPr>
        <w:t xml:space="preserve">投标人应当按照《操作手册》规定，在苏采云系统规定的时间内对投标文件进行解密。</w:t>
      </w:r>
      <w:r/>
    </w:p>
    <w:p>
      <w:pPr>
        <w:ind w:left="2"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18.</w:t>
      </w:r>
      <w:r>
        <w:rPr>
          <w:rFonts w:hint="eastAsia" w:ascii="宋体" w:hAnsi="宋体" w:eastAsia="宋体" w:cs="宋体"/>
          <w:color w:val="auto"/>
          <w:sz w:val="24"/>
          <w:highlight w:val="none"/>
          <w:lang w:val="en-US" w:eastAsia="zh-CN"/>
        </w:rPr>
        <w:t xml:space="preserve">6</w:t>
      </w:r>
      <w:r>
        <w:rPr>
          <w:rFonts w:hint="eastAsia" w:ascii="宋体" w:hAnsi="宋体" w:eastAsia="宋体" w:cs="宋体"/>
          <w:color w:val="auto"/>
          <w:sz w:val="24"/>
          <w:highlight w:val="none"/>
        </w:rPr>
        <w:t xml:space="preserve"> 因投标人原因造成投标文件规定时间未解密或解密失败或无法正常打开投标文件的，采购代理机构将拒绝其投标。部分投标人投标文件未解密或解密失败的，程序可以继续进行。</w:t>
      </w:r>
      <w:r>
        <w:rPr>
          <w:rFonts w:hint="eastAsia" w:ascii="宋体" w:hAnsi="宋体" w:eastAsia="宋体" w:cs="宋体"/>
          <w:b/>
          <w:color w:val="auto"/>
          <w:sz w:val="24"/>
          <w:highlight w:val="none"/>
        </w:rPr>
        <w:t xml:space="preserve">若解密成功的投标人不足三家，不进入后续程序。</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18.</w:t>
      </w:r>
      <w:r>
        <w:rPr>
          <w:rFonts w:hint="eastAsia" w:ascii="宋体" w:hAnsi="宋体" w:eastAsia="宋体" w:cs="宋体"/>
          <w:color w:val="auto"/>
          <w:sz w:val="24"/>
          <w:highlight w:val="none"/>
          <w:lang w:val="en-US" w:eastAsia="zh-CN"/>
        </w:rPr>
        <w:t xml:space="preserve">7</w:t>
      </w:r>
      <w:r>
        <w:rPr>
          <w:rFonts w:hint="eastAsia" w:ascii="宋体" w:hAnsi="宋体" w:eastAsia="宋体" w:cs="宋体"/>
          <w:color w:val="auto"/>
          <w:sz w:val="24"/>
          <w:highlight w:val="none"/>
        </w:rPr>
        <w:t xml:space="preserve">本项目在限定的解密时间内，只要有任一家投标人解密成功，即视为电子交易平台运行无故障。</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18.</w:t>
      </w:r>
      <w:r>
        <w:rPr>
          <w:rFonts w:hint="eastAsia" w:ascii="宋体" w:hAnsi="宋体" w:eastAsia="宋体" w:cs="宋体"/>
          <w:color w:val="auto"/>
          <w:sz w:val="24"/>
          <w:highlight w:val="none"/>
          <w:lang w:val="en-US" w:eastAsia="zh-CN"/>
        </w:rPr>
        <w:t xml:space="preserve">8</w:t>
      </w:r>
      <w:r>
        <w:rPr>
          <w:rFonts w:hint="eastAsia" w:ascii="宋体" w:hAnsi="宋体" w:eastAsia="宋体" w:cs="宋体"/>
          <w:color w:val="auto"/>
          <w:sz w:val="24"/>
          <w:highlight w:val="none"/>
        </w:rPr>
        <w:t xml:space="preserve">电子投标文件解密全部完成后，按</w:t>
      </w:r>
      <w:r>
        <w:rPr>
          <w:rFonts w:hint="eastAsia" w:ascii="宋体" w:hAnsi="宋体" w:eastAsia="宋体" w:cs="宋体"/>
          <w:b/>
          <w:color w:val="auto"/>
          <w:sz w:val="24"/>
          <w:highlight w:val="none"/>
        </w:rPr>
        <w:t xml:space="preserve">投标文件解密成功顺序</w:t>
      </w:r>
      <w:r>
        <w:rPr>
          <w:rFonts w:hint="eastAsia" w:ascii="宋体" w:hAnsi="宋体" w:eastAsia="宋体" w:cs="宋体"/>
          <w:color w:val="auto"/>
          <w:sz w:val="24"/>
          <w:highlight w:val="none"/>
        </w:rPr>
        <w:t xml:space="preserve">向所有投标人宣布投标人名称、投标价格以及招标文件规定的其他内容。</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18.</w:t>
      </w:r>
      <w:r>
        <w:rPr>
          <w:rFonts w:hint="eastAsia" w:ascii="宋体" w:hAnsi="宋体" w:eastAsia="宋体" w:cs="宋体"/>
          <w:color w:val="auto"/>
          <w:sz w:val="24"/>
          <w:highlight w:val="none"/>
          <w:lang w:val="en-US" w:eastAsia="zh-CN"/>
        </w:rPr>
        <w:t xml:space="preserve">9</w:t>
      </w:r>
      <w:r>
        <w:rPr>
          <w:rFonts w:hint="eastAsia" w:ascii="宋体" w:hAnsi="宋体" w:eastAsia="宋体" w:cs="宋体"/>
          <w:color w:val="auto"/>
          <w:sz w:val="24"/>
          <w:highlight w:val="none"/>
        </w:rPr>
        <w:t xml:space="preserve"> 电子交易平台自动记录开标过程，由参加开标的各投标人代表和相关工作人员确认开标结果。</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18.</w:t>
      </w:r>
      <w:r>
        <w:rPr>
          <w:rFonts w:hint="eastAsia" w:ascii="宋体" w:hAnsi="宋体" w:eastAsia="宋体" w:cs="宋体"/>
          <w:color w:val="auto"/>
          <w:sz w:val="24"/>
          <w:highlight w:val="none"/>
          <w:lang w:val="en-US" w:eastAsia="zh-CN"/>
        </w:rPr>
        <w:t xml:space="preserve">10</w:t>
      </w:r>
      <w:r>
        <w:rPr>
          <w:rFonts w:hint="eastAsia" w:ascii="宋体" w:hAnsi="宋体" w:eastAsia="宋体" w:cs="宋体"/>
          <w:color w:val="auto"/>
          <w:sz w:val="24"/>
          <w:highlight w:val="none"/>
        </w:rPr>
        <w:t xml:space="preserve">投标人如果对开标过程和开标记录有疑义，应当根据《操作手册》规定提出，如 苏采云系统中《开标记录表》宣布后5分钟内未提出的，视同认可开标结果。</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18.1</w:t>
      </w:r>
      <w:r>
        <w:rPr>
          <w:rFonts w:hint="eastAsia" w:ascii="宋体" w:hAnsi="宋体" w:eastAsia="宋体" w:cs="宋体"/>
          <w:color w:val="auto"/>
          <w:sz w:val="24"/>
          <w:highlight w:val="none"/>
          <w:lang w:val="en-US" w:eastAsia="zh-CN"/>
        </w:rPr>
        <w:t xml:space="preserve">1</w:t>
      </w:r>
      <w:r>
        <w:rPr>
          <w:rFonts w:hint="eastAsia" w:ascii="宋体" w:hAnsi="宋体" w:eastAsia="宋体" w:cs="宋体"/>
          <w:color w:val="auto"/>
          <w:sz w:val="24"/>
          <w:highlight w:val="none"/>
        </w:rPr>
        <w:t xml:space="preserve">投标人须配合开标工作，否则一切后果由投标人自行承担。</w:t>
      </w:r>
      <w:r/>
    </w:p>
    <w:p>
      <w:pPr>
        <w:pStyle w:val="1022"/>
        <w:ind w:firstLine="448"/>
        <w:keepLines w:val="0"/>
        <w:keepNext w:val="0"/>
        <w:pageBreakBefore w:val="0"/>
        <w:spacing w:before="0" w:after="0" w:line="360" w:lineRule="auto"/>
        <w:widowControl w:val="off"/>
        <w:rPr>
          <w:rFonts w:hint="eastAsia" w:ascii="宋体" w:hAnsi="宋体" w:eastAsia="宋体" w:cs="宋体"/>
          <w:color w:val="auto"/>
          <w:sz w:val="30"/>
          <w:highlight w:val="none"/>
        </w:rPr>
      </w:pPr>
      <w:r>
        <w:rPr>
          <w:rFonts w:hint="eastAsia" w:ascii="宋体" w:hAnsi="宋体" w:eastAsia="宋体" w:cs="宋体"/>
          <w:color w:val="auto"/>
          <w:sz w:val="30"/>
          <w:highlight w:val="none"/>
        </w:rPr>
        <w:t xml:space="preserve">19.投标人资格审查</w:t>
      </w:r>
      <w:r/>
    </w:p>
    <w:p>
      <w:pPr>
        <w:pStyle w:val="1023"/>
        <w:ind w:firstLine="480"/>
        <w:spacing w:line="360" w:lineRule="auto"/>
        <w:rPr>
          <w:rFonts w:hint="eastAsia" w:ascii="宋体" w:hAnsi="宋体" w:eastAsia="宋体" w:cs="宋体"/>
          <w:b/>
          <w:color w:val="auto"/>
          <w:sz w:val="24"/>
          <w:highlight w:val="none"/>
        </w:rPr>
      </w:pPr>
      <w:r>
        <w:rPr>
          <w:rFonts w:hint="eastAsia" w:ascii="宋体" w:hAnsi="宋体" w:eastAsia="宋体" w:cs="宋体"/>
          <w:color w:val="auto"/>
          <w:sz w:val="24"/>
          <w:highlight w:val="none"/>
        </w:rPr>
        <w:t xml:space="preserve">19.1 开标结束后，采购人或者采购代理机构将依法对投标人的资格进行审查。</w:t>
      </w:r>
      <w:r>
        <w:rPr>
          <w:rFonts w:hint="eastAsia" w:ascii="宋体" w:hAnsi="宋体" w:eastAsia="宋体" w:cs="宋体"/>
          <w:b/>
          <w:color w:val="auto"/>
          <w:sz w:val="24"/>
          <w:highlight w:val="none"/>
        </w:rPr>
        <w:t xml:space="preserve">合格投标人不足3家的，不进入后续程序。</w:t>
      </w:r>
      <w:r/>
    </w:p>
    <w:p>
      <w:pPr>
        <w:pStyle w:val="1022"/>
        <w:ind w:firstLine="448"/>
        <w:keepLines w:val="0"/>
        <w:keepNext w:val="0"/>
        <w:pageBreakBefore w:val="0"/>
        <w:spacing w:before="0" w:after="0" w:line="360" w:lineRule="auto"/>
        <w:widowControl w:val="off"/>
        <w:rPr>
          <w:rFonts w:hint="eastAsia" w:ascii="宋体" w:hAnsi="宋体" w:eastAsia="宋体" w:cs="宋体"/>
          <w:color w:val="auto"/>
          <w:sz w:val="30"/>
          <w:highlight w:val="none"/>
        </w:rPr>
      </w:pPr>
      <w:r>
        <w:rPr>
          <w:rFonts w:hint="eastAsia" w:ascii="宋体" w:hAnsi="宋体" w:eastAsia="宋体" w:cs="宋体"/>
          <w:color w:val="auto"/>
          <w:sz w:val="30"/>
          <w:highlight w:val="none"/>
        </w:rPr>
        <w:t xml:space="preserve">20．评标委员会组成</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20.1 评标委员会由采购人代表和评审专家组成，成员人数应当为5人以上单数，其中评审专家不得少于成员总数的三分之二。</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采购项目符合下列情形之一的，评标委员会成员人数应当为7人以上单数：</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（一）采购预算金额在1000万元以上；</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（二）技术复杂；</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（三）社会影响较大。</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评审专家对本单位的采购项目只能作为采购人代表参与评标，《政府采购货物和服务招标投标管理办法》第四十八条第二款规定情形除外。采购代理机构工作人员不得参加由本机构代理的政府采购项目的评标。</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评标委员会成员名单在评标结果公告前应当保密。</w:t>
      </w:r>
      <w:r/>
    </w:p>
    <w:p>
      <w:pPr>
        <w:pStyle w:val="1022"/>
        <w:ind w:firstLine="448"/>
        <w:keepLines w:val="0"/>
        <w:keepNext w:val="0"/>
        <w:pageBreakBefore w:val="0"/>
        <w:spacing w:before="0" w:after="0" w:line="360" w:lineRule="auto"/>
        <w:widowControl w:val="off"/>
        <w:rPr>
          <w:rFonts w:hint="eastAsia" w:ascii="宋体" w:hAnsi="宋体" w:eastAsia="宋体" w:cs="宋体"/>
          <w:color w:val="auto"/>
          <w:sz w:val="30"/>
          <w:highlight w:val="none"/>
        </w:rPr>
      </w:pPr>
      <w:r>
        <w:rPr>
          <w:rFonts w:hint="eastAsia" w:ascii="宋体" w:hAnsi="宋体" w:eastAsia="宋体" w:cs="宋体"/>
          <w:color w:val="auto"/>
          <w:sz w:val="30"/>
          <w:highlight w:val="none"/>
        </w:rPr>
        <w:t xml:space="preserve">21.投标人符合性审查</w:t>
      </w:r>
      <w:r/>
    </w:p>
    <w:p>
      <w:pPr>
        <w:pStyle w:val="1023"/>
        <w:ind w:firstLine="480"/>
        <w:spacing w:line="360" w:lineRule="auto"/>
        <w:rPr>
          <w:rFonts w:hint="eastAsia" w:ascii="宋体" w:hAnsi="宋体" w:eastAsia="宋体" w:cs="宋体"/>
          <w:b/>
          <w:color w:val="auto"/>
          <w:sz w:val="24"/>
          <w:highlight w:val="none"/>
        </w:rPr>
      </w:pPr>
      <w:r>
        <w:rPr>
          <w:rFonts w:hint="eastAsia" w:ascii="宋体" w:hAnsi="宋体" w:eastAsia="宋体" w:cs="宋体"/>
          <w:color w:val="auto"/>
          <w:sz w:val="24"/>
          <w:highlight w:val="none"/>
        </w:rPr>
        <w:t xml:space="preserve">21.1 评标委员会将按照招标文件第四部分“评标办法和标准”第7项规定对通过资格审查的投标人的投标文件进行符合性审查，以确定是否满足招标文件的实质性要求。</w:t>
      </w:r>
      <w:r>
        <w:rPr>
          <w:rFonts w:hint="eastAsia" w:ascii="宋体" w:hAnsi="宋体" w:eastAsia="宋体" w:cs="宋体"/>
          <w:b/>
          <w:color w:val="auto"/>
          <w:sz w:val="24"/>
          <w:highlight w:val="none"/>
        </w:rPr>
        <w:t xml:space="preserve">符合性审查合格投标人不足3家的，不进入详细评审环节。</w:t>
      </w:r>
      <w:r/>
    </w:p>
    <w:p>
      <w:pPr>
        <w:pStyle w:val="1022"/>
        <w:ind w:firstLine="480"/>
        <w:keepLines w:val="0"/>
        <w:keepNext w:val="0"/>
        <w:spacing w:before="0" w:after="0" w:line="360" w:lineRule="auto"/>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21.2 投标文件澄清</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21.2.1 投标人应根据评标委员会要求以书面形式对相关问题进行澄清、说明或者补正，并加盖公章，或者由法定代表人或其授权的代表签字确认。投标人的澄清、说明或者补正不得超出投标文件的范围或者改变投标文件的实质性内容。</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21.2.2投标人的澄清应登录电子交易平台进入“澄清事项”模块进行。</w:t>
      </w:r>
      <w:r/>
    </w:p>
    <w:p>
      <w:pPr>
        <w:ind w:firstLine="480"/>
        <w:spacing w:line="360" w:lineRule="auto"/>
        <w:rPr>
          <w:rFonts w:hint="eastAsia" w:ascii="宋体" w:hAnsi="宋体" w:eastAsia="宋体" w:cs="宋体"/>
          <w:b/>
          <w:color w:val="auto"/>
          <w:sz w:val="24"/>
          <w:highlight w:val="none"/>
        </w:rPr>
      </w:pPr>
      <w:r>
        <w:rPr>
          <w:rFonts w:hint="eastAsia" w:ascii="宋体" w:hAnsi="宋体" w:eastAsia="宋体" w:cs="宋体"/>
          <w:color w:val="auto"/>
          <w:sz w:val="24"/>
          <w:highlight w:val="none"/>
        </w:rPr>
        <w:t xml:space="preserve">21.3 开标至评标结束期间，投标人应保持系统在线，如因</w:t>
      </w:r>
      <w:r>
        <w:rPr>
          <w:rFonts w:hint="eastAsia" w:ascii="宋体" w:hAnsi="宋体" w:eastAsia="宋体" w:cs="宋体"/>
          <w:b/>
          <w:bCs/>
          <w:color w:val="auto"/>
          <w:sz w:val="24"/>
          <w:highlight w:val="none"/>
        </w:rPr>
        <w:t xml:space="preserve">投标人自身原因</w:t>
      </w:r>
      <w:r>
        <w:rPr>
          <w:rFonts w:hint="eastAsia" w:ascii="宋体" w:hAnsi="宋体" w:eastAsia="宋体" w:cs="宋体"/>
          <w:b/>
          <w:color w:val="auto"/>
          <w:sz w:val="24"/>
          <w:highlight w:val="none"/>
        </w:rPr>
        <w:t xml:space="preserve">未在规定时间内按评标委员会要求进行澄清、说明或者补正的，一切后果由投标人自行承担。</w:t>
      </w:r>
      <w:r/>
    </w:p>
    <w:p>
      <w:pPr>
        <w:pStyle w:val="1022"/>
        <w:ind w:firstLine="448"/>
        <w:keepLines w:val="0"/>
        <w:keepNext w:val="0"/>
        <w:pageBreakBefore w:val="0"/>
        <w:spacing w:before="0" w:after="0" w:line="360" w:lineRule="auto"/>
        <w:widowControl w:val="off"/>
        <w:rPr>
          <w:rFonts w:hint="eastAsia" w:ascii="宋体" w:hAnsi="宋体" w:eastAsia="宋体" w:cs="宋体"/>
          <w:color w:val="auto"/>
          <w:sz w:val="30"/>
          <w:highlight w:val="none"/>
        </w:rPr>
      </w:pPr>
      <w:r>
        <w:rPr>
          <w:rFonts w:hint="eastAsia" w:ascii="宋体" w:hAnsi="宋体" w:eastAsia="宋体" w:cs="宋体"/>
          <w:color w:val="auto"/>
          <w:sz w:val="30"/>
          <w:highlight w:val="none"/>
        </w:rPr>
        <w:t xml:space="preserve">22．无效投标的情形</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22.1 投标人存在下列情况之一的，其投标无效：　</w:t>
      </w:r>
      <w:r/>
    </w:p>
    <w:p>
      <w:pPr>
        <w:ind w:firstLine="482"/>
        <w:spacing w:line="360" w:lineRule="auto"/>
        <w:rPr>
          <w:rFonts w:hint="eastAsia" w:ascii="宋体" w:hAnsi="宋体" w:eastAsia="宋体" w:cs="宋体"/>
          <w:b/>
          <w:color w:val="auto"/>
          <w:sz w:val="24"/>
          <w:highlight w:val="none"/>
          <w:u w:val="single"/>
        </w:rPr>
      </w:pPr>
      <w:r>
        <w:rPr>
          <w:rFonts w:hint="eastAsia" w:ascii="宋体" w:hAnsi="宋体" w:eastAsia="宋体" w:cs="宋体"/>
          <w:b/>
          <w:color w:val="auto"/>
          <w:sz w:val="24"/>
          <w:highlight w:val="none"/>
          <w:u w:val="single"/>
        </w:rPr>
        <w:t xml:space="preserve">（1）投标文件未按招标文件要求进行有效签章的；</w:t>
      </w:r>
      <w:r/>
    </w:p>
    <w:p>
      <w:pPr>
        <w:ind w:left="1" w:firstLine="482"/>
        <w:spacing w:line="360" w:lineRule="auto"/>
        <w:rPr>
          <w:rFonts w:hint="eastAsia" w:ascii="宋体" w:hAnsi="宋体" w:eastAsia="宋体" w:cs="宋体"/>
          <w:b/>
          <w:color w:val="auto"/>
          <w:sz w:val="24"/>
          <w:highlight w:val="none"/>
          <w:u w:val="single"/>
        </w:rPr>
      </w:pPr>
      <w:r>
        <w:rPr>
          <w:rFonts w:hint="eastAsia" w:ascii="宋体" w:hAnsi="宋体" w:eastAsia="宋体" w:cs="宋体"/>
          <w:b/>
          <w:color w:val="auto"/>
          <w:sz w:val="24"/>
          <w:highlight w:val="none"/>
          <w:u w:val="single"/>
        </w:rPr>
        <w:t xml:space="preserve">（2）报价超过招标文件中规定的预算金额或最高限价的；</w:t>
      </w:r>
      <w:r/>
    </w:p>
    <w:p>
      <w:pPr>
        <w:ind w:left="1" w:firstLine="482"/>
        <w:spacing w:line="360" w:lineRule="auto"/>
        <w:rPr>
          <w:rFonts w:hint="eastAsia" w:ascii="宋体" w:hAnsi="宋体" w:eastAsia="宋体" w:cs="宋体"/>
          <w:b/>
          <w:color w:val="auto"/>
          <w:sz w:val="24"/>
          <w:highlight w:val="none"/>
          <w:u w:val="single"/>
        </w:rPr>
      </w:pPr>
      <w:r>
        <w:rPr>
          <w:rFonts w:hint="eastAsia" w:ascii="宋体" w:hAnsi="宋体" w:eastAsia="宋体" w:cs="宋体"/>
          <w:b/>
          <w:color w:val="auto"/>
          <w:sz w:val="24"/>
          <w:highlight w:val="none"/>
          <w:u w:val="single"/>
        </w:rPr>
        <w:t xml:space="preserve">（3）采购人拟采购的产品属于政府强制采购的节能产品品目清单范围的，投标人未按招标文件要求提供国家确定的认证机构出具的、处于有效期之内的节能产品认证证书的；</w:t>
      </w:r>
      <w:r/>
    </w:p>
    <w:p>
      <w:pPr>
        <w:ind w:left="1" w:firstLine="482"/>
        <w:spacing w:line="360" w:lineRule="auto"/>
        <w:rPr>
          <w:rFonts w:hint="eastAsia" w:ascii="宋体" w:hAnsi="宋体" w:eastAsia="宋体" w:cs="宋体"/>
          <w:b/>
          <w:color w:val="auto"/>
          <w:sz w:val="24"/>
          <w:highlight w:val="none"/>
          <w:u w:val="single"/>
          <w:lang w:eastAsia="zh-CN"/>
        </w:rPr>
      </w:pPr>
      <w:r>
        <w:rPr>
          <w:rFonts w:hint="eastAsia" w:ascii="宋体" w:hAnsi="宋体" w:eastAsia="宋体" w:cs="宋体"/>
          <w:b/>
          <w:color w:val="auto"/>
          <w:sz w:val="24"/>
          <w:highlight w:val="none"/>
          <w:u w:val="single"/>
        </w:rPr>
        <w:t xml:space="preserve">（4）投标文件含有采购人不能接受的附加条件的</w:t>
      </w:r>
      <w:r>
        <w:rPr>
          <w:rFonts w:hint="eastAsia" w:ascii="宋体" w:hAnsi="宋体" w:cs="宋体"/>
          <w:b/>
          <w:color w:val="auto"/>
          <w:sz w:val="24"/>
          <w:highlight w:val="none"/>
          <w:u w:val="single"/>
          <w:lang w:eastAsia="zh-CN"/>
        </w:rPr>
        <w:t xml:space="preserve">；</w:t>
      </w:r>
      <w:r/>
    </w:p>
    <w:p>
      <w:pPr>
        <w:ind w:left="1" w:firstLine="482"/>
        <w:spacing w:line="360" w:lineRule="auto"/>
        <w:rPr>
          <w:rFonts w:hint="eastAsia" w:ascii="宋体" w:hAnsi="宋体" w:eastAsia="宋体" w:cs="宋体"/>
          <w:b/>
          <w:color w:val="auto"/>
          <w:sz w:val="24"/>
          <w:highlight w:val="none"/>
          <w:u w:val="single"/>
        </w:rPr>
      </w:pPr>
      <w:r>
        <w:rPr>
          <w:rFonts w:hint="eastAsia" w:ascii="宋体" w:hAnsi="宋体" w:eastAsia="宋体" w:cs="宋体"/>
          <w:b/>
          <w:color w:val="auto"/>
          <w:sz w:val="24"/>
          <w:highlight w:val="none"/>
          <w:u w:val="single"/>
        </w:rPr>
        <w:t xml:space="preserve">（5）评标委员会认为供应商的报价明显低于其他通过符合性审查供应商的报价，有可能影响服务质量或者不能诚信履约，要求供应商在合理的时间内提供书面说明，必要时提交相关证明材料，供应商不能证明其报价合理性的；</w:t>
      </w:r>
      <w:r/>
    </w:p>
    <w:p>
      <w:pPr>
        <w:ind w:left="1" w:firstLine="482"/>
        <w:spacing w:line="360" w:lineRule="auto"/>
        <w:rPr>
          <w:rFonts w:hint="eastAsia" w:ascii="宋体" w:hAnsi="宋体" w:eastAsia="宋体" w:cs="宋体"/>
          <w:b/>
          <w:color w:val="auto"/>
          <w:sz w:val="24"/>
          <w:highlight w:val="none"/>
          <w:u w:val="single"/>
        </w:rPr>
      </w:pPr>
      <w:r>
        <w:rPr>
          <w:rFonts w:hint="eastAsia" w:ascii="宋体" w:hAnsi="宋体" w:eastAsia="宋体" w:cs="宋体"/>
          <w:b/>
          <w:color w:val="auto"/>
          <w:sz w:val="24"/>
          <w:highlight w:val="none"/>
          <w:u w:val="single"/>
        </w:rPr>
        <w:t xml:space="preserve">（6）投标人对根据修正原则修正后的报价不确认的；</w:t>
      </w:r>
      <w:r/>
    </w:p>
    <w:p>
      <w:pPr>
        <w:ind w:left="1" w:firstLine="482"/>
        <w:spacing w:line="360" w:lineRule="auto"/>
        <w:rPr>
          <w:rFonts w:hint="eastAsia" w:ascii="宋体" w:hAnsi="宋体" w:eastAsia="宋体" w:cs="宋体"/>
          <w:b/>
          <w:color w:val="auto"/>
          <w:sz w:val="24"/>
          <w:highlight w:val="none"/>
          <w:u w:val="single"/>
        </w:rPr>
      </w:pPr>
      <w:r>
        <w:rPr>
          <w:rFonts w:hint="eastAsia" w:ascii="宋体" w:hAnsi="宋体" w:eastAsia="宋体" w:cs="宋体"/>
          <w:b/>
          <w:color w:val="auto"/>
          <w:sz w:val="24"/>
          <w:highlight w:val="none"/>
          <w:u w:val="single"/>
        </w:rPr>
        <w:t xml:space="preserve">（7）投标文件中提供了虚假或失实资料的；</w:t>
      </w:r>
      <w:r/>
    </w:p>
    <w:p>
      <w:pPr>
        <w:ind w:left="1" w:firstLine="482"/>
        <w:spacing w:line="360" w:lineRule="auto"/>
        <w:rPr>
          <w:rFonts w:hint="eastAsia" w:ascii="宋体" w:hAnsi="宋体" w:eastAsia="宋体" w:cs="宋体"/>
          <w:b/>
          <w:color w:val="auto"/>
          <w:sz w:val="24"/>
          <w:highlight w:val="none"/>
          <w:u w:val="single"/>
        </w:rPr>
      </w:pPr>
      <w:r>
        <w:rPr>
          <w:rFonts w:hint="eastAsia" w:ascii="宋体" w:hAnsi="宋体" w:eastAsia="宋体" w:cs="宋体"/>
          <w:b/>
          <w:color w:val="auto"/>
          <w:sz w:val="24"/>
          <w:highlight w:val="none"/>
          <w:u w:val="single"/>
        </w:rPr>
        <w:t xml:space="preserve">（</w:t>
      </w:r>
      <w:r>
        <w:rPr>
          <w:rFonts w:hint="eastAsia" w:ascii="宋体" w:hAnsi="宋体" w:eastAsia="宋体" w:cs="宋体"/>
          <w:b/>
          <w:color w:val="auto"/>
          <w:sz w:val="24"/>
          <w:highlight w:val="none"/>
          <w:u w:val="single"/>
          <w:lang w:val="en-US" w:eastAsia="zh-CN"/>
        </w:rPr>
        <w:t xml:space="preserve">8</w:t>
      </w:r>
      <w:r>
        <w:rPr>
          <w:rFonts w:hint="eastAsia" w:ascii="宋体" w:hAnsi="宋体" w:eastAsia="宋体" w:cs="宋体"/>
          <w:b/>
          <w:color w:val="auto"/>
          <w:sz w:val="24"/>
          <w:highlight w:val="none"/>
          <w:u w:val="single"/>
        </w:rPr>
        <w:t xml:space="preserve">）投标人未通过符合性审查或资格审查的；</w:t>
      </w:r>
      <w:r/>
    </w:p>
    <w:p>
      <w:pPr>
        <w:ind w:left="1" w:firstLine="482"/>
        <w:spacing w:line="360" w:lineRule="auto"/>
        <w:rPr>
          <w:rFonts w:hint="eastAsia" w:ascii="宋体" w:hAnsi="宋体" w:eastAsia="宋体" w:cs="宋体"/>
          <w:b/>
          <w:color w:val="auto"/>
          <w:sz w:val="24"/>
          <w:highlight w:val="none"/>
          <w:u w:val="single"/>
        </w:rPr>
      </w:pPr>
      <w:r>
        <w:rPr>
          <w:rFonts w:hint="eastAsia" w:ascii="宋体" w:hAnsi="宋体" w:eastAsia="宋体" w:cs="宋体"/>
          <w:b/>
          <w:color w:val="auto"/>
          <w:sz w:val="24"/>
          <w:highlight w:val="none"/>
          <w:u w:val="single"/>
        </w:rPr>
        <w:t xml:space="preserve">（</w:t>
      </w:r>
      <w:r>
        <w:rPr>
          <w:rFonts w:hint="eastAsia" w:ascii="宋体" w:hAnsi="宋体" w:eastAsia="宋体" w:cs="宋体"/>
          <w:b/>
          <w:color w:val="auto"/>
          <w:sz w:val="24"/>
          <w:highlight w:val="none"/>
          <w:u w:val="single"/>
          <w:lang w:val="en-US" w:eastAsia="zh-CN"/>
        </w:rPr>
        <w:t xml:space="preserve">9</w:t>
      </w:r>
      <w:r>
        <w:rPr>
          <w:rFonts w:hint="eastAsia" w:ascii="宋体" w:hAnsi="宋体" w:eastAsia="宋体" w:cs="宋体"/>
          <w:b/>
          <w:color w:val="auto"/>
          <w:sz w:val="24"/>
          <w:highlight w:val="none"/>
          <w:u w:val="single"/>
        </w:rPr>
        <w:t xml:space="preserve">）投标人存在串通投标情形的；</w:t>
      </w:r>
      <w:r/>
    </w:p>
    <w:p>
      <w:pPr>
        <w:ind w:left="1" w:firstLine="482"/>
        <w:spacing w:line="360" w:lineRule="auto"/>
        <w:rPr>
          <w:rFonts w:hint="eastAsia" w:ascii="宋体" w:hAnsi="宋体" w:eastAsia="宋体" w:cs="宋体"/>
          <w:b/>
          <w:color w:val="auto"/>
          <w:sz w:val="24"/>
          <w:highlight w:val="none"/>
          <w:u w:val="single"/>
        </w:rPr>
      </w:pPr>
      <w:r>
        <w:rPr>
          <w:rFonts w:hint="eastAsia" w:ascii="宋体" w:hAnsi="宋体" w:eastAsia="宋体" w:cs="宋体"/>
          <w:b/>
          <w:color w:val="auto"/>
          <w:sz w:val="24"/>
          <w:highlight w:val="none"/>
          <w:u w:val="single"/>
        </w:rPr>
        <w:t xml:space="preserve">（1</w:t>
      </w:r>
      <w:r>
        <w:rPr>
          <w:rFonts w:hint="eastAsia" w:ascii="宋体" w:hAnsi="宋体" w:eastAsia="宋体" w:cs="宋体"/>
          <w:b/>
          <w:color w:val="auto"/>
          <w:sz w:val="24"/>
          <w:highlight w:val="none"/>
          <w:u w:val="single"/>
          <w:lang w:val="en-US" w:eastAsia="zh-CN"/>
        </w:rPr>
        <w:t xml:space="preserve">0</w:t>
      </w:r>
      <w:r>
        <w:rPr>
          <w:rFonts w:hint="eastAsia" w:ascii="宋体" w:hAnsi="宋体" w:eastAsia="宋体" w:cs="宋体"/>
          <w:b/>
          <w:color w:val="auto"/>
          <w:sz w:val="24"/>
          <w:highlight w:val="none"/>
          <w:u w:val="single"/>
        </w:rPr>
        <w:t xml:space="preserve">）为本项目提供整体设计、规范编制或者项目管理、监理、检测等服务的；</w:t>
      </w:r>
      <w:r/>
    </w:p>
    <w:p>
      <w:pPr>
        <w:ind w:left="1" w:firstLine="482"/>
        <w:spacing w:line="360" w:lineRule="auto"/>
        <w:rPr>
          <w:rFonts w:hint="eastAsia" w:ascii="宋体" w:hAnsi="宋体" w:eastAsia="宋体" w:cs="宋体"/>
          <w:b/>
          <w:color w:val="auto"/>
          <w:sz w:val="24"/>
          <w:highlight w:val="none"/>
          <w:u w:val="single"/>
        </w:rPr>
      </w:pPr>
      <w:r>
        <w:rPr>
          <w:rFonts w:hint="eastAsia" w:ascii="宋体" w:hAnsi="宋体" w:eastAsia="宋体" w:cs="宋体"/>
          <w:b/>
          <w:color w:val="auto"/>
          <w:sz w:val="24"/>
          <w:highlight w:val="none"/>
          <w:u w:val="single"/>
        </w:rPr>
        <w:t xml:space="preserve">（1</w:t>
      </w:r>
      <w:r>
        <w:rPr>
          <w:rFonts w:hint="eastAsia" w:ascii="宋体" w:hAnsi="宋体" w:eastAsia="宋体" w:cs="宋体"/>
          <w:b/>
          <w:color w:val="auto"/>
          <w:sz w:val="24"/>
          <w:highlight w:val="none"/>
          <w:u w:val="single"/>
          <w:lang w:val="en-US" w:eastAsia="zh-CN"/>
        </w:rPr>
        <w:t xml:space="preserve">1</w:t>
      </w:r>
      <w:r>
        <w:rPr>
          <w:rFonts w:hint="eastAsia" w:ascii="宋体" w:hAnsi="宋体" w:eastAsia="宋体" w:cs="宋体"/>
          <w:b/>
          <w:color w:val="auto"/>
          <w:sz w:val="24"/>
          <w:highlight w:val="none"/>
          <w:u w:val="single"/>
        </w:rPr>
        <w:t xml:space="preserve">）不同投标人的法定代表人或单位负责人为同一个人或者存在直接控股、管理关系的；</w:t>
      </w:r>
      <w:r/>
    </w:p>
    <w:p>
      <w:pPr>
        <w:ind w:left="1" w:firstLine="482"/>
        <w:spacing w:line="360" w:lineRule="auto"/>
        <w:rPr>
          <w:rFonts w:hint="eastAsia" w:ascii="宋体" w:hAnsi="宋体" w:eastAsia="宋体" w:cs="宋体"/>
          <w:b/>
          <w:color w:val="auto"/>
          <w:sz w:val="24"/>
          <w:highlight w:val="none"/>
          <w:u w:val="single"/>
        </w:rPr>
      </w:pPr>
      <w:r>
        <w:rPr>
          <w:rFonts w:hint="eastAsia" w:ascii="宋体" w:hAnsi="宋体" w:eastAsia="宋体" w:cs="宋体"/>
          <w:b/>
          <w:color w:val="auto"/>
          <w:sz w:val="24"/>
          <w:highlight w:val="none"/>
          <w:u w:val="single"/>
        </w:rPr>
        <w:t xml:space="preserve">（1</w:t>
      </w:r>
      <w:r>
        <w:rPr>
          <w:rFonts w:hint="eastAsia" w:ascii="宋体" w:hAnsi="宋体" w:eastAsia="宋体" w:cs="宋体"/>
          <w:b/>
          <w:color w:val="auto"/>
          <w:sz w:val="24"/>
          <w:highlight w:val="none"/>
          <w:u w:val="single"/>
          <w:lang w:val="en-US" w:eastAsia="zh-CN"/>
        </w:rPr>
        <w:t xml:space="preserve">2</w:t>
      </w:r>
      <w:r>
        <w:rPr>
          <w:rFonts w:hint="eastAsia" w:ascii="宋体" w:hAnsi="宋体" w:eastAsia="宋体" w:cs="宋体"/>
          <w:b/>
          <w:color w:val="auto"/>
          <w:sz w:val="24"/>
          <w:highlight w:val="none"/>
          <w:u w:val="single"/>
        </w:rPr>
        <w:t xml:space="preserve">）投标文件不满足招标文件的其它实质性要求的；</w:t>
      </w:r>
      <w:r/>
    </w:p>
    <w:p>
      <w:pPr>
        <w:ind w:left="1" w:firstLine="482"/>
        <w:spacing w:line="360" w:lineRule="auto"/>
        <w:rPr>
          <w:rFonts w:hint="eastAsia" w:ascii="宋体" w:hAnsi="宋体" w:eastAsia="宋体" w:cs="宋体"/>
          <w:b/>
          <w:color w:val="auto"/>
          <w:sz w:val="24"/>
          <w:highlight w:val="none"/>
          <w:u w:val="single"/>
        </w:rPr>
      </w:pPr>
      <w:r>
        <w:rPr>
          <w:rFonts w:hint="eastAsia" w:ascii="宋体" w:hAnsi="宋体" w:eastAsia="宋体" w:cs="宋体"/>
          <w:b/>
          <w:color w:val="auto"/>
          <w:sz w:val="24"/>
          <w:highlight w:val="none"/>
          <w:u w:val="single"/>
        </w:rPr>
        <w:t xml:space="preserve">（1</w:t>
      </w:r>
      <w:r>
        <w:rPr>
          <w:rFonts w:hint="eastAsia" w:ascii="宋体" w:hAnsi="宋体" w:eastAsia="宋体" w:cs="宋体"/>
          <w:b/>
          <w:color w:val="auto"/>
          <w:sz w:val="24"/>
          <w:highlight w:val="none"/>
          <w:u w:val="single"/>
          <w:lang w:val="en-US" w:eastAsia="zh-CN"/>
        </w:rPr>
        <w:t xml:space="preserve">3</w:t>
      </w:r>
      <w:r>
        <w:rPr>
          <w:rFonts w:hint="eastAsia" w:ascii="宋体" w:hAnsi="宋体" w:eastAsia="宋体" w:cs="宋体"/>
          <w:b/>
          <w:color w:val="auto"/>
          <w:sz w:val="24"/>
          <w:highlight w:val="none"/>
          <w:u w:val="single"/>
        </w:rPr>
        <w:t xml:space="preserve">）如有委托代理人，未提供投标人为其缴纳社保证明材料的；</w:t>
      </w:r>
      <w:r/>
    </w:p>
    <w:p>
      <w:pPr>
        <w:ind w:left="1" w:firstLine="482"/>
        <w:spacing w:line="360" w:lineRule="auto"/>
        <w:rPr>
          <w:rFonts w:hint="eastAsia" w:ascii="宋体" w:hAnsi="宋体" w:eastAsia="宋体" w:cs="宋体"/>
          <w:b/>
          <w:color w:val="auto"/>
          <w:sz w:val="24"/>
          <w:highlight w:val="none"/>
          <w:u w:val="single"/>
        </w:rPr>
      </w:pPr>
      <w:r>
        <w:rPr>
          <w:rFonts w:hint="eastAsia" w:ascii="宋体" w:hAnsi="宋体" w:eastAsia="宋体" w:cs="宋体"/>
          <w:b/>
          <w:color w:val="auto"/>
          <w:sz w:val="24"/>
          <w:highlight w:val="none"/>
          <w:u w:val="single"/>
        </w:rPr>
        <w:t xml:space="preserve">（1</w:t>
      </w:r>
      <w:r>
        <w:rPr>
          <w:rFonts w:hint="eastAsia" w:ascii="宋体" w:hAnsi="宋体" w:eastAsia="宋体" w:cs="宋体"/>
          <w:b/>
          <w:color w:val="auto"/>
          <w:sz w:val="24"/>
          <w:highlight w:val="none"/>
          <w:u w:val="single"/>
          <w:lang w:val="en-US" w:eastAsia="zh-CN"/>
        </w:rPr>
        <w:t xml:space="preserve">4</w:t>
      </w:r>
      <w:r>
        <w:rPr>
          <w:rFonts w:hint="eastAsia" w:ascii="宋体" w:hAnsi="宋体" w:eastAsia="宋体" w:cs="宋体"/>
          <w:b/>
          <w:color w:val="auto"/>
          <w:sz w:val="24"/>
          <w:highlight w:val="none"/>
          <w:u w:val="single"/>
        </w:rPr>
        <w:t xml:space="preserve">）参数部分负偏离程度过大或过多，经评委会认定影响采购人实际使用的；</w:t>
      </w:r>
      <w:r/>
    </w:p>
    <w:p>
      <w:pPr>
        <w:ind w:left="1" w:firstLine="482"/>
        <w:spacing w:line="360" w:lineRule="auto"/>
        <w:rPr>
          <w:rFonts w:hint="eastAsia" w:ascii="宋体" w:hAnsi="宋体" w:eastAsia="宋体" w:cs="宋体"/>
          <w:b/>
          <w:color w:val="auto"/>
          <w:sz w:val="24"/>
          <w:highlight w:val="none"/>
          <w:u w:val="single"/>
        </w:rPr>
      </w:pPr>
      <w:r>
        <w:rPr>
          <w:rFonts w:hint="eastAsia" w:ascii="宋体" w:hAnsi="宋体" w:eastAsia="宋体" w:cs="宋体"/>
          <w:b/>
          <w:color w:val="auto"/>
          <w:sz w:val="24"/>
          <w:highlight w:val="none"/>
          <w:u w:val="single"/>
        </w:rPr>
        <w:t xml:space="preserve">（1</w:t>
      </w:r>
      <w:r>
        <w:rPr>
          <w:rFonts w:hint="eastAsia" w:ascii="宋体" w:hAnsi="宋体" w:eastAsia="宋体" w:cs="宋体"/>
          <w:b/>
          <w:color w:val="auto"/>
          <w:sz w:val="24"/>
          <w:highlight w:val="none"/>
          <w:u w:val="single"/>
          <w:lang w:val="en-US" w:eastAsia="zh-CN"/>
        </w:rPr>
        <w:t xml:space="preserve">5</w:t>
      </w:r>
      <w:r>
        <w:rPr>
          <w:rFonts w:hint="eastAsia" w:ascii="宋体" w:hAnsi="宋体" w:eastAsia="宋体" w:cs="宋体"/>
          <w:b/>
          <w:color w:val="auto"/>
          <w:sz w:val="24"/>
          <w:highlight w:val="none"/>
          <w:u w:val="single"/>
        </w:rPr>
        <w:t xml:space="preserve">）投标文件不满足招标文件的加★要求的；</w:t>
      </w:r>
      <w:r/>
    </w:p>
    <w:p>
      <w:pPr>
        <w:ind w:left="1" w:firstLine="482"/>
        <w:spacing w:line="360" w:lineRule="auto"/>
        <w:rPr>
          <w:rFonts w:hint="eastAsia" w:ascii="宋体" w:hAnsi="宋体" w:eastAsia="宋体" w:cs="宋体"/>
          <w:b/>
          <w:color w:val="auto"/>
          <w:sz w:val="24"/>
          <w:highlight w:val="none"/>
          <w:u w:val="single"/>
        </w:rPr>
      </w:pPr>
      <w:r>
        <w:rPr>
          <w:rFonts w:hint="eastAsia" w:ascii="宋体" w:hAnsi="宋体" w:eastAsia="宋体" w:cs="宋体"/>
          <w:b/>
          <w:color w:val="auto"/>
          <w:sz w:val="24"/>
          <w:highlight w:val="none"/>
          <w:u w:val="single"/>
        </w:rPr>
        <w:t xml:space="preserve">（1</w:t>
      </w:r>
      <w:r>
        <w:rPr>
          <w:rFonts w:hint="eastAsia" w:ascii="宋体" w:hAnsi="宋体" w:eastAsia="宋体" w:cs="宋体"/>
          <w:b/>
          <w:color w:val="auto"/>
          <w:sz w:val="24"/>
          <w:highlight w:val="none"/>
          <w:u w:val="single"/>
          <w:lang w:val="en-US" w:eastAsia="zh-CN"/>
        </w:rPr>
        <w:t xml:space="preserve">6</w:t>
      </w:r>
      <w:r>
        <w:rPr>
          <w:rFonts w:hint="eastAsia" w:ascii="宋体" w:hAnsi="宋体" w:eastAsia="宋体" w:cs="宋体"/>
          <w:b/>
          <w:color w:val="auto"/>
          <w:sz w:val="24"/>
          <w:highlight w:val="none"/>
          <w:u w:val="single"/>
        </w:rPr>
        <w:t xml:space="preserve">）法律、法规、规章（适用本市的）及省级以上规范性文件（适用本市的）规定的其他无效情形。</w:t>
      </w:r>
      <w:r/>
    </w:p>
    <w:p>
      <w:pPr>
        <w:pStyle w:val="1022"/>
        <w:ind w:firstLine="446"/>
        <w:keepLines w:val="0"/>
        <w:keepNext w:val="0"/>
        <w:spacing w:before="200" w:after="200" w:line="360" w:lineRule="auto"/>
        <w:rPr>
          <w:rFonts w:hint="eastAsia" w:ascii="宋体" w:hAnsi="宋体" w:eastAsia="宋体" w:cs="宋体"/>
          <w:color w:val="auto"/>
          <w:sz w:val="30"/>
          <w:highlight w:val="none"/>
        </w:rPr>
      </w:pPr>
      <w:r>
        <w:rPr>
          <w:rFonts w:hint="eastAsia" w:ascii="宋体" w:hAnsi="宋体" w:eastAsia="宋体" w:cs="宋体"/>
          <w:color w:val="auto"/>
          <w:sz w:val="30"/>
          <w:highlight w:val="none"/>
        </w:rPr>
        <w:t xml:space="preserve">23. 串通投标的情形</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23.1 有下列情形之一的，视为投标人串通投标，投标无效：</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（1）不同投标人的投标文件由同一单位或者个人编制；</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（2）不同投标人委托同一单位或者个人办理投标事宜；</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（3）不同投标人的投标文件载明的项目管理成员或者联系人员为同一人；</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（4）不同投标人的投标文件异常一致或者投标报价呈规律性差异；</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（5）不同投标人的投标文件相互混装。</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（6）不同投标人存在电子投标文件预算编制软件密码锁号、IP地址、机器码一致的情形。</w:t>
      </w:r>
      <w:r/>
    </w:p>
    <w:p>
      <w:pPr>
        <w:pStyle w:val="1022"/>
        <w:ind w:firstLine="448"/>
        <w:keepLines w:val="0"/>
        <w:keepNext w:val="0"/>
        <w:pageBreakBefore w:val="0"/>
        <w:spacing w:before="0" w:after="0" w:line="360" w:lineRule="auto"/>
        <w:widowControl w:val="off"/>
        <w:rPr>
          <w:rFonts w:hint="eastAsia" w:ascii="宋体" w:hAnsi="宋体" w:eastAsia="宋体" w:cs="宋体"/>
          <w:color w:val="auto"/>
          <w:sz w:val="30"/>
          <w:highlight w:val="none"/>
        </w:rPr>
      </w:pPr>
      <w:r>
        <w:rPr>
          <w:rFonts w:hint="eastAsia" w:ascii="宋体" w:hAnsi="宋体" w:eastAsia="宋体" w:cs="宋体"/>
          <w:color w:val="auto"/>
          <w:sz w:val="30"/>
          <w:highlight w:val="none"/>
        </w:rPr>
        <w:t xml:space="preserve">24.投标文件详细评审</w:t>
      </w:r>
      <w:r/>
    </w:p>
    <w:p>
      <w:pPr>
        <w:pStyle w:val="1023"/>
        <w:ind w:firstLine="480"/>
        <w:spacing w:line="360" w:lineRule="auto"/>
        <w:rPr>
          <w:rFonts w:hint="eastAsia" w:ascii="宋体" w:hAnsi="宋体" w:eastAsia="宋体" w:cs="宋体"/>
          <w:color w:val="auto"/>
          <w:highlight w:val="none"/>
        </w:rPr>
      </w:pPr>
      <w:r>
        <w:rPr>
          <w:rFonts w:hint="eastAsia" w:ascii="宋体" w:hAnsi="宋体" w:eastAsia="宋体" w:cs="宋体"/>
          <w:color w:val="auto"/>
          <w:sz w:val="24"/>
          <w:highlight w:val="none"/>
        </w:rPr>
        <w:t xml:space="preserve">24.1 评标委员会将按照招标文件第五部分“评标办法和标准”第8项规定，对符合性审查合格的投标文件进行商务、技术和价格评估，综合比较与评价。</w:t>
      </w:r>
      <w:r/>
    </w:p>
    <w:p>
      <w:pPr>
        <w:pStyle w:val="1022"/>
        <w:ind w:firstLine="448"/>
        <w:keepLines w:val="0"/>
        <w:keepNext w:val="0"/>
        <w:pageBreakBefore w:val="0"/>
        <w:spacing w:before="0" w:after="0" w:line="360" w:lineRule="auto"/>
        <w:widowControl w:val="off"/>
        <w:rPr>
          <w:rFonts w:hint="eastAsia" w:ascii="宋体" w:hAnsi="宋体" w:eastAsia="宋体" w:cs="宋体"/>
          <w:color w:val="auto"/>
          <w:sz w:val="30"/>
          <w:highlight w:val="none"/>
        </w:rPr>
      </w:pPr>
      <w:r>
        <w:rPr>
          <w:rFonts w:hint="eastAsia" w:ascii="宋体" w:hAnsi="宋体" w:eastAsia="宋体" w:cs="宋体"/>
          <w:color w:val="auto"/>
          <w:sz w:val="30"/>
          <w:highlight w:val="none"/>
        </w:rPr>
        <w:t xml:space="preserve">25.评标过程的保密</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25.1 在评标过程中，如果投标人试图在投标文件审查、澄清、比较及授标建议等方面向采购人、采购代理机构或参加评标的人员施加任何影响，都将会导致其投标无效。</w:t>
      </w:r>
      <w:r/>
    </w:p>
    <w:p>
      <w:pPr>
        <w:ind w:left="1" w:firstLine="480"/>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25.2 </w:t>
      </w:r>
      <w:r>
        <w:rPr>
          <w:rFonts w:hint="eastAsia" w:ascii="宋体" w:hAnsi="宋体" w:eastAsia="宋体" w:cs="宋体"/>
          <w:b/>
          <w:color w:val="auto"/>
          <w:sz w:val="24"/>
          <w:highlight w:val="none"/>
          <w:u w:val="single"/>
        </w:rPr>
        <w:t xml:space="preserve">评标将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pStyle w:val="1022"/>
        <w:ind w:firstLine="448"/>
        <w:keepLines w:val="0"/>
        <w:keepNext w:val="0"/>
        <w:pageBreakBefore w:val="0"/>
        <w:spacing w:before="0" w:after="0" w:line="360" w:lineRule="auto"/>
        <w:widowControl w:val="off"/>
        <w:rPr>
          <w:rFonts w:hint="eastAsia" w:ascii="宋体" w:hAnsi="宋体" w:eastAsia="宋体" w:cs="宋体"/>
          <w:color w:val="auto"/>
          <w:sz w:val="30"/>
          <w:highlight w:val="none"/>
        </w:rPr>
      </w:pPr>
      <w:r>
        <w:rPr>
          <w:rFonts w:hint="eastAsia" w:ascii="宋体" w:hAnsi="宋体" w:eastAsia="宋体" w:cs="宋体"/>
          <w:color w:val="auto"/>
          <w:sz w:val="30"/>
          <w:highlight w:val="none"/>
        </w:rPr>
        <w:t xml:space="preserve">26．废标的情形</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26.1 出现下列情形之一的，将予废标：</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（1）符合专业条件的供应商或者对招标文件作实质响应的供应商不足三家的；  </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（2）出现影响采购公正的违法、违规行为的；  </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（3）投标人的报价均超过了采购预算，采购人不能支付的；</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（4）因重大变故，采购任务取消的； </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废标后，采购人应当将废标理由通知所有投标人。</w:t>
      </w:r>
      <w:r/>
    </w:p>
    <w:p>
      <w:pPr>
        <w:pStyle w:val="1022"/>
        <w:jc w:val="center"/>
        <w:keepLines w:val="0"/>
        <w:keepNext w:val="0"/>
        <w:spacing w:before="200" w:after="20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六、确定结果</w:t>
      </w:r>
      <w:r/>
    </w:p>
    <w:p>
      <w:pPr>
        <w:pStyle w:val="1022"/>
        <w:ind w:firstLine="448"/>
        <w:keepLines w:val="0"/>
        <w:keepNext w:val="0"/>
        <w:pageBreakBefore w:val="0"/>
        <w:spacing w:before="0" w:after="0" w:line="360" w:lineRule="auto"/>
        <w:widowControl w:val="off"/>
        <w:rPr>
          <w:rFonts w:hint="eastAsia" w:ascii="宋体" w:hAnsi="宋体" w:eastAsia="宋体" w:cs="宋体"/>
          <w:color w:val="auto"/>
          <w:sz w:val="30"/>
          <w:highlight w:val="none"/>
        </w:rPr>
      </w:pPr>
      <w:r>
        <w:rPr>
          <w:rFonts w:hint="eastAsia" w:ascii="宋体" w:hAnsi="宋体" w:eastAsia="宋体" w:cs="宋体"/>
          <w:color w:val="auto"/>
          <w:sz w:val="30"/>
          <w:highlight w:val="none"/>
        </w:rPr>
        <w:t xml:space="preserve">27.确定中标人</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27.1采购代理机构在评标结束后2个工作日内将评标报告送采购人。</w:t>
      </w:r>
      <w:r/>
    </w:p>
    <w:p>
      <w:pPr>
        <w:ind w:firstLine="480"/>
        <w:spacing w:line="360" w:lineRule="auto"/>
        <w:rPr>
          <w:rFonts w:hint="eastAsia" w:ascii="宋体" w:hAnsi="宋体" w:eastAsia="宋体" w:cs="宋体"/>
          <w:color w:val="auto"/>
          <w:sz w:val="24"/>
          <w:highlight w:val="none"/>
        </w:rPr>
      </w:pPr>
      <w:r/>
      <w:bookmarkStart w:id="67" w:name="_Hlk132702541"/>
      <w:r/>
      <w:bookmarkStart w:id="68" w:name="_Hlk132702790"/>
      <w:r>
        <w:rPr>
          <w:rFonts w:hint="eastAsia" w:ascii="宋体" w:hAnsi="宋体" w:eastAsia="宋体" w:cs="宋体"/>
          <w:color w:val="auto"/>
          <w:sz w:val="24"/>
          <w:highlight w:val="none"/>
        </w:rPr>
        <w:t xml:space="preserve">27.</w:t>
      </w:r>
      <w:bookmarkEnd w:id="67"/>
      <w:r>
        <w:rPr>
          <w:rFonts w:hint="eastAsia" w:ascii="宋体" w:hAnsi="宋体" w:eastAsia="宋体" w:cs="宋体"/>
          <w:color w:val="auto"/>
          <w:sz w:val="24"/>
          <w:highlight w:val="none"/>
        </w:rPr>
        <w:t xml:space="preserve">2</w:t>
      </w:r>
      <w:bookmarkEnd w:id="68"/>
      <w:r>
        <w:rPr>
          <w:rFonts w:hint="eastAsia" w:ascii="宋体" w:hAnsi="宋体" w:eastAsia="宋体" w:cs="宋体"/>
          <w:color w:val="auto"/>
          <w:sz w:val="24"/>
          <w:highlight w:val="none"/>
        </w:rPr>
        <w:t xml:space="preserve">采购人自收到评标报告之日起5个工作日内，在评标报告确定的中标候选人名单中按顺序确定中标人。中标候选人并列的，按《政府采购货物和服务招标投标管理办法》（财政部87号令）相关规定执行。</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en-US" w:eastAsia="zh-CN"/>
        </w:rPr>
        <w:t xml:space="preserve">7</w:t>
      </w:r>
      <w:r>
        <w:rPr>
          <w:rFonts w:hint="eastAsia" w:ascii="宋体" w:hAnsi="宋体" w:eastAsia="宋体" w:cs="宋体"/>
          <w:color w:val="auto"/>
          <w:sz w:val="24"/>
          <w:highlight w:val="none"/>
        </w:rPr>
        <w:t xml:space="preserve">.3</w:t>
      </w:r>
      <w:r>
        <w:rPr>
          <w:rFonts w:hint="eastAsia" w:ascii="宋体" w:hAnsi="宋体" w:eastAsia="宋体" w:cs="宋体"/>
          <w:b/>
          <w:bCs/>
          <w:color w:val="auto"/>
          <w:sz w:val="22"/>
          <w:highlight w:val="none"/>
          <w:lang w:val="zh-CN"/>
        </w:rPr>
        <w:t xml:space="preserve">成交供应商在成交公告发布后，须向采购代理机构提供与线上内容一致的纸质响应文件三份（正本1份、副本2份）</w:t>
      </w:r>
      <w:r/>
    </w:p>
    <w:p>
      <w:pPr>
        <w:pStyle w:val="1022"/>
        <w:ind w:firstLine="643"/>
        <w:jc w:val="center"/>
        <w:keepLines w:val="0"/>
        <w:keepNext w:val="0"/>
        <w:spacing w:before="200" w:after="200"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七、授予合同</w:t>
      </w:r>
      <w:r/>
    </w:p>
    <w:p>
      <w:pPr>
        <w:pStyle w:val="1022"/>
        <w:ind w:firstLine="448"/>
        <w:keepLines w:val="0"/>
        <w:keepNext w:val="0"/>
        <w:pageBreakBefore w:val="0"/>
        <w:spacing w:before="0" w:after="0" w:line="360" w:lineRule="auto"/>
        <w:widowControl w:val="off"/>
        <w:rPr>
          <w:rFonts w:hint="eastAsia" w:ascii="宋体" w:hAnsi="宋体" w:eastAsia="宋体" w:cs="宋体"/>
          <w:color w:val="auto"/>
          <w:sz w:val="30"/>
          <w:highlight w:val="none"/>
        </w:rPr>
      </w:pPr>
      <w:r>
        <w:rPr>
          <w:rFonts w:hint="eastAsia" w:ascii="宋体" w:hAnsi="宋体" w:eastAsia="宋体" w:cs="宋体"/>
          <w:color w:val="auto"/>
          <w:sz w:val="30"/>
          <w:highlight w:val="none"/>
        </w:rPr>
        <w:t xml:space="preserve">28．中标通知书</w:t>
      </w:r>
      <w:r/>
    </w:p>
    <w:p>
      <w:pPr>
        <w:pStyle w:val="1022"/>
        <w:ind w:firstLine="470"/>
        <w:keepLines w:val="0"/>
        <w:keepNext w:val="0"/>
        <w:spacing w:before="0" w:after="0" w:line="360" w:lineRule="auto"/>
        <w:rPr>
          <w:rFonts w:hint="eastAsia" w:ascii="宋体" w:hAnsi="宋体" w:eastAsia="宋体" w:cs="宋体"/>
          <w:b w:val="0"/>
          <w:color w:val="auto"/>
          <w:sz w:val="24"/>
          <w:highlight w:val="none"/>
        </w:rPr>
      </w:pPr>
      <w:r>
        <w:rPr>
          <w:rFonts w:hint="eastAsia" w:ascii="宋体" w:hAnsi="宋体" w:eastAsia="宋体" w:cs="宋体"/>
          <w:b w:val="0"/>
          <w:color w:val="auto"/>
          <w:sz w:val="24"/>
          <w:highlight w:val="none"/>
        </w:rPr>
        <w:t xml:space="preserve">28.1 自中标人确定之日起2个工作日内，采购代理机构向中标人发出中标通知书，同时编制发布采购结果公告。</w:t>
      </w:r>
      <w:r/>
    </w:p>
    <w:p>
      <w:pPr>
        <w:pStyle w:val="1022"/>
        <w:ind w:firstLine="355"/>
        <w:keepLines w:val="0"/>
        <w:keepNext w:val="0"/>
        <w:spacing w:before="200" w:after="200" w:line="360" w:lineRule="auto"/>
        <w:rPr>
          <w:rFonts w:hint="eastAsia" w:ascii="宋体" w:hAnsi="宋体" w:eastAsia="宋体" w:cs="宋体"/>
          <w:color w:val="auto"/>
          <w:sz w:val="30"/>
          <w:szCs w:val="30"/>
          <w:highlight w:val="none"/>
        </w:rPr>
      </w:pPr>
      <w:r>
        <w:rPr>
          <w:rFonts w:hint="eastAsia" w:ascii="宋体" w:hAnsi="宋体" w:eastAsia="宋体" w:cs="宋体"/>
          <w:b w:val="0"/>
          <w:color w:val="auto"/>
          <w:sz w:val="24"/>
          <w:highlight w:val="none"/>
        </w:rPr>
        <w:t xml:space="preserve">28.2中标通知书发出后，采购人不得违法改变中标结果，中标人无正当理由不得放弃中标。</w:t>
      </w:r>
      <w:r/>
    </w:p>
    <w:p>
      <w:pPr>
        <w:pStyle w:val="1022"/>
        <w:ind w:firstLine="448"/>
        <w:keepLines w:val="0"/>
        <w:keepNext w:val="0"/>
        <w:pageBreakBefore w:val="0"/>
        <w:spacing w:before="0" w:after="0" w:line="360" w:lineRule="auto"/>
        <w:widowControl w:val="off"/>
        <w:rPr>
          <w:rFonts w:hint="eastAsia" w:ascii="宋体" w:hAnsi="宋体" w:eastAsia="宋体" w:cs="宋体"/>
          <w:color w:val="auto"/>
          <w:sz w:val="30"/>
          <w:highlight w:val="none"/>
        </w:rPr>
      </w:pPr>
      <w:r>
        <w:rPr>
          <w:rFonts w:hint="eastAsia" w:ascii="宋体" w:hAnsi="宋体" w:eastAsia="宋体" w:cs="宋体"/>
          <w:color w:val="auto"/>
          <w:sz w:val="30"/>
          <w:highlight w:val="none"/>
        </w:rPr>
        <w:t xml:space="preserve">29.履约保证金</w:t>
      </w:r>
      <w:r/>
    </w:p>
    <w:p>
      <w:pPr>
        <w:pStyle w:val="1023"/>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29.1 </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本项目不收取履约保证金。</w:t>
      </w:r>
      <w:r/>
    </w:p>
    <w:p>
      <w:pPr>
        <w:pStyle w:val="1027"/>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rPr>
        <w:t xml:space="preserve"> </w:t>
      </w:r>
      <w:r>
        <w:rPr>
          <w:rFonts w:hint="eastAsia" w:ascii="宋体" w:hAnsi="宋体" w:eastAsia="宋体" w:cs="宋体"/>
          <w:color w:val="auto"/>
          <w:sz w:val="24"/>
          <w:szCs w:val="24"/>
          <w:highlight w:val="none"/>
          <w:lang w:val="en-US" w:eastAsia="zh-CN" w:bidi="ar-SA"/>
        </w:rPr>
        <w:t xml:space="preserve">□本项目中标供应商应提交政府采购合同金额XX%的履约保证金（不得超过政府采购合同金额的10%），履约保证金应以支票、汇票、本票、保函、保险保单等非现金形式缴纳或提交。支持和鼓励中标供应商自愿使用履约(保函) 保险代替缴纳履约保证金。省财政厅已上线政府采购电子履约保函(保险)平台，平台可通过域名www.jisdzbh.com直接访问，也可通过江苏省政府采购网、“苏采云”系统链接访问。</w:t>
      </w:r>
      <w:r/>
    </w:p>
    <w:p>
      <w:pPr>
        <w:pStyle w:val="1022"/>
        <w:ind w:firstLine="448"/>
        <w:keepLines w:val="0"/>
        <w:keepNext w:val="0"/>
        <w:pageBreakBefore w:val="0"/>
        <w:spacing w:before="0" w:after="0" w:line="360" w:lineRule="auto"/>
        <w:widowControl w:val="off"/>
        <w:rPr>
          <w:rFonts w:hint="eastAsia" w:ascii="宋体" w:hAnsi="宋体" w:eastAsia="宋体" w:cs="宋体"/>
          <w:color w:val="auto"/>
          <w:sz w:val="30"/>
          <w:highlight w:val="none"/>
        </w:rPr>
      </w:pPr>
      <w:r>
        <w:rPr>
          <w:rFonts w:hint="eastAsia" w:ascii="宋体" w:hAnsi="宋体" w:eastAsia="宋体" w:cs="宋体"/>
          <w:color w:val="auto"/>
          <w:sz w:val="30"/>
          <w:highlight w:val="none"/>
        </w:rPr>
        <w:t xml:space="preserve">30．签订合同</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30.1 采购人应当自中标通知书发出之日起</w:t>
      </w:r>
      <w:r>
        <w:rPr>
          <w:rFonts w:hint="eastAsia" w:ascii="宋体" w:hAnsi="宋体" w:eastAsia="宋体" w:cs="宋体"/>
          <w:color w:val="auto"/>
          <w:sz w:val="24"/>
          <w:highlight w:val="none"/>
          <w:u w:val="single"/>
        </w:rPr>
        <w:t xml:space="preserve">15日</w:t>
      </w:r>
      <w:r>
        <w:rPr>
          <w:rFonts w:hint="eastAsia" w:ascii="宋体" w:hAnsi="宋体" w:eastAsia="宋体" w:cs="宋体"/>
          <w:color w:val="auto"/>
          <w:sz w:val="24"/>
          <w:highlight w:val="none"/>
        </w:rPr>
        <w:t xml:space="preserve">内，按照招标文件和中标人投标文件的规定，与中标人签订书面合同。所签订的合同不得对招标文件确定的事项和中标人投标文件作实质性修改。采购人不得向中标人提出任何不合理的要求作为签订合同的条件。招标文件、中标人的投标文件、澄清文件、中标通知书，均为签订合同的依据。</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30.2中标供应商拒绝与采购人签订合同的，采购人可以按照评审报告推荐的中标人名单排序，确定下一候选人为中标供应商，也可以重新开展政府采购活动。中标供应商无正当理由拒不与采购人签订合同的，报政府采购监管部门依法处理。</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30.3 政府采购合同应当包括采购人与中标人的名称和住所、标的、数量、质量、价款或者报酬、履行期限及地点和方式、验收要求、违约责任、解决争议的方法等内容。</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30.4采购人应当自采购合同签订之日起2个工作日内，将政府采购合同在政府采购指定媒体予以公告。</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30.5合同履行中，采购人需追加与合同标的相同的货物或者服务时，在不改变合同其他条款的前提下，可以与中标人协商签订补充合同，但所有补充合同的采购金额不得超过原合同采购金额的百分之十。</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30.6采购人与中标人应当根据合同的约定依法履行合同义务。政府采购合同的履行、违约责任和解决争议的方法等适用《中华人民共和国民法典》。</w:t>
      </w:r>
      <w:r/>
    </w:p>
    <w:p>
      <w:pPr>
        <w:ind w:left="-424" w:firstLine="763"/>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643"/>
        <w:jc w:val="center"/>
        <w:spacing w:line="360" w:lineRule="auto"/>
        <w:rPr>
          <w:rFonts w:hint="eastAsia" w:ascii="宋体" w:hAnsi="宋体" w:eastAsia="宋体" w:cs="宋体"/>
          <w:b/>
          <w:color w:val="auto"/>
          <w:sz w:val="32"/>
          <w:szCs w:val="32"/>
          <w:highlight w:val="none"/>
          <w:shd w:val="clear" w:color="auto" w:fill="ffffff"/>
        </w:rPr>
      </w:pPr>
      <w:r>
        <w:rPr>
          <w:rFonts w:hint="eastAsia" w:ascii="宋体" w:hAnsi="宋体" w:eastAsia="宋体" w:cs="宋体"/>
          <w:b/>
          <w:color w:val="auto"/>
          <w:sz w:val="32"/>
          <w:szCs w:val="32"/>
          <w:highlight w:val="none"/>
          <w:shd w:val="clear" w:color="auto" w:fill="ffffff"/>
        </w:rPr>
        <w:t xml:space="preserve">八、询问、质疑、投诉</w:t>
      </w:r>
      <w:r/>
    </w:p>
    <w:p>
      <w:pPr>
        <w:pStyle w:val="1022"/>
        <w:ind w:firstLine="448"/>
        <w:keepLines w:val="0"/>
        <w:keepNext w:val="0"/>
        <w:pageBreakBefore w:val="0"/>
        <w:spacing w:before="0" w:after="0" w:line="360" w:lineRule="auto"/>
        <w:widowControl w:val="off"/>
        <w:rPr>
          <w:rFonts w:hint="eastAsia" w:ascii="宋体" w:hAnsi="宋体" w:eastAsia="宋体" w:cs="宋体"/>
          <w:color w:val="auto"/>
          <w:sz w:val="30"/>
          <w:highlight w:val="none"/>
        </w:rPr>
      </w:pPr>
      <w:r>
        <w:rPr>
          <w:rFonts w:hint="eastAsia" w:ascii="宋体" w:hAnsi="宋体" w:eastAsia="宋体" w:cs="宋体"/>
          <w:color w:val="auto"/>
          <w:sz w:val="30"/>
          <w:highlight w:val="none"/>
        </w:rPr>
        <w:t xml:space="preserve">31．询问</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31.1供应商对招标活动事项有疑问的，可以向采购人或采购代理机构提出询问，采购人或采购代理机构将在3个工作日内对供应商依法提出的询问作出答复，但答复的内容不得涉及商业秘密。</w:t>
      </w:r>
      <w:r/>
    </w:p>
    <w:p>
      <w:pPr>
        <w:pStyle w:val="1022"/>
        <w:ind w:firstLine="448"/>
        <w:keepLines w:val="0"/>
        <w:keepNext w:val="0"/>
        <w:pageBreakBefore w:val="0"/>
        <w:spacing w:before="0" w:after="0" w:line="360" w:lineRule="auto"/>
        <w:widowControl w:val="off"/>
        <w:rPr>
          <w:rFonts w:hint="eastAsia" w:ascii="宋体" w:hAnsi="宋体" w:eastAsia="宋体" w:cs="宋体"/>
          <w:color w:val="auto"/>
          <w:sz w:val="30"/>
          <w:highlight w:val="none"/>
        </w:rPr>
      </w:pPr>
      <w:r>
        <w:rPr>
          <w:rFonts w:hint="eastAsia" w:ascii="宋体" w:hAnsi="宋体" w:eastAsia="宋体" w:cs="宋体"/>
          <w:color w:val="auto"/>
          <w:sz w:val="30"/>
          <w:highlight w:val="none"/>
        </w:rPr>
        <w:t xml:space="preserve">32．质疑</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32.1 提出质疑的供应商应当是参与所质疑项目采购活动的供应商。潜在供应商已依法获取其可质疑的招标文件的，可以对该文件提出质疑。供应商认为采购文件、采购过程和中标结果使自己的合法权益受到损害的，可以在知道或者应知其权益受到损害之日起七个工作日内，以书面形式向采购人、采购代理机构提出质疑。否则，采购人或者采购代理机构不予受理</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以上规定的供应商应知其权益受到损害之日，是指：</w:t>
      </w:r>
      <w:r/>
    </w:p>
    <w:p>
      <w:pPr>
        <w:ind w:firstLine="36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（1）对可以质疑的采购文件提出质疑的，为收到采购文件之日或者采购文件公告期限届满之日；</w:t>
      </w:r>
      <w:r/>
    </w:p>
    <w:p>
      <w:pPr>
        <w:ind w:firstLine="36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（2）对采购过程提出质疑的，为各采购程序环节结束之日；</w:t>
      </w:r>
      <w:r/>
    </w:p>
    <w:p>
      <w:pPr>
        <w:ind w:firstLine="36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（3）对中标结果提出质疑的，为中标结果公告期限届满之日。</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32.2 供应商应按照“谁主张、谁举证”的原则对质疑内容提供相关证明材料，并对质疑内容的真实性承担责任。供应商不得虚假质疑和恶意质疑，如通过捏造事实、伪造证明材料等方式提出异议或投诉，阻碍招投标活动正常进行的，属于严重不良行为，采购人或采购代理机构将提请</w:t>
      </w:r>
      <w:bookmarkStart w:id="69" w:name="_Hlk132706924"/>
      <w:r>
        <w:rPr>
          <w:rFonts w:hint="eastAsia" w:ascii="宋体" w:hAnsi="宋体" w:eastAsia="宋体" w:cs="宋体"/>
          <w:color w:val="auto"/>
          <w:sz w:val="24"/>
          <w:highlight w:val="none"/>
        </w:rPr>
        <w:t xml:space="preserve">政府采购监管部门</w:t>
      </w:r>
      <w:bookmarkEnd w:id="69"/>
      <w:r>
        <w:rPr>
          <w:rFonts w:hint="eastAsia" w:ascii="宋体" w:hAnsi="宋体" w:eastAsia="宋体" w:cs="宋体"/>
          <w:color w:val="auto"/>
          <w:sz w:val="24"/>
          <w:highlight w:val="none"/>
        </w:rPr>
        <w:t xml:space="preserve">将其列入不良行为记录名单，并依法予以处罚。</w:t>
      </w:r>
      <w:r/>
    </w:p>
    <w:p>
      <w:pPr>
        <w:ind w:firstLine="480"/>
        <w:spacing w:line="360" w:lineRule="auto"/>
        <w:rPr>
          <w:rFonts w:hint="eastAsia" w:ascii="宋体" w:hAnsi="宋体" w:eastAsia="宋体" w:cs="宋体"/>
          <w:b/>
          <w:color w:val="auto"/>
          <w:sz w:val="24"/>
          <w:highlight w:val="none"/>
        </w:rPr>
      </w:pPr>
      <w:r>
        <w:rPr>
          <w:rFonts w:hint="eastAsia" w:ascii="宋体" w:hAnsi="宋体" w:eastAsia="宋体" w:cs="宋体"/>
          <w:color w:val="auto"/>
          <w:sz w:val="24"/>
          <w:highlight w:val="none"/>
        </w:rPr>
        <w:t xml:space="preserve">32.3 供应商应当在法定质疑期内一次性提出针对同一采购程序环节的质疑。供应商如在法定期限内对同一采购程序环节提出多次质疑的，将只对供应商第一次质疑作出答复。</w:t>
      </w:r>
      <w:r>
        <w:rPr>
          <w:rFonts w:hint="eastAsia" w:ascii="宋体" w:hAnsi="宋体" w:eastAsia="宋体" w:cs="宋体"/>
          <w:b/>
          <w:color w:val="auto"/>
          <w:sz w:val="24"/>
          <w:highlight w:val="none"/>
        </w:rPr>
        <w:t xml:space="preserve">供应商如对采购需求提出质疑，采购人负责处理和答复涉及采购需求的质疑内容。</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32.4 集中采购接受质疑函联系部门、联系电话和通讯地址、质疑流程及注意事项见</w:t>
      </w:r>
      <w:r>
        <w:rPr>
          <w:rFonts w:hint="eastAsia" w:ascii="宋体" w:hAnsi="宋体" w:eastAsia="宋体" w:cs="宋体"/>
          <w:color w:val="auto"/>
          <w:sz w:val="24"/>
          <w:highlight w:val="none"/>
          <w:lang w:val="en-US" w:eastAsia="zh-CN"/>
        </w:rPr>
        <w:t xml:space="preserve">江苏政府采购网</w:t>
      </w:r>
      <w:r>
        <w:rPr>
          <w:rFonts w:hint="eastAsia" w:ascii="宋体" w:hAnsi="宋体" w:eastAsia="宋体" w:cs="宋体"/>
          <w:color w:val="auto"/>
          <w:sz w:val="24"/>
          <w:highlight w:val="none"/>
        </w:rPr>
        <w:t xml:space="preserve">。分散采购接受质疑函请联系代理机构。</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32.5采购人、采购代理机构不得拒收质疑供应商在法定质疑期内发出的质疑函，应当在收到质疑函后7个工作日内作出答复，并以书面形式通知质疑供应商和其他有关供应商。</w:t>
      </w:r>
      <w:r/>
    </w:p>
    <w:p>
      <w:pPr>
        <w:pStyle w:val="1022"/>
        <w:ind w:firstLine="448"/>
        <w:keepLines w:val="0"/>
        <w:keepNext w:val="0"/>
        <w:pageBreakBefore w:val="0"/>
        <w:spacing w:before="0" w:after="0" w:line="360" w:lineRule="auto"/>
        <w:widowControl w:val="off"/>
        <w:rPr>
          <w:rFonts w:hint="eastAsia" w:ascii="宋体" w:hAnsi="宋体" w:eastAsia="宋体" w:cs="宋体"/>
          <w:color w:val="auto"/>
          <w:sz w:val="30"/>
          <w:highlight w:val="none"/>
        </w:rPr>
      </w:pPr>
      <w:r>
        <w:rPr>
          <w:rFonts w:hint="eastAsia" w:ascii="宋体" w:hAnsi="宋体" w:eastAsia="宋体" w:cs="宋体"/>
          <w:color w:val="auto"/>
          <w:sz w:val="30"/>
          <w:highlight w:val="none"/>
        </w:rPr>
        <w:t xml:space="preserve">33．投诉</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33.1质疑供应商对采购人、采购代理机构的答复不满意，或者采购人、采购代理机构未在规定的时间内作出答复的，可以在答复期满后十五个工作日内向采购人所属预算级次本级政府采购监管部门投诉。</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33.2以联合体形式参加政府采购活动的，其投诉应当由组成联合体的所有供应商共同提出。</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33.3投诉流程及注意事项见“</w:t>
      </w:r>
      <w:r>
        <w:rPr>
          <w:rFonts w:hint="eastAsia" w:ascii="宋体" w:hAnsi="宋体" w:eastAsia="宋体" w:cs="宋体"/>
          <w:color w:val="auto"/>
          <w:sz w:val="24"/>
          <w:highlight w:val="none"/>
          <w:lang w:val="en-US" w:eastAsia="zh-CN"/>
        </w:rPr>
        <w:t xml:space="preserve">江苏政府采购</w:t>
      </w:r>
      <w:r>
        <w:rPr>
          <w:rFonts w:hint="eastAsia" w:ascii="宋体" w:hAnsi="宋体" w:eastAsia="宋体" w:cs="宋体"/>
          <w:color w:val="auto"/>
          <w:sz w:val="24"/>
          <w:highlight w:val="none"/>
        </w:rPr>
        <w:t xml:space="preserve">”网站。</w:t>
      </w:r>
      <w:r/>
    </w:p>
    <w:p>
      <w:pPr>
        <w:jc w:val="center"/>
        <w:spacing w:line="360" w:lineRule="auto"/>
        <w:rPr>
          <w:rFonts w:hint="eastAsia" w:ascii="宋体" w:hAnsi="宋体" w:eastAsia="宋体" w:cs="宋体"/>
          <w:color w:val="auto"/>
          <w:sz w:val="32"/>
          <w:szCs w:val="32"/>
          <w:highlight w:val="none"/>
        </w:rPr>
      </w:pPr>
      <w:r>
        <w:rPr>
          <w:rFonts w:hint="eastAsia" w:ascii="宋体" w:hAnsi="宋体" w:eastAsia="宋体" w:cs="宋体"/>
          <w:b/>
          <w:color w:val="auto"/>
          <w:sz w:val="32"/>
          <w:szCs w:val="32"/>
          <w:highlight w:val="none"/>
          <w:shd w:val="clear" w:color="auto" w:fill="ffffff"/>
        </w:rPr>
        <w:t xml:space="preserve">九、诚实信用和解释权</w:t>
      </w:r>
      <w:r/>
    </w:p>
    <w:p>
      <w:pPr>
        <w:pStyle w:val="1022"/>
        <w:ind w:firstLine="448"/>
        <w:keepLines w:val="0"/>
        <w:keepNext w:val="0"/>
        <w:pageBreakBefore w:val="0"/>
        <w:spacing w:before="0" w:after="0" w:line="360" w:lineRule="auto"/>
        <w:widowControl w:val="off"/>
        <w:rPr>
          <w:rFonts w:hint="eastAsia" w:ascii="宋体" w:hAnsi="宋体" w:eastAsia="宋体" w:cs="宋体"/>
          <w:color w:val="auto"/>
          <w:sz w:val="30"/>
          <w:highlight w:val="none"/>
        </w:rPr>
      </w:pPr>
      <w:r>
        <w:rPr>
          <w:rFonts w:hint="eastAsia" w:ascii="宋体" w:hAnsi="宋体" w:eastAsia="宋体" w:cs="宋体"/>
          <w:color w:val="auto"/>
          <w:sz w:val="30"/>
          <w:highlight w:val="none"/>
        </w:rPr>
        <w:t xml:space="preserve">34．诚实信用</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34.1投标人应当遵循公平竞争的原则，不得恶意串通，不得妨碍其他投标人的竞争行为，不得损害采购人或者其他投标人的合法权益。</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34.2 供应商不得以向采购人或采购代理机构工作人员、评标委员会成员行贿或者采取其他不正当手段谋取中标。经查实供应商有此行为的，将在“</w:t>
      </w:r>
      <w:r>
        <w:rPr>
          <w:rFonts w:hint="eastAsia" w:ascii="宋体" w:hAnsi="宋体" w:eastAsia="宋体" w:cs="宋体"/>
          <w:color w:val="auto"/>
          <w:sz w:val="24"/>
          <w:highlight w:val="none"/>
          <w:lang w:val="en-US" w:eastAsia="zh-CN"/>
        </w:rPr>
        <w:t xml:space="preserve">江苏政府采购网</w:t>
      </w:r>
      <w:r>
        <w:rPr>
          <w:rFonts w:hint="eastAsia" w:ascii="宋体" w:hAnsi="宋体" w:eastAsia="宋体" w:cs="宋体"/>
          <w:color w:val="auto"/>
          <w:sz w:val="24"/>
          <w:highlight w:val="none"/>
        </w:rPr>
        <w:t xml:space="preserve">”网站公告，政府采购监管部门将供应商列入不良行为记录名单，按照政府采购有关规定处理。</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34.3 供应商不得虚假承诺，否则，按照提供虚假材料谋取中标处理。</w:t>
      </w:r>
      <w:r/>
    </w:p>
    <w:p>
      <w:pPr>
        <w:ind w:left="2"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34.4供应商应自觉遵守开标、评标纪律，扰乱开标评标现场秩序的，属于失信行为，根据《江苏省政府采购供应商监督管理暂行办法》，失信行为将被记入供应商诚信档案。</w:t>
      </w:r>
      <w:r/>
    </w:p>
    <w:p>
      <w:pPr>
        <w:ind w:left="2"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34.5根据《财政部关于在政府采购活动中查询及使用信息记录有关问题的通知》（财库〔2016〕125号）、江苏省财政厅《关于做好政府采购信用信息查询使用及登记等工作的通知》（苏财购〔2016〕50号）等文件精</w:t>
      </w:r>
      <w:r>
        <w:rPr>
          <w:rFonts w:hint="eastAsia" w:ascii="宋体" w:hAnsi="宋体" w:eastAsia="宋体" w:cs="宋体"/>
          <w:color w:val="auto"/>
          <w:sz w:val="24"/>
          <w:highlight w:val="none"/>
        </w:rPr>
        <w:t xml:space="preserve">神，采购人或采购代理机构在项目资格审查时对参加本项目的各供应商进行信用记录查询，信用记录查询渠道为“信用中国”网站（www.creditchina.gov.cn ）、中国政府采购网（www.ccgp.gov.cn ），信用记录查询截止时间为项目资格审查结束时，信用信息查询记录及证据留存的具体方式为打印或网页截图。对存在失信信息的供应商（列入失信被执行人、重大税收违法案件当事人名单、政府采购严重违法失信行为记录名单及其他不符合《中华人民共和国政府采购法》第二十二条规定条件的供应商）应当拒绝其参与政府采购活动。</w:t>
      </w:r>
      <w:r/>
    </w:p>
    <w:p>
      <w:pPr>
        <w:pStyle w:val="1022"/>
        <w:ind w:firstLine="448"/>
        <w:keepLines w:val="0"/>
        <w:keepNext w:val="0"/>
        <w:pageBreakBefore w:val="0"/>
        <w:spacing w:before="0" w:after="0" w:line="360" w:lineRule="auto"/>
        <w:widowControl w:val="off"/>
        <w:rPr>
          <w:rFonts w:hint="eastAsia" w:ascii="宋体" w:hAnsi="宋体" w:eastAsia="宋体" w:cs="宋体"/>
          <w:color w:val="auto"/>
          <w:sz w:val="30"/>
          <w:highlight w:val="none"/>
        </w:rPr>
      </w:pPr>
      <w:r>
        <w:rPr>
          <w:rFonts w:hint="eastAsia" w:ascii="宋体" w:hAnsi="宋体" w:eastAsia="宋体" w:cs="宋体"/>
          <w:color w:val="auto"/>
          <w:sz w:val="30"/>
          <w:highlight w:val="none"/>
        </w:rPr>
        <w:t xml:space="preserve">3</w:t>
      </w:r>
      <w:r>
        <w:rPr>
          <w:rFonts w:hint="eastAsia" w:ascii="宋体" w:hAnsi="宋体" w:eastAsia="宋体" w:cs="宋体"/>
          <w:color w:val="auto"/>
          <w:sz w:val="30"/>
          <w:highlight w:val="none"/>
          <w:lang w:val="en-US" w:eastAsia="zh-CN"/>
        </w:rPr>
        <w:t xml:space="preserve">5</w:t>
      </w:r>
      <w:r>
        <w:rPr>
          <w:rFonts w:hint="eastAsia" w:ascii="宋体" w:hAnsi="宋体" w:eastAsia="宋体" w:cs="宋体"/>
          <w:color w:val="auto"/>
          <w:sz w:val="30"/>
          <w:highlight w:val="none"/>
        </w:rPr>
        <w:t xml:space="preserve">.适用法律及约束力</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w:t>
      </w:r>
      <w:r>
        <w:rPr>
          <w:rFonts w:hint="eastAsia" w:ascii="宋体" w:hAnsi="宋体" w:eastAsia="宋体" w:cs="宋体"/>
          <w:color w:val="auto"/>
          <w:sz w:val="24"/>
          <w:highlight w:val="none"/>
          <w:lang w:val="en-US" w:eastAsia="zh-CN"/>
        </w:rPr>
        <w:t xml:space="preserve">5</w:t>
      </w:r>
      <w:r>
        <w:rPr>
          <w:rFonts w:hint="eastAsia" w:ascii="宋体" w:hAnsi="宋体" w:eastAsia="宋体" w:cs="宋体"/>
          <w:color w:val="auto"/>
          <w:sz w:val="24"/>
          <w:highlight w:val="none"/>
        </w:rPr>
        <w:t xml:space="preserve">.1 </w:t>
      </w:r>
      <w:r>
        <w:rPr>
          <w:rFonts w:hint="eastAsia" w:ascii="宋体" w:hAnsi="宋体" w:eastAsia="宋体" w:cs="宋体"/>
          <w:b/>
          <w:color w:val="auto"/>
          <w:sz w:val="24"/>
          <w:highlight w:val="none"/>
        </w:rPr>
        <w:t xml:space="preserve">投标人一旦获取了本招标文件并参加投标，即被认为接受了本招标文件的规定和约束。</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w:t>
      </w:r>
      <w:r>
        <w:rPr>
          <w:rFonts w:hint="eastAsia" w:ascii="宋体" w:hAnsi="宋体" w:eastAsia="宋体" w:cs="宋体"/>
          <w:color w:val="auto"/>
          <w:sz w:val="24"/>
          <w:highlight w:val="none"/>
          <w:lang w:val="en-US" w:eastAsia="zh-CN"/>
        </w:rPr>
        <w:t xml:space="preserve">5</w:t>
      </w:r>
      <w:r>
        <w:rPr>
          <w:rFonts w:hint="eastAsia" w:ascii="宋体" w:hAnsi="宋体" w:eastAsia="宋体" w:cs="宋体"/>
          <w:color w:val="auto"/>
          <w:sz w:val="24"/>
          <w:highlight w:val="none"/>
        </w:rPr>
        <w:t xml:space="preserve">.2 本次招标及由本次招标产生的合同受中华人民共和国法律制约和保护。</w:t>
      </w:r>
      <w:r/>
    </w:p>
    <w:p>
      <w:pPr>
        <w:pStyle w:val="1022"/>
        <w:ind w:firstLine="448"/>
        <w:keepLines w:val="0"/>
        <w:keepNext w:val="0"/>
        <w:pageBreakBefore w:val="0"/>
        <w:spacing w:before="0" w:after="0" w:line="360" w:lineRule="auto"/>
        <w:widowControl w:val="off"/>
        <w:rPr>
          <w:rFonts w:hint="eastAsia" w:ascii="宋体" w:hAnsi="宋体" w:eastAsia="宋体" w:cs="宋体"/>
          <w:color w:val="auto"/>
          <w:sz w:val="30"/>
          <w:highlight w:val="none"/>
        </w:rPr>
      </w:pPr>
      <w:r>
        <w:rPr>
          <w:rFonts w:hint="eastAsia" w:ascii="宋体" w:hAnsi="宋体" w:eastAsia="宋体" w:cs="宋体"/>
          <w:color w:val="auto"/>
          <w:sz w:val="30"/>
          <w:highlight w:val="none"/>
        </w:rPr>
        <w:t xml:space="preserve">3</w:t>
      </w:r>
      <w:r>
        <w:rPr>
          <w:rFonts w:hint="eastAsia" w:ascii="宋体" w:hAnsi="宋体" w:eastAsia="宋体" w:cs="宋体"/>
          <w:color w:val="auto"/>
          <w:sz w:val="30"/>
          <w:highlight w:val="none"/>
          <w:lang w:val="en-US" w:eastAsia="zh-CN"/>
        </w:rPr>
        <w:t xml:space="preserve">6</w:t>
      </w:r>
      <w:r>
        <w:rPr>
          <w:rFonts w:hint="eastAsia" w:ascii="宋体" w:hAnsi="宋体" w:eastAsia="宋体" w:cs="宋体"/>
          <w:color w:val="auto"/>
          <w:sz w:val="30"/>
          <w:highlight w:val="none"/>
        </w:rPr>
        <w:t xml:space="preserve">.解释权</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除相关法律、法规规定外，本招标文件的解释权归</w:t>
      </w:r>
      <w:r>
        <w:rPr>
          <w:rFonts w:hint="eastAsia" w:ascii="宋体" w:hAnsi="宋体" w:eastAsia="宋体" w:cs="宋体"/>
          <w:color w:val="auto"/>
          <w:sz w:val="24"/>
          <w:highlight w:val="none"/>
          <w:u w:val="single"/>
          <w:lang w:eastAsia="zh-CN"/>
        </w:rPr>
        <w:t xml:space="preserve">采购代理机构</w:t>
      </w:r>
      <w:r>
        <w:rPr>
          <w:rFonts w:hint="eastAsia" w:ascii="宋体" w:hAnsi="宋体" w:eastAsia="宋体" w:cs="宋体"/>
          <w:color w:val="auto"/>
          <w:sz w:val="24"/>
          <w:highlight w:val="none"/>
        </w:rPr>
        <w:t xml:space="preserve">所有。</w:t>
      </w:r>
      <w:r/>
    </w:p>
    <w:p>
      <w:pPr>
        <w:jc w:val="both"/>
        <w:spacing w:line="360" w:lineRule="auto"/>
        <w:widowControl/>
        <w:rPr>
          <w:rFonts w:hint="eastAsia" w:ascii="宋体" w:hAnsi="宋体" w:eastAsia="宋体" w:cs="宋体"/>
          <w:b/>
          <w:color w:val="auto"/>
          <w:sz w:val="30"/>
          <w:highlight w:val="none"/>
        </w:rPr>
      </w:pPr>
      <w:r>
        <w:rPr>
          <w:rFonts w:hint="eastAsia" w:ascii="宋体" w:hAnsi="宋体" w:eastAsia="宋体" w:cs="宋体"/>
          <w:b/>
          <w:color w:val="auto"/>
          <w:sz w:val="30"/>
          <w:highlight w:val="none"/>
        </w:rPr>
      </w:r>
      <w:r/>
    </w:p>
    <w:p>
      <w:pPr>
        <w:jc w:val="center"/>
        <w:spacing w:line="360" w:lineRule="auto"/>
        <w:widowControl/>
        <w:rPr>
          <w:rFonts w:hint="eastAsia" w:ascii="宋体" w:hAnsi="宋体" w:eastAsia="宋体" w:cs="宋体"/>
          <w:b/>
          <w:color w:val="auto"/>
          <w:sz w:val="30"/>
          <w:highlight w:val="none"/>
        </w:rPr>
      </w:pPr>
      <w:r>
        <w:rPr>
          <w:rFonts w:hint="eastAsia" w:ascii="宋体" w:hAnsi="宋体" w:eastAsia="宋体" w:cs="宋体"/>
          <w:b/>
          <w:color w:val="auto"/>
          <w:sz w:val="30"/>
          <w:highlight w:val="none"/>
        </w:rPr>
      </w:r>
      <w:r/>
    </w:p>
    <w:p>
      <w:pPr>
        <w:jc w:val="center"/>
        <w:spacing w:line="360" w:lineRule="auto"/>
        <w:widowControl/>
        <w:rPr>
          <w:rFonts w:hint="eastAsia" w:ascii="宋体" w:hAnsi="宋体" w:eastAsia="宋体" w:cs="宋体"/>
          <w:b/>
          <w:color w:val="auto"/>
          <w:sz w:val="30"/>
          <w:highlight w:val="none"/>
        </w:rPr>
      </w:pPr>
      <w:r>
        <w:rPr>
          <w:rFonts w:hint="eastAsia" w:ascii="宋体" w:hAnsi="宋体" w:eastAsia="宋体" w:cs="宋体"/>
          <w:b/>
          <w:color w:val="auto"/>
          <w:sz w:val="30"/>
          <w:highlight w:val="none"/>
        </w:rPr>
        <w:br w:type="page" w:clear="all"/>
      </w:r>
      <w:r>
        <w:rPr>
          <w:rFonts w:hint="eastAsia" w:ascii="宋体" w:hAnsi="宋体" w:eastAsia="宋体" w:cs="宋体"/>
          <w:b/>
          <w:color w:val="auto"/>
          <w:sz w:val="30"/>
          <w:highlight w:val="none"/>
        </w:rPr>
        <w:t xml:space="preserve">第三部分  拟签订的合同文本（货物、服务类）</w:t>
      </w:r>
      <w:r/>
    </w:p>
    <w:p>
      <w:pPr>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合同编号：</w:t>
      </w:r>
      <w:r/>
    </w:p>
    <w:p>
      <w:pPr>
        <w:jc w:val="center"/>
        <w:spacing w:line="480" w:lineRule="auto"/>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jc w:val="center"/>
        <w:spacing w:line="48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p>
      <w:pPr>
        <w:jc w:val="center"/>
        <w:spacing w:line="48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p>
      <w:pPr>
        <w:ind w:firstLine="420"/>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20"/>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20"/>
        <w:jc w:val="center"/>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2668"/>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第一</w:t>
      </w:r>
      <w:bookmarkStart w:id="70" w:name="_Hlk136502621"/>
      <w:r>
        <w:rPr>
          <w:rFonts w:hint="eastAsia" w:ascii="宋体" w:hAnsi="宋体" w:eastAsia="宋体" w:cs="宋体"/>
          <w:b/>
          <w:color w:val="auto"/>
          <w:sz w:val="28"/>
          <w:szCs w:val="28"/>
          <w:highlight w:val="none"/>
        </w:rPr>
        <w:t xml:space="preserve">部分</w:t>
      </w:r>
      <w:bookmarkEnd w:id="70"/>
      <w:r>
        <w:rPr>
          <w:rFonts w:hint="eastAsia" w:ascii="宋体" w:hAnsi="宋体" w:eastAsia="宋体" w:cs="宋体"/>
          <w:b/>
          <w:color w:val="auto"/>
          <w:sz w:val="28"/>
          <w:szCs w:val="28"/>
          <w:highlight w:val="none"/>
        </w:rPr>
        <w:t xml:space="preserve"> 合同书</w:t>
      </w:r>
      <w:r/>
    </w:p>
    <w:p>
      <w:pPr>
        <w:ind w:firstLine="420"/>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20"/>
        <w:rPr>
          <w:rFonts w:hint="eastAsia" w:ascii="宋体" w:hAnsi="宋体" w:eastAsia="宋体" w:cs="宋体"/>
          <w:color w:val="auto"/>
          <w:highlight w:val="none"/>
        </w:rPr>
      </w:pPr>
      <w:r>
        <w:rPr>
          <w:rFonts w:hint="eastAsia" w:ascii="宋体" w:hAnsi="宋体" w:eastAsia="宋体" w:cs="宋体"/>
          <w:color w:val="auto"/>
          <w:highlight w:val="none"/>
        </w:rPr>
      </w:r>
      <w:r/>
    </w:p>
    <w:p>
      <w:pPr>
        <w:spacing w:before="120" w:line="22" w:lineRule="atLeas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left="960"/>
        <w:spacing w:before="120" w:line="22" w:lineRule="atLeas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项目名称：</w:t>
      </w:r>
      <w:r/>
    </w:p>
    <w:p>
      <w:pPr>
        <w:spacing w:before="120" w:line="22" w:lineRule="atLeas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before="120" w:line="22" w:lineRule="atLeas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left="960"/>
        <w:spacing w:before="120" w:line="22" w:lineRule="atLeast"/>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甲方：</w:t>
      </w:r>
      <w:r/>
    </w:p>
    <w:p>
      <w:pPr>
        <w:spacing w:before="120" w:line="22" w:lineRule="atLeas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left="960"/>
        <w:spacing w:before="120" w:line="22" w:lineRule="atLeast"/>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乙方：</w:t>
      </w:r>
      <w:r/>
    </w:p>
    <w:p>
      <w:pPr>
        <w:spacing w:before="120" w:line="22" w:lineRule="atLeas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before="120" w:line="22" w:lineRule="atLeas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960"/>
        <w:spacing w:before="120" w:line="22" w:lineRule="atLeast"/>
        <w:rPr>
          <w:rFonts w:hint="eastAsia" w:ascii="宋体" w:hAnsi="宋体" w:eastAsia="宋体" w:cs="宋体"/>
          <w:color w:val="auto"/>
          <w:sz w:val="24"/>
          <w:highlight w:val="none"/>
          <w:lang w:val="en-US" w:eastAsia="zh-CN"/>
        </w:rPr>
        <w:sectPr>
          <w:headerReference w:type="even" r:id="rId9"/>
          <w:footerReference w:type="default" r:id="rId10"/>
          <w:footerReference w:type="first" r:id="rId11"/>
          <w:footnotePr/>
          <w:endnotePr/>
          <w:type w:val="nextPage"/>
          <w:pgSz w:w="11907" w:h="16840" w:orient="portrait"/>
          <w:pgMar w:top="1474" w:right="1814" w:bottom="1474" w:left="1814" w:header="851" w:footer="851" w:gutter="0"/>
          <w:pgNumType w:start="1"/>
          <w:cols w:num="1" w:sep="0" w:space="1701" w:equalWidth="1"/>
          <w:docGrid w:linePitch="360"/>
        </w:sectPr>
      </w:pPr>
      <w:r>
        <w:rPr>
          <w:rFonts w:hint="eastAsia" w:ascii="宋体" w:hAnsi="宋体" w:eastAsia="宋体" w:cs="宋体"/>
          <w:color w:val="auto"/>
          <w:sz w:val="24"/>
          <w:highlight w:val="none"/>
        </w:rPr>
        <w:t xml:space="preserve">签订日期：</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年</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月</w:t>
      </w:r>
      <w:r>
        <w:rPr>
          <w:rFonts w:hint="eastAsia" w:ascii="宋体" w:hAnsi="宋体" w:eastAsia="宋体" w:cs="宋体"/>
          <w:color w:val="auto"/>
          <w:sz w:val="24"/>
          <w:highlight w:val="none"/>
          <w:u w:val="single"/>
        </w:rPr>
        <w:t xml:space="preserve">       </w:t>
      </w:r>
      <w:r>
        <w:rPr>
          <w:rFonts w:hint="eastAsia" w:ascii="宋体" w:hAnsi="宋体" w:cs="宋体"/>
          <w:color w:val="auto"/>
          <w:sz w:val="24"/>
          <w:highlight w:val="none"/>
          <w:u w:val="none"/>
          <w:lang w:val="en-US" w:eastAsia="zh-CN"/>
        </w:rPr>
        <w:t xml:space="preserve">日</w:t>
      </w:r>
      <w:r/>
    </w:p>
    <w:p>
      <w:pPr>
        <w:ind w:firstLine="480"/>
        <w:keepLines w:val="0"/>
        <w:keepNext w:val="0"/>
        <w:pageBreakBefore w:val="0"/>
        <w:spacing w:before="120" w:line="360" w:lineRule="auto"/>
        <w:widowControl w:val="off"/>
        <w:rPr>
          <w:rFonts w:ascii="宋体" w:hAnsi="宋体" w:cs="宋体"/>
          <w:color w:val="auto"/>
          <w:sz w:val="24"/>
          <w:highlight w:val="none"/>
        </w:rPr>
      </w:pPr>
      <w:r/>
      <w:bookmarkStart w:id="71" w:name="_Toc22000633"/>
      <w:r>
        <w:rPr>
          <w:rFonts w:hint="eastAsia" w:ascii="宋体" w:hAnsi="宋体" w:cs="宋体"/>
          <w:color w:val="auto"/>
          <w:sz w:val="24"/>
          <w:highlight w:val="none"/>
          <w:lang w:val="zh-CN"/>
        </w:rPr>
        <w:t xml:space="preserve">根据《中华人民共和国民法典》《中华人民共和国政府采购法》等相关法律法规之规定和</w:t>
      </w:r>
      <w:r>
        <w:rPr>
          <w:rFonts w:hint="eastAsia" w:ascii="宋体" w:hAnsi="宋体" w:cs="宋体"/>
          <w:color w:val="auto"/>
          <w:sz w:val="24"/>
          <w:highlight w:val="none"/>
          <w:u w:val="single"/>
          <w:lang w:val="zh-CN"/>
        </w:rPr>
        <w:t xml:space="preserve">（</w:t>
      </w:r>
      <w:r>
        <w:rPr>
          <w:rFonts w:hint="eastAsia" w:ascii="宋体" w:hAnsi="宋体"/>
          <w:color w:val="auto"/>
          <w:sz w:val="24"/>
          <w:highlight w:val="none"/>
          <w:u w:val="single"/>
        </w:rPr>
        <w:t xml:space="preserve">项目名称）（项目编号）</w:t>
      </w:r>
      <w:r>
        <w:rPr>
          <w:rFonts w:hint="eastAsia" w:ascii="宋体" w:hAnsi="宋体"/>
          <w:color w:val="auto"/>
          <w:sz w:val="24"/>
          <w:highlight w:val="none"/>
        </w:rPr>
        <w:t xml:space="preserve">的招标结果，</w:t>
      </w:r>
      <w:r>
        <w:rPr>
          <w:rFonts w:hint="eastAsia" w:ascii="宋体" w:hAnsi="宋体" w:cs="宋体"/>
          <w:color w:val="auto"/>
          <w:sz w:val="24"/>
          <w:highlight w:val="none"/>
          <w:lang w:val="zh-CN"/>
        </w:rPr>
        <w:t xml:space="preserve">按照平等、自愿、公平、诚实信用和绿色的原则，经甲方和乙方协商一致，约定以下合同</w:t>
      </w:r>
      <w:r>
        <w:rPr>
          <w:rFonts w:hint="eastAsia" w:ascii="宋体" w:hAnsi="宋体" w:cs="宋体"/>
          <w:color w:val="auto"/>
          <w:sz w:val="24"/>
          <w:highlight w:val="none"/>
        </w:rPr>
        <w:t xml:space="preserve">条款，以兹共同遵守、全面履行。</w:t>
      </w:r>
      <w:r/>
    </w:p>
    <w:p>
      <w:pPr>
        <w:ind w:firstLine="482"/>
        <w:spacing w:line="360" w:lineRule="auto"/>
        <w:rPr>
          <w:rFonts w:ascii="宋体" w:hAnsi="宋体" w:cs="宋体"/>
          <w:b/>
          <w:color w:val="auto"/>
          <w:sz w:val="24"/>
          <w:highlight w:val="none"/>
        </w:rPr>
        <w:outlineLvl w:val="0"/>
      </w:pPr>
      <w:r/>
      <w:bookmarkStart w:id="72" w:name="_Toc2232"/>
      <w:r/>
      <w:bookmarkStart w:id="73" w:name="_Toc3029"/>
      <w:r/>
      <w:bookmarkStart w:id="74" w:name="_Toc24059"/>
      <w:r>
        <w:rPr>
          <w:rFonts w:hint="eastAsia" w:ascii="宋体" w:hAnsi="宋体" w:cs="宋体"/>
          <w:b/>
          <w:color w:val="auto"/>
          <w:sz w:val="24"/>
          <w:highlight w:val="none"/>
        </w:rPr>
        <w:t xml:space="preserve">1.1合同组成部分</w:t>
      </w:r>
      <w:bookmarkEnd w:id="72"/>
      <w:r/>
      <w:bookmarkEnd w:id="73"/>
      <w:r/>
      <w:bookmarkEnd w:id="74"/>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下列文件为本合同的组成部分，并构成一个整体，需综合解释、相互补充。如果下列文件内容出现不一致的情形，那么在保证按照采购文件确定的事项的前提下，组成本合同的多个文件的优先适用顺序如下：</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1.1.1 本合同第一部分、第二部分、第三部分及其补充合同、变更协议；</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1.1.2 中标或者成交通知书；</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1.1.3 投标或者响应文件（含澄清或者说明文件）；</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1.1.4 采购文件（含澄清或者修改文件）；</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1.1.5 其他相关采购文件。</w:t>
      </w:r>
      <w:r/>
    </w:p>
    <w:p>
      <w:pPr>
        <w:ind w:firstLine="482"/>
        <w:spacing w:line="360" w:lineRule="auto"/>
        <w:rPr>
          <w:rFonts w:ascii="宋体" w:hAnsi="宋体" w:cs="宋体"/>
          <w:b/>
          <w:color w:val="auto"/>
          <w:sz w:val="24"/>
          <w:highlight w:val="none"/>
        </w:rPr>
        <w:outlineLvl w:val="0"/>
      </w:pPr>
      <w:r/>
      <w:bookmarkStart w:id="75" w:name="_Toc27126"/>
      <w:r/>
      <w:bookmarkStart w:id="76" w:name="_Toc21295"/>
      <w:r/>
      <w:bookmarkStart w:id="77" w:name="_Toc24300"/>
      <w:r>
        <w:rPr>
          <w:rFonts w:hint="eastAsia" w:ascii="宋体" w:hAnsi="宋体" w:cs="宋体"/>
          <w:b/>
          <w:color w:val="auto"/>
          <w:sz w:val="24"/>
          <w:highlight w:val="none"/>
        </w:rPr>
        <w:t xml:space="preserve">1.2 货物</w:t>
      </w:r>
      <w:bookmarkEnd w:id="75"/>
      <w:r/>
      <w:bookmarkEnd w:id="76"/>
      <w:r/>
      <w:bookmarkEnd w:id="77"/>
      <w:r>
        <w:rPr>
          <w:rFonts w:hint="eastAsia" w:ascii="宋体" w:hAnsi="宋体" w:cs="宋体"/>
          <w:b/>
          <w:i/>
          <w:iCs/>
          <w:color w:val="auto"/>
          <w:sz w:val="24"/>
          <w:highlight w:val="none"/>
        </w:rPr>
        <w:t xml:space="preserve">（可附货物清单）</w:t>
      </w:r>
      <w:r/>
    </w:p>
    <w:p>
      <w:pPr>
        <w:ind w:firstLine="482"/>
        <w:spacing w:line="360" w:lineRule="auto"/>
        <w:rPr>
          <w:rFonts w:ascii="宋体" w:hAnsi="宋体" w:cs="宋体"/>
          <w:color w:val="auto"/>
          <w:sz w:val="24"/>
          <w:highlight w:val="none"/>
          <w:u w:val="single"/>
        </w:rPr>
      </w:pPr>
      <w:r>
        <w:rPr>
          <w:rFonts w:hint="eastAsia" w:ascii="宋体" w:hAnsi="宋体" w:cs="宋体"/>
          <w:b/>
          <w:color w:val="auto"/>
          <w:sz w:val="24"/>
          <w:highlight w:val="none"/>
        </w:rPr>
        <w:t xml:space="preserve">1</w:t>
      </w:r>
      <w:r>
        <w:rPr>
          <w:rFonts w:hint="eastAsia" w:ascii="宋体" w:hAnsi="宋体" w:cs="宋体"/>
          <w:color w:val="auto"/>
          <w:sz w:val="24"/>
          <w:highlight w:val="none"/>
        </w:rPr>
        <w:t xml:space="preserve">.2.1 货物名称、品牌、规格型号等：；</w:t>
      </w:r>
      <w:r/>
    </w:p>
    <w:p>
      <w:pPr>
        <w:ind w:firstLine="482"/>
        <w:spacing w:line="360" w:lineRule="auto"/>
        <w:rPr>
          <w:rFonts w:ascii="宋体" w:hAnsi="宋体" w:cs="宋体"/>
          <w:color w:val="auto"/>
          <w:sz w:val="24"/>
          <w:highlight w:val="none"/>
          <w:u w:val="single"/>
        </w:rPr>
      </w:pPr>
      <w:r>
        <w:rPr>
          <w:rFonts w:hint="eastAsia" w:ascii="宋体" w:hAnsi="宋体" w:cs="宋体"/>
          <w:b/>
          <w:color w:val="auto"/>
          <w:sz w:val="24"/>
          <w:highlight w:val="none"/>
        </w:rPr>
        <w:t xml:space="preserve">1</w:t>
      </w:r>
      <w:r>
        <w:rPr>
          <w:rFonts w:hint="eastAsia" w:ascii="宋体" w:hAnsi="宋体" w:cs="宋体"/>
          <w:color w:val="auto"/>
          <w:sz w:val="24"/>
          <w:highlight w:val="none"/>
        </w:rPr>
        <w:t xml:space="preserve">.2.2 货物数量：；</w:t>
      </w:r>
      <w:r/>
    </w:p>
    <w:p>
      <w:pPr>
        <w:ind w:firstLine="482"/>
        <w:spacing w:line="360" w:lineRule="auto"/>
        <w:rPr>
          <w:rFonts w:ascii="宋体" w:hAnsi="宋体" w:cs="宋体"/>
          <w:color w:val="auto"/>
          <w:sz w:val="24"/>
          <w:highlight w:val="none"/>
          <w:u w:val="single"/>
        </w:rPr>
      </w:pPr>
      <w:r>
        <w:rPr>
          <w:rFonts w:hint="eastAsia" w:ascii="宋体" w:hAnsi="宋体" w:cs="宋体"/>
          <w:b/>
          <w:color w:val="auto"/>
          <w:sz w:val="24"/>
          <w:highlight w:val="none"/>
        </w:rPr>
        <w:t xml:space="preserve">1</w:t>
      </w:r>
      <w:r>
        <w:rPr>
          <w:rFonts w:hint="eastAsia" w:ascii="宋体" w:hAnsi="宋体" w:cs="宋体"/>
          <w:color w:val="auto"/>
          <w:sz w:val="24"/>
          <w:highlight w:val="none"/>
        </w:rPr>
        <w:t xml:space="preserve">.2.3 货物质量：</w:t>
      </w:r>
      <w:r>
        <w:rPr>
          <w:rFonts w:hint="eastAsia" w:ascii="宋体" w:hAnsi="宋体" w:cs="宋体"/>
          <w:color w:val="auto"/>
          <w:sz w:val="24"/>
          <w:highlight w:val="none"/>
          <w:u w:val="single"/>
        </w:rPr>
        <w:t xml:space="preserve">　　　　　　　　　                      　      ；</w:t>
      </w:r>
      <w:r/>
    </w:p>
    <w:p>
      <w:pPr>
        <w:ind w:firstLine="480"/>
        <w:spacing w:line="360" w:lineRule="auto"/>
        <w:rPr>
          <w:rFonts w:ascii="宋体" w:hAnsi="宋体" w:cs="宋体"/>
          <w:i/>
          <w:iCs/>
          <w:color w:val="auto"/>
          <w:sz w:val="24"/>
          <w:highlight w:val="none"/>
          <w:u w:val="single"/>
        </w:rPr>
      </w:pPr>
      <w:r>
        <w:rPr>
          <w:rFonts w:hint="eastAsia" w:ascii="宋体" w:hAnsi="宋体"/>
          <w:i/>
          <w:iCs/>
          <w:color w:val="auto"/>
          <w:sz w:val="24"/>
          <w:highlight w:val="none"/>
        </w:rPr>
        <w:t xml:space="preserve">1.2.4 详细货物清单可在合同专用条款中列出</w:t>
      </w:r>
      <w:r/>
    </w:p>
    <w:p>
      <w:pPr>
        <w:ind w:firstLine="482"/>
        <w:spacing w:line="360" w:lineRule="auto"/>
        <w:rPr>
          <w:rFonts w:ascii="宋体" w:hAnsi="宋体" w:cs="宋体"/>
          <w:b/>
          <w:color w:val="auto"/>
          <w:sz w:val="24"/>
          <w:highlight w:val="none"/>
        </w:rPr>
        <w:outlineLvl w:val="0"/>
      </w:pPr>
      <w:r/>
      <w:bookmarkStart w:id="78" w:name="_Toc21631"/>
      <w:r/>
      <w:bookmarkStart w:id="79" w:name="_Toc21551"/>
      <w:r/>
      <w:bookmarkStart w:id="80" w:name="_Toc23292"/>
      <w:r>
        <w:rPr>
          <w:rFonts w:hint="eastAsia" w:ascii="宋体" w:hAnsi="宋体" w:cs="宋体"/>
          <w:b/>
          <w:color w:val="auto"/>
          <w:sz w:val="24"/>
          <w:highlight w:val="none"/>
        </w:rPr>
        <w:t xml:space="preserve">1.3 服务</w:t>
      </w:r>
      <w:r>
        <w:rPr>
          <w:rFonts w:hint="eastAsia" w:ascii="宋体" w:hAnsi="宋体" w:cs="宋体"/>
          <w:b/>
          <w:i/>
          <w:iCs/>
          <w:color w:val="auto"/>
          <w:sz w:val="24"/>
          <w:highlight w:val="none"/>
        </w:rPr>
        <w:t xml:space="preserve">（可附服务清单）</w:t>
      </w:r>
      <w:r/>
    </w:p>
    <w:p>
      <w:pPr>
        <w:ind w:firstLine="480"/>
        <w:spacing w:line="360" w:lineRule="auto"/>
        <w:rPr>
          <w:rFonts w:ascii="宋体" w:hAnsi="宋体"/>
          <w:color w:val="auto"/>
          <w:sz w:val="24"/>
          <w:highlight w:val="none"/>
          <w:u w:val="single"/>
        </w:rPr>
      </w:pPr>
      <w:r>
        <w:rPr>
          <w:rFonts w:hint="eastAsia" w:ascii="宋体" w:hAnsi="宋体"/>
          <w:color w:val="auto"/>
          <w:sz w:val="24"/>
          <w:highlight w:val="none"/>
        </w:rPr>
        <w:t xml:space="preserve">1.3.1 服务内容：；</w:t>
      </w:r>
      <w:r/>
    </w:p>
    <w:p>
      <w:pPr>
        <w:ind w:firstLine="480"/>
        <w:spacing w:line="360" w:lineRule="auto"/>
        <w:rPr>
          <w:rFonts w:ascii="宋体" w:hAnsi="宋体"/>
          <w:color w:val="auto"/>
          <w:sz w:val="24"/>
          <w:highlight w:val="none"/>
          <w:u w:val="single"/>
        </w:rPr>
      </w:pPr>
      <w:r>
        <w:rPr>
          <w:rFonts w:hint="eastAsia" w:ascii="宋体" w:hAnsi="宋体"/>
          <w:color w:val="auto"/>
          <w:sz w:val="24"/>
          <w:highlight w:val="none"/>
        </w:rPr>
        <w:t xml:space="preserve">1.3.2 服务标准：；</w:t>
      </w:r>
      <w:r/>
    </w:p>
    <w:p>
      <w:pPr>
        <w:ind w:firstLine="480"/>
        <w:spacing w:line="360" w:lineRule="auto"/>
        <w:rPr>
          <w:rFonts w:ascii="宋体" w:hAnsi="宋体"/>
          <w:color w:val="auto"/>
          <w:sz w:val="24"/>
          <w:highlight w:val="none"/>
          <w:u w:val="single"/>
        </w:rPr>
      </w:pPr>
      <w:r>
        <w:rPr>
          <w:rFonts w:hint="eastAsia" w:ascii="宋体" w:hAnsi="宋体"/>
          <w:color w:val="auto"/>
          <w:sz w:val="24"/>
          <w:highlight w:val="none"/>
        </w:rPr>
        <w:t xml:space="preserve">1.3.3 技术保障：</w:t>
      </w:r>
      <w:r>
        <w:rPr>
          <w:rFonts w:hint="eastAsia" w:ascii="宋体" w:hAnsi="宋体"/>
          <w:color w:val="auto"/>
          <w:sz w:val="24"/>
          <w:highlight w:val="none"/>
          <w:u w:val="single"/>
        </w:rPr>
        <w:t xml:space="preserve">　　　　　　　　　                      　      ；</w:t>
      </w:r>
      <w:r/>
    </w:p>
    <w:p>
      <w:pPr>
        <w:ind w:firstLine="480"/>
        <w:jc w:val="left"/>
        <w:spacing w:line="360" w:lineRule="auto"/>
        <w:rPr>
          <w:rFonts w:ascii="宋体" w:hAnsi="宋体"/>
          <w:color w:val="auto"/>
          <w:sz w:val="24"/>
          <w:highlight w:val="none"/>
          <w:u w:val="single"/>
        </w:rPr>
      </w:pPr>
      <w:r>
        <w:rPr>
          <w:rFonts w:hint="eastAsia" w:ascii="宋体" w:hAnsi="宋体"/>
          <w:color w:val="auto"/>
          <w:sz w:val="24"/>
          <w:highlight w:val="none"/>
        </w:rPr>
        <w:t xml:space="preserve">1.3.4 服务人员组成：</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w:t>
      </w:r>
      <w:r>
        <w:rPr>
          <w:rFonts w:hint="eastAsia" w:ascii="宋体" w:hAnsi="宋体"/>
          <w:i/>
          <w:iCs/>
          <w:color w:val="auto"/>
          <w:sz w:val="24"/>
          <w:highlight w:val="none"/>
          <w:u w:val="single"/>
        </w:rPr>
        <w:t xml:space="preserve">（投标文件中按要求提供了服务人员姓名的，需填写具体服务人员姓名作为履约验收条件）</w:t>
      </w:r>
      <w:r/>
    </w:p>
    <w:p>
      <w:pPr>
        <w:ind w:firstLine="480"/>
        <w:jc w:val="left"/>
        <w:spacing w:line="360" w:lineRule="auto"/>
        <w:rPr>
          <w:rFonts w:ascii="宋体" w:hAnsi="宋体"/>
          <w:i/>
          <w:iCs/>
          <w:color w:val="auto"/>
          <w:sz w:val="24"/>
          <w:highlight w:val="none"/>
          <w:u w:val="single"/>
        </w:rPr>
      </w:pPr>
      <w:r/>
      <w:bookmarkStart w:id="81" w:name="_Hlk134193344"/>
      <w:r>
        <w:rPr>
          <w:rFonts w:hint="eastAsia" w:ascii="宋体" w:hAnsi="宋体"/>
          <w:i/>
          <w:iCs/>
          <w:color w:val="auto"/>
          <w:sz w:val="24"/>
          <w:highlight w:val="none"/>
          <w:u w:val="single"/>
        </w:rPr>
        <w:t xml:space="preserve">提醒：详细服务要求可在合同专用条</w:t>
      </w:r>
      <w:bookmarkEnd w:id="81"/>
      <w:r>
        <w:rPr>
          <w:rFonts w:hint="eastAsia" w:ascii="宋体" w:hAnsi="宋体"/>
          <w:i/>
          <w:iCs/>
          <w:color w:val="auto"/>
          <w:sz w:val="24"/>
          <w:highlight w:val="none"/>
          <w:u w:val="single"/>
        </w:rPr>
        <w:t xml:space="preserve">款中列出</w:t>
      </w:r>
      <w:r/>
    </w:p>
    <w:p>
      <w:pPr>
        <w:ind w:firstLine="482"/>
        <w:spacing w:line="360" w:lineRule="auto"/>
        <w:rPr>
          <w:rFonts w:ascii="宋体" w:hAnsi="宋体" w:cs="宋体"/>
          <w:b/>
          <w:color w:val="auto"/>
          <w:sz w:val="24"/>
          <w:highlight w:val="none"/>
        </w:rPr>
        <w:outlineLvl w:val="0"/>
      </w:pPr>
      <w:r>
        <w:rPr>
          <w:rFonts w:hint="eastAsia" w:ascii="宋体" w:hAnsi="宋体" w:cs="宋体"/>
          <w:b/>
          <w:color w:val="auto"/>
          <w:sz w:val="24"/>
          <w:highlight w:val="none"/>
        </w:rPr>
        <w:t xml:space="preserve">1.4 </w:t>
      </w:r>
      <w:bookmarkEnd w:id="78"/>
      <w:r/>
      <w:bookmarkEnd w:id="79"/>
      <w:r/>
      <w:bookmarkEnd w:id="80"/>
      <w:r>
        <w:rPr>
          <w:rFonts w:hint="eastAsia" w:ascii="宋体" w:hAnsi="宋体" w:cs="宋体"/>
          <w:b/>
          <w:color w:val="auto"/>
          <w:sz w:val="24"/>
          <w:highlight w:val="none"/>
        </w:rPr>
        <w:t xml:space="preserve">合同金额</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合同金额包括提供招标范围内确定的采购内容、税金及合同包含的所有风险、责任等各项应有费用。同时，除非合同条款中另有规定，合同总金额在合同履行期间不因市场变化因素而变动。本项目采用合同的计价方式计价。</w:t>
      </w:r>
      <w:r/>
    </w:p>
    <w:p>
      <w:pPr>
        <w:ind w:firstLine="480"/>
        <w:spacing w:line="360" w:lineRule="auto"/>
        <w:rPr>
          <w:rFonts w:ascii="宋体" w:hAnsi="宋体" w:cs="宋体"/>
          <w:color w:val="auto"/>
          <w:sz w:val="24"/>
          <w:highlight w:val="none"/>
        </w:rPr>
      </w:pPr>
      <w:r>
        <w:rPr>
          <w:rFonts w:hint="eastAsia" w:ascii="宋体" w:hAnsi="宋体"/>
          <w:color w:val="auto"/>
          <w:sz w:val="24"/>
          <w:highlight w:val="none"/>
        </w:rPr>
        <w:t xml:space="preserve">1.4.1总价合同。</w:t>
      </w:r>
      <w:r>
        <w:rPr>
          <w:rFonts w:hint="eastAsia" w:ascii="宋体" w:hAnsi="宋体" w:cs="宋体"/>
          <w:color w:val="auto"/>
          <w:sz w:val="24"/>
          <w:highlight w:val="none"/>
        </w:rPr>
        <w:t xml:space="preserve">本合同总价（含税）为：￥元（大写：元人民币）。</w:t>
      </w:r>
      <w:r/>
    </w:p>
    <w:p>
      <w:pPr>
        <w:ind w:firstLine="480"/>
        <w:spacing w:line="360" w:lineRule="auto"/>
        <w:rPr>
          <w:rFonts w:ascii="宋体" w:hAnsi="宋体"/>
          <w:color w:val="auto"/>
          <w:sz w:val="24"/>
          <w:highlight w:val="none"/>
        </w:rPr>
      </w:pPr>
      <w:r/>
      <w:bookmarkStart w:id="82" w:name="_Hlk134193576"/>
      <w:r/>
      <w:bookmarkStart w:id="83" w:name="_Toc26916"/>
      <w:r/>
      <w:bookmarkStart w:id="84" w:name="_Toc14993"/>
      <w:r/>
      <w:bookmarkStart w:id="85" w:name="_Toc3654"/>
      <w:r/>
      <w:bookmarkStart w:id="86" w:name="_Toc30158"/>
      <w:r/>
      <w:bookmarkStart w:id="87" w:name="_Toc30506"/>
      <w:r/>
      <w:bookmarkStart w:id="88" w:name="_Toc10340"/>
      <w:r/>
      <w:bookmarkStart w:id="89" w:name="_Toc1814"/>
      <w:r/>
      <w:bookmarkStart w:id="90" w:name="_Toc22618"/>
      <w:r>
        <w:rPr>
          <w:rFonts w:hint="eastAsia" w:ascii="宋体" w:hAnsi="宋体"/>
          <w:bCs/>
          <w:color w:val="auto"/>
          <w:sz w:val="24"/>
          <w:highlight w:val="none"/>
        </w:rPr>
        <w:t xml:space="preserve">1.4.2</w:t>
      </w:r>
      <w:bookmarkEnd w:id="82"/>
      <w:r>
        <w:rPr>
          <w:rFonts w:hint="eastAsia" w:ascii="宋体" w:hAnsi="宋体"/>
          <w:bCs/>
          <w:color w:val="auto"/>
          <w:sz w:val="24"/>
          <w:highlight w:val="none"/>
        </w:rPr>
        <w:t xml:space="preserve">单价合同，本合同单价（含税）标准为：</w:t>
      </w:r>
      <w:r>
        <w:rPr>
          <w:rFonts w:hint="eastAsia" w:ascii="宋体" w:hAnsi="宋体"/>
          <w:color w:val="auto"/>
          <w:sz w:val="24"/>
          <w:highlight w:val="none"/>
        </w:rPr>
        <w:t xml:space="preserve">。计量方式为：</w:t>
      </w:r>
      <w:r>
        <w:rPr>
          <w:rFonts w:hint="eastAsia" w:ascii="宋体" w:hAnsi="宋体" w:cs="宋体"/>
          <w:b/>
          <w:iCs/>
          <w:color w:val="auto"/>
          <w:sz w:val="24"/>
          <w:highlight w:val="none"/>
          <w:u w:val="single"/>
        </w:rPr>
        <w:t xml:space="preserve">合同专用条款</w:t>
      </w:r>
      <w:r>
        <w:rPr>
          <w:rFonts w:hint="eastAsia" w:ascii="宋体" w:hAnsi="宋体"/>
          <w:bCs/>
          <w:iCs/>
          <w:color w:val="auto"/>
          <w:sz w:val="24"/>
          <w:highlight w:val="none"/>
          <w:u w:val="single"/>
        </w:rPr>
        <w:t xml:space="preserve"> 1.4.2</w:t>
      </w:r>
      <w:r>
        <w:rPr>
          <w:rFonts w:hint="eastAsia" w:ascii="宋体" w:hAnsi="宋体"/>
          <w:color w:val="auto"/>
          <w:sz w:val="24"/>
          <w:highlight w:val="none"/>
        </w:rPr>
        <w:t xml:space="preserve">。单价合同，在合同履行期间内，根据实际完成的工作量据实结算，但结算总价上限不得超过预算金额或者双方确定的金额￥元（大写：元人民币）。</w:t>
      </w:r>
      <w:r/>
    </w:p>
    <w:p>
      <w:pPr>
        <w:ind w:firstLine="480"/>
        <w:spacing w:line="360" w:lineRule="auto"/>
        <w:rPr>
          <w:rFonts w:ascii="宋体" w:hAnsi="宋体"/>
          <w:color w:val="auto"/>
          <w:sz w:val="24"/>
          <w:highlight w:val="none"/>
        </w:rPr>
      </w:pPr>
      <w:r>
        <w:rPr>
          <w:rFonts w:hint="eastAsia" w:ascii="宋体" w:hAnsi="宋体" w:cs="宋体"/>
          <w:color w:val="auto"/>
          <w:sz w:val="24"/>
          <w:highlight w:val="none"/>
        </w:rPr>
        <w:t xml:space="preserve">1.4.3其他计价方式：。</w:t>
      </w:r>
      <w:bookmarkEnd w:id="83"/>
      <w:r/>
      <w:bookmarkEnd w:id="84"/>
      <w:r/>
      <w:bookmarkEnd w:id="85"/>
      <w:r/>
      <w:bookmarkEnd w:id="86"/>
      <w:r/>
      <w:bookmarkEnd w:id="87"/>
      <w:r/>
      <w:r/>
    </w:p>
    <w:p>
      <w:pPr>
        <w:ind w:firstLine="482"/>
        <w:spacing w:line="360" w:lineRule="auto"/>
        <w:rPr>
          <w:rFonts w:ascii="宋体" w:hAnsi="宋体" w:cs="宋体"/>
          <w:b/>
          <w:color w:val="auto"/>
          <w:sz w:val="24"/>
          <w:highlight w:val="none"/>
        </w:rPr>
        <w:outlineLvl w:val="0"/>
      </w:pPr>
      <w:r>
        <w:rPr>
          <w:rFonts w:hint="eastAsia" w:ascii="宋体" w:hAnsi="宋体" w:cs="宋体"/>
          <w:b/>
          <w:color w:val="auto"/>
          <w:sz w:val="24"/>
          <w:highlight w:val="none"/>
        </w:rPr>
        <w:t xml:space="preserve">1.5履约保证金</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乙方</w:t>
      </w:r>
      <w:r>
        <w:rPr>
          <w:rFonts w:hint="eastAsia" w:ascii="宋体" w:hAnsi="宋体" w:cs="宋体"/>
          <w:color w:val="auto"/>
          <w:sz w:val="24"/>
          <w:highlight w:val="none"/>
          <w:u w:val="single"/>
        </w:rPr>
        <w:t xml:space="preserve">否</w:t>
      </w:r>
      <w:r>
        <w:rPr>
          <w:rFonts w:hint="eastAsia" w:ascii="宋体" w:hAnsi="宋体" w:cs="宋体"/>
          <w:color w:val="auto"/>
          <w:sz w:val="24"/>
          <w:highlight w:val="none"/>
        </w:rPr>
        <w:t xml:space="preserve">（是 /否）需要支付履约保证金。若需要支付履约保证金的，则：</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1.5.1履约保证金的比例为合同金额的%；（提醒：履约保证金的比例不得超过合同金额的10%）</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1.5.2履约保证金支付方式详见</w:t>
      </w:r>
      <w:r>
        <w:rPr>
          <w:rFonts w:hint="eastAsia" w:ascii="宋体" w:hAnsi="宋体" w:cs="宋体"/>
          <w:b/>
          <w:color w:val="auto"/>
          <w:sz w:val="24"/>
          <w:highlight w:val="none"/>
          <w:u w:val="single"/>
        </w:rPr>
        <w:t xml:space="preserve">    合同专用条款 1.5.2          </w:t>
      </w:r>
      <w:r>
        <w:rPr>
          <w:rFonts w:hint="eastAsia" w:ascii="宋体" w:hAnsi="宋体" w:cs="宋体"/>
          <w:color w:val="auto"/>
          <w:sz w:val="24"/>
          <w:highlight w:val="none"/>
        </w:rPr>
        <w:t xml:space="preserve">；</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1.5.3 如果乙方不履行合同，履约保证金不予退还；如果乙方未能按合同约定全面履行义务，那么甲方有权从履约保证金中取得补偿或赔偿，同时不影响甲方要求乙方承担合同约定的超过履约保证金的违约责任的权利；</w:t>
      </w:r>
      <w:r/>
    </w:p>
    <w:p>
      <w:pPr>
        <w:ind w:firstLine="480"/>
        <w:spacing w:line="360" w:lineRule="auto"/>
        <w:rPr>
          <w:color w:val="auto"/>
          <w:highlight w:val="none"/>
        </w:rPr>
        <w:outlineLvl w:val="0"/>
      </w:pPr>
      <w:r>
        <w:rPr>
          <w:rFonts w:hint="eastAsia" w:ascii="宋体" w:hAnsi="宋体" w:cs="宋体"/>
          <w:color w:val="auto"/>
          <w:sz w:val="24"/>
          <w:highlight w:val="none"/>
        </w:rPr>
        <w:t xml:space="preserve">1.5.4 甲方在项目验收结束后及时退还履约保证金。甲方在项目通过验收之日起</w:t>
      </w:r>
      <w:r>
        <w:rPr>
          <w:rFonts w:hint="eastAsia" w:ascii="宋体" w:hAnsi="宋体" w:cs="宋体"/>
          <w:color w:val="auto"/>
          <w:sz w:val="24"/>
          <w:highlight w:val="none"/>
          <w:u w:val="single"/>
        </w:rPr>
        <w:t xml:space="preserve"> 5</w:t>
      </w:r>
      <w:r>
        <w:rPr>
          <w:rFonts w:hint="eastAsia" w:ascii="宋体" w:hAnsi="宋体" w:cs="宋体"/>
          <w:color w:val="auto"/>
          <w:sz w:val="24"/>
          <w:highlight w:val="none"/>
        </w:rPr>
        <w:t xml:space="preserve">个工作日内将履约保证金无息退还乙方（出具保函、保险保单的费用不予退还），逾期退还的，乙方可要求甲方支付违约金，违约金按每迟延退还一日的应退还而未退还金额的</w:t>
      </w:r>
      <w:r>
        <w:rPr>
          <w:rFonts w:hint="eastAsia" w:ascii="宋体" w:hAnsi="宋体" w:cs="宋体"/>
          <w:color w:val="auto"/>
          <w:sz w:val="24"/>
          <w:highlight w:val="none"/>
          <w:u w:val="single"/>
        </w:rPr>
        <w:t xml:space="preserve">  （</w:t>
      </w:r>
      <w:r>
        <w:rPr>
          <w:rFonts w:hint="eastAsia" w:ascii="宋体" w:hAnsi="宋体" w:cs="宋体"/>
          <w:i/>
          <w:iCs/>
          <w:color w:val="auto"/>
          <w:sz w:val="24"/>
          <w:highlight w:val="none"/>
          <w:u w:val="single"/>
        </w:rPr>
        <w:t xml:space="preserve">按同期银行活期存款利息</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%计算，最高限额为本合同履约保证金的</w:t>
      </w:r>
      <w:r>
        <w:rPr>
          <w:rFonts w:hint="eastAsia" w:ascii="宋体" w:hAnsi="宋体" w:cs="宋体"/>
          <w:color w:val="auto"/>
          <w:sz w:val="24"/>
          <w:highlight w:val="none"/>
          <w:u w:val="single"/>
        </w:rPr>
        <w:t xml:space="preserve">  XX  </w:t>
      </w:r>
      <w:r>
        <w:rPr>
          <w:rFonts w:hint="eastAsia" w:ascii="宋体" w:hAnsi="宋体" w:cs="宋体"/>
          <w:color w:val="auto"/>
          <w:sz w:val="24"/>
          <w:highlight w:val="none"/>
        </w:rPr>
        <w:t xml:space="preserve"> %。</w:t>
      </w:r>
      <w:r/>
    </w:p>
    <w:p>
      <w:pPr>
        <w:ind w:firstLine="480"/>
        <w:jc w:val="left"/>
        <w:spacing w:line="360" w:lineRule="auto"/>
        <w:widowControl/>
        <w:rPr>
          <w:rFonts w:ascii="宋体" w:hAnsi="宋体" w:cs="宋体"/>
          <w:b/>
          <w:bCs/>
          <w:color w:val="auto"/>
          <w:sz w:val="24"/>
          <w:highlight w:val="none"/>
        </w:rPr>
      </w:pPr>
      <w:r>
        <w:rPr>
          <w:rFonts w:hint="eastAsia" w:ascii="宋体" w:hAnsi="宋体" w:cs="宋体"/>
          <w:b/>
          <w:bCs/>
          <w:color w:val="auto"/>
          <w:sz w:val="24"/>
          <w:highlight w:val="none"/>
        </w:rPr>
        <w:t xml:space="preserve">1.</w:t>
      </w:r>
      <w:bookmarkEnd w:id="88"/>
      <w:r/>
      <w:bookmarkEnd w:id="89"/>
      <w:r/>
      <w:bookmarkEnd w:id="90"/>
      <w:r>
        <w:rPr>
          <w:rFonts w:hint="eastAsia" w:ascii="宋体" w:hAnsi="宋体" w:cs="宋体"/>
          <w:b/>
          <w:bCs/>
          <w:color w:val="auto"/>
          <w:sz w:val="24"/>
          <w:highlight w:val="none"/>
        </w:rPr>
        <w:t xml:space="preserve">6预付款</w:t>
      </w:r>
      <w:r/>
    </w:p>
    <w:p>
      <w:pPr>
        <w:ind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乙方</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lang w:val="en-US" w:eastAsia="zh-CN"/>
        </w:rPr>
        <w:t xml:space="preserve"> 需要  </w:t>
      </w:r>
      <w:r>
        <w:rPr>
          <w:rFonts w:hint="eastAsia" w:ascii="宋体" w:hAnsi="宋体" w:cs="宋体"/>
          <w:color w:val="auto"/>
          <w:sz w:val="24"/>
          <w:highlight w:val="none"/>
        </w:rPr>
        <w:t xml:space="preserve">（需要/不需要）甲方支付预付款。若需要支付预付款的，则：</w:t>
      </w:r>
      <w:r/>
    </w:p>
    <w:p>
      <w:pPr>
        <w:ind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1.6.1预付款比例、支付方式、时间详见</w:t>
      </w:r>
      <w:r>
        <w:rPr>
          <w:rFonts w:hint="eastAsia" w:ascii="宋体" w:hAnsi="宋体" w:cs="宋体"/>
          <w:b/>
          <w:color w:val="auto"/>
          <w:sz w:val="24"/>
          <w:highlight w:val="none"/>
          <w:u w:val="single"/>
        </w:rPr>
        <w:t xml:space="preserve">    合同专用条款1.6.1         </w:t>
      </w:r>
      <w:r>
        <w:rPr>
          <w:rFonts w:hint="eastAsia" w:ascii="宋体" w:hAnsi="宋体" w:cs="宋体"/>
          <w:color w:val="auto"/>
          <w:sz w:val="24"/>
          <w:highlight w:val="none"/>
        </w:rPr>
        <w:t xml:space="preserve">；</w:t>
      </w:r>
      <w:r/>
    </w:p>
    <w:p>
      <w:pPr>
        <w:ind w:firstLine="480"/>
        <w:jc w:val="left"/>
        <w:spacing w:line="360" w:lineRule="auto"/>
        <w:widowControl/>
        <w:rPr>
          <w:rFonts w:ascii="宋体" w:hAnsi="宋体" w:cs="宋体"/>
          <w:b/>
          <w:bCs/>
          <w:color w:val="auto"/>
          <w:sz w:val="24"/>
          <w:highlight w:val="none"/>
        </w:rPr>
      </w:pPr>
      <w:r>
        <w:rPr>
          <w:rFonts w:hint="eastAsia" w:ascii="宋体" w:hAnsi="宋体" w:cs="宋体"/>
          <w:b/>
          <w:bCs/>
          <w:color w:val="auto"/>
          <w:sz w:val="24"/>
          <w:highlight w:val="none"/>
        </w:rPr>
        <w:t xml:space="preserve">1.7资金支付</w:t>
      </w:r>
      <w:r/>
    </w:p>
    <w:p>
      <w:pPr>
        <w:ind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1.7.1甲方应严格履行合同，及时组织验收，验收合格后及时将合同款支付完毕。对于满足合同约定支付条件的，甲方自收到发票后15日内将资金支付到合同约定的乙方账户，有条件的甲方可以即时支付。甲方不得以机构变动、人员更替、政策调整、单位放假等为由延迟付款。</w:t>
      </w:r>
      <w:r/>
    </w:p>
    <w:p>
      <w:pPr>
        <w:ind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1.7.2资金支付的方式、时间和条件详见</w:t>
      </w:r>
      <w:r>
        <w:rPr>
          <w:rFonts w:hint="eastAsia" w:ascii="宋体" w:hAnsi="宋体" w:cs="宋体"/>
          <w:b/>
          <w:color w:val="auto"/>
          <w:sz w:val="24"/>
          <w:highlight w:val="none"/>
          <w:u w:val="single"/>
        </w:rPr>
        <w:t xml:space="preserve">    合同专用条款1.7.2    </w:t>
      </w:r>
      <w:r>
        <w:rPr>
          <w:rFonts w:hint="eastAsia" w:ascii="宋体" w:hAnsi="宋体" w:cs="宋体"/>
          <w:b/>
          <w:color w:val="auto"/>
          <w:sz w:val="24"/>
          <w:highlight w:val="none"/>
        </w:rPr>
        <w:t xml:space="preserve">；</w:t>
      </w:r>
      <w:r/>
    </w:p>
    <w:p>
      <w:pPr>
        <w:ind w:firstLine="480"/>
        <w:jc w:val="left"/>
        <w:spacing w:line="360" w:lineRule="auto"/>
        <w:widowControl/>
        <w:rPr>
          <w:rFonts w:ascii="宋体" w:hAnsi="宋体" w:cs="宋体"/>
          <w:b/>
          <w:bCs/>
          <w:color w:val="auto"/>
          <w:sz w:val="24"/>
          <w:highlight w:val="none"/>
        </w:rPr>
      </w:pPr>
      <w:r/>
      <w:bookmarkStart w:id="91" w:name="_Toc2846"/>
      <w:r/>
      <w:bookmarkStart w:id="92" w:name="_Toc19304"/>
      <w:r/>
      <w:bookmarkStart w:id="93" w:name="_Toc32071"/>
      <w:r>
        <w:rPr>
          <w:rFonts w:hint="eastAsia" w:ascii="宋体" w:hAnsi="宋体" w:cs="宋体"/>
          <w:b/>
          <w:bCs/>
          <w:color w:val="auto"/>
          <w:sz w:val="24"/>
          <w:highlight w:val="none"/>
        </w:rPr>
        <w:t xml:space="preserve">1.8货物（服务）交付期限、地点和方式</w:t>
      </w:r>
      <w:bookmarkEnd w:id="91"/>
      <w:r/>
      <w:bookmarkEnd w:id="92"/>
      <w:r/>
      <w:bookmarkEnd w:id="93"/>
      <w:r/>
      <w:r/>
    </w:p>
    <w:p>
      <w:pPr>
        <w:ind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1.8.1 交付期限：</w:t>
      </w:r>
      <w:bookmarkStart w:id="94" w:name="_Hlk134193824"/>
      <w:r>
        <w:rPr>
          <w:rFonts w:hint="eastAsia" w:ascii="宋体" w:hAnsi="宋体" w:cs="宋体"/>
          <w:b/>
          <w:color w:val="auto"/>
          <w:sz w:val="24"/>
          <w:highlight w:val="none"/>
          <w:u w:val="single"/>
        </w:rPr>
        <w:t xml:space="preserve">详见</w:t>
      </w:r>
      <w:bookmarkEnd w:id="94"/>
      <w:r>
        <w:rPr>
          <w:rFonts w:hint="eastAsia" w:ascii="宋体" w:hAnsi="宋体" w:cs="宋体"/>
          <w:b/>
          <w:color w:val="auto"/>
          <w:sz w:val="24"/>
          <w:highlight w:val="none"/>
          <w:u w:val="single"/>
        </w:rPr>
        <w:t xml:space="preserve">合同专用条款1.8.1</w:t>
      </w:r>
      <w:r>
        <w:rPr>
          <w:rFonts w:hint="eastAsia" w:ascii="宋体" w:hAnsi="宋体" w:cs="宋体"/>
          <w:color w:val="auto"/>
          <w:sz w:val="24"/>
          <w:highlight w:val="none"/>
        </w:rPr>
        <w:t xml:space="preserve">；</w:t>
      </w:r>
      <w:r/>
    </w:p>
    <w:p>
      <w:pPr>
        <w:ind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1.8.2 交付地点：</w:t>
      </w:r>
      <w:r>
        <w:rPr>
          <w:rFonts w:hint="eastAsia" w:ascii="宋体" w:hAnsi="宋体" w:cs="宋体"/>
          <w:b/>
          <w:color w:val="auto"/>
          <w:sz w:val="24"/>
          <w:highlight w:val="none"/>
          <w:u w:val="single"/>
        </w:rPr>
        <w:t xml:space="preserve">详见合同专用条款1.8.2</w:t>
      </w:r>
      <w:r>
        <w:rPr>
          <w:rFonts w:hint="eastAsia" w:ascii="宋体" w:hAnsi="宋体" w:cs="宋体"/>
          <w:color w:val="auto"/>
          <w:sz w:val="24"/>
          <w:highlight w:val="none"/>
        </w:rPr>
        <w:t xml:space="preserve">；</w:t>
      </w:r>
      <w:r/>
    </w:p>
    <w:p>
      <w:pPr>
        <w:ind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1.8.3 交付方式：</w:t>
      </w:r>
      <w:r>
        <w:rPr>
          <w:rFonts w:hint="eastAsia" w:ascii="宋体" w:hAnsi="宋体" w:cs="宋体"/>
          <w:b/>
          <w:color w:val="auto"/>
          <w:sz w:val="24"/>
          <w:highlight w:val="none"/>
          <w:u w:val="single"/>
        </w:rPr>
        <w:t xml:space="preserve">详见合同专用条款1.8.3</w:t>
      </w:r>
      <w:r>
        <w:rPr>
          <w:rFonts w:hint="eastAsia" w:ascii="宋体" w:hAnsi="宋体" w:cs="宋体"/>
          <w:color w:val="auto"/>
          <w:sz w:val="24"/>
          <w:highlight w:val="none"/>
        </w:rPr>
        <w:t xml:space="preserve">；</w:t>
      </w:r>
      <w:r/>
    </w:p>
    <w:p>
      <w:pPr>
        <w:ind w:firstLine="480"/>
        <w:jc w:val="left"/>
        <w:spacing w:line="360" w:lineRule="auto"/>
        <w:widowControl/>
        <w:rPr>
          <w:rFonts w:ascii="宋体" w:hAnsi="宋体" w:cs="宋体"/>
          <w:b/>
          <w:bCs/>
          <w:color w:val="auto"/>
          <w:sz w:val="24"/>
          <w:highlight w:val="none"/>
        </w:rPr>
      </w:pPr>
      <w:r/>
      <w:bookmarkStart w:id="95" w:name="_Toc27250"/>
      <w:r/>
      <w:bookmarkStart w:id="96" w:name="_Toc21423"/>
      <w:r/>
      <w:bookmarkStart w:id="97" w:name="_Toc19554"/>
      <w:r>
        <w:rPr>
          <w:rFonts w:hint="eastAsia" w:ascii="宋体" w:hAnsi="宋体" w:cs="宋体"/>
          <w:b/>
          <w:bCs/>
          <w:color w:val="auto"/>
          <w:sz w:val="24"/>
          <w:highlight w:val="none"/>
        </w:rPr>
        <w:t xml:space="preserve">1.9违约责任</w:t>
      </w:r>
      <w:bookmarkEnd w:id="95"/>
      <w:r/>
      <w:bookmarkEnd w:id="96"/>
      <w:r/>
      <w:bookmarkEnd w:id="97"/>
      <w:r/>
      <w:r/>
    </w:p>
    <w:p>
      <w:pPr>
        <w:ind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1.9.1 除不可抗力外，如果乙方没有按照本合同约定的期限、地点和方式交付货物或服务，那么甲方可要求乙方支付违约金，每延迟一日，违约金按合同金额的</w:t>
      </w:r>
      <w:r>
        <w:rPr>
          <w:rFonts w:hint="eastAsia" w:ascii="宋体" w:hAnsi="宋体" w:cs="宋体"/>
          <w:color w:val="auto"/>
          <w:sz w:val="24"/>
          <w:highlight w:val="none"/>
          <w:u w:val="single"/>
        </w:rPr>
        <w:t xml:space="preserve">  XX（可根据情况修改） %/</w:t>
      </w:r>
      <w:r>
        <w:rPr>
          <w:rFonts w:hint="eastAsia" w:ascii="宋体" w:hAnsi="宋体" w:cs="宋体"/>
          <w:color w:val="auto"/>
          <w:sz w:val="24"/>
          <w:highlight w:val="none"/>
        </w:rPr>
        <w:t xml:space="preserve">计算，最高限额为本合同金额的</w:t>
      </w:r>
      <w:r>
        <w:rPr>
          <w:rFonts w:hint="eastAsia" w:ascii="宋体" w:hAnsi="宋体" w:cs="宋体"/>
          <w:color w:val="auto"/>
          <w:sz w:val="24"/>
          <w:highlight w:val="none"/>
          <w:u w:val="single"/>
        </w:rPr>
        <w:t xml:space="preserve">  XX  </w:t>
      </w:r>
      <w:r>
        <w:rPr>
          <w:rFonts w:hint="eastAsia" w:ascii="宋体" w:hAnsi="宋体" w:cs="宋体"/>
          <w:color w:val="auto"/>
          <w:sz w:val="24"/>
          <w:highlight w:val="none"/>
        </w:rPr>
        <w:t xml:space="preserve">%；迟延交付货物或服务的违约金计算数额达到前述最高限额之日起，甲方有权在要求乙方支付违约金的同时，书面通知乙方解除本合同；</w:t>
      </w:r>
      <w:r/>
    </w:p>
    <w:p>
      <w:pPr>
        <w:ind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1.9.2 除不可抗力外，如果甲方没有按照本合同约定的付款方式付款，乙方可要求甲方支付违约金，每延迟一日，违约金按应付而未付款的</w:t>
      </w:r>
      <w:r>
        <w:rPr>
          <w:rFonts w:hint="eastAsia" w:ascii="宋体" w:hAnsi="宋体" w:cs="宋体"/>
          <w:color w:val="auto"/>
          <w:sz w:val="24"/>
          <w:highlight w:val="none"/>
          <w:u w:val="single"/>
        </w:rPr>
        <w:t xml:space="preserve"> XX（可根据情况修改） </w:t>
      </w:r>
      <w:r>
        <w:rPr>
          <w:rFonts w:hint="eastAsia" w:ascii="宋体" w:hAnsi="宋体" w:cs="宋体"/>
          <w:color w:val="auto"/>
          <w:sz w:val="24"/>
          <w:highlight w:val="none"/>
        </w:rPr>
        <w:t xml:space="preserve">%计算，最高限额为本合同总价的</w:t>
      </w:r>
      <w:r>
        <w:rPr>
          <w:rFonts w:hint="eastAsia" w:ascii="宋体" w:hAnsi="宋体" w:cs="宋体"/>
          <w:color w:val="auto"/>
          <w:sz w:val="24"/>
          <w:highlight w:val="none"/>
          <w:u w:val="single"/>
        </w:rPr>
        <w:t xml:space="preserve">   XX  </w:t>
      </w:r>
      <w:r>
        <w:rPr>
          <w:rFonts w:hint="eastAsia" w:ascii="宋体" w:hAnsi="宋体" w:cs="宋体"/>
          <w:color w:val="auto"/>
          <w:sz w:val="24"/>
          <w:highlight w:val="none"/>
        </w:rPr>
        <w:t xml:space="preserve">%；迟延付款的违约金计算数额达到前述最高限额之日起，乙方有权在要求甲方支付违约金的同时，书面通知甲方解除本合同；</w:t>
      </w:r>
      <w:r/>
    </w:p>
    <w:p>
      <w:pPr>
        <w:ind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1.9.3 除不可抗力外，任何一方未能履行本合同约定的其他主要义务，经催告后在合理期限内仍未履行的，或者任何一方有其他违约行为致使不能实现合同目的的，或者任何一方有腐败行为（即：提供或给予或接受或索取任何财物或其他好处或者采取其他不正当手段影响对方当事人在合同签订、履行过程中的行为）或者欺诈行为（即：以谎报事实或者隐瞒真相的方法来影响对方当事人在合同签订、履行过程中的行为）的，对方当事人可以书面通知违约方解除本合同；</w:t>
      </w:r>
      <w:r/>
    </w:p>
    <w:p>
      <w:pPr>
        <w:ind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1.9.4 除前述约定外，任何一方未能履行本合同约定的义务，对方当事人均有权要求继续履行、采取补救措施或者赔偿损失等，且对方当事人行使的任何权利救济方式均不视为其放弃了其他法定或者约定的权利救济方式；</w:t>
      </w:r>
      <w:r/>
    </w:p>
    <w:p>
      <w:pPr>
        <w:ind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1.9.5如果出现政府采购监督管理部门在处理投诉事项期间，书面通知甲方暂停采购活动的情形，或者询问或质疑事项可能影响中标或者成交结果的，导致甲方中止履行合同的情形，均不视为甲方违约。</w:t>
      </w:r>
      <w:r/>
    </w:p>
    <w:p>
      <w:pPr>
        <w:ind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1.9.6违约责任</w:t>
      </w:r>
      <w:r>
        <w:rPr>
          <w:rFonts w:hint="eastAsia" w:ascii="宋体" w:hAnsi="宋体" w:cs="宋体"/>
          <w:color w:val="auto"/>
          <w:sz w:val="24"/>
          <w:highlight w:val="none"/>
          <w:u w:val="single"/>
        </w:rPr>
        <w:t xml:space="preserve">合同专用条款1.9.6</w:t>
      </w:r>
      <w:r>
        <w:rPr>
          <w:rFonts w:hint="eastAsia" w:ascii="宋体" w:hAnsi="宋体" w:cs="宋体"/>
          <w:color w:val="auto"/>
          <w:sz w:val="24"/>
          <w:highlight w:val="none"/>
        </w:rPr>
        <w:t xml:space="preserve">约定其他责任的，从其约定。</w:t>
      </w:r>
      <w:r/>
    </w:p>
    <w:p>
      <w:pPr>
        <w:ind w:firstLine="480"/>
        <w:jc w:val="left"/>
        <w:spacing w:line="360" w:lineRule="auto"/>
        <w:widowControl/>
        <w:rPr>
          <w:rFonts w:ascii="宋体" w:hAnsi="宋体" w:cs="宋体"/>
          <w:b/>
          <w:bCs/>
          <w:color w:val="auto"/>
          <w:sz w:val="24"/>
          <w:highlight w:val="none"/>
        </w:rPr>
      </w:pPr>
      <w:r/>
      <w:bookmarkStart w:id="98" w:name="_Toc15583"/>
      <w:r/>
      <w:bookmarkStart w:id="99" w:name="_Toc16021"/>
      <w:r/>
      <w:bookmarkStart w:id="100" w:name="_Toc28375"/>
      <w:r>
        <w:rPr>
          <w:rFonts w:hint="eastAsia" w:ascii="宋体" w:hAnsi="宋体" w:cs="宋体"/>
          <w:b/>
          <w:bCs/>
          <w:color w:val="auto"/>
          <w:sz w:val="24"/>
          <w:highlight w:val="none"/>
        </w:rPr>
        <w:t xml:space="preserve">1.10合同争议的解决</w:t>
      </w:r>
      <w:bookmarkEnd w:id="98"/>
      <w:r/>
      <w:bookmarkEnd w:id="99"/>
      <w:r/>
      <w:bookmarkEnd w:id="100"/>
      <w:r/>
      <w:r/>
    </w:p>
    <w:p>
      <w:pPr>
        <w:ind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1.10.1本合同履行过程中发生的任何争议，双方当事人均可通过和解或者调解解决；不愿和解、调解或者和解、调解不成的，向</w:t>
      </w:r>
      <w:r>
        <w:rPr>
          <w:rFonts w:hint="eastAsia" w:ascii="宋体" w:hAnsi="宋体" w:cs="宋体"/>
          <w:b/>
          <w:color w:val="auto"/>
          <w:sz w:val="24"/>
          <w:highlight w:val="none"/>
        </w:rPr>
        <w:t xml:space="preserve">甲方所在地</w:t>
      </w:r>
      <w:r>
        <w:rPr>
          <w:rFonts w:hint="eastAsia" w:ascii="宋体" w:hAnsi="宋体" w:cs="宋体"/>
          <w:color w:val="auto"/>
          <w:sz w:val="24"/>
          <w:highlight w:val="none"/>
        </w:rPr>
        <w:t xml:space="preserve">人民法院起诉。</w:t>
      </w:r>
      <w:r/>
    </w:p>
    <w:p>
      <w:pPr>
        <w:ind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1.10.2如对任何争议向人民法院提起诉讼，除争议事项或争议事项所涉及的条款外，双方应继续履行本合同项下的其它义务。</w:t>
      </w:r>
      <w:r/>
    </w:p>
    <w:p>
      <w:pPr>
        <w:ind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1.11合同生效及其他</w:t>
      </w:r>
      <w:r/>
    </w:p>
    <w:p>
      <w:pPr>
        <w:ind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1.11.1本合同自双方当事人盖章时生效。</w:t>
      </w:r>
      <w:r/>
    </w:p>
    <w:p>
      <w:pPr>
        <w:ind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1.11.2本合同未尽事宜，遵照《中华人民共和国民法典》有关条文执行。 </w:t>
      </w:r>
      <w:r/>
    </w:p>
    <w:p>
      <w:pPr>
        <w:spacing w:line="360" w:lineRule="auto"/>
        <w:rPr>
          <w:rFonts w:ascii="宋体" w:hAnsi="宋体" w:cs="宋体"/>
          <w:b/>
          <w:color w:val="auto"/>
          <w:sz w:val="24"/>
          <w:highlight w:val="none"/>
          <w:lang w:val="zh-CN"/>
        </w:rPr>
      </w:pPr>
      <w:r>
        <w:rPr>
          <w:rFonts w:ascii="宋体" w:hAnsi="宋体" w:cs="宋体"/>
          <w:b/>
          <w:color w:val="auto"/>
          <w:sz w:val="24"/>
          <w:highlight w:val="none"/>
          <w:lang w:val="zh-CN"/>
        </w:rPr>
      </w:r>
      <w:r/>
    </w:p>
    <w:p>
      <w:pPr>
        <w:spacing w:line="360" w:lineRule="auto"/>
        <w:rPr>
          <w:rFonts w:ascii="宋体" w:hAnsi="宋体" w:cs="宋体"/>
          <w:b/>
          <w:color w:val="auto"/>
          <w:sz w:val="24"/>
          <w:highlight w:val="none"/>
          <w:lang w:val="zh-CN"/>
        </w:rPr>
      </w:pPr>
      <w:r>
        <w:rPr>
          <w:rFonts w:ascii="宋体" w:hAnsi="宋体" w:cs="宋体"/>
          <w:b/>
          <w:color w:val="auto"/>
          <w:sz w:val="24"/>
          <w:highlight w:val="none"/>
          <w:lang w:val="zh-CN"/>
        </w:rPr>
      </w:r>
      <w:r/>
    </w:p>
    <w:p>
      <w:pPr>
        <w:spacing w:line="480" w:lineRule="auto"/>
        <w:rPr>
          <w:rFonts w:hint="eastAsia" w:ascii="宋体" w:hAnsi="宋体" w:cs="宋体"/>
          <w:b/>
          <w:color w:val="auto"/>
          <w:sz w:val="24"/>
          <w:highlight w:val="none"/>
          <w:lang w:val="zh-CN"/>
        </w:rPr>
      </w:pPr>
      <w:r>
        <w:rPr>
          <w:rFonts w:hint="eastAsia" w:ascii="宋体" w:hAnsi="宋体" w:cs="宋体"/>
          <w:b/>
          <w:color w:val="auto"/>
          <w:sz w:val="24"/>
          <w:highlight w:val="none"/>
          <w:lang w:val="zh-CN"/>
        </w:rPr>
      </w:r>
      <w:r/>
    </w:p>
    <w:p>
      <w:pPr>
        <w:spacing w:line="480" w:lineRule="auto"/>
        <w:rPr>
          <w:rFonts w:hint="eastAsia" w:ascii="宋体" w:hAnsi="宋体" w:cs="宋体"/>
          <w:b/>
          <w:color w:val="auto"/>
          <w:sz w:val="24"/>
          <w:highlight w:val="none"/>
          <w:lang w:val="zh-CN"/>
        </w:rPr>
      </w:pPr>
      <w:r>
        <w:rPr>
          <w:rFonts w:hint="eastAsia" w:ascii="宋体" w:hAnsi="宋体" w:cs="宋体"/>
          <w:b/>
          <w:color w:val="auto"/>
          <w:sz w:val="24"/>
          <w:highlight w:val="none"/>
          <w:lang w:val="zh-CN"/>
        </w:rPr>
      </w:r>
      <w:r/>
    </w:p>
    <w:p>
      <w:pPr>
        <w:spacing w:line="480" w:lineRule="auto"/>
        <w:rPr>
          <w:rFonts w:hint="eastAsia" w:ascii="宋体" w:hAnsi="宋体" w:cs="宋体"/>
          <w:b/>
          <w:color w:val="auto"/>
          <w:sz w:val="24"/>
          <w:highlight w:val="none"/>
          <w:lang w:val="zh-CN"/>
        </w:rPr>
      </w:pPr>
      <w:r>
        <w:rPr>
          <w:rFonts w:hint="eastAsia" w:ascii="宋体" w:hAnsi="宋体" w:cs="宋体"/>
          <w:b/>
          <w:color w:val="auto"/>
          <w:sz w:val="24"/>
          <w:highlight w:val="none"/>
          <w:lang w:val="zh-CN"/>
        </w:rPr>
      </w:r>
      <w:r/>
    </w:p>
    <w:p>
      <w:pPr>
        <w:spacing w:line="480" w:lineRule="auto"/>
        <w:rPr>
          <w:rFonts w:ascii="宋体" w:hAnsi="宋体" w:cs="宋体"/>
          <w:color w:val="auto"/>
          <w:sz w:val="24"/>
          <w:highlight w:val="none"/>
          <w:lang w:val="zh-CN"/>
        </w:rPr>
      </w:pPr>
      <w:r>
        <w:rPr>
          <w:rFonts w:hint="eastAsia" w:ascii="宋体" w:hAnsi="宋体" w:cs="宋体"/>
          <w:b/>
          <w:color w:val="auto"/>
          <w:sz w:val="24"/>
          <w:highlight w:val="none"/>
          <w:lang w:val="zh-CN"/>
        </w:rPr>
        <w:t xml:space="preserve">甲方（</w:t>
      </w:r>
      <w:r>
        <w:rPr>
          <w:rFonts w:hint="eastAsia" w:ascii="宋体" w:hAnsi="宋体" w:cs="宋体"/>
          <w:b/>
          <w:color w:val="auto"/>
          <w:sz w:val="24"/>
          <w:highlight w:val="none"/>
        </w:rPr>
        <w:t xml:space="preserve">盖章</w:t>
      </w:r>
      <w:r>
        <w:rPr>
          <w:rFonts w:hint="eastAsia" w:ascii="宋体" w:hAnsi="宋体" w:cs="宋体"/>
          <w:b/>
          <w:color w:val="auto"/>
          <w:sz w:val="24"/>
          <w:highlight w:val="none"/>
          <w:lang w:val="zh-CN"/>
        </w:rPr>
        <w:t xml:space="preserve">）</w:t>
      </w:r>
      <w:r>
        <w:rPr>
          <w:rFonts w:hint="eastAsia" w:ascii="宋体" w:hAnsi="宋体" w:cs="宋体"/>
          <w:color w:val="auto"/>
          <w:sz w:val="24"/>
          <w:highlight w:val="none"/>
          <w:lang w:val="zh-CN"/>
        </w:rPr>
        <w:t xml:space="preserve">： </w:t>
      </w:r>
      <w:r/>
    </w:p>
    <w:p>
      <w:pPr>
        <w:spacing w:line="480" w:lineRule="auto"/>
        <w:rPr>
          <w:rFonts w:ascii="宋体" w:hAnsi="宋体" w:cs="宋体"/>
          <w:color w:val="auto"/>
          <w:sz w:val="24"/>
          <w:highlight w:val="none"/>
          <w:lang w:val="zh-CN"/>
        </w:rPr>
      </w:pPr>
      <w:r>
        <w:rPr>
          <w:rFonts w:hint="eastAsia" w:ascii="宋体" w:hAnsi="宋体" w:cs="宋体"/>
          <w:color w:val="auto"/>
          <w:sz w:val="24"/>
          <w:highlight w:val="none"/>
          <w:lang w:val="zh-CN"/>
        </w:rPr>
        <w:t xml:space="preserve">统一社会信用代码： </w:t>
      </w:r>
      <w:r/>
    </w:p>
    <w:p>
      <w:pPr>
        <w:spacing w:line="480" w:lineRule="auto"/>
        <w:rPr>
          <w:rFonts w:ascii="宋体" w:hAnsi="宋体" w:cs="宋体"/>
          <w:color w:val="auto"/>
          <w:sz w:val="24"/>
          <w:highlight w:val="none"/>
          <w:lang w:val="zh-CN"/>
        </w:rPr>
      </w:pPr>
      <w:r>
        <w:rPr>
          <w:rFonts w:hint="eastAsia" w:ascii="宋体" w:hAnsi="宋体" w:cs="宋体"/>
          <w:color w:val="auto"/>
          <w:sz w:val="24"/>
          <w:highlight w:val="none"/>
          <w:lang w:val="zh-CN"/>
        </w:rPr>
        <w:t xml:space="preserve">法定代表人或授权代表姓名： </w:t>
      </w:r>
      <w:r/>
    </w:p>
    <w:p>
      <w:pPr>
        <w:spacing w:line="480" w:lineRule="auto"/>
        <w:rPr>
          <w:rFonts w:ascii="宋体" w:hAnsi="宋体" w:cs="宋体"/>
          <w:color w:val="auto"/>
          <w:sz w:val="24"/>
          <w:highlight w:val="none"/>
          <w:lang w:val="zh-CN"/>
        </w:rPr>
      </w:pPr>
      <w:r>
        <w:rPr>
          <w:rFonts w:hint="eastAsia" w:ascii="宋体" w:hAnsi="宋体" w:cs="宋体"/>
          <w:color w:val="auto"/>
          <w:sz w:val="24"/>
          <w:highlight w:val="none"/>
          <w:lang w:val="zh-CN"/>
        </w:rPr>
        <w:t xml:space="preserve">约定送达地址： </w:t>
      </w:r>
      <w:r/>
    </w:p>
    <w:p>
      <w:pPr>
        <w:spacing w:line="360" w:lineRule="auto"/>
        <w:rPr>
          <w:rFonts w:ascii="宋体" w:hAnsi="宋体" w:cs="宋体"/>
          <w:b/>
          <w:color w:val="auto"/>
          <w:sz w:val="24"/>
          <w:highlight w:val="none"/>
          <w:lang w:val="zh-CN"/>
        </w:rPr>
      </w:pPr>
      <w:r>
        <w:rPr>
          <w:rFonts w:ascii="宋体" w:hAnsi="宋体" w:cs="宋体"/>
          <w:b/>
          <w:color w:val="auto"/>
          <w:sz w:val="24"/>
          <w:highlight w:val="none"/>
          <w:lang w:val="zh-CN"/>
        </w:rPr>
      </w:r>
      <w:r/>
    </w:p>
    <w:p>
      <w:pPr>
        <w:spacing w:line="360" w:lineRule="auto"/>
        <w:rPr>
          <w:rFonts w:ascii="宋体" w:hAnsi="宋体" w:cs="宋体"/>
          <w:b/>
          <w:color w:val="auto"/>
          <w:sz w:val="24"/>
          <w:highlight w:val="none"/>
          <w:lang w:val="zh-CN"/>
        </w:rPr>
      </w:pPr>
      <w:r>
        <w:rPr>
          <w:rFonts w:ascii="宋体" w:hAnsi="宋体" w:cs="宋体"/>
          <w:b/>
          <w:color w:val="auto"/>
          <w:sz w:val="24"/>
          <w:highlight w:val="none"/>
          <w:lang w:val="zh-CN"/>
        </w:rPr>
      </w:r>
      <w:r/>
    </w:p>
    <w:p>
      <w:pPr>
        <w:spacing w:line="480" w:lineRule="auto"/>
        <w:rPr>
          <w:rFonts w:ascii="宋体" w:hAnsi="宋体" w:cs="宋体"/>
          <w:b/>
          <w:color w:val="auto"/>
          <w:sz w:val="24"/>
          <w:highlight w:val="none"/>
          <w:lang w:val="zh-CN"/>
        </w:rPr>
      </w:pPr>
      <w:r>
        <w:rPr>
          <w:rFonts w:hint="eastAsia" w:ascii="宋体" w:hAnsi="宋体" w:cs="宋体"/>
          <w:b/>
          <w:color w:val="auto"/>
          <w:sz w:val="24"/>
          <w:highlight w:val="none"/>
          <w:lang w:val="zh-CN"/>
        </w:rPr>
        <w:t xml:space="preserve">乙方（盖章）：</w:t>
      </w:r>
      <w:r/>
    </w:p>
    <w:p>
      <w:pPr>
        <w:spacing w:line="480" w:lineRule="auto"/>
        <w:rPr>
          <w:rFonts w:ascii="宋体" w:hAnsi="宋体" w:cs="宋体"/>
          <w:color w:val="auto"/>
          <w:sz w:val="24"/>
          <w:highlight w:val="none"/>
          <w:lang w:val="zh-CN"/>
        </w:rPr>
      </w:pPr>
      <w:r>
        <w:rPr>
          <w:rFonts w:hint="eastAsia" w:ascii="宋体" w:hAnsi="宋体" w:cs="宋体"/>
          <w:color w:val="auto"/>
          <w:sz w:val="24"/>
          <w:highlight w:val="none"/>
          <w:lang w:val="zh-CN"/>
        </w:rPr>
        <w:t xml:space="preserve">统一社会信用代码：</w:t>
      </w:r>
      <w:r/>
    </w:p>
    <w:p>
      <w:pPr>
        <w:spacing w:line="480" w:lineRule="auto"/>
        <w:rPr>
          <w:rFonts w:ascii="宋体" w:hAnsi="宋体" w:cs="宋体"/>
          <w:color w:val="auto"/>
          <w:sz w:val="24"/>
          <w:highlight w:val="none"/>
          <w:lang w:val="zh-CN"/>
        </w:rPr>
      </w:pPr>
      <w:r>
        <w:rPr>
          <w:rFonts w:hint="eastAsia" w:ascii="宋体" w:hAnsi="宋体" w:cs="宋体"/>
          <w:color w:val="auto"/>
          <w:sz w:val="24"/>
          <w:highlight w:val="none"/>
          <w:lang w:val="zh-CN"/>
        </w:rPr>
        <w:t xml:space="preserve">法定代表人或授权代表姓名:</w:t>
      </w:r>
      <w:r/>
    </w:p>
    <w:p>
      <w:pPr>
        <w:spacing w:line="480" w:lineRule="auto"/>
        <w:rPr>
          <w:rFonts w:ascii="宋体" w:hAnsi="宋体" w:cs="宋体"/>
          <w:color w:val="auto"/>
          <w:sz w:val="24"/>
          <w:highlight w:val="none"/>
          <w:lang w:val="zh-CN"/>
        </w:rPr>
      </w:pPr>
      <w:r>
        <w:rPr>
          <w:rFonts w:hint="eastAsia" w:ascii="宋体" w:hAnsi="宋体" w:cs="宋体"/>
          <w:color w:val="auto"/>
          <w:sz w:val="24"/>
          <w:highlight w:val="none"/>
          <w:lang w:val="zh-CN"/>
        </w:rPr>
        <w:t xml:space="preserve">约定送达地址：</w:t>
      </w:r>
      <w:r/>
    </w:p>
    <w:p>
      <w:pPr>
        <w:spacing w:line="360" w:lineRule="auto"/>
        <w:rPr>
          <w:rFonts w:ascii="宋体" w:hAnsi="宋体" w:cs="宋体"/>
          <w:b/>
          <w:color w:val="auto"/>
          <w:sz w:val="28"/>
          <w:szCs w:val="28"/>
          <w:highlight w:val="none"/>
        </w:rPr>
      </w:pPr>
      <w:r>
        <w:rPr>
          <w:rFonts w:ascii="宋体" w:hAnsi="宋体" w:cs="宋体"/>
          <w:b/>
          <w:color w:val="auto"/>
          <w:sz w:val="28"/>
          <w:szCs w:val="28"/>
          <w:highlight w:val="none"/>
        </w:rPr>
      </w:r>
      <w:r/>
    </w:p>
    <w:p>
      <w:pPr>
        <w:spacing w:line="360" w:lineRule="auto"/>
        <w:rPr>
          <w:rFonts w:ascii="宋体" w:hAnsi="宋体" w:cs="宋体"/>
          <w:b/>
          <w:color w:val="auto"/>
          <w:sz w:val="28"/>
          <w:szCs w:val="28"/>
          <w:highlight w:val="none"/>
        </w:rPr>
      </w:pPr>
      <w:r>
        <w:rPr>
          <w:rFonts w:ascii="宋体" w:hAnsi="宋体" w:cs="宋体"/>
          <w:b/>
          <w:color w:val="auto"/>
          <w:sz w:val="28"/>
          <w:szCs w:val="28"/>
          <w:highlight w:val="none"/>
        </w:rPr>
      </w:r>
      <w:r/>
    </w:p>
    <w:p>
      <w:pPr>
        <w:spacing w:line="360" w:lineRule="auto"/>
        <w:rPr>
          <w:rFonts w:ascii="宋体" w:hAnsi="宋体" w:cs="宋体"/>
          <w:b/>
          <w:color w:val="auto"/>
          <w:sz w:val="28"/>
          <w:szCs w:val="28"/>
          <w:highlight w:val="none"/>
        </w:rPr>
      </w:pPr>
      <w:r>
        <w:rPr>
          <w:rFonts w:ascii="宋体" w:hAnsi="宋体" w:cs="宋体"/>
          <w:b/>
          <w:color w:val="auto"/>
          <w:sz w:val="28"/>
          <w:szCs w:val="28"/>
          <w:highlight w:val="none"/>
        </w:rPr>
      </w:r>
      <w:r/>
    </w:p>
    <w:p>
      <w:pPr>
        <w:spacing w:line="360" w:lineRule="auto"/>
        <w:rPr>
          <w:rFonts w:ascii="宋体" w:hAnsi="宋体" w:cs="宋体"/>
          <w:b/>
          <w:color w:val="auto"/>
          <w:sz w:val="28"/>
          <w:szCs w:val="28"/>
          <w:highlight w:val="none"/>
        </w:rPr>
      </w:pPr>
      <w:r>
        <w:rPr>
          <w:rFonts w:ascii="宋体" w:hAnsi="宋体" w:cs="宋体"/>
          <w:b/>
          <w:color w:val="auto"/>
          <w:sz w:val="28"/>
          <w:szCs w:val="28"/>
          <w:highlight w:val="none"/>
        </w:rPr>
      </w:r>
      <w:r/>
    </w:p>
    <w:p>
      <w:pPr>
        <w:spacing w:line="360" w:lineRule="auto"/>
        <w:rPr>
          <w:rFonts w:ascii="宋体" w:hAnsi="宋体" w:cs="宋体"/>
          <w:b/>
          <w:color w:val="auto"/>
          <w:sz w:val="28"/>
          <w:szCs w:val="28"/>
          <w:highlight w:val="none"/>
        </w:rPr>
      </w:pPr>
      <w:r>
        <w:rPr>
          <w:rFonts w:ascii="宋体" w:hAnsi="宋体" w:cs="宋体"/>
          <w:b/>
          <w:color w:val="auto"/>
          <w:sz w:val="28"/>
          <w:szCs w:val="28"/>
          <w:highlight w:val="none"/>
        </w:rPr>
      </w:r>
      <w:r/>
    </w:p>
    <w:p>
      <w:pPr>
        <w:spacing w:line="360" w:lineRule="auto"/>
        <w:rPr>
          <w:rFonts w:ascii="宋体" w:hAnsi="宋体" w:cs="宋体"/>
          <w:b/>
          <w:color w:val="auto"/>
          <w:sz w:val="28"/>
          <w:szCs w:val="28"/>
          <w:highlight w:val="none"/>
        </w:rPr>
      </w:pPr>
      <w:r>
        <w:rPr>
          <w:rFonts w:hint="eastAsia" w:ascii="宋体" w:hAnsi="宋体" w:cs="宋体"/>
          <w:b/>
          <w:color w:val="auto"/>
          <w:sz w:val="28"/>
          <w:szCs w:val="28"/>
          <w:highlight w:val="none"/>
        </w:rPr>
        <w:br w:type="page" w:clear="all"/>
      </w:r>
      <w:r/>
    </w:p>
    <w:p>
      <w:pPr>
        <w:jc w:val="center"/>
        <w:spacing w:line="360" w:lineRule="auto"/>
        <w:rPr>
          <w:rFonts w:ascii="宋体" w:hAnsi="宋体" w:cs="宋体"/>
          <w:b/>
          <w:color w:val="auto"/>
          <w:sz w:val="28"/>
          <w:szCs w:val="28"/>
          <w:highlight w:val="none"/>
        </w:rPr>
      </w:pPr>
      <w:r>
        <w:rPr>
          <w:rFonts w:hint="eastAsia" w:ascii="宋体" w:hAnsi="宋体" w:cs="宋体"/>
          <w:b/>
          <w:color w:val="auto"/>
          <w:sz w:val="28"/>
          <w:szCs w:val="28"/>
          <w:highlight w:val="none"/>
        </w:rPr>
        <w:t xml:space="preserve">第二部分 合同一般条款</w:t>
      </w:r>
      <w:r/>
    </w:p>
    <w:p>
      <w:pPr>
        <w:ind w:firstLine="482"/>
        <w:spacing w:line="360" w:lineRule="auto"/>
        <w:rPr>
          <w:rFonts w:ascii="宋体" w:hAnsi="宋体" w:cs="宋体"/>
          <w:b/>
          <w:color w:val="auto"/>
          <w:sz w:val="24"/>
          <w:highlight w:val="none"/>
        </w:rPr>
        <w:outlineLvl w:val="0"/>
      </w:pPr>
      <w:r/>
      <w:bookmarkStart w:id="101" w:name="_Ref467379205"/>
      <w:r/>
      <w:bookmarkStart w:id="102" w:name="_Ref467379094"/>
      <w:r/>
      <w:bookmarkStart w:id="103" w:name="_Ref467378404"/>
      <w:r/>
      <w:bookmarkStart w:id="104" w:name="_Ref467379214"/>
      <w:r/>
      <w:bookmarkStart w:id="105" w:name="_Toc259093669"/>
      <w:r/>
      <w:bookmarkStart w:id="106" w:name="_Ref467379109"/>
      <w:r/>
      <w:bookmarkStart w:id="107" w:name="_Ref467378499"/>
      <w:r/>
      <w:bookmarkStart w:id="108" w:name="_Toc19614"/>
      <w:r/>
      <w:bookmarkStart w:id="109" w:name="_Toc279701240"/>
      <w:r/>
      <w:bookmarkStart w:id="110" w:name="_Ref467379225"/>
      <w:r/>
      <w:bookmarkStart w:id="111" w:name="_Toc487900349"/>
      <w:r/>
      <w:bookmarkStart w:id="112" w:name="_Ref467378463"/>
      <w:r/>
      <w:bookmarkStart w:id="113" w:name="_Toc28763"/>
      <w:r/>
      <w:bookmarkStart w:id="114" w:name="_Ref467379195"/>
      <w:r/>
      <w:bookmarkStart w:id="115" w:name="_Ref467379101"/>
      <w:r/>
      <w:bookmarkStart w:id="116" w:name="_Toc16917"/>
      <w:r>
        <w:rPr>
          <w:rFonts w:hint="eastAsia" w:ascii="宋体" w:hAnsi="宋体" w:cs="宋体"/>
          <w:b/>
          <w:color w:val="auto"/>
          <w:sz w:val="24"/>
          <w:highlight w:val="none"/>
        </w:rPr>
        <w:t xml:space="preserve">2.1 定义</w:t>
      </w:r>
      <w:bookmarkEnd w:id="101"/>
      <w:r/>
      <w:bookmarkEnd w:id="102"/>
      <w:r/>
      <w:bookmarkEnd w:id="103"/>
      <w:r/>
      <w:bookmarkEnd w:id="104"/>
      <w:r/>
      <w:bookmarkEnd w:id="105"/>
      <w:r/>
      <w:bookmarkEnd w:id="106"/>
      <w:r/>
      <w:bookmarkEnd w:id="107"/>
      <w:r/>
      <w:bookmarkEnd w:id="108"/>
      <w:r/>
      <w:bookmarkEnd w:id="109"/>
      <w:r/>
      <w:bookmarkEnd w:id="110"/>
      <w:r/>
      <w:bookmarkEnd w:id="111"/>
      <w:r/>
      <w:bookmarkEnd w:id="112"/>
      <w:r/>
      <w:bookmarkEnd w:id="113"/>
      <w:r/>
      <w:bookmarkEnd w:id="114"/>
      <w:r/>
      <w:bookmarkEnd w:id="115"/>
      <w:r/>
      <w:bookmarkEnd w:id="116"/>
      <w:r/>
      <w:r/>
    </w:p>
    <w:p>
      <w:pPr>
        <w:ind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本合同中的下列词语应按以下内容进行解释：</w:t>
      </w:r>
      <w:r/>
    </w:p>
    <w:p>
      <w:pPr>
        <w:ind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2.1.1 “合同”系指采购人和中标或成交供应商签订的载明双方当事人所达成的协议，并包括所有的附件、附录和构成合同的其他文件。</w:t>
      </w:r>
      <w:r/>
    </w:p>
    <w:p>
      <w:pPr>
        <w:ind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2.1.2 “合同价”系指根据合同约定，中标或成交供应商在完全履行合同义务后，采购人应支付给中标或成交供应商的价格。</w:t>
      </w:r>
      <w:r/>
    </w:p>
    <w:p>
      <w:pPr>
        <w:ind w:firstLine="480"/>
        <w:jc w:val="left"/>
        <w:spacing w:line="360" w:lineRule="auto"/>
        <w:widowControl/>
        <w:rPr>
          <w:rFonts w:ascii="宋体" w:hAnsi="宋体" w:cs="宋体"/>
          <w:color w:val="auto"/>
          <w:sz w:val="24"/>
          <w:highlight w:val="none"/>
        </w:rPr>
      </w:pPr>
      <w:r/>
      <w:bookmarkStart w:id="117" w:name="_Hlk132880551"/>
      <w:r>
        <w:rPr>
          <w:rFonts w:hint="eastAsia" w:ascii="宋体" w:hAnsi="宋体" w:cs="宋体"/>
          <w:color w:val="auto"/>
          <w:sz w:val="24"/>
          <w:highlight w:val="none"/>
        </w:rPr>
        <w:t xml:space="preserve">2.1.3</w:t>
      </w:r>
      <w:bookmarkEnd w:id="117"/>
      <w:r>
        <w:rPr>
          <w:rFonts w:hint="eastAsia" w:ascii="宋体" w:hAnsi="宋体" w:cs="宋体"/>
          <w:color w:val="auto"/>
          <w:sz w:val="24"/>
          <w:highlight w:val="none"/>
        </w:rPr>
        <w:t xml:space="preserve"> “货物”系指中标或成交供应商根据合同约定应向采购人交付的一切各种形态和种类的物品，包括原材料、燃料、设备、机械、仪表、备件、计算机软件、产品等，并包括工具、手册等其他相关资料。</w:t>
      </w:r>
      <w:r/>
    </w:p>
    <w:p>
      <w:pPr>
        <w:ind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2.1.4“服务”系指中标或成交供应商根据合同约定应向采购人履行的除货物和工程以外的其他政府采购对象，包括采购人自身需要的服务和向社会公众提供的公共服务。</w:t>
      </w:r>
      <w:r/>
    </w:p>
    <w:p>
      <w:pPr>
        <w:ind w:firstLine="480"/>
        <w:spacing w:line="360" w:lineRule="auto"/>
        <w:rPr>
          <w:rFonts w:ascii="宋体" w:hAnsi="宋体" w:cs="宋体"/>
          <w:color w:val="auto"/>
          <w:sz w:val="24"/>
          <w:highlight w:val="none"/>
        </w:rPr>
      </w:pPr>
      <w:r/>
      <w:bookmarkStart w:id="118" w:name="_Ref467378840"/>
      <w:r>
        <w:rPr>
          <w:rFonts w:hint="eastAsia" w:ascii="宋体" w:hAnsi="宋体" w:cs="宋体"/>
          <w:color w:val="auto"/>
          <w:sz w:val="24"/>
          <w:highlight w:val="none"/>
        </w:rPr>
        <w:t xml:space="preserve">2.1.5 “甲方”系指与中标或成交供应商签署合同的采购人</w:t>
      </w:r>
      <w:bookmarkEnd w:id="118"/>
      <w:r>
        <w:rPr>
          <w:rFonts w:hint="eastAsia" w:ascii="宋体" w:hAnsi="宋体" w:cs="宋体"/>
          <w:color w:val="auto"/>
          <w:sz w:val="24"/>
          <w:highlight w:val="none"/>
        </w:rPr>
        <w:t xml:space="preserve">；采购人委托采购代理机构代表其与乙方签订合同的，采购人的授权委托书作为合同附件。</w:t>
      </w:r>
      <w:r/>
    </w:p>
    <w:p>
      <w:pPr>
        <w:ind w:firstLine="480"/>
        <w:spacing w:line="360" w:lineRule="auto"/>
        <w:rPr>
          <w:rFonts w:ascii="宋体" w:hAnsi="宋体" w:cs="宋体"/>
          <w:color w:val="auto"/>
          <w:sz w:val="24"/>
          <w:highlight w:val="none"/>
        </w:rPr>
      </w:pPr>
      <w:r/>
      <w:bookmarkStart w:id="119" w:name="_Ref467379400"/>
      <w:r>
        <w:rPr>
          <w:rFonts w:hint="eastAsia" w:ascii="宋体" w:hAnsi="宋体" w:cs="宋体"/>
          <w:color w:val="auto"/>
          <w:sz w:val="24"/>
          <w:highlight w:val="none"/>
        </w:rPr>
        <w:t xml:space="preserve">2.1.6 “乙方”系指根据合同约定交付货物的中标或成交供应商</w:t>
      </w:r>
      <w:bookmarkEnd w:id="119"/>
      <w:r>
        <w:rPr>
          <w:rFonts w:hint="eastAsia" w:ascii="宋体" w:hAnsi="宋体" w:cs="宋体"/>
          <w:color w:val="auto"/>
          <w:sz w:val="24"/>
          <w:highlight w:val="none"/>
        </w:rPr>
        <w:t xml:space="preserve">；两个以上的自然人、法人或者其他组织组成一个联合体，以一个供应商的身份共同参加政府采购的，联合体各方均应为乙方或者与乙方相同地位的合同当事人，并就合同约定的事项对甲方承担连带责任。</w:t>
      </w:r>
      <w:r/>
    </w:p>
    <w:p>
      <w:pPr>
        <w:ind w:firstLine="480"/>
        <w:spacing w:line="360" w:lineRule="auto"/>
        <w:rPr>
          <w:rFonts w:ascii="宋体" w:hAnsi="宋体" w:cs="宋体"/>
          <w:color w:val="auto"/>
          <w:sz w:val="24"/>
          <w:highlight w:val="none"/>
        </w:rPr>
      </w:pPr>
      <w:r/>
      <w:bookmarkStart w:id="120" w:name="_Ref467379436"/>
      <w:r>
        <w:rPr>
          <w:rFonts w:hint="eastAsia" w:ascii="宋体" w:hAnsi="宋体" w:cs="宋体"/>
          <w:color w:val="auto"/>
          <w:sz w:val="24"/>
          <w:highlight w:val="none"/>
        </w:rPr>
        <w:t xml:space="preserve">2.1.7 “现场”系指合同约定货物将要运至或者安装的地点。</w:t>
      </w:r>
      <w:bookmarkEnd w:id="120"/>
      <w:r/>
      <w:r/>
    </w:p>
    <w:p>
      <w:pPr>
        <w:ind w:firstLine="482"/>
        <w:spacing w:line="360" w:lineRule="auto"/>
        <w:rPr>
          <w:rFonts w:ascii="宋体" w:hAnsi="宋体" w:cs="宋体"/>
          <w:b/>
          <w:color w:val="auto"/>
          <w:sz w:val="24"/>
          <w:highlight w:val="none"/>
        </w:rPr>
        <w:outlineLvl w:val="0"/>
      </w:pPr>
      <w:r/>
      <w:bookmarkStart w:id="121" w:name="_Toc13336"/>
      <w:r/>
      <w:bookmarkStart w:id="122" w:name="_Toc487900350"/>
      <w:r/>
      <w:bookmarkStart w:id="123" w:name="_Toc32504"/>
      <w:r/>
      <w:bookmarkStart w:id="124" w:name="_Toc259093670"/>
      <w:r/>
      <w:bookmarkStart w:id="125" w:name="_Toc279701241"/>
      <w:r/>
      <w:bookmarkStart w:id="126" w:name="_Toc27635"/>
      <w:r>
        <w:rPr>
          <w:rFonts w:hint="eastAsia" w:ascii="宋体" w:hAnsi="宋体" w:cs="宋体"/>
          <w:b/>
          <w:color w:val="auto"/>
          <w:sz w:val="24"/>
          <w:highlight w:val="none"/>
        </w:rPr>
        <w:t xml:space="preserve">2.2 技术规范</w:t>
      </w:r>
      <w:bookmarkEnd w:id="121"/>
      <w:r/>
      <w:bookmarkEnd w:id="122"/>
      <w:r/>
      <w:bookmarkEnd w:id="123"/>
      <w:r/>
      <w:bookmarkEnd w:id="124"/>
      <w:r/>
      <w:bookmarkEnd w:id="125"/>
      <w:r/>
      <w:bookmarkEnd w:id="126"/>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货物或服务所应遵守的技术规范应与采购文件规定的技术规范</w:t>
      </w:r>
      <w:r>
        <w:rPr>
          <w:rFonts w:hint="eastAsia" w:ascii="宋体" w:hAnsi="宋体" w:cs="宋体"/>
          <w:i/>
          <w:color w:val="auto"/>
          <w:sz w:val="24"/>
          <w:highlight w:val="none"/>
        </w:rPr>
        <w:t xml:space="preserve">和技术规范附件(</w:t>
      </w:r>
      <w:r>
        <w:rPr>
          <w:rFonts w:hint="eastAsia" w:ascii="宋体" w:hAnsi="宋体" w:cs="宋体"/>
          <w:i/>
          <w:iCs/>
          <w:color w:val="auto"/>
          <w:sz w:val="24"/>
          <w:highlight w:val="none"/>
        </w:rPr>
        <w:t xml:space="preserve">如果有的话</w:t>
      </w:r>
      <w:r>
        <w:rPr>
          <w:rFonts w:hint="eastAsia" w:ascii="宋体" w:hAnsi="宋体" w:cs="宋体"/>
          <w:i/>
          <w:color w:val="auto"/>
          <w:sz w:val="24"/>
          <w:highlight w:val="none"/>
        </w:rPr>
        <w:t xml:space="preserve">)</w:t>
      </w:r>
      <w:r>
        <w:rPr>
          <w:rFonts w:hint="eastAsia" w:ascii="宋体" w:hAnsi="宋体" w:cs="宋体"/>
          <w:color w:val="auto"/>
          <w:sz w:val="24"/>
          <w:highlight w:val="none"/>
        </w:rPr>
        <w:t xml:space="preserve">及其技术规范偏差表(</w:t>
      </w:r>
      <w:r>
        <w:rPr>
          <w:rFonts w:hint="eastAsia" w:ascii="宋体" w:hAnsi="宋体" w:cs="宋体"/>
          <w:i/>
          <w:iCs/>
          <w:color w:val="auto"/>
          <w:sz w:val="24"/>
          <w:highlight w:val="none"/>
        </w:rPr>
        <w:t xml:space="preserve">如果被甲方接受的话)</w:t>
      </w:r>
      <w:r>
        <w:rPr>
          <w:rFonts w:hint="eastAsia" w:ascii="宋体" w:hAnsi="宋体" w:cs="宋体"/>
          <w:color w:val="auto"/>
          <w:sz w:val="24"/>
          <w:highlight w:val="none"/>
        </w:rPr>
        <w:t xml:space="preserve">相一致；如果采购文件中没有技术规范的相应说明，那么应以国家有关部门最新颁布的相应标准和规范为准。</w:t>
      </w:r>
      <w:r/>
    </w:p>
    <w:p>
      <w:pPr>
        <w:ind w:firstLine="482"/>
        <w:spacing w:line="360" w:lineRule="auto"/>
        <w:rPr>
          <w:rFonts w:ascii="宋体" w:hAnsi="宋体" w:cs="宋体"/>
          <w:b/>
          <w:color w:val="auto"/>
          <w:sz w:val="24"/>
          <w:highlight w:val="none"/>
        </w:rPr>
        <w:outlineLvl w:val="0"/>
      </w:pPr>
      <w:r/>
      <w:bookmarkStart w:id="127" w:name="_Toc487900351"/>
      <w:r/>
      <w:bookmarkStart w:id="128" w:name="_Toc9829"/>
      <w:r/>
      <w:bookmarkStart w:id="129" w:name="_Toc31634"/>
      <w:r/>
      <w:bookmarkStart w:id="130" w:name="_Toc259093671"/>
      <w:r/>
      <w:bookmarkStart w:id="131" w:name="_Toc27853"/>
      <w:r/>
      <w:bookmarkStart w:id="132" w:name="_Toc279701242"/>
      <w:r>
        <w:rPr>
          <w:rFonts w:hint="eastAsia" w:ascii="宋体" w:hAnsi="宋体" w:cs="宋体"/>
          <w:b/>
          <w:color w:val="auto"/>
          <w:sz w:val="24"/>
          <w:highlight w:val="none"/>
        </w:rPr>
        <w:t xml:space="preserve">2.3 知识产权</w:t>
      </w:r>
      <w:bookmarkEnd w:id="127"/>
      <w:r/>
      <w:bookmarkEnd w:id="128"/>
      <w:r/>
      <w:bookmarkEnd w:id="129"/>
      <w:r/>
      <w:bookmarkEnd w:id="130"/>
      <w:r/>
      <w:bookmarkEnd w:id="131"/>
      <w:r/>
      <w:bookmarkEnd w:id="132"/>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2.3.1乙方应保证甲方在使用该货物、服务或其任何一部分时不受第三方提出侵犯其著作权、专利权、商标权等知识产权方面的起诉。如果任何第三方提出侵权指控或赔偿要求，乙方必须与第三方交涉，并承担发生和可能发生的一切损失、费用和法律责任。如由于乙方不积极与第三方交涉，甲方有权应诉或进行和解，其发生的费用由乙方承担。乙方还应及时澄清相关信息，使甲方声誉免受损害，甲方保留追责的权利。</w:t>
      </w:r>
      <w:r/>
    </w:p>
    <w:p>
      <w:pPr>
        <w:ind w:firstLine="480"/>
        <w:spacing w:line="360" w:lineRule="auto"/>
        <w:rPr>
          <w:rFonts w:ascii="宋体" w:hAnsi="宋体" w:cs="宋体"/>
          <w:iCs/>
          <w:color w:val="auto"/>
          <w:sz w:val="24"/>
          <w:highlight w:val="none"/>
        </w:rPr>
      </w:pPr>
      <w:r>
        <w:rPr>
          <w:rFonts w:hint="eastAsia" w:ascii="宋体" w:hAnsi="宋体" w:cs="宋体"/>
          <w:color w:val="auto"/>
          <w:sz w:val="24"/>
          <w:highlight w:val="none"/>
        </w:rPr>
        <w:t xml:space="preserve">2.3.2具有知识产权的计算机软件等货物或</w:t>
      </w:r>
      <w:r>
        <w:rPr>
          <w:rFonts w:hint="eastAsia" w:ascii="宋体" w:hAnsi="宋体"/>
          <w:color w:val="auto"/>
          <w:sz w:val="24"/>
          <w:highlight w:val="none"/>
        </w:rPr>
        <w:t xml:space="preserve">技术成果</w:t>
      </w:r>
      <w:r>
        <w:rPr>
          <w:rFonts w:hint="eastAsia" w:ascii="宋体" w:hAnsi="宋体" w:cs="宋体"/>
          <w:color w:val="auto"/>
          <w:sz w:val="24"/>
          <w:highlight w:val="none"/>
        </w:rPr>
        <w:t xml:space="preserve">的知识产权归属，详见</w:t>
      </w:r>
      <w:r>
        <w:rPr>
          <w:rFonts w:hint="eastAsia" w:ascii="宋体" w:hAnsi="宋体" w:cs="宋体"/>
          <w:b/>
          <w:iCs/>
          <w:color w:val="auto"/>
          <w:sz w:val="24"/>
          <w:highlight w:val="none"/>
          <w:u w:val="single"/>
        </w:rPr>
        <w:t xml:space="preserve">合同专用条款2.3.2</w:t>
      </w:r>
      <w:r>
        <w:rPr>
          <w:rFonts w:hint="eastAsia" w:ascii="宋体" w:hAnsi="宋体" w:cs="宋体"/>
          <w:iCs/>
          <w:color w:val="auto"/>
          <w:sz w:val="24"/>
          <w:highlight w:val="none"/>
        </w:rPr>
        <w:t xml:space="preserve">。</w:t>
      </w:r>
      <w:r/>
    </w:p>
    <w:p>
      <w:pPr>
        <w:ind w:firstLine="482"/>
        <w:spacing w:line="360" w:lineRule="auto"/>
        <w:rPr>
          <w:rFonts w:ascii="宋体" w:hAnsi="宋体" w:cs="宋体"/>
          <w:b/>
          <w:color w:val="auto"/>
          <w:sz w:val="24"/>
          <w:highlight w:val="none"/>
        </w:rPr>
        <w:outlineLvl w:val="0"/>
      </w:pPr>
      <w:r/>
      <w:bookmarkStart w:id="133" w:name="_Toc29149"/>
      <w:r/>
      <w:bookmarkStart w:id="134" w:name="_Toc11932"/>
      <w:r/>
      <w:bookmarkStart w:id="135" w:name="_Toc4194"/>
      <w:r>
        <w:rPr>
          <w:rFonts w:hint="eastAsia" w:ascii="宋体" w:hAnsi="宋体" w:cs="宋体"/>
          <w:b/>
          <w:color w:val="auto"/>
          <w:sz w:val="24"/>
          <w:highlight w:val="none"/>
        </w:rPr>
        <w:t xml:space="preserve">2.4 包装和装运</w:t>
      </w:r>
      <w:bookmarkEnd w:id="133"/>
      <w:r/>
      <w:bookmarkEnd w:id="134"/>
      <w:r/>
      <w:bookmarkEnd w:id="135"/>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2.4.1除</w:t>
      </w:r>
      <w:r>
        <w:rPr>
          <w:rFonts w:hint="eastAsia" w:ascii="宋体" w:hAnsi="宋体" w:cs="宋体"/>
          <w:b/>
          <w:iCs/>
          <w:color w:val="auto"/>
          <w:sz w:val="24"/>
          <w:highlight w:val="none"/>
          <w:u w:val="single"/>
        </w:rPr>
        <w:t xml:space="preserve">合同专用条款2.4.1</w:t>
      </w:r>
      <w:r>
        <w:rPr>
          <w:rFonts w:hint="eastAsia" w:ascii="宋体" w:hAnsi="宋体" w:cs="宋体"/>
          <w:color w:val="auto"/>
          <w:sz w:val="24"/>
          <w:highlight w:val="none"/>
        </w:rPr>
        <w:t xml:space="preserve">另有约定外,乙方交付的全部货物,均应采用本行业通用的方式进行包装，没有通用方式的，应当采取足以保护货物的包装方式，且该包装应符合国家有关包装的法律、法规的规定。如有必要，包装应适用于远距离运输、防潮、防震、防锈和防粗暴装卸，确保货物安全无损地运抵现场。由于包装不善所引起的货物锈蚀、损坏和损失等一切风险均由乙方承担。</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2.4.2甲方对项目中要求商品包装和快递包装符合《商品包装政府采购需求标准（试行）》《快递包装政府采购需求标准（试行）》具体包装需求标准的，政府采购合同应当载明对乙方提供产品及相关快递服务的具体包装要求和履约验收相关条款，必要时甲方可以要求乙方在履约验收环节出具检测报告。 </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2.4.3 装运货物的要求和通知，详见</w:t>
      </w:r>
      <w:r>
        <w:rPr>
          <w:rFonts w:hint="eastAsia" w:ascii="宋体" w:hAnsi="宋体" w:cs="宋体"/>
          <w:b/>
          <w:iCs/>
          <w:color w:val="auto"/>
          <w:sz w:val="24"/>
          <w:highlight w:val="none"/>
          <w:u w:val="single"/>
        </w:rPr>
        <w:t xml:space="preserve">合同专用条款2.4.3</w:t>
      </w:r>
      <w:r>
        <w:rPr>
          <w:rFonts w:hint="eastAsia" w:ascii="宋体" w:hAnsi="宋体" w:cs="宋体"/>
          <w:iCs/>
          <w:color w:val="auto"/>
          <w:sz w:val="24"/>
          <w:highlight w:val="none"/>
        </w:rPr>
        <w:t xml:space="preserve">。</w:t>
      </w:r>
      <w:r/>
    </w:p>
    <w:p>
      <w:pPr>
        <w:ind w:firstLine="482"/>
        <w:spacing w:line="360" w:lineRule="auto"/>
        <w:rPr>
          <w:rFonts w:ascii="宋体" w:hAnsi="宋体" w:cs="宋体"/>
          <w:b/>
          <w:color w:val="auto"/>
          <w:sz w:val="24"/>
          <w:highlight w:val="none"/>
        </w:rPr>
        <w:outlineLvl w:val="0"/>
      </w:pPr>
      <w:r/>
      <w:bookmarkStart w:id="136" w:name="_Ref467379542"/>
      <w:r/>
      <w:bookmarkStart w:id="137" w:name="_Toc279701245"/>
      <w:r/>
      <w:bookmarkStart w:id="138" w:name="_Ref467379527"/>
      <w:r/>
      <w:bookmarkStart w:id="139" w:name="_Toc259093674"/>
      <w:r/>
      <w:bookmarkStart w:id="140" w:name="_Ref467379536"/>
      <w:r/>
      <w:bookmarkStart w:id="141" w:name="_Ref467378541"/>
      <w:r/>
      <w:bookmarkStart w:id="142" w:name="_Toc487900354"/>
      <w:r/>
      <w:bookmarkStart w:id="143" w:name="_Ref467378591"/>
      <w:r/>
      <w:bookmarkStart w:id="144" w:name="_Toc30272"/>
      <w:r/>
      <w:bookmarkStart w:id="145" w:name="_Toc26182"/>
      <w:r/>
      <w:bookmarkStart w:id="146" w:name="_Toc19074"/>
      <w:r>
        <w:rPr>
          <w:rFonts w:hint="eastAsia" w:ascii="宋体" w:hAnsi="宋体" w:cs="宋体"/>
          <w:b/>
          <w:color w:val="auto"/>
          <w:sz w:val="24"/>
          <w:highlight w:val="none"/>
        </w:rPr>
        <w:t xml:space="preserve">2.</w:t>
      </w:r>
      <w:bookmarkEnd w:id="136"/>
      <w:r/>
      <w:bookmarkEnd w:id="137"/>
      <w:r/>
      <w:bookmarkEnd w:id="138"/>
      <w:r/>
      <w:bookmarkEnd w:id="139"/>
      <w:r/>
      <w:bookmarkEnd w:id="140"/>
      <w:r/>
      <w:bookmarkEnd w:id="141"/>
      <w:r/>
      <w:bookmarkEnd w:id="142"/>
      <w:r/>
      <w:bookmarkEnd w:id="143"/>
      <w:r>
        <w:rPr>
          <w:rFonts w:hint="eastAsia" w:ascii="宋体" w:hAnsi="宋体" w:cs="宋体"/>
          <w:b/>
          <w:color w:val="auto"/>
          <w:sz w:val="24"/>
          <w:highlight w:val="none"/>
        </w:rPr>
        <w:t xml:space="preserve">5 履约检查和问题反馈</w:t>
      </w:r>
      <w:bookmarkEnd w:id="144"/>
      <w:r/>
      <w:bookmarkEnd w:id="145"/>
      <w:r/>
      <w:bookmarkEnd w:id="146"/>
      <w:r/>
      <w:r/>
    </w:p>
    <w:p>
      <w:pPr>
        <w:ind w:firstLine="480"/>
        <w:spacing w:line="360" w:lineRule="auto"/>
        <w:rPr>
          <w:rFonts w:ascii="宋体" w:hAnsi="宋体" w:cs="宋体"/>
          <w:color w:val="auto"/>
          <w:sz w:val="24"/>
          <w:highlight w:val="none"/>
        </w:rPr>
      </w:pPr>
      <w:r/>
      <w:bookmarkStart w:id="147" w:name="_Ref467379657"/>
      <w:r>
        <w:rPr>
          <w:rFonts w:hint="eastAsia" w:ascii="宋体" w:hAnsi="宋体" w:cs="宋体"/>
          <w:color w:val="auto"/>
          <w:sz w:val="24"/>
          <w:highlight w:val="none"/>
        </w:rPr>
        <w:t xml:space="preserve">2.5.1</w:t>
      </w:r>
      <w:bookmarkEnd w:id="147"/>
      <w:r/>
      <w:bookmarkStart w:id="148" w:name="_Toc186431854"/>
      <w:r/>
      <w:bookmarkStart w:id="149" w:name="_Ref467379807"/>
      <w:r/>
      <w:bookmarkStart w:id="150" w:name="_Toc279701247"/>
      <w:r/>
      <w:bookmarkStart w:id="151" w:name="_Ref467379793"/>
      <w:r/>
      <w:bookmarkStart w:id="152" w:name="_Toc259093676"/>
      <w:r/>
      <w:bookmarkStart w:id="153" w:name="_Toc487900357"/>
      <w:r>
        <w:rPr>
          <w:rFonts w:hint="eastAsia" w:ascii="宋体" w:hAnsi="宋体" w:cs="宋体"/>
          <w:color w:val="auto"/>
          <w:sz w:val="24"/>
          <w:highlight w:val="none"/>
        </w:rPr>
        <w:t xml:space="preserve">甲方有权在其认为必要时，对乙方是否能够按照合同约定交付货物或服务进行履约检查，以确保乙方所交付的货物能够依约满足甲方之项目需求，但不得因履约检查妨碍乙方的正常工作，乙方应予积极配合；</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2.5.2 合同履行期间，甲方有权将履行过程中出现的问题反馈给乙方，双方当事人应以书面形式约定需要完善和改进的内容</w:t>
      </w:r>
      <w:bookmarkEnd w:id="148"/>
      <w:r/>
      <w:bookmarkStart w:id="154" w:name="_Toc186431855"/>
      <w:r>
        <w:rPr>
          <w:rFonts w:hint="eastAsia" w:ascii="宋体" w:hAnsi="宋体" w:cs="宋体"/>
          <w:color w:val="auto"/>
          <w:sz w:val="24"/>
          <w:highlight w:val="none"/>
        </w:rPr>
        <w:t xml:space="preserve">。</w:t>
      </w:r>
      <w:bookmarkEnd w:id="149"/>
      <w:r/>
      <w:bookmarkEnd w:id="150"/>
      <w:r/>
      <w:bookmarkEnd w:id="151"/>
      <w:r/>
      <w:bookmarkEnd w:id="152"/>
      <w:r/>
      <w:bookmarkEnd w:id="153"/>
      <w:r/>
      <w:bookmarkEnd w:id="154"/>
      <w:r/>
      <w:r/>
    </w:p>
    <w:p>
      <w:pPr>
        <w:ind w:firstLine="482"/>
        <w:spacing w:line="360" w:lineRule="auto"/>
        <w:rPr>
          <w:rFonts w:ascii="宋体" w:hAnsi="宋体" w:cs="宋体"/>
          <w:b/>
          <w:color w:val="auto"/>
          <w:sz w:val="24"/>
          <w:highlight w:val="none"/>
        </w:rPr>
        <w:outlineLvl w:val="0"/>
      </w:pPr>
      <w:r/>
      <w:bookmarkStart w:id="155" w:name="_Ref467379923"/>
      <w:r/>
      <w:bookmarkStart w:id="156" w:name="_Toc279701248"/>
      <w:r/>
      <w:bookmarkStart w:id="157" w:name="_Ref467379852"/>
      <w:r/>
      <w:bookmarkStart w:id="158" w:name="_Ref467379863"/>
      <w:r/>
      <w:bookmarkStart w:id="159" w:name="_Toc487900358"/>
      <w:r/>
      <w:bookmarkStart w:id="160" w:name="_Toc259093677"/>
      <w:r/>
      <w:bookmarkStart w:id="161" w:name="_Toc16110"/>
      <w:r/>
      <w:bookmarkStart w:id="162" w:name="_Toc774"/>
      <w:r/>
      <w:bookmarkStart w:id="163" w:name="_Toc3225"/>
      <w:r>
        <w:rPr>
          <w:rFonts w:hint="eastAsia" w:ascii="宋体" w:hAnsi="宋体" w:cs="宋体"/>
          <w:b/>
          <w:color w:val="auto"/>
          <w:sz w:val="24"/>
          <w:highlight w:val="none"/>
        </w:rPr>
        <w:t xml:space="preserve">2.6 技术资料</w:t>
      </w:r>
      <w:bookmarkEnd w:id="155"/>
      <w:r/>
      <w:bookmarkEnd w:id="156"/>
      <w:r/>
      <w:bookmarkEnd w:id="157"/>
      <w:r/>
      <w:bookmarkEnd w:id="158"/>
      <w:r/>
      <w:bookmarkEnd w:id="159"/>
      <w:r/>
      <w:bookmarkEnd w:id="160"/>
      <w:r>
        <w:rPr>
          <w:rFonts w:hint="eastAsia" w:ascii="宋体" w:hAnsi="宋体" w:cs="宋体"/>
          <w:b/>
          <w:color w:val="auto"/>
          <w:sz w:val="24"/>
          <w:highlight w:val="none"/>
        </w:rPr>
        <w:t xml:space="preserve">和保密义务</w:t>
      </w:r>
      <w:bookmarkEnd w:id="161"/>
      <w:r/>
      <w:bookmarkEnd w:id="162"/>
      <w:r/>
      <w:bookmarkEnd w:id="163"/>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2.6.1 乙方有权依据合同约定和项目需要，向甲方了解有关情况，调阅有关资料等，甲方应予积极配合；</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2.6.2 乙方有义务妥善保管和保护由甲方提供的前款信息和资料等；</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2.6.3 除非依照法律规定或者对方当事人的书面同意，任何一方均应保证不向任何第三方提供或披露有关合同的或者履行合同过程中知悉的对方当事人任何依法不予公开的信息和资料，包括但不限于技术情报、技术资料、商业秘密和商业信息等，并采取一切合理和必要措施和方式防止任何第三方接触到对方当事人的上述保密信息和资料。</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2.6.4 除履行本合同义务内容所需外，未经对方事先书面同意，任一方不得擅自使用、复制商标、标志、商业信息、技术及其他资料。</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2.6.5 本保密条款长期有效，本合同变更、终止或解除等均不影响本条款的效力。</w:t>
      </w:r>
      <w:r/>
    </w:p>
    <w:p>
      <w:pPr>
        <w:ind w:firstLine="482"/>
        <w:spacing w:line="360" w:lineRule="auto"/>
        <w:rPr>
          <w:rFonts w:ascii="宋体" w:hAnsi="宋体" w:cs="宋体"/>
          <w:b/>
          <w:color w:val="auto"/>
          <w:sz w:val="24"/>
          <w:highlight w:val="none"/>
        </w:rPr>
        <w:outlineLvl w:val="0"/>
      </w:pPr>
      <w:r/>
      <w:bookmarkStart w:id="164" w:name="_Toc7860"/>
      <w:r>
        <w:rPr>
          <w:rFonts w:hint="eastAsia" w:ascii="宋体" w:hAnsi="宋体" w:cs="宋体"/>
          <w:b/>
          <w:color w:val="auto"/>
          <w:sz w:val="24"/>
          <w:highlight w:val="none"/>
        </w:rPr>
        <w:t xml:space="preserve">2.7 质量保证</w:t>
      </w:r>
      <w:bookmarkEnd w:id="164"/>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2.7.1 乙方应建立和完善履行合同的内部质量保证体系，并提供相关内部规章制度给甲方，以便甲方进行监督检查；</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2.7.2 乙方应保证履行合同的人员数量和素质、软件和硬件设备的配置、场地、环境和设施等满足全面履行合同的要求，并应接受甲方的监督检查。</w:t>
      </w:r>
      <w:r/>
    </w:p>
    <w:p>
      <w:pPr>
        <w:ind w:firstLine="482"/>
        <w:spacing w:line="360" w:lineRule="auto"/>
        <w:rPr>
          <w:rFonts w:ascii="宋体" w:hAnsi="宋体" w:cs="宋体"/>
          <w:b/>
          <w:color w:val="auto"/>
          <w:sz w:val="24"/>
          <w:highlight w:val="none"/>
        </w:rPr>
        <w:outlineLvl w:val="0"/>
      </w:pPr>
      <w:r/>
      <w:bookmarkStart w:id="165" w:name="_Toc17244"/>
      <w:r/>
      <w:bookmarkStart w:id="166" w:name="_Toc279701252"/>
      <w:r/>
      <w:bookmarkStart w:id="167" w:name="_Toc259093681"/>
      <w:r/>
      <w:bookmarkStart w:id="168" w:name="_Toc487900362"/>
      <w:r>
        <w:rPr>
          <w:rFonts w:hint="eastAsia" w:ascii="宋体" w:hAnsi="宋体" w:cs="宋体"/>
          <w:b/>
          <w:color w:val="auto"/>
          <w:sz w:val="24"/>
          <w:highlight w:val="none"/>
        </w:rPr>
        <w:t xml:space="preserve">2.8 货物的风险负担</w:t>
      </w:r>
      <w:bookmarkEnd w:id="165"/>
      <w:r/>
      <w:r/>
    </w:p>
    <w:p>
      <w:pPr>
        <w:ind w:firstLine="480"/>
        <w:spacing w:line="360" w:lineRule="auto"/>
        <w:rPr>
          <w:rFonts w:ascii="宋体" w:hAnsi="宋体" w:cs="宋体"/>
          <w:b/>
          <w:iCs/>
          <w:color w:val="auto"/>
          <w:sz w:val="24"/>
          <w:highlight w:val="none"/>
        </w:rPr>
      </w:pPr>
      <w:r>
        <w:rPr>
          <w:rFonts w:hint="eastAsia" w:ascii="宋体" w:hAnsi="宋体" w:cs="宋体"/>
          <w:color w:val="auto"/>
          <w:sz w:val="24"/>
          <w:highlight w:val="none"/>
        </w:rPr>
        <w:t xml:space="preserve">货物或者在途货物或者交付给第一承运人后的货物毁损、灭失的风险负担详见</w:t>
      </w:r>
      <w:r>
        <w:rPr>
          <w:rFonts w:hint="eastAsia" w:ascii="宋体" w:hAnsi="宋体" w:cs="宋体"/>
          <w:b/>
          <w:iCs/>
          <w:color w:val="auto"/>
          <w:sz w:val="24"/>
          <w:highlight w:val="none"/>
          <w:u w:val="single"/>
        </w:rPr>
        <w:t xml:space="preserve">合同专用条款2.8</w:t>
      </w:r>
      <w:r>
        <w:rPr>
          <w:rFonts w:hint="eastAsia" w:ascii="宋体" w:hAnsi="宋体" w:cs="宋体"/>
          <w:iCs/>
          <w:color w:val="auto"/>
          <w:sz w:val="24"/>
          <w:highlight w:val="none"/>
        </w:rPr>
        <w:t xml:space="preserve">。</w:t>
      </w:r>
      <w:r/>
    </w:p>
    <w:p>
      <w:pPr>
        <w:ind w:firstLine="482"/>
        <w:spacing w:line="360" w:lineRule="auto"/>
        <w:rPr>
          <w:rFonts w:ascii="宋体" w:hAnsi="宋体" w:cs="宋体"/>
          <w:b/>
          <w:color w:val="auto"/>
          <w:sz w:val="24"/>
          <w:highlight w:val="none"/>
        </w:rPr>
        <w:outlineLvl w:val="0"/>
      </w:pPr>
      <w:r/>
      <w:bookmarkStart w:id="169" w:name="_Toc14055"/>
      <w:r>
        <w:rPr>
          <w:rFonts w:hint="eastAsia" w:ascii="宋体" w:hAnsi="宋体" w:cs="宋体"/>
          <w:b/>
          <w:color w:val="auto"/>
          <w:sz w:val="24"/>
          <w:highlight w:val="none"/>
        </w:rPr>
        <w:t xml:space="preserve">2.9 延迟</w:t>
      </w:r>
      <w:bookmarkEnd w:id="166"/>
      <w:r/>
      <w:bookmarkEnd w:id="167"/>
      <w:r/>
      <w:bookmarkEnd w:id="168"/>
      <w:r/>
      <w:bookmarkEnd w:id="169"/>
      <w:r>
        <w:rPr>
          <w:rFonts w:hint="eastAsia" w:ascii="宋体" w:hAnsi="宋体" w:cs="宋体"/>
          <w:b/>
          <w:color w:val="auto"/>
          <w:sz w:val="24"/>
          <w:highlight w:val="none"/>
        </w:rPr>
        <w:t xml:space="preserve">交付</w:t>
      </w:r>
      <w:r/>
    </w:p>
    <w:p>
      <w:pPr>
        <w:ind w:firstLine="480"/>
        <w:spacing w:line="360" w:lineRule="auto"/>
        <w:rPr>
          <w:rFonts w:ascii="宋体" w:hAnsi="宋体" w:cs="宋体"/>
          <w:color w:val="auto"/>
          <w:sz w:val="24"/>
          <w:highlight w:val="none"/>
        </w:rPr>
      </w:pPr>
      <w:r>
        <w:rPr>
          <w:rFonts w:hint="eastAsia" w:ascii="宋体" w:hAnsi="宋体"/>
          <w:color w:val="auto"/>
          <w:sz w:val="24"/>
          <w:highlight w:val="none"/>
        </w:rPr>
        <w:t xml:space="preserve">甲乙双方签订合同后，乙方应按照合同约定履行合同义务，除不可抗力外，乙方不得延迟交付。</w:t>
      </w:r>
      <w:r>
        <w:rPr>
          <w:rFonts w:hint="eastAsia" w:ascii="宋体" w:hAnsi="宋体" w:cs="宋体"/>
          <w:color w:val="auto"/>
          <w:sz w:val="24"/>
          <w:highlight w:val="none"/>
        </w:rPr>
        <w:t xml:space="preserve">在合同履行过程中，如果因不可抗力，乙方遇到不能按时交付的情况，应及时以书面形式将不能按时交付的理由、预期延误时间通知甲方；甲方收到乙方通知后，认为其理由正当的，可以书面形式酌情同意乙方可以延长交货的具体时间。</w:t>
      </w:r>
      <w:r/>
    </w:p>
    <w:p>
      <w:pPr>
        <w:ind w:firstLine="482"/>
        <w:spacing w:line="360" w:lineRule="auto"/>
        <w:rPr>
          <w:rFonts w:ascii="宋体" w:hAnsi="宋体" w:cs="宋体"/>
          <w:b/>
          <w:color w:val="auto"/>
          <w:sz w:val="24"/>
          <w:highlight w:val="none"/>
        </w:rPr>
        <w:outlineLvl w:val="0"/>
      </w:pPr>
      <w:r/>
      <w:bookmarkStart w:id="170" w:name="_Toc7502"/>
      <w:r/>
      <w:bookmarkStart w:id="171" w:name="_Toc279701254"/>
      <w:r/>
      <w:bookmarkStart w:id="172" w:name="_Toc259093683"/>
      <w:r/>
      <w:bookmarkStart w:id="173" w:name="_Ref467378121"/>
      <w:r/>
      <w:bookmarkStart w:id="174" w:name="_Toc487900364"/>
      <w:r>
        <w:rPr>
          <w:rFonts w:hint="eastAsia" w:ascii="宋体" w:hAnsi="宋体" w:cs="宋体"/>
          <w:b/>
          <w:color w:val="auto"/>
          <w:sz w:val="24"/>
          <w:highlight w:val="none"/>
        </w:rPr>
        <w:t xml:space="preserve">2.10 合同变更</w:t>
      </w:r>
      <w:bookmarkEnd w:id="170"/>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合同继续履行将损害国家利益和社会公共利益的，双方当事人应当以书面形式变更合同。有过错的一方应当承担赔偿责任，双方当事人都有过错的，各自承担相应的责任。</w:t>
      </w:r>
      <w:bookmarkStart w:id="175" w:name="_Toc279701259"/>
      <w:r/>
      <w:bookmarkStart w:id="176" w:name="_Toc487900369"/>
      <w:r/>
      <w:bookmarkStart w:id="177" w:name="_Toc259093688"/>
      <w:r/>
      <w:r/>
    </w:p>
    <w:p>
      <w:pPr>
        <w:ind w:firstLine="482"/>
        <w:spacing w:line="360" w:lineRule="auto"/>
        <w:rPr>
          <w:rFonts w:ascii="宋体" w:hAnsi="宋体" w:cs="宋体"/>
          <w:b/>
          <w:color w:val="auto"/>
          <w:sz w:val="24"/>
          <w:highlight w:val="none"/>
        </w:rPr>
        <w:outlineLvl w:val="0"/>
      </w:pPr>
      <w:r/>
      <w:bookmarkStart w:id="178" w:name="_Toc10366"/>
      <w:r/>
      <w:bookmarkStart w:id="179" w:name="_Toc15237"/>
      <w:r/>
      <w:bookmarkStart w:id="180" w:name="_Toc22955"/>
      <w:r>
        <w:rPr>
          <w:rFonts w:hint="eastAsia" w:ascii="宋体" w:hAnsi="宋体" w:cs="宋体"/>
          <w:b/>
          <w:color w:val="auto"/>
          <w:sz w:val="24"/>
          <w:highlight w:val="none"/>
        </w:rPr>
        <w:t xml:space="preserve">2.11 合同转让</w:t>
      </w:r>
      <w:bookmarkEnd w:id="175"/>
      <w:r/>
      <w:bookmarkEnd w:id="176"/>
      <w:r/>
      <w:bookmarkEnd w:id="177"/>
      <w:r>
        <w:rPr>
          <w:rFonts w:hint="eastAsia" w:ascii="宋体" w:hAnsi="宋体" w:cs="宋体"/>
          <w:b/>
          <w:color w:val="auto"/>
          <w:sz w:val="24"/>
          <w:highlight w:val="none"/>
        </w:rPr>
        <w:t xml:space="preserve">和分包</w:t>
      </w:r>
      <w:bookmarkEnd w:id="178"/>
      <w:r/>
      <w:bookmarkEnd w:id="179"/>
      <w:r/>
      <w:bookmarkEnd w:id="180"/>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2.11.1合同的权利义务依法不得转让，但经甲方同意，乙方可以依法采取分包方式履行合同，即：依法可以将合同项下的部分非主体、非关键性工作分包给他人完成，接受分包的人应当具备相应的资格条件，并不得再次分包，且乙方应就分包项目向甲方负责，并与分包供应商就分包项目向甲方承担连带责任。</w:t>
      </w:r>
      <w:r>
        <w:rPr>
          <w:rFonts w:hint="eastAsia" w:ascii="宋体" w:hAnsi="宋体"/>
          <w:color w:val="auto"/>
          <w:sz w:val="24"/>
          <w:highlight w:val="none"/>
          <w:shd w:val="clear" w:color="auto" w:fill="ffffff"/>
        </w:rPr>
        <w:t xml:space="preserve">享受中小企业扶持政策获得政府采购合同的，小微企业不得将合同分包给大中型企业，中型企业不得将合同分包给大型企业。</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2.11.2乙方采取分包方式履行合同的，甲方可直接向分包供应商支付款项。</w:t>
      </w:r>
      <w:r/>
    </w:p>
    <w:p>
      <w:pPr>
        <w:ind w:firstLine="482"/>
        <w:spacing w:line="360" w:lineRule="auto"/>
        <w:rPr>
          <w:rFonts w:ascii="宋体" w:hAnsi="宋体" w:cs="宋体"/>
          <w:b/>
          <w:color w:val="auto"/>
          <w:sz w:val="24"/>
          <w:highlight w:val="none"/>
        </w:rPr>
        <w:outlineLvl w:val="0"/>
      </w:pPr>
      <w:r/>
      <w:bookmarkStart w:id="181" w:name="_Toc13566"/>
      <w:r/>
      <w:bookmarkStart w:id="182" w:name="_Toc16508"/>
      <w:r/>
      <w:bookmarkStart w:id="183" w:name="_Toc14066"/>
      <w:r>
        <w:rPr>
          <w:rFonts w:hint="eastAsia" w:ascii="宋体" w:hAnsi="宋体" w:cs="宋体"/>
          <w:b/>
          <w:color w:val="auto"/>
          <w:sz w:val="24"/>
          <w:highlight w:val="none"/>
        </w:rPr>
        <w:t xml:space="preserve">2.12 不可抗力</w:t>
      </w:r>
      <w:bookmarkEnd w:id="181"/>
      <w:r/>
      <w:bookmarkEnd w:id="182"/>
      <w:r/>
      <w:bookmarkEnd w:id="183"/>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2.12.1如果任何一方遭遇法律规定的不可抗力，致使不能履行本合同部分或全部义务的，甲方和乙方应当积极寻求以合理的方式履行本合同，在取得有关机构的不可抗力证明或双方谅解确认后，允许延期履行或修订本合同。</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2.12.2如不可抗力无法消除，致使合同目的无法实现的，双方均有权解除合同，且均不互相索赔。</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2.12.3 因不可抗力致使合同有变更必要的，双方当事人应在</w:t>
      </w:r>
      <w:r>
        <w:rPr>
          <w:rFonts w:hint="eastAsia" w:ascii="宋体" w:hAnsi="宋体" w:cs="宋体"/>
          <w:b/>
          <w:iCs/>
          <w:color w:val="auto"/>
          <w:sz w:val="24"/>
          <w:highlight w:val="none"/>
          <w:u w:val="single"/>
        </w:rPr>
        <w:t xml:space="preserve">合同专用条款2.12.3</w:t>
      </w:r>
      <w:r>
        <w:rPr>
          <w:rFonts w:hint="eastAsia" w:ascii="宋体" w:hAnsi="宋体" w:cs="宋体"/>
          <w:color w:val="auto"/>
          <w:sz w:val="24"/>
          <w:highlight w:val="none"/>
        </w:rPr>
        <w:t xml:space="preserve">约定时间内以书面形式变更合同；</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2.12.4受不可抗力影响的一方在不可抗力发生后，应在</w:t>
      </w:r>
      <w:r>
        <w:rPr>
          <w:rFonts w:hint="eastAsia" w:ascii="宋体" w:hAnsi="宋体" w:cs="宋体"/>
          <w:b/>
          <w:iCs/>
          <w:color w:val="auto"/>
          <w:sz w:val="24"/>
          <w:highlight w:val="none"/>
          <w:u w:val="single"/>
        </w:rPr>
        <w:t xml:space="preserve">合同专用条款2.12.4</w:t>
      </w:r>
      <w:r>
        <w:rPr>
          <w:rFonts w:hint="eastAsia" w:ascii="宋体" w:hAnsi="宋体" w:cs="宋体"/>
          <w:color w:val="auto"/>
          <w:sz w:val="24"/>
          <w:highlight w:val="none"/>
        </w:rPr>
        <w:t xml:space="preserve">约定时间内以书面形式通知对方当事人，并在</w:t>
      </w:r>
      <w:r>
        <w:rPr>
          <w:rFonts w:hint="eastAsia" w:ascii="宋体" w:hAnsi="宋体" w:cs="宋体"/>
          <w:b/>
          <w:iCs/>
          <w:color w:val="auto"/>
          <w:sz w:val="24"/>
          <w:highlight w:val="none"/>
          <w:u w:val="single"/>
        </w:rPr>
        <w:t xml:space="preserve">合同专用条款2.12.4</w:t>
      </w:r>
      <w:r>
        <w:rPr>
          <w:rFonts w:hint="eastAsia" w:ascii="宋体" w:hAnsi="宋体" w:cs="宋体"/>
          <w:color w:val="auto"/>
          <w:sz w:val="24"/>
          <w:highlight w:val="none"/>
        </w:rPr>
        <w:t xml:space="preserve">约定时间内，将有关部门出具的证明文件送达对方当事人。</w:t>
      </w:r>
      <w:r/>
    </w:p>
    <w:p>
      <w:pPr>
        <w:ind w:firstLine="482"/>
        <w:spacing w:line="360" w:lineRule="auto"/>
        <w:rPr>
          <w:rFonts w:ascii="宋体" w:hAnsi="宋体" w:cs="宋体"/>
          <w:b/>
          <w:color w:val="auto"/>
          <w:sz w:val="24"/>
          <w:highlight w:val="none"/>
        </w:rPr>
        <w:outlineLvl w:val="0"/>
      </w:pPr>
      <w:r/>
      <w:bookmarkStart w:id="184" w:name="_Toc487900365"/>
      <w:r/>
      <w:bookmarkStart w:id="185" w:name="_Toc30676"/>
      <w:r/>
      <w:bookmarkStart w:id="186" w:name="_Toc6969"/>
      <w:r/>
      <w:bookmarkStart w:id="187" w:name="_Toc279701255"/>
      <w:r/>
      <w:bookmarkStart w:id="188" w:name="_Toc259093684"/>
      <w:r/>
      <w:bookmarkStart w:id="189" w:name="_Toc689"/>
      <w:r>
        <w:rPr>
          <w:rFonts w:hint="eastAsia" w:ascii="宋体" w:hAnsi="宋体" w:cs="宋体"/>
          <w:b/>
          <w:color w:val="auto"/>
          <w:sz w:val="24"/>
          <w:highlight w:val="none"/>
        </w:rPr>
        <w:t xml:space="preserve">2.13 税费</w:t>
      </w:r>
      <w:bookmarkEnd w:id="184"/>
      <w:r/>
      <w:bookmarkEnd w:id="185"/>
      <w:r/>
      <w:bookmarkEnd w:id="186"/>
      <w:r/>
      <w:bookmarkEnd w:id="187"/>
      <w:r/>
      <w:bookmarkEnd w:id="188"/>
      <w:r/>
      <w:bookmarkEnd w:id="189"/>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与合同有关的一切税费，均按照中华人民共和国法律的相关规定。</w:t>
      </w:r>
      <w:r/>
    </w:p>
    <w:p>
      <w:pPr>
        <w:ind w:firstLine="482"/>
        <w:spacing w:line="360" w:lineRule="auto"/>
        <w:rPr>
          <w:rFonts w:ascii="宋体" w:hAnsi="宋体" w:cs="宋体"/>
          <w:b/>
          <w:color w:val="auto"/>
          <w:sz w:val="24"/>
          <w:highlight w:val="none"/>
        </w:rPr>
        <w:outlineLvl w:val="0"/>
      </w:pPr>
      <w:r/>
      <w:bookmarkStart w:id="190" w:name="_Toc7102"/>
      <w:r/>
      <w:bookmarkStart w:id="191" w:name="_Toc279701258"/>
      <w:r/>
      <w:bookmarkStart w:id="192" w:name="_Toc487900368"/>
      <w:r/>
      <w:bookmarkStart w:id="193" w:name="_Toc259093687"/>
      <w:r/>
      <w:bookmarkStart w:id="194" w:name="_Toc16959"/>
      <w:r/>
      <w:bookmarkStart w:id="195" w:name="_Toc8298"/>
      <w:r>
        <w:rPr>
          <w:rFonts w:hint="eastAsia" w:ascii="宋体" w:hAnsi="宋体" w:cs="宋体"/>
          <w:b/>
          <w:color w:val="auto"/>
          <w:sz w:val="24"/>
          <w:highlight w:val="none"/>
        </w:rPr>
        <w:t xml:space="preserve">2.14乙方破产</w:t>
      </w:r>
      <w:bookmarkEnd w:id="190"/>
      <w:r/>
      <w:bookmarkEnd w:id="191"/>
      <w:r/>
      <w:bookmarkEnd w:id="192"/>
      <w:r/>
      <w:bookmarkEnd w:id="193"/>
      <w:r/>
      <w:bookmarkEnd w:id="194"/>
      <w:r/>
      <w:bookmarkEnd w:id="195"/>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如果乙方破产导致合同无法履行时，甲方可以书面形式通知乙方终止合同且不给予乙方任何补偿和赔偿，但合同的终止不损害或不影响甲方已经采取或将要采取的任何要求乙方支付违约金、赔偿损失等的行动或补救措施的权利。</w:t>
      </w:r>
      <w:r/>
    </w:p>
    <w:p>
      <w:pPr>
        <w:ind w:firstLine="482"/>
        <w:spacing w:line="360" w:lineRule="auto"/>
        <w:rPr>
          <w:rFonts w:ascii="宋体" w:hAnsi="宋体" w:cs="宋体"/>
          <w:b/>
          <w:color w:val="auto"/>
          <w:sz w:val="24"/>
          <w:highlight w:val="none"/>
        </w:rPr>
        <w:outlineLvl w:val="0"/>
      </w:pPr>
      <w:r/>
      <w:bookmarkStart w:id="196" w:name="_Toc6134"/>
      <w:r/>
      <w:bookmarkStart w:id="197" w:name="_Toc29333"/>
      <w:r/>
      <w:bookmarkStart w:id="198" w:name="_Toc15387"/>
      <w:r>
        <w:rPr>
          <w:rFonts w:hint="eastAsia" w:ascii="宋体" w:hAnsi="宋体" w:cs="宋体"/>
          <w:b/>
          <w:color w:val="auto"/>
          <w:sz w:val="24"/>
          <w:highlight w:val="none"/>
        </w:rPr>
        <w:t xml:space="preserve">2.15 合同中止、终止</w:t>
      </w:r>
      <w:bookmarkEnd w:id="196"/>
      <w:r/>
      <w:bookmarkEnd w:id="197"/>
      <w:r/>
      <w:bookmarkEnd w:id="198"/>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2.15.1 双方当事人不得擅自中止或者终止合同；</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2.15.2合同继续履行将损害国家利益和社会公共利益的，双方当事人应当中止或者终止合同。有过错的一方应当承担赔偿责任，双方当事人都有过错的，各自承担相应的责任。</w:t>
      </w:r>
      <w:r/>
    </w:p>
    <w:p>
      <w:pPr>
        <w:ind w:firstLine="482"/>
        <w:spacing w:line="360" w:lineRule="auto"/>
        <w:rPr>
          <w:rFonts w:ascii="宋体" w:hAnsi="宋体" w:cs="宋体"/>
          <w:b/>
          <w:color w:val="auto"/>
          <w:sz w:val="24"/>
          <w:highlight w:val="none"/>
        </w:rPr>
        <w:outlineLvl w:val="0"/>
      </w:pPr>
      <w:r/>
      <w:bookmarkStart w:id="199" w:name="_Toc14563"/>
      <w:r/>
      <w:bookmarkStart w:id="200" w:name="_Toc1125"/>
      <w:r/>
      <w:bookmarkStart w:id="201" w:name="_Toc6596"/>
      <w:r>
        <w:rPr>
          <w:rFonts w:hint="eastAsia" w:ascii="宋体" w:hAnsi="宋体" w:cs="宋体"/>
          <w:b/>
          <w:color w:val="auto"/>
          <w:sz w:val="24"/>
          <w:highlight w:val="none"/>
        </w:rPr>
        <w:t xml:space="preserve">2.16检验和验收</w:t>
      </w:r>
      <w:bookmarkEnd w:id="199"/>
      <w:r/>
      <w:bookmarkEnd w:id="200"/>
      <w:r/>
      <w:bookmarkEnd w:id="201"/>
      <w:r/>
      <w:r/>
    </w:p>
    <w:p>
      <w:pPr>
        <w:ind w:firstLine="480"/>
        <w:spacing w:line="360" w:lineRule="auto"/>
        <w:tabs>
          <w:tab w:val="left" w:pos="360" w:leader="none"/>
          <w:tab w:val="left" w:pos="540" w:leader="none"/>
          <w:tab w:val="left" w:pos="1080" w:leader="none"/>
        </w:tabs>
        <w:rPr>
          <w:rFonts w:ascii="宋体" w:hAnsi="宋体" w:cs="宋体"/>
          <w:color w:val="auto"/>
          <w:sz w:val="24"/>
          <w:highlight w:val="none"/>
        </w:rPr>
      </w:pPr>
      <w:r>
        <w:rPr>
          <w:rFonts w:hint="eastAsia" w:ascii="宋体" w:hAnsi="宋体" w:cs="宋体"/>
          <w:color w:val="auto"/>
          <w:sz w:val="24"/>
          <w:highlight w:val="none"/>
        </w:rPr>
        <w:t xml:space="preserve">2.16.1货物或服务交付前，乙方应对货物或服务的质量、数量等方面进行详细、全面的检验，并向甲方出具证明货物或服务符合合同约定的文件；货物或服务交付时，甲方在</w:t>
      </w:r>
      <w:r>
        <w:rPr>
          <w:rFonts w:hint="eastAsia" w:ascii="宋体" w:hAnsi="宋体" w:cs="宋体"/>
          <w:b/>
          <w:iCs/>
          <w:color w:val="auto"/>
          <w:sz w:val="24"/>
          <w:highlight w:val="none"/>
          <w:u w:val="single"/>
        </w:rPr>
        <w:t xml:space="preserve">合同专用条款2.16.1（</w:t>
      </w:r>
      <w:r>
        <w:rPr>
          <w:rFonts w:hint="eastAsia" w:ascii="宋体" w:hAnsi="宋体" w:cs="宋体"/>
          <w:b/>
          <w:i/>
          <w:color w:val="auto"/>
          <w:sz w:val="24"/>
          <w:highlight w:val="none"/>
          <w:u w:val="single"/>
        </w:rPr>
        <w:t xml:space="preserve">提醒：必须填写</w:t>
      </w:r>
      <w:r>
        <w:rPr>
          <w:rFonts w:hint="eastAsia" w:ascii="宋体" w:hAnsi="宋体" w:cs="宋体"/>
          <w:b/>
          <w:iCs/>
          <w:color w:val="auto"/>
          <w:sz w:val="24"/>
          <w:highlight w:val="none"/>
          <w:u w:val="single"/>
        </w:rPr>
        <w:t xml:space="preserve">）</w:t>
      </w:r>
      <w:r>
        <w:rPr>
          <w:rFonts w:hint="eastAsia" w:ascii="宋体" w:hAnsi="宋体" w:cs="宋体"/>
          <w:color w:val="auto"/>
          <w:sz w:val="24"/>
          <w:highlight w:val="none"/>
        </w:rPr>
        <w:t xml:space="preserve">约定时间内组织验收，甲</w:t>
      </w:r>
      <w:r>
        <w:rPr>
          <w:rFonts w:hint="eastAsia" w:ascii="宋体" w:hAnsi="宋体" w:cs="宋体"/>
          <w:color w:val="auto"/>
          <w:sz w:val="24"/>
          <w:highlight w:val="none"/>
        </w:rPr>
        <w:t xml:space="preserve">方可以邀请参加本项目的其他投标人或者第三方机构参与验收。参与验收的投标人或者第三方机构的意见作为参考资料一并存档。政府向社会公众提供的公共服务项目，验收时还应当邀请服务对象参与并出具意见。大型或者复杂的政府采购项目，应当邀请国家认可的质量检测机构参加验收工作。如果发现与合同中要求不符，供应商须承担由此发生的一切损失和费用，并依法接受相应的处理。采购合同的履行、违约责任和解决争议的方式等适用《中华人民共和国民法典》。乙方在履约过程中有政府采购法律法规规定的违法违规情形的，甲方应当及时报告本级政府采购监管部门。</w:t>
      </w:r>
      <w:r/>
    </w:p>
    <w:p>
      <w:pPr>
        <w:ind w:firstLine="480"/>
        <w:spacing w:line="360" w:lineRule="auto"/>
        <w:tabs>
          <w:tab w:val="left" w:pos="360" w:leader="none"/>
          <w:tab w:val="left" w:pos="540" w:leader="none"/>
          <w:tab w:val="left" w:pos="1080" w:leader="none"/>
        </w:tabs>
        <w:rPr>
          <w:rFonts w:ascii="宋体" w:hAnsi="宋体" w:cs="宋体"/>
          <w:color w:val="auto"/>
          <w:sz w:val="24"/>
          <w:highlight w:val="none"/>
        </w:rPr>
      </w:pPr>
      <w:r>
        <w:rPr>
          <w:rFonts w:hint="eastAsia" w:ascii="宋体" w:hAnsi="宋体" w:cs="宋体"/>
          <w:color w:val="auto"/>
          <w:sz w:val="24"/>
          <w:highlight w:val="none"/>
        </w:rPr>
        <w:t xml:space="preserve">2.16.2甲方按照合同约定的技术、服务、安全标准，组织对每一项技术、服务、安全标准的履约情况组织验收后，出具验收书。验收方成员应当在验收书上签字，并承担相应的法律责任。</w:t>
      </w:r>
      <w:r/>
    </w:p>
    <w:p>
      <w:pPr>
        <w:ind w:firstLine="480"/>
        <w:spacing w:line="360" w:lineRule="auto"/>
        <w:tabs>
          <w:tab w:val="left" w:pos="360" w:leader="none"/>
          <w:tab w:val="left" w:pos="540" w:leader="none"/>
          <w:tab w:val="left" w:pos="1080" w:leader="none"/>
        </w:tabs>
        <w:rPr>
          <w:rFonts w:ascii="宋体" w:hAnsi="宋体" w:cs="宋体"/>
          <w:iCs/>
          <w:color w:val="auto"/>
          <w:sz w:val="24"/>
          <w:highlight w:val="none"/>
        </w:rPr>
      </w:pPr>
      <w:r>
        <w:rPr>
          <w:rFonts w:hint="eastAsia" w:ascii="宋体" w:hAnsi="宋体" w:cs="宋体"/>
          <w:color w:val="auto"/>
          <w:sz w:val="24"/>
          <w:highlight w:val="none"/>
        </w:rPr>
        <w:t xml:space="preserve">2.16.3 检验和验收标准、程序等具体内容以及前述验收书的效力详见</w:t>
      </w:r>
      <w:r>
        <w:rPr>
          <w:rFonts w:hint="eastAsia" w:ascii="宋体" w:hAnsi="宋体" w:cs="宋体"/>
          <w:b/>
          <w:iCs/>
          <w:color w:val="auto"/>
          <w:sz w:val="24"/>
          <w:highlight w:val="none"/>
          <w:u w:val="single"/>
        </w:rPr>
        <w:t xml:space="preserve">合同专用条款2.16.3</w:t>
      </w:r>
      <w:r>
        <w:rPr>
          <w:rFonts w:hint="eastAsia" w:ascii="宋体" w:hAnsi="宋体" w:cs="宋体"/>
          <w:iCs/>
          <w:color w:val="auto"/>
          <w:sz w:val="24"/>
          <w:highlight w:val="none"/>
        </w:rPr>
        <w:t xml:space="preserve">。</w:t>
      </w:r>
      <w:r>
        <w:rPr>
          <w:rFonts w:hint="eastAsia" w:ascii="宋体" w:hAnsi="宋体" w:cs="宋体"/>
          <w:i/>
          <w:color w:val="auto"/>
          <w:sz w:val="24"/>
          <w:highlight w:val="none"/>
        </w:rPr>
        <w:t xml:space="preserve">（提醒：必须填写）</w:t>
      </w:r>
      <w:bookmarkEnd w:id="171"/>
      <w:r/>
      <w:bookmarkEnd w:id="172"/>
      <w:r/>
      <w:bookmarkEnd w:id="173"/>
      <w:r/>
      <w:bookmarkEnd w:id="174"/>
      <w:r/>
      <w:r/>
    </w:p>
    <w:p>
      <w:pPr>
        <w:ind w:firstLine="482"/>
        <w:spacing w:line="360" w:lineRule="auto"/>
        <w:rPr>
          <w:rFonts w:ascii="宋体" w:hAnsi="宋体" w:cs="宋体"/>
          <w:b/>
          <w:color w:val="auto"/>
          <w:sz w:val="24"/>
          <w:highlight w:val="none"/>
        </w:rPr>
        <w:outlineLvl w:val="0"/>
      </w:pPr>
      <w:r/>
      <w:bookmarkStart w:id="202" w:name="_Toc279701261"/>
      <w:r/>
      <w:bookmarkStart w:id="203" w:name="_Toc259093690"/>
      <w:r/>
      <w:bookmarkStart w:id="204" w:name="_Toc487900371"/>
      <w:r/>
      <w:bookmarkStart w:id="205" w:name="_Toc11284"/>
      <w:r/>
      <w:bookmarkStart w:id="206" w:name="_Toc19604"/>
      <w:r/>
      <w:bookmarkStart w:id="207" w:name="_Toc25182"/>
      <w:r>
        <w:rPr>
          <w:rFonts w:hint="eastAsia" w:ascii="宋体" w:hAnsi="宋体" w:cs="宋体"/>
          <w:b/>
          <w:color w:val="auto"/>
          <w:sz w:val="24"/>
          <w:highlight w:val="none"/>
        </w:rPr>
        <w:t xml:space="preserve">2.17 通知</w:t>
      </w:r>
      <w:bookmarkEnd w:id="202"/>
      <w:r/>
      <w:bookmarkEnd w:id="203"/>
      <w:r/>
      <w:bookmarkEnd w:id="204"/>
      <w:r>
        <w:rPr>
          <w:rFonts w:hint="eastAsia" w:ascii="宋体" w:hAnsi="宋体" w:cs="宋体"/>
          <w:b/>
          <w:color w:val="auto"/>
          <w:sz w:val="24"/>
          <w:highlight w:val="none"/>
        </w:rPr>
        <w:t xml:space="preserve">和送达</w:t>
      </w:r>
      <w:bookmarkEnd w:id="205"/>
      <w:r/>
      <w:bookmarkEnd w:id="206"/>
      <w:r/>
      <w:bookmarkEnd w:id="207"/>
      <w:r/>
      <w:r/>
    </w:p>
    <w:p>
      <w:pPr>
        <w:ind w:firstLine="480"/>
        <w:spacing w:line="360" w:lineRule="auto"/>
        <w:rPr>
          <w:rFonts w:ascii="宋体" w:hAnsi="宋体" w:cs="宋体"/>
          <w:color w:val="auto"/>
          <w:sz w:val="24"/>
          <w:highlight w:val="none"/>
        </w:rPr>
      </w:pPr>
      <w:r/>
      <w:bookmarkStart w:id="208" w:name="_Toc6698"/>
      <w:r/>
      <w:bookmarkStart w:id="209" w:name="_Toc3135"/>
      <w:r/>
      <w:bookmarkStart w:id="210" w:name="_Toc279701262"/>
      <w:r/>
      <w:bookmarkStart w:id="211" w:name="_Toc487900372"/>
      <w:r/>
      <w:bookmarkStart w:id="212" w:name="_Toc259093691"/>
      <w:r>
        <w:rPr>
          <w:rFonts w:hint="eastAsia" w:ascii="宋体" w:hAnsi="宋体" w:cs="宋体"/>
          <w:color w:val="auto"/>
          <w:sz w:val="24"/>
          <w:highlight w:val="none"/>
        </w:rPr>
        <w:t xml:space="preserve">2.17.1任何一方因履行合同而以合同第一部分尾部所列明的地址或电子邮件发出的所有通知、文件、材料，均视为已向对方当事人送达；任何一方变更上述送达方式或者地址的，应于</w:t>
      </w:r>
      <w:r>
        <w:rPr>
          <w:rFonts w:hint="eastAsia" w:ascii="宋体" w:hAnsi="宋体" w:cs="宋体"/>
          <w:color w:val="auto"/>
          <w:sz w:val="24"/>
          <w:highlight w:val="none"/>
          <w:u w:val="single"/>
        </w:rPr>
        <w:t xml:space="preserve">3</w:t>
      </w:r>
      <w:r>
        <w:rPr>
          <w:rFonts w:hint="eastAsia" w:ascii="宋体" w:hAnsi="宋体" w:cs="宋体"/>
          <w:color w:val="auto"/>
          <w:sz w:val="24"/>
          <w:highlight w:val="none"/>
        </w:rPr>
        <w:t xml:space="preserve">个工作日内书面通知对方当事人，在对方当事人收到有关变更通知之前，变更前的约定送达方式或者地址仍视为有效。</w:t>
      </w:r>
      <w:bookmarkEnd w:id="208"/>
      <w:r/>
      <w:bookmarkEnd w:id="209"/>
      <w:r/>
      <w:r/>
    </w:p>
    <w:p>
      <w:pPr>
        <w:ind w:firstLine="480"/>
        <w:spacing w:line="360" w:lineRule="auto"/>
        <w:rPr>
          <w:rFonts w:ascii="宋体" w:hAnsi="宋体" w:cs="宋体"/>
          <w:color w:val="auto"/>
          <w:sz w:val="24"/>
          <w:highlight w:val="none"/>
        </w:rPr>
      </w:pPr>
      <w:r/>
      <w:bookmarkStart w:id="213" w:name="_Toc23128"/>
      <w:r/>
      <w:bookmarkStart w:id="214" w:name="_Toc23294"/>
      <w:r>
        <w:rPr>
          <w:rFonts w:hint="eastAsia" w:ascii="宋体" w:hAnsi="宋体" w:cs="宋体"/>
          <w:color w:val="auto"/>
          <w:sz w:val="24"/>
          <w:highlight w:val="none"/>
        </w:rPr>
        <w:t xml:space="preserve">2.17.2</w:t>
      </w:r>
      <w:bookmarkEnd w:id="213"/>
      <w:r/>
      <w:bookmarkEnd w:id="214"/>
      <w:r>
        <w:rPr>
          <w:rFonts w:hint="eastAsia" w:ascii="宋体" w:hAnsi="宋体" w:cs="宋体"/>
          <w:color w:val="auto"/>
          <w:sz w:val="24"/>
          <w:highlight w:val="none"/>
        </w:rPr>
        <w:t xml:space="preserve">以当面交付方式送达的，交付之时视为送达；以传真、电子邮件方式送达的，以传真、电子邮件到达受送达人特定系统之时视为送达；以邮寄方式送达的，以回执上注明的收件日期视为送达。</w:t>
      </w:r>
      <w:r/>
    </w:p>
    <w:p>
      <w:pPr>
        <w:ind w:firstLine="482"/>
        <w:spacing w:line="360" w:lineRule="auto"/>
        <w:rPr>
          <w:rFonts w:ascii="宋体" w:hAnsi="宋体" w:cs="宋体"/>
          <w:b/>
          <w:color w:val="auto"/>
          <w:sz w:val="24"/>
          <w:highlight w:val="none"/>
        </w:rPr>
        <w:outlineLvl w:val="0"/>
      </w:pPr>
      <w:r/>
      <w:bookmarkStart w:id="215" w:name="_Toc4355"/>
      <w:r/>
      <w:bookmarkStart w:id="216" w:name="_Toc18540"/>
      <w:r/>
      <w:bookmarkStart w:id="217" w:name="_Toc30599"/>
      <w:r>
        <w:rPr>
          <w:rFonts w:hint="eastAsia" w:ascii="宋体" w:hAnsi="宋体" w:cs="宋体"/>
          <w:b/>
          <w:color w:val="auto"/>
          <w:sz w:val="24"/>
          <w:highlight w:val="none"/>
        </w:rPr>
        <w:t xml:space="preserve">2.18 计量单位</w:t>
      </w:r>
      <w:bookmarkEnd w:id="210"/>
      <w:r/>
      <w:bookmarkEnd w:id="211"/>
      <w:r/>
      <w:bookmarkEnd w:id="212"/>
      <w:r/>
      <w:bookmarkEnd w:id="215"/>
      <w:r/>
      <w:bookmarkEnd w:id="216"/>
      <w:r/>
      <w:bookmarkEnd w:id="217"/>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除技术规范中另有规定外,合同的计量单位均使用国家法定计量单位。</w:t>
      </w:r>
      <w:r/>
    </w:p>
    <w:p>
      <w:pPr>
        <w:ind w:firstLine="482"/>
        <w:spacing w:line="360" w:lineRule="auto"/>
        <w:rPr>
          <w:rFonts w:ascii="宋体" w:hAnsi="宋体" w:cs="宋体"/>
          <w:b/>
          <w:color w:val="auto"/>
          <w:sz w:val="24"/>
          <w:highlight w:val="none"/>
        </w:rPr>
        <w:outlineLvl w:val="0"/>
      </w:pPr>
      <w:r/>
      <w:bookmarkStart w:id="218" w:name="_Toc487900373"/>
      <w:r/>
      <w:bookmarkStart w:id="219" w:name="_Toc259093692"/>
      <w:r/>
      <w:bookmarkStart w:id="220" w:name="_Toc18567"/>
      <w:r/>
      <w:bookmarkStart w:id="221" w:name="_Toc10330"/>
      <w:r/>
      <w:bookmarkStart w:id="222" w:name="_Toc279701263"/>
      <w:r/>
      <w:bookmarkStart w:id="223" w:name="_Toc12773"/>
      <w:r>
        <w:rPr>
          <w:rFonts w:hint="eastAsia" w:ascii="宋体" w:hAnsi="宋体" w:cs="宋体"/>
          <w:b/>
          <w:color w:val="auto"/>
          <w:sz w:val="24"/>
          <w:highlight w:val="none"/>
        </w:rPr>
        <w:t xml:space="preserve">2.19 合同使用的文字和适用的法律</w:t>
      </w:r>
      <w:bookmarkEnd w:id="218"/>
      <w:r/>
      <w:bookmarkEnd w:id="219"/>
      <w:r/>
      <w:bookmarkEnd w:id="220"/>
      <w:r/>
      <w:bookmarkEnd w:id="221"/>
      <w:r/>
      <w:bookmarkEnd w:id="222"/>
      <w:r/>
      <w:bookmarkEnd w:id="223"/>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2.19.1 合同使用汉语书就、变更和解释；</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2.19.2 合同适用中华人民共和国法律。</w:t>
      </w:r>
      <w:r/>
    </w:p>
    <w:p>
      <w:pPr>
        <w:ind w:firstLine="482"/>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2.20政府采购信用融资</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乙方在签订政府采购合同时如遇到资金困难，甲方应当按照</w:t>
      </w:r>
      <w:r>
        <w:rPr>
          <w:rFonts w:hint="eastAsia" w:ascii="宋体" w:hAnsi="宋体" w:cs="楷体"/>
          <w:color w:val="auto"/>
          <w:sz w:val="24"/>
          <w:highlight w:val="none"/>
        </w:rPr>
        <w:t xml:space="preserve">镇江市财政局和中国人民银行镇江市中心支行联合印发《关于转发〈关于深入推进政府采购线上合同信用融资工作的通知〉的通知》要求协助乙方办理信用融资工作，但甲方不保证信用融资能获得金融机构批准。</w:t>
      </w:r>
      <w:r/>
    </w:p>
    <w:p>
      <w:pPr>
        <w:ind w:firstLine="482"/>
        <w:spacing w:line="360" w:lineRule="auto"/>
        <w:rPr>
          <w:rFonts w:ascii="宋体" w:hAnsi="宋体" w:cs="宋体"/>
          <w:b/>
          <w:color w:val="auto"/>
          <w:sz w:val="24"/>
          <w:highlight w:val="none"/>
        </w:rPr>
        <w:outlineLvl w:val="0"/>
      </w:pPr>
      <w:r/>
      <w:bookmarkStart w:id="224" w:name="_Toc19890"/>
      <w:r/>
      <w:bookmarkStart w:id="225" w:name="_Toc6885"/>
      <w:r/>
      <w:bookmarkStart w:id="226" w:name="_Toc14001"/>
      <w:r>
        <w:rPr>
          <w:rFonts w:hint="eastAsia" w:ascii="宋体" w:hAnsi="宋体" w:cs="宋体"/>
          <w:b/>
          <w:color w:val="auto"/>
          <w:sz w:val="24"/>
          <w:highlight w:val="none"/>
        </w:rPr>
        <w:t xml:space="preserve">2.21 合同份数</w:t>
      </w:r>
      <w:bookmarkEnd w:id="224"/>
      <w:r/>
      <w:bookmarkEnd w:id="225"/>
      <w:r/>
      <w:bookmarkEnd w:id="226"/>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合同份数按</w:t>
      </w:r>
      <w:r>
        <w:rPr>
          <w:rFonts w:hint="eastAsia" w:ascii="宋体" w:hAnsi="宋体" w:cs="宋体"/>
          <w:b/>
          <w:iCs/>
          <w:color w:val="auto"/>
          <w:sz w:val="24"/>
          <w:highlight w:val="none"/>
          <w:u w:val="single"/>
        </w:rPr>
        <w:t xml:space="preserve">合同专用条款2.21</w:t>
      </w:r>
      <w:r>
        <w:rPr>
          <w:rFonts w:hint="eastAsia" w:ascii="宋体" w:hAnsi="宋体" w:cs="宋体"/>
          <w:color w:val="auto"/>
          <w:sz w:val="24"/>
          <w:highlight w:val="none"/>
        </w:rPr>
        <w:t xml:space="preserve">规定，每份均具有同等法律效力。</w:t>
      </w:r>
      <w:r/>
    </w:p>
    <w:p>
      <w:pPr>
        <w:ind w:firstLine="2514"/>
        <w:spacing w:line="360" w:lineRule="auto"/>
        <w:rPr>
          <w:rFonts w:hint="eastAsia" w:ascii="宋体" w:hAnsi="宋体" w:cs="宋体"/>
          <w:color w:val="auto"/>
          <w:highlight w:val="none"/>
        </w:rPr>
        <w:outlineLvl w:val="0"/>
      </w:pPr>
      <w:r>
        <w:rPr>
          <w:rFonts w:hint="eastAsia" w:ascii="宋体" w:hAnsi="宋体" w:cs="宋体"/>
          <w:color w:val="auto"/>
          <w:highlight w:val="none"/>
        </w:rPr>
        <w:br w:type="page" w:clear="all"/>
      </w:r>
      <w:r/>
    </w:p>
    <w:p>
      <w:pPr>
        <w:ind w:firstLine="2514"/>
        <w:spacing w:line="360" w:lineRule="auto"/>
        <w:rPr>
          <w:rFonts w:ascii="宋体" w:hAnsi="宋体" w:cs="宋体"/>
          <w:b/>
          <w:color w:val="auto"/>
          <w:sz w:val="28"/>
          <w:szCs w:val="28"/>
          <w:highlight w:val="none"/>
        </w:rPr>
        <w:outlineLvl w:val="0"/>
      </w:pPr>
      <w:r>
        <w:rPr>
          <w:rFonts w:hint="eastAsia" w:ascii="宋体" w:hAnsi="宋体" w:cs="宋体"/>
          <w:b/>
          <w:color w:val="auto"/>
          <w:sz w:val="28"/>
          <w:szCs w:val="28"/>
          <w:highlight w:val="none"/>
        </w:rPr>
        <w:t xml:space="preserve">第三部分 合同专用条款</w:t>
      </w:r>
      <w:r/>
    </w:p>
    <w:p>
      <w:pPr>
        <w:ind w:firstLine="480"/>
        <w:spacing w:line="360" w:lineRule="auto"/>
        <w:rPr>
          <w:rFonts w:ascii="宋体" w:hAnsi="宋体" w:cs="楷体"/>
          <w:color w:val="auto"/>
          <w:sz w:val="24"/>
          <w:highlight w:val="none"/>
        </w:rPr>
      </w:pPr>
      <w:r>
        <w:rPr>
          <w:rFonts w:hint="eastAsia" w:ascii="宋体" w:hAnsi="宋体" w:cs="楷体"/>
          <w:color w:val="auto"/>
          <w:sz w:val="24"/>
          <w:highlight w:val="none"/>
        </w:rPr>
        <w:t xml:space="preserve">本部分是对前两</w:t>
      </w:r>
      <w:bookmarkStart w:id="227" w:name="_Hlk136502841"/>
      <w:r>
        <w:rPr>
          <w:rFonts w:hint="eastAsia" w:ascii="宋体" w:hAnsi="宋体" w:cs="楷体"/>
          <w:color w:val="auto"/>
          <w:sz w:val="24"/>
          <w:highlight w:val="none"/>
        </w:rPr>
        <w:t xml:space="preserve">部分</w:t>
      </w:r>
      <w:bookmarkEnd w:id="227"/>
      <w:r>
        <w:rPr>
          <w:rFonts w:hint="eastAsia" w:ascii="宋体" w:hAnsi="宋体" w:cs="楷体"/>
          <w:color w:val="auto"/>
          <w:sz w:val="24"/>
          <w:highlight w:val="none"/>
        </w:rPr>
        <w:t xml:space="preserve">的补充和修改，如果前两部分和本部分的约定不一致，应以本部分的约定为准。本部分的条款号应与前两部分的条款号保持对应；与前两部分无对应关系的内容可另行编制条款号。</w:t>
      </w:r>
      <w:r/>
    </w:p>
    <w:tbl>
      <w:tblPr>
        <w:tblStyle w:val="850"/>
        <w:tblW w:w="5000" w:type="pct"/>
        <w:tblInd w:w="-28" w:type="dxa"/>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Layout w:type="autofit"/>
        <w:tblCellMar>
          <w:left w:w="28" w:type="dxa"/>
          <w:top w:w="0" w:type="dxa"/>
          <w:right w:w="28" w:type="dxa"/>
          <w:bottom w:w="0" w:type="dxa"/>
        </w:tblCellMar>
        <w:tblLook w:val="04A0" w:firstRow="1" w:lastRow="0" w:firstColumn="1" w:lastColumn="0" w:noHBand="0" w:noVBand="1"/>
      </w:tblPr>
      <w:tblGrid>
        <w:gridCol w:w="1377"/>
        <w:gridCol w:w="8046"/>
      </w:tblGrid>
      <w:tr>
        <w:trPr>
          <w:trHeight w:val="391"/>
        </w:trPr>
        <w:tc>
          <w:tcPr>
            <w:tcW w:w="465" w:type="dxa"/>
            <w:vAlign w:val="center"/>
            <w:textDirection w:val="lrTb"/>
            <w:noWrap w:val="false"/>
          </w:tcPr>
          <w:p>
            <w:pPr>
              <w:jc w:val="center"/>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条款号</w:t>
            </w:r>
            <w:r/>
          </w:p>
        </w:tc>
        <w:tc>
          <w:tcPr>
            <w:tcW w:w="4534" w:type="dxa"/>
            <w:vAlign w:val="center"/>
            <w:textDirection w:val="lrTb"/>
            <w:noWrap w:val="false"/>
          </w:tcPr>
          <w:p>
            <w:pPr>
              <w:jc w:val="center"/>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约定内容</w:t>
            </w:r>
            <w:r/>
          </w:p>
        </w:tc>
      </w:tr>
      <w:tr>
        <w:trPr>
          <w:trHeight w:val="88"/>
        </w:trPr>
        <w:tc>
          <w:tcPr>
            <w:tcW w:w="465" w:type="dxa"/>
            <w:vAlign w:val="center"/>
            <w:textDirection w:val="lrTb"/>
            <w:noWrap w:val="false"/>
          </w:tcPr>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1.4.2</w:t>
            </w:r>
            <w:r/>
          </w:p>
        </w:tc>
        <w:tc>
          <w:tcPr>
            <w:tcW w:w="4534" w:type="dxa"/>
            <w:vAlign w:val="center"/>
            <w:textDirection w:val="lrTb"/>
            <w:noWrap w:val="false"/>
          </w:tcPr>
          <w:p>
            <w:pPr>
              <w:spacing w:line="360" w:lineRule="auto"/>
              <w:rPr>
                <w:rFonts w:ascii="宋体" w:hAnsi="宋体" w:cs="宋体"/>
                <w:i/>
                <w:iCs/>
                <w:color w:val="auto"/>
                <w:sz w:val="24"/>
                <w:highlight w:val="none"/>
              </w:rPr>
            </w:pPr>
            <w:r>
              <w:rPr>
                <w:rFonts w:ascii="宋体" w:hAnsi="宋体" w:cs="宋体"/>
                <w:i/>
                <w:iCs/>
                <w:color w:val="auto"/>
                <w:sz w:val="24"/>
                <w:highlight w:val="none"/>
              </w:rPr>
            </w:r>
            <w:r/>
          </w:p>
        </w:tc>
      </w:tr>
      <w:tr>
        <w:trPr>
          <w:trHeight w:val="446"/>
        </w:trPr>
        <w:tc>
          <w:tcPr>
            <w:tcW w:w="465" w:type="dxa"/>
            <w:vAlign w:val="center"/>
            <w:textDirection w:val="lrTb"/>
            <w:noWrap w:val="false"/>
          </w:tcPr>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1.5.2</w:t>
            </w:r>
            <w:r/>
          </w:p>
        </w:tc>
        <w:tc>
          <w:tcPr>
            <w:tcW w:w="4534" w:type="dxa"/>
            <w:vAlign w:val="top"/>
            <w:textDirection w:val="lrTb"/>
            <w:noWrap w:val="false"/>
          </w:tcPr>
          <w:p>
            <w:pPr>
              <w:jc w:val="both"/>
              <w:spacing w:line="360" w:lineRule="auto"/>
              <w:rPr>
                <w:rFonts w:ascii="宋体" w:hAnsi="宋体" w:cs="宋体"/>
                <w:i w:val="0"/>
                <w:iCs w:val="0"/>
                <w:color w:val="auto"/>
                <w:sz w:val="24"/>
                <w:highlight w:val="none"/>
              </w:rPr>
            </w:pPr>
            <w:r>
              <w:rPr>
                <w:rFonts w:hint="eastAsia" w:ascii="宋体" w:hAnsi="宋体" w:eastAsia="宋体" w:cs="宋体"/>
                <w:i w:val="0"/>
                <w:iCs w:val="0"/>
                <w:color w:val="auto"/>
                <w:sz w:val="24"/>
                <w:highlight w:val="none"/>
              </w:rPr>
              <w:t xml:space="preserve">本项目不收取履约保证金，本项目中标供应商应提交政府采购合同金额/%的约保证金，履约保证金应以支票、汇票、本票、保函、保险保单等非现金形式缴纳或提交。支持和鼓励中标供应商自愿使用履约(保函)保险代替缴纳约保证金。省财政厅己上线政府采购电子履约保函(保险)平台，平台可通过域名www.jsdzbh.com直接访问，也可通过江苏省政府采购网、“苏采云”系统链接访问。</w:t>
            </w:r>
            <w:r/>
          </w:p>
        </w:tc>
      </w:tr>
      <w:tr>
        <w:trPr>
          <w:trHeight w:val="88"/>
        </w:trPr>
        <w:tc>
          <w:tcPr>
            <w:tcW w:w="465" w:type="dxa"/>
            <w:vAlign w:val="center"/>
            <w:textDirection w:val="lrTb"/>
            <w:noWrap w:val="false"/>
          </w:tcPr>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1.6.1 </w:t>
            </w:r>
            <w:r/>
          </w:p>
        </w:tc>
        <w:tc>
          <w:tcPr>
            <w:tcW w:w="4534" w:type="dxa"/>
            <w:vAlign w:val="center"/>
            <w:textDirection w:val="lrTb"/>
            <w:noWrap w:val="false"/>
          </w:tcPr>
          <w:p>
            <w:pPr>
              <w:jc w:val="both"/>
              <w:spacing w:line="360" w:lineRule="auto"/>
              <w:rPr>
                <w:rFonts w:ascii="宋体" w:hAnsi="宋体" w:cs="宋体"/>
                <w:i w:val="0"/>
                <w:iCs w:val="0"/>
                <w:color w:val="auto"/>
                <w:sz w:val="24"/>
                <w:highlight w:val="none"/>
              </w:rPr>
            </w:pPr>
            <w:r>
              <w:rPr>
                <w:rFonts w:ascii="宋体" w:hAnsi="宋体" w:cs="宋体"/>
                <w:i w:val="0"/>
                <w:iCs w:val="0"/>
                <w:color w:val="auto"/>
                <w:sz w:val="24"/>
                <w:highlight w:val="none"/>
              </w:rPr>
            </w:r>
            <w:r/>
          </w:p>
        </w:tc>
      </w:tr>
      <w:tr>
        <w:trPr>
          <w:trHeight w:val="88"/>
        </w:trPr>
        <w:tc>
          <w:tcPr>
            <w:tcW w:w="465" w:type="dxa"/>
            <w:vAlign w:val="center"/>
            <w:textDirection w:val="lrTb"/>
            <w:noWrap w:val="false"/>
          </w:tcPr>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1.7.2</w:t>
            </w:r>
            <w:r/>
          </w:p>
        </w:tc>
        <w:tc>
          <w:tcPr>
            <w:tcW w:w="4534" w:type="dxa"/>
            <w:vAlign w:val="center"/>
            <w:textDirection w:val="lrTb"/>
            <w:noWrap w:val="false"/>
          </w:tcPr>
          <w:p>
            <w:pPr>
              <w:spacing w:line="360" w:lineRule="auto"/>
              <w:rPr>
                <w:rFonts w:hint="eastAsia" w:ascii="宋体" w:hAnsi="宋体" w:eastAsia="宋体" w:cs="宋体"/>
                <w:bCs/>
                <w:i w:val="0"/>
                <w:iCs w:val="0"/>
                <w:color w:val="auto"/>
                <w:sz w:val="24"/>
                <w:highlight w:val="none"/>
                <w:lang w:eastAsia="en-US"/>
              </w:rPr>
            </w:pPr>
            <w:r>
              <w:rPr>
                <w:rFonts w:hint="eastAsia" w:ascii="宋体" w:hAnsi="宋体" w:eastAsia="宋体" w:cs="宋体"/>
                <w:bCs/>
                <w:i w:val="0"/>
                <w:iCs w:val="0"/>
                <w:color w:val="auto"/>
                <w:sz w:val="24"/>
                <w:highlight w:val="none"/>
                <w:lang w:eastAsia="en-US"/>
              </w:rPr>
              <w:t xml:space="preserve">本合同以人民币付款。</w:t>
            </w:r>
            <w:r/>
          </w:p>
          <w:p>
            <w:pPr>
              <w:spacing w:line="360" w:lineRule="auto"/>
              <w:rPr>
                <w:color w:val="auto"/>
                <w:highlight w:val="none"/>
              </w:rPr>
            </w:pPr>
            <w:r>
              <w:rPr>
                <w:rFonts w:hint="eastAsia" w:ascii="宋体" w:hAnsi="宋体" w:eastAsia="宋体" w:cs="宋体"/>
                <w:bCs/>
                <w:i w:val="0"/>
                <w:iCs w:val="0"/>
                <w:color w:val="auto"/>
                <w:sz w:val="24"/>
                <w:highlight w:val="none"/>
                <w:lang w:val="en-US" w:eastAsia="zh-CN"/>
              </w:rPr>
              <w:t xml:space="preserve">在收到供应商正式发票后15 日内，支付合同价款30%的预付款</w:t>
            </w:r>
            <w:r>
              <w:rPr>
                <w:rFonts w:hint="eastAsia" w:ascii="宋体" w:hAnsi="宋体" w:cs="宋体"/>
                <w:bCs/>
                <w:i w:val="0"/>
                <w:iCs w:val="0"/>
                <w:color w:val="auto"/>
                <w:sz w:val="24"/>
                <w:highlight w:val="none"/>
                <w:lang w:val="en-US" w:eastAsia="zh-CN"/>
              </w:rPr>
              <w:t xml:space="preserve">；全部货物及</w:t>
            </w:r>
            <w:r>
              <w:rPr>
                <w:rFonts w:hint="eastAsia" w:ascii="宋体" w:hAnsi="宋体" w:eastAsia="宋体" w:cs="宋体"/>
                <w:bCs/>
                <w:i w:val="0"/>
                <w:iCs w:val="0"/>
                <w:color w:val="auto"/>
                <w:sz w:val="24"/>
                <w:highlight w:val="none"/>
                <w:lang w:val="en-US" w:eastAsia="zh-CN"/>
              </w:rPr>
              <w:t xml:space="preserve">设备</w:t>
            </w:r>
            <w:r>
              <w:rPr>
                <w:rFonts w:hint="eastAsia" w:ascii="宋体" w:hAnsi="宋体" w:cs="宋体"/>
                <w:bCs/>
                <w:i w:val="0"/>
                <w:iCs w:val="0"/>
                <w:color w:val="auto"/>
                <w:sz w:val="24"/>
                <w:highlight w:val="none"/>
                <w:lang w:val="en-US" w:eastAsia="zh-CN"/>
              </w:rPr>
              <w:t xml:space="preserve">安装完成、调试完毕并经验收合格</w:t>
            </w:r>
            <w:r>
              <w:rPr>
                <w:rFonts w:hint="eastAsia" w:ascii="宋体" w:hAnsi="宋体" w:eastAsia="宋体" w:cs="宋体"/>
                <w:bCs/>
                <w:i w:val="0"/>
                <w:iCs w:val="0"/>
                <w:color w:val="auto"/>
                <w:sz w:val="24"/>
                <w:highlight w:val="none"/>
                <w:lang w:val="en-US" w:eastAsia="zh-CN"/>
              </w:rPr>
              <w:t xml:space="preserve">后，支付合同价款的20%</w:t>
            </w:r>
            <w:r>
              <w:rPr>
                <w:rFonts w:hint="eastAsia" w:ascii="宋体" w:hAnsi="宋体" w:cs="宋体"/>
                <w:bCs/>
                <w:i w:val="0"/>
                <w:iCs w:val="0"/>
                <w:color w:val="auto"/>
                <w:sz w:val="24"/>
                <w:highlight w:val="none"/>
                <w:lang w:val="en-US" w:eastAsia="zh-CN"/>
              </w:rPr>
              <w:t xml:space="preserve">；</w:t>
            </w:r>
            <w:r>
              <w:rPr>
                <w:rFonts w:hint="eastAsia" w:ascii="宋体" w:hAnsi="宋体" w:eastAsia="宋体" w:cs="宋体"/>
                <w:bCs/>
                <w:i w:val="0"/>
                <w:iCs w:val="0"/>
                <w:color w:val="auto"/>
                <w:sz w:val="24"/>
                <w:highlight w:val="none"/>
                <w:lang w:val="en-US" w:eastAsia="zh-CN"/>
              </w:rPr>
              <w:t xml:space="preserve">第二年付合同价款的30%</w:t>
            </w:r>
            <w:r>
              <w:rPr>
                <w:rFonts w:hint="eastAsia" w:ascii="宋体" w:hAnsi="宋体" w:cs="宋体"/>
                <w:bCs/>
                <w:i w:val="0"/>
                <w:iCs w:val="0"/>
                <w:color w:val="auto"/>
                <w:sz w:val="24"/>
                <w:highlight w:val="none"/>
                <w:lang w:val="en-US" w:eastAsia="zh-CN"/>
              </w:rPr>
              <w:t xml:space="preserve">；</w:t>
            </w:r>
            <w:r>
              <w:rPr>
                <w:rFonts w:hint="eastAsia" w:ascii="宋体" w:hAnsi="宋体" w:eastAsia="宋体" w:cs="宋体"/>
                <w:bCs/>
                <w:i w:val="0"/>
                <w:iCs w:val="0"/>
                <w:color w:val="auto"/>
                <w:sz w:val="24"/>
                <w:highlight w:val="none"/>
                <w:lang w:val="en-US" w:eastAsia="zh-CN"/>
              </w:rPr>
              <w:t xml:space="preserve">第三年付清余款。</w:t>
            </w:r>
            <w:r/>
          </w:p>
        </w:tc>
      </w:tr>
      <w:tr>
        <w:trPr>
          <w:trHeight w:val="88"/>
        </w:trPr>
        <w:tc>
          <w:tcPr>
            <w:tcW w:w="465" w:type="dxa"/>
            <w:vAlign w:val="center"/>
            <w:textDirection w:val="lrTb"/>
            <w:noWrap w:val="false"/>
          </w:tcPr>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1.8.1</w:t>
            </w:r>
            <w:r/>
          </w:p>
        </w:tc>
        <w:tc>
          <w:tcPr>
            <w:tcW w:w="4534" w:type="dxa"/>
            <w:vAlign w:val="center"/>
            <w:textDirection w:val="lrTb"/>
            <w:noWrap w:val="false"/>
          </w:tcPr>
          <w:p>
            <w:pPr>
              <w:spacing w:line="360" w:lineRule="auto"/>
              <w:rPr>
                <w:rFonts w:ascii="宋体" w:hAnsi="宋体" w:cs="宋体"/>
                <w:i w:val="0"/>
                <w:iCs w:val="0"/>
                <w:color w:val="auto"/>
                <w:sz w:val="24"/>
                <w:highlight w:val="none"/>
              </w:rPr>
            </w:pPr>
            <w:r>
              <w:rPr>
                <w:rFonts w:hint="eastAsia" w:ascii="宋体" w:hAnsi="宋体" w:cs="宋体"/>
                <w:i w:val="0"/>
                <w:iCs w:val="0"/>
                <w:color w:val="auto"/>
                <w:sz w:val="24"/>
                <w:highlight w:val="none"/>
              </w:rPr>
              <w:t xml:space="preserve">合同签定后</w:t>
            </w:r>
            <w:r>
              <w:rPr>
                <w:rFonts w:hint="eastAsia" w:ascii="宋体" w:hAnsi="宋体" w:cs="宋体"/>
                <w:i w:val="0"/>
                <w:iCs w:val="0"/>
                <w:color w:val="auto"/>
                <w:sz w:val="24"/>
                <w:highlight w:val="none"/>
                <w:lang w:val="en-US" w:eastAsia="zh-CN"/>
              </w:rPr>
              <w:t xml:space="preserve">45天</w:t>
            </w:r>
            <w:r>
              <w:rPr>
                <w:rFonts w:hint="eastAsia" w:ascii="宋体" w:hAnsi="宋体" w:cs="宋体"/>
                <w:i w:val="0"/>
                <w:iCs w:val="0"/>
                <w:color w:val="auto"/>
                <w:sz w:val="24"/>
                <w:highlight w:val="none"/>
              </w:rPr>
              <w:t xml:space="preserve">内完成供货及安装。</w:t>
            </w:r>
            <w:r/>
          </w:p>
        </w:tc>
      </w:tr>
      <w:tr>
        <w:trPr>
          <w:trHeight w:val="88"/>
        </w:trPr>
        <w:tc>
          <w:tcPr>
            <w:tcW w:w="465" w:type="dxa"/>
            <w:vAlign w:val="center"/>
            <w:textDirection w:val="lrTb"/>
            <w:noWrap w:val="false"/>
          </w:tcPr>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1.8.2</w:t>
            </w:r>
            <w:r/>
          </w:p>
        </w:tc>
        <w:tc>
          <w:tcPr>
            <w:tcW w:w="4534" w:type="dxa"/>
            <w:vAlign w:val="center"/>
            <w:textDirection w:val="lrTb"/>
            <w:noWrap w:val="false"/>
          </w:tcPr>
          <w:p>
            <w:pPr>
              <w:spacing w:line="360" w:lineRule="auto"/>
              <w:rPr>
                <w:rFonts w:hint="eastAsia" w:ascii="宋体" w:hAnsi="宋体" w:eastAsia="宋体" w:cs="宋体"/>
                <w:i w:val="0"/>
                <w:iCs w:val="0"/>
                <w:color w:val="auto"/>
                <w:sz w:val="24"/>
                <w:highlight w:val="none"/>
                <w:lang w:eastAsia="zh-CN"/>
              </w:rPr>
            </w:pPr>
            <w:r>
              <w:rPr>
                <w:rFonts w:hint="eastAsia" w:ascii="宋体" w:hAnsi="宋体" w:cs="宋体"/>
                <w:i w:val="0"/>
                <w:iCs w:val="0"/>
                <w:color w:val="auto"/>
                <w:sz w:val="24"/>
                <w:highlight w:val="none"/>
                <w:lang w:eastAsia="zh-CN"/>
              </w:rPr>
              <w:t xml:space="preserve">宝华新城实验幼儿园</w:t>
            </w:r>
            <w:r>
              <w:rPr>
                <w:rFonts w:hint="eastAsia" w:ascii="宋体" w:hAnsi="宋体" w:cs="宋体"/>
                <w:i w:val="0"/>
                <w:iCs w:val="0"/>
                <w:color w:val="auto"/>
                <w:sz w:val="24"/>
                <w:highlight w:val="none"/>
              </w:rPr>
              <w:t xml:space="preserve">。中标方必须按采购人要求将本项目中货物送到指定地点，并分地实施安装调试</w:t>
            </w:r>
            <w:r>
              <w:rPr>
                <w:rFonts w:hint="eastAsia" w:ascii="宋体" w:hAnsi="宋体" w:cs="宋体"/>
                <w:i w:val="0"/>
                <w:iCs w:val="0"/>
                <w:color w:val="auto"/>
                <w:sz w:val="24"/>
                <w:highlight w:val="none"/>
                <w:lang w:eastAsia="zh-CN"/>
              </w:rPr>
              <w:t xml:space="preserve">。</w:t>
            </w:r>
            <w:r/>
          </w:p>
        </w:tc>
      </w:tr>
      <w:tr>
        <w:trPr>
          <w:trHeight w:val="88"/>
        </w:trPr>
        <w:tc>
          <w:tcPr>
            <w:tcW w:w="465" w:type="dxa"/>
            <w:vAlign w:val="center"/>
            <w:textDirection w:val="lrTb"/>
            <w:noWrap w:val="false"/>
          </w:tcPr>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1.8.3</w:t>
            </w:r>
            <w:r/>
          </w:p>
        </w:tc>
        <w:tc>
          <w:tcPr>
            <w:tcW w:w="4534" w:type="dxa"/>
            <w:vAlign w:val="center"/>
            <w:textDirection w:val="lrTb"/>
            <w:noWrap w:val="false"/>
          </w:tcPr>
          <w:p>
            <w:pPr>
              <w:spacing w:line="360" w:lineRule="auto"/>
              <w:rPr>
                <w:rFonts w:ascii="宋体" w:hAnsi="宋体" w:cs="宋体"/>
                <w:i w:val="0"/>
                <w:iCs w:val="0"/>
                <w:color w:val="auto"/>
                <w:sz w:val="24"/>
                <w:highlight w:val="none"/>
              </w:rPr>
            </w:pPr>
            <w:r>
              <w:rPr>
                <w:rFonts w:hint="eastAsia" w:ascii="宋体" w:hAnsi="宋体" w:cs="宋体"/>
                <w:i w:val="0"/>
                <w:iCs w:val="0"/>
                <w:color w:val="auto"/>
                <w:sz w:val="24"/>
                <w:highlight w:val="none"/>
              </w:rPr>
              <w:t xml:space="preserve">现场安装交付。</w:t>
            </w:r>
            <w:r/>
          </w:p>
        </w:tc>
      </w:tr>
      <w:tr>
        <w:trPr>
          <w:trHeight w:val="88"/>
        </w:trPr>
        <w:tc>
          <w:tcPr>
            <w:tcW w:w="465" w:type="dxa"/>
            <w:vAlign w:val="center"/>
            <w:textDirection w:val="lrTb"/>
            <w:noWrap w:val="false"/>
          </w:tcPr>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1.9.6</w:t>
            </w:r>
            <w:r/>
          </w:p>
        </w:tc>
        <w:tc>
          <w:tcPr>
            <w:tcW w:w="4534" w:type="dxa"/>
            <w:vAlign w:val="center"/>
            <w:textDirection w:val="lrTb"/>
            <w:noWrap w:val="false"/>
          </w:tcPr>
          <w:p>
            <w:pPr>
              <w:spacing w:line="360" w:lineRule="auto"/>
              <w:rPr>
                <w:rFonts w:ascii="宋体" w:hAnsi="宋体" w:cs="宋体"/>
                <w:i w:val="0"/>
                <w:iCs w:val="0"/>
                <w:color w:val="auto"/>
                <w:sz w:val="24"/>
                <w:highlight w:val="none"/>
              </w:rPr>
            </w:pPr>
            <w:r>
              <w:rPr>
                <w:rFonts w:ascii="宋体" w:hAnsi="宋体" w:cs="宋体"/>
                <w:i w:val="0"/>
                <w:iCs w:val="0"/>
                <w:color w:val="auto"/>
                <w:sz w:val="24"/>
                <w:highlight w:val="none"/>
              </w:rPr>
            </w:r>
            <w:r/>
          </w:p>
        </w:tc>
      </w:tr>
      <w:tr>
        <w:trPr>
          <w:trHeight w:val="88"/>
        </w:trPr>
        <w:tc>
          <w:tcPr>
            <w:tcW w:w="465" w:type="dxa"/>
            <w:vAlign w:val="center"/>
            <w:textDirection w:val="lrTb"/>
            <w:noWrap w:val="false"/>
          </w:tcPr>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2.3.2</w:t>
            </w:r>
            <w:r/>
          </w:p>
        </w:tc>
        <w:tc>
          <w:tcPr>
            <w:tcW w:w="4534" w:type="dxa"/>
            <w:vAlign w:val="center"/>
            <w:textDirection w:val="lrTb"/>
            <w:noWrap w:val="false"/>
          </w:tcPr>
          <w:p>
            <w:pPr>
              <w:ind w:left="-420" w:right="-420" w:firstLine="480"/>
              <w:spacing w:line="360" w:lineRule="auto"/>
              <w:rPr>
                <w:rFonts w:hint="eastAsia" w:ascii="宋体" w:hAnsi="宋体" w:eastAsia="宋体" w:cs="宋体"/>
                <w:i w:val="0"/>
                <w:iCs w:val="0"/>
                <w:color w:val="auto"/>
                <w:sz w:val="24"/>
                <w:highlight w:val="none"/>
                <w:lang w:eastAsia="zh-CN"/>
              </w:rPr>
            </w:pPr>
            <w:r>
              <w:rPr>
                <w:rFonts w:hint="eastAsia" w:ascii="宋体" w:hAnsi="宋体" w:cs="宋体"/>
                <w:i w:val="0"/>
                <w:iCs w:val="0"/>
                <w:color w:val="auto"/>
                <w:sz w:val="24"/>
                <w:highlight w:val="none"/>
                <w:lang w:val="en-US" w:eastAsia="zh-CN"/>
              </w:rPr>
              <w:t xml:space="preserve">归</w:t>
            </w:r>
            <w:r>
              <w:rPr>
                <w:rFonts w:hint="eastAsia" w:ascii="宋体" w:hAnsi="宋体" w:eastAsia="宋体" w:cs="宋体"/>
                <w:i w:val="0"/>
                <w:iCs w:val="0"/>
                <w:color w:val="auto"/>
                <w:sz w:val="24"/>
                <w:highlight w:val="none"/>
              </w:rPr>
              <w:t xml:space="preserve">采购人所有</w:t>
            </w:r>
            <w:r>
              <w:rPr>
                <w:rFonts w:hint="eastAsia" w:ascii="宋体" w:hAnsi="宋体" w:cs="宋体"/>
                <w:i w:val="0"/>
                <w:iCs w:val="0"/>
                <w:color w:val="auto"/>
                <w:sz w:val="24"/>
                <w:highlight w:val="none"/>
                <w:lang w:eastAsia="zh-CN"/>
              </w:rPr>
              <w:t xml:space="preserve">。</w:t>
            </w:r>
            <w:r/>
          </w:p>
        </w:tc>
      </w:tr>
      <w:tr>
        <w:trPr>
          <w:trHeight w:val="88"/>
        </w:trPr>
        <w:tc>
          <w:tcPr>
            <w:tcW w:w="465" w:type="dxa"/>
            <w:vAlign w:val="center"/>
            <w:textDirection w:val="lrTb"/>
            <w:noWrap w:val="false"/>
          </w:tcPr>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2.4.1</w:t>
            </w:r>
            <w:r/>
          </w:p>
        </w:tc>
        <w:tc>
          <w:tcPr>
            <w:tcW w:w="4534" w:type="dxa"/>
            <w:vAlign w:val="center"/>
            <w:textDirection w:val="lrTb"/>
            <w:noWrap w:val="false"/>
          </w:tcPr>
          <w:p>
            <w:pPr>
              <w:ind w:left="-420" w:right="-420" w:firstLine="480"/>
              <w:spacing w:line="360" w:lineRule="auto"/>
              <w:rPr>
                <w:rFonts w:ascii="宋体" w:hAnsi="宋体" w:cs="宋体"/>
                <w:i w:val="0"/>
                <w:iCs w:val="0"/>
                <w:color w:val="auto"/>
                <w:sz w:val="24"/>
                <w:highlight w:val="none"/>
              </w:rPr>
            </w:pPr>
            <w:r>
              <w:rPr>
                <w:rFonts w:ascii="宋体" w:hAnsi="宋体" w:cs="宋体"/>
                <w:i w:val="0"/>
                <w:iCs w:val="0"/>
                <w:color w:val="auto"/>
                <w:sz w:val="24"/>
                <w:highlight w:val="none"/>
              </w:rPr>
            </w:r>
            <w:r/>
          </w:p>
        </w:tc>
      </w:tr>
      <w:tr>
        <w:trPr>
          <w:trHeight w:val="88"/>
        </w:trPr>
        <w:tc>
          <w:tcPr>
            <w:tcW w:w="465" w:type="dxa"/>
            <w:vAlign w:val="center"/>
            <w:textDirection w:val="lrTb"/>
            <w:noWrap w:val="false"/>
          </w:tcPr>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2.4.3</w:t>
            </w:r>
            <w:r/>
          </w:p>
        </w:tc>
        <w:tc>
          <w:tcPr>
            <w:tcW w:w="4534" w:type="dxa"/>
            <w:vAlign w:val="center"/>
            <w:textDirection w:val="lrTb"/>
            <w:noWrap w:val="false"/>
          </w:tcPr>
          <w:p>
            <w:pPr>
              <w:spacing w:line="360" w:lineRule="auto"/>
              <w:rPr>
                <w:rFonts w:ascii="宋体" w:hAnsi="宋体" w:cs="宋体"/>
                <w:i w:val="0"/>
                <w:iCs w:val="0"/>
                <w:color w:val="auto"/>
                <w:sz w:val="24"/>
                <w:highlight w:val="none"/>
              </w:rPr>
            </w:pPr>
            <w:r>
              <w:rPr>
                <w:rFonts w:ascii="宋体" w:hAnsi="宋体" w:cs="宋体"/>
                <w:i w:val="0"/>
                <w:iCs w:val="0"/>
                <w:color w:val="auto"/>
                <w:sz w:val="24"/>
                <w:highlight w:val="none"/>
              </w:rPr>
            </w:r>
            <w:r/>
          </w:p>
        </w:tc>
      </w:tr>
      <w:tr>
        <w:trPr>
          <w:trHeight w:val="88"/>
        </w:trPr>
        <w:tc>
          <w:tcPr>
            <w:tcW w:w="465" w:type="dxa"/>
            <w:vAlign w:val="top"/>
            <w:textDirection w:val="lrTb"/>
            <w:noWrap w:val="false"/>
          </w:tcPr>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2.8 </w:t>
            </w:r>
            <w:r/>
          </w:p>
        </w:tc>
        <w:tc>
          <w:tcPr>
            <w:tcW w:w="4534" w:type="dxa"/>
            <w:vAlign w:val="top"/>
            <w:textDirection w:val="lrTb"/>
            <w:noWrap w:val="false"/>
          </w:tcPr>
          <w:p>
            <w:pPr>
              <w:spacing w:line="360" w:lineRule="auto"/>
              <w:rPr>
                <w:rFonts w:ascii="宋体" w:hAnsi="宋体" w:cs="宋体"/>
                <w:i w:val="0"/>
                <w:iCs w:val="0"/>
                <w:color w:val="auto"/>
                <w:sz w:val="24"/>
                <w:highlight w:val="none"/>
              </w:rPr>
            </w:pPr>
            <w:r>
              <w:rPr>
                <w:rFonts w:ascii="宋体" w:hAnsi="宋体" w:cs="宋体"/>
                <w:i w:val="0"/>
                <w:iCs w:val="0"/>
                <w:color w:val="auto"/>
                <w:sz w:val="24"/>
                <w:highlight w:val="none"/>
              </w:rPr>
            </w:r>
            <w:r/>
          </w:p>
        </w:tc>
      </w:tr>
      <w:tr>
        <w:trPr>
          <w:trHeight w:val="88"/>
        </w:trPr>
        <w:tc>
          <w:tcPr>
            <w:tcW w:w="465" w:type="dxa"/>
            <w:vAlign w:val="center"/>
            <w:textDirection w:val="lrTb"/>
            <w:noWrap w:val="false"/>
          </w:tcPr>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2.12.3</w:t>
            </w:r>
            <w:r/>
          </w:p>
        </w:tc>
        <w:tc>
          <w:tcPr>
            <w:tcW w:w="4534" w:type="dxa"/>
            <w:vAlign w:val="center"/>
            <w:textDirection w:val="lrTb"/>
            <w:noWrap w:val="false"/>
          </w:tcPr>
          <w:p>
            <w:pPr>
              <w:spacing w:line="360" w:lineRule="auto"/>
              <w:rPr>
                <w:rFonts w:ascii="宋体" w:hAnsi="宋体" w:cs="宋体"/>
                <w:i w:val="0"/>
                <w:iCs w:val="0"/>
                <w:color w:val="auto"/>
                <w:sz w:val="24"/>
                <w:highlight w:val="none"/>
              </w:rPr>
            </w:pPr>
            <w:r>
              <w:rPr>
                <w:rFonts w:ascii="宋体" w:hAnsi="宋体" w:cs="宋体"/>
                <w:i w:val="0"/>
                <w:iCs w:val="0"/>
                <w:color w:val="auto"/>
                <w:sz w:val="24"/>
                <w:highlight w:val="none"/>
              </w:rPr>
            </w:r>
            <w:r/>
          </w:p>
        </w:tc>
      </w:tr>
      <w:tr>
        <w:trPr>
          <w:trHeight w:val="88"/>
        </w:trPr>
        <w:tc>
          <w:tcPr>
            <w:tcW w:w="465" w:type="dxa"/>
            <w:vAlign w:val="center"/>
            <w:textDirection w:val="lrTb"/>
            <w:noWrap w:val="false"/>
          </w:tcPr>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2.12.4</w:t>
            </w:r>
            <w:r/>
          </w:p>
        </w:tc>
        <w:tc>
          <w:tcPr>
            <w:tcW w:w="4534" w:type="dxa"/>
            <w:vAlign w:val="center"/>
            <w:textDirection w:val="lrTb"/>
            <w:noWrap w:val="false"/>
          </w:tcPr>
          <w:p>
            <w:pPr>
              <w:spacing w:line="360" w:lineRule="auto"/>
              <w:rPr>
                <w:rFonts w:ascii="宋体" w:hAnsi="宋体" w:cs="宋体"/>
                <w:i w:val="0"/>
                <w:iCs w:val="0"/>
                <w:color w:val="auto"/>
                <w:sz w:val="24"/>
                <w:highlight w:val="none"/>
              </w:rPr>
            </w:pPr>
            <w:r>
              <w:rPr>
                <w:rFonts w:ascii="宋体" w:hAnsi="宋体" w:cs="宋体"/>
                <w:i w:val="0"/>
                <w:iCs w:val="0"/>
                <w:color w:val="auto"/>
                <w:sz w:val="24"/>
                <w:highlight w:val="none"/>
              </w:rPr>
            </w:r>
            <w:r/>
          </w:p>
        </w:tc>
      </w:tr>
      <w:tr>
        <w:trPr>
          <w:trHeight w:val="88"/>
        </w:trPr>
        <w:tc>
          <w:tcPr>
            <w:tcW w:w="465" w:type="dxa"/>
            <w:vAlign w:val="center"/>
            <w:textDirection w:val="lrTb"/>
            <w:noWrap w:val="false"/>
          </w:tcPr>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2.16.1</w:t>
            </w:r>
            <w:r/>
          </w:p>
        </w:tc>
        <w:tc>
          <w:tcPr>
            <w:tcW w:w="4534" w:type="dxa"/>
            <w:vAlign w:val="center"/>
            <w:textDirection w:val="lrTb"/>
            <w:noWrap w:val="false"/>
          </w:tcPr>
          <w:p>
            <w:pPr>
              <w:spacing w:line="360" w:lineRule="auto"/>
              <w:rPr>
                <w:rFonts w:ascii="宋体" w:hAnsi="宋体" w:cs="宋体"/>
                <w:i w:val="0"/>
                <w:iCs w:val="0"/>
                <w:color w:val="auto"/>
                <w:sz w:val="24"/>
                <w:highlight w:val="none"/>
              </w:rPr>
            </w:pPr>
            <w:r>
              <w:rPr>
                <w:rFonts w:hint="eastAsia" w:ascii="宋体" w:hAnsi="宋体" w:cs="宋体"/>
                <w:b/>
                <w:bCs/>
                <w:i w:val="0"/>
                <w:iCs w:val="0"/>
                <w:color w:val="auto"/>
                <w:sz w:val="24"/>
                <w:highlight w:val="none"/>
                <w:u w:val="single"/>
                <w:lang w:eastAsia="zh-CN"/>
              </w:rPr>
              <w:t xml:space="preserve">提醒：必须填写。</w:t>
            </w:r>
            <w:r/>
          </w:p>
        </w:tc>
      </w:tr>
      <w:tr>
        <w:trPr>
          <w:trHeight w:val="352"/>
        </w:trPr>
        <w:tc>
          <w:tcPr>
            <w:tcW w:w="465" w:type="dxa"/>
            <w:vAlign w:val="center"/>
            <w:textDirection w:val="lrTb"/>
            <w:noWrap w:val="false"/>
          </w:tcPr>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2.16.3</w:t>
            </w:r>
            <w:r/>
          </w:p>
        </w:tc>
        <w:tc>
          <w:tcPr>
            <w:tcW w:w="4534" w:type="dxa"/>
            <w:vAlign w:val="center"/>
            <w:textDirection w:val="lrTb"/>
            <w:noWrap w:val="false"/>
          </w:tcPr>
          <w:p>
            <w:pPr>
              <w:spacing w:line="360" w:lineRule="auto"/>
              <w:rPr>
                <w:rFonts w:ascii="宋体" w:hAnsi="宋体" w:cs="宋体"/>
                <w:i w:val="0"/>
                <w:iCs w:val="0"/>
                <w:color w:val="auto"/>
                <w:sz w:val="24"/>
                <w:highlight w:val="none"/>
              </w:rPr>
            </w:pPr>
            <w:r>
              <w:rPr>
                <w:rFonts w:hint="eastAsia" w:ascii="宋体" w:hAnsi="宋体" w:cs="宋体"/>
                <w:b/>
                <w:bCs/>
                <w:i w:val="0"/>
                <w:iCs w:val="0"/>
                <w:color w:val="auto"/>
                <w:sz w:val="24"/>
                <w:highlight w:val="none"/>
                <w:u w:val="single"/>
                <w:lang w:eastAsia="zh-CN"/>
              </w:rPr>
              <w:t xml:space="preserve">提醒：必须填写。</w:t>
            </w:r>
            <w:r>
              <w:rPr>
                <w:rFonts w:hint="eastAsia" w:ascii="宋体" w:hAnsi="宋体" w:cs="宋体"/>
                <w:i w:val="0"/>
                <w:iCs w:val="0"/>
                <w:color w:val="auto"/>
                <w:sz w:val="24"/>
                <w:highlight w:val="none"/>
                <w:lang w:eastAsia="zh-CN"/>
              </w:rPr>
              <w:t xml:space="preserve">严格按照采购合同开展履约验收。</w:t>
            </w:r>
            <w:bookmarkStart w:id="228" w:name="OLE_LINK1"/>
            <w:r>
              <w:rPr>
                <w:rFonts w:hint="eastAsia" w:ascii="宋体" w:hAnsi="宋体" w:cs="宋体"/>
                <w:i w:val="0"/>
                <w:iCs w:val="0"/>
                <w:color w:val="auto"/>
                <w:sz w:val="24"/>
                <w:highlight w:val="none"/>
                <w:lang w:eastAsia="zh-CN"/>
              </w:rPr>
              <w:t xml:space="preserve">甲方成立验收小组，制定验收方案，按照采购合同的约定对供应商履约情况进行验收。验收时，按照采购合同的约定对每一项技术、服务、安全标准的履约情况进行确认。验收小组完成验收后，应当出具验收报告。验收报告的内容应包括：实施验收过程基本情况陈述，供应商每一项技术、服务、安全标准等履约情况，与政府采购合同约定的权利义务比较情况，验收结论性意见。验收小组成员的个人验收记录和个人验收意见应作为验收报告附件。</w:t>
            </w:r>
            <w:bookmarkEnd w:id="228"/>
            <w:r/>
            <w:r/>
          </w:p>
        </w:tc>
      </w:tr>
      <w:tr>
        <w:trPr>
          <w:trHeight w:val="65"/>
        </w:trPr>
        <w:tc>
          <w:tcPr>
            <w:tcW w:w="465" w:type="dxa"/>
            <w:vAlign w:val="center"/>
            <w:textDirection w:val="lrTb"/>
            <w:noWrap w:val="false"/>
          </w:tcPr>
          <w:p>
            <w:pPr>
              <w:ind w:left="-420" w:right="-420" w:firstLine="480"/>
              <w:spacing w:line="360" w:lineRule="auto"/>
              <w:rPr>
                <w:rFonts w:ascii="宋体" w:hAnsi="宋体" w:cs="宋体"/>
                <w:color w:val="auto"/>
                <w:sz w:val="24"/>
                <w:highlight w:val="none"/>
              </w:rPr>
              <w:outlineLvl w:val="0"/>
            </w:pPr>
            <w:r>
              <w:rPr>
                <w:rFonts w:hint="eastAsia" w:ascii="宋体" w:hAnsi="宋体" w:cs="宋体"/>
                <w:color w:val="auto"/>
                <w:sz w:val="24"/>
                <w:highlight w:val="none"/>
              </w:rPr>
              <w:t xml:space="preserve">2.21 </w:t>
            </w:r>
            <w:r/>
          </w:p>
        </w:tc>
        <w:tc>
          <w:tcPr>
            <w:tcW w:w="4534" w:type="dxa"/>
            <w:vAlign w:val="center"/>
            <w:textDirection w:val="lrTb"/>
            <w:noWrap w:val="false"/>
          </w:tcPr>
          <w:p>
            <w:pPr>
              <w:spacing w:line="360" w:lineRule="auto"/>
              <w:rPr>
                <w:rFonts w:ascii="宋体" w:hAnsi="宋体" w:cs="宋体"/>
                <w:i w:val="0"/>
                <w:iCs w:val="0"/>
                <w:color w:val="auto"/>
                <w:sz w:val="24"/>
                <w:highlight w:val="none"/>
              </w:rPr>
            </w:pPr>
            <w:r>
              <w:rPr>
                <w:rFonts w:ascii="宋体" w:hAnsi="宋体"/>
                <w:i w:val="0"/>
                <w:iCs w:val="0"/>
                <w:color w:val="auto"/>
                <w:sz w:val="24"/>
                <w:szCs w:val="22"/>
                <w:highlight w:val="none"/>
              </w:rPr>
              <w:t xml:space="preserve">本合同一式</w:t>
            </w:r>
            <w:r>
              <w:rPr>
                <w:rFonts w:hint="eastAsia" w:ascii="宋体" w:hAnsi="宋体"/>
                <w:i w:val="0"/>
                <w:iCs w:val="0"/>
                <w:color w:val="auto"/>
                <w:sz w:val="24"/>
                <w:szCs w:val="22"/>
                <w:highlight w:val="none"/>
              </w:rPr>
              <w:t xml:space="preserve">    份，甲乙双方各执   份。</w:t>
            </w:r>
            <w:r/>
          </w:p>
        </w:tc>
      </w:tr>
      <w:tr>
        <w:trPr>
          <w:trHeight w:val="65"/>
        </w:trPr>
        <w:tc>
          <w:tcPr>
            <w:tcW w:w="465" w:type="dxa"/>
            <w:vAlign w:val="center"/>
            <w:textDirection w:val="lrTb"/>
            <w:noWrap w:val="false"/>
          </w:tcPr>
          <w:p>
            <w:pPr>
              <w:ind w:left="-420" w:right="-420" w:firstLine="480"/>
              <w:spacing w:line="360" w:lineRule="auto"/>
              <w:rPr>
                <w:rFonts w:ascii="宋体" w:hAnsi="宋体" w:cs="宋体"/>
                <w:color w:val="auto"/>
                <w:sz w:val="24"/>
                <w:highlight w:val="none"/>
              </w:rPr>
              <w:outlineLvl w:val="0"/>
            </w:pPr>
            <w:r>
              <w:rPr>
                <w:rFonts w:hint="eastAsia" w:ascii="宋体" w:hAnsi="宋体" w:cs="宋体"/>
                <w:color w:val="auto"/>
                <w:sz w:val="24"/>
                <w:highlight w:val="none"/>
              </w:rPr>
              <w:t xml:space="preserve">3.1</w:t>
            </w:r>
            <w:r/>
          </w:p>
          <w:p>
            <w:pPr>
              <w:ind w:left="-420" w:right="-420" w:firstLine="480"/>
              <w:spacing w:line="360" w:lineRule="auto"/>
              <w:rPr>
                <w:rFonts w:ascii="宋体" w:hAnsi="宋体"/>
                <w:color w:val="auto"/>
                <w:highlight w:val="none"/>
              </w:rPr>
              <w:outlineLvl w:val="0"/>
            </w:pPr>
            <w:r>
              <w:rPr>
                <w:rFonts w:hint="eastAsia" w:ascii="宋体" w:hAnsi="宋体" w:cs="宋体"/>
                <w:color w:val="auto"/>
                <w:sz w:val="24"/>
                <w:highlight w:val="none"/>
              </w:rPr>
              <w:t xml:space="preserve">……</w:t>
            </w:r>
            <w:r/>
          </w:p>
        </w:tc>
        <w:tc>
          <w:tcPr>
            <w:tcW w:w="4534" w:type="dxa"/>
            <w:vAlign w:val="center"/>
            <w:textDirection w:val="lrTb"/>
            <w:noWrap w:val="false"/>
          </w:tcPr>
          <w:p>
            <w:pPr>
              <w:spacing w:line="360" w:lineRule="auto"/>
              <w:rPr>
                <w:rFonts w:ascii="宋体" w:hAnsi="宋体" w:cs="宋体"/>
                <w:i w:val="0"/>
                <w:iCs w:val="0"/>
                <w:color w:val="auto"/>
                <w:sz w:val="24"/>
                <w:highlight w:val="none"/>
              </w:rPr>
            </w:pPr>
            <w:r>
              <w:rPr>
                <w:rFonts w:hint="eastAsia" w:ascii="宋体" w:hAnsi="宋体" w:cs="宋体"/>
                <w:i w:val="0"/>
                <w:iCs w:val="0"/>
                <w:color w:val="auto"/>
                <w:sz w:val="24"/>
                <w:highlight w:val="none"/>
              </w:rPr>
              <w:t xml:space="preserve">……</w:t>
            </w:r>
            <w:r>
              <w:rPr>
                <w:rFonts w:hint="eastAsia" w:ascii="宋体" w:hAnsi="宋体"/>
                <w:i w:val="0"/>
                <w:iCs w:val="0"/>
                <w:color w:val="auto"/>
                <w:sz w:val="24"/>
                <w:highlight w:val="none"/>
              </w:rPr>
              <w:t xml:space="preserve">（可自行编辑）</w:t>
            </w:r>
            <w:bookmarkEnd w:id="71"/>
            <w:r/>
            <w:r/>
          </w:p>
        </w:tc>
      </w:tr>
    </w:tbl>
    <w:p>
      <w:pPr>
        <w:rPr>
          <w:rFonts w:ascii="Calibri" w:hAnsi="Calibri"/>
          <w:color w:val="auto"/>
          <w:szCs w:val="22"/>
          <w:highlight w:val="none"/>
        </w:rPr>
      </w:pPr>
      <w:r>
        <w:rPr>
          <w:rFonts w:ascii="Calibri" w:hAnsi="Calibri"/>
          <w:color w:val="auto"/>
          <w:szCs w:val="22"/>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line="360" w:lineRule="auto"/>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r>
      <w:r/>
    </w:p>
    <w:p>
      <w:pPr>
        <w:jc w:val="center"/>
        <w:spacing w:line="360" w:lineRule="auto"/>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r>
      <w:r/>
    </w:p>
    <w:p>
      <w:pPr>
        <w:jc w:val="center"/>
        <w:spacing w:line="360" w:lineRule="auto"/>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r>
      <w:r/>
    </w:p>
    <w:p>
      <w:pPr>
        <w:jc w:val="center"/>
        <w:spacing w:line="360" w:lineRule="auto"/>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r>
      <w:r/>
    </w:p>
    <w:p>
      <w:pPr>
        <w:jc w:val="center"/>
        <w:spacing w:line="360" w:lineRule="auto"/>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r>
      <w:r/>
    </w:p>
    <w:p>
      <w:pPr>
        <w:jc w:val="center"/>
        <w:spacing w:line="360" w:lineRule="auto"/>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r>
      <w:r/>
    </w:p>
    <w:p>
      <w:pPr>
        <w:jc w:val="center"/>
        <w:spacing w:line="360" w:lineRule="auto"/>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r>
      <w:r/>
    </w:p>
    <w:p>
      <w:pPr>
        <w:jc w:val="center"/>
        <w:spacing w:line="360" w:lineRule="auto"/>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r>
      <w:r/>
    </w:p>
    <w:p>
      <w:pPr>
        <w:jc w:val="center"/>
        <w:spacing w:line="360" w:lineRule="auto"/>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r>
      <w:r/>
    </w:p>
    <w:p>
      <w:pPr>
        <w:jc w:val="center"/>
        <w:spacing w:line="360" w:lineRule="auto"/>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r>
      <w:r/>
    </w:p>
    <w:p>
      <w:pPr>
        <w:jc w:val="center"/>
        <w:spacing w:line="360" w:lineRule="auto"/>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r>
      <w:r/>
    </w:p>
    <w:p>
      <w:pPr>
        <w:jc w:val="center"/>
        <w:spacing w:line="360" w:lineRule="auto"/>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r>
      <w:r/>
    </w:p>
    <w:p>
      <w:pPr>
        <w:jc w:val="center"/>
        <w:spacing w:line="360" w:lineRule="auto"/>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r>
      <w:r/>
    </w:p>
    <w:p>
      <w:pPr>
        <w:jc w:val="center"/>
        <w:spacing w:line="360" w:lineRule="auto"/>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r>
      <w:r/>
    </w:p>
    <w:p>
      <w:pPr>
        <w:pStyle w:val="1022"/>
        <w:ind w:right="900"/>
        <w:jc w:val="center"/>
        <w:keepLines w:val="0"/>
        <w:keepNext w:val="0"/>
        <w:spacing w:before="200" w:after="200" w:line="360" w:lineRule="auto"/>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br w:type="page" w:clear="all"/>
      </w:r>
      <w:r>
        <w:rPr>
          <w:rFonts w:hint="eastAsia" w:ascii="宋体" w:hAnsi="宋体" w:eastAsia="宋体" w:cs="宋体"/>
          <w:color w:val="auto"/>
          <w:sz w:val="36"/>
          <w:szCs w:val="36"/>
          <w:highlight w:val="none"/>
        </w:rPr>
        <w:t xml:space="preserve">第四部分 采购需求</w:t>
      </w:r>
      <w:r/>
    </w:p>
    <w:p>
      <w:pPr>
        <w:jc w:val="left"/>
        <w:spacing w:line="360" w:lineRule="auto"/>
        <w:widowControl/>
        <w:tabs>
          <w:tab w:val="left" w:pos="424" w:leader="none"/>
        </w:tabs>
        <w:rPr>
          <w:rFonts w:hint="eastAsia" w:ascii="宋体" w:hAnsi="宋体" w:eastAsia="宋体" w:cs="宋体"/>
          <w:b/>
          <w:color w:val="auto"/>
          <w:sz w:val="24"/>
          <w:szCs w:val="24"/>
          <w:highlight w:val="none"/>
          <w:lang w:val="zh-CN" w:bidi="en-US"/>
        </w:rPr>
      </w:pPr>
      <w:r>
        <w:rPr>
          <w:rFonts w:hint="eastAsia" w:ascii="宋体" w:hAnsi="宋体" w:eastAsia="宋体" w:cs="宋体"/>
          <w:color w:val="auto"/>
          <w:sz w:val="24"/>
          <w:szCs w:val="24"/>
          <w:highlight w:val="none"/>
        </w:rPr>
        <w:t xml:space="preserve"> </w:t>
      </w:r>
      <w:r>
        <w:rPr>
          <w:rFonts w:hint="eastAsia" w:ascii="宋体" w:hAnsi="宋体" w:eastAsia="宋体" w:cs="宋体"/>
          <w:b/>
          <w:color w:val="auto"/>
          <w:sz w:val="24"/>
          <w:szCs w:val="24"/>
          <w:highlight w:val="none"/>
          <w:lang w:val="zh-CN" w:bidi="en-US"/>
        </w:rPr>
        <w:t xml:space="preserve">一、项目概况</w:t>
      </w:r>
      <w:r/>
    </w:p>
    <w:p>
      <w:pPr>
        <w:numPr>
          <w:ilvl w:val="0"/>
          <w:numId w:val="0"/>
        </w:numPr>
        <w:ind w:left="420" w:firstLine="480"/>
        <w:keepLines w:val="0"/>
        <w:keepNext w:val="0"/>
        <w:pageBreakBefore w:val="0"/>
        <w:spacing w:line="360" w:lineRule="auto"/>
        <w:widowControl w:val="off"/>
        <w:rPr>
          <w:rFonts w:hint="eastAsia"/>
          <w:color w:val="auto"/>
          <w:highlight w:val="none"/>
        </w:rPr>
        <w:outlineLvl w:val="0"/>
      </w:pPr>
      <w:r>
        <w:rPr>
          <w:rFonts w:hint="eastAsia" w:ascii="宋体" w:hAnsi="宋体" w:cs="宋体"/>
          <w:color w:val="auto"/>
          <w:sz w:val="24"/>
          <w:szCs w:val="24"/>
          <w:highlight w:val="none"/>
          <w:lang w:eastAsia="zh-CN"/>
        </w:rPr>
        <w:t xml:space="preserve">宝华新城实验幼儿园教育教学设备设施、办公家具采购</w:t>
      </w:r>
      <w:r>
        <w:rPr>
          <w:rFonts w:hint="eastAsia" w:ascii="宋体" w:hAnsi="宋体" w:eastAsia="宋体" w:cs="宋体"/>
          <w:color w:val="auto"/>
          <w:sz w:val="24"/>
          <w:szCs w:val="24"/>
          <w:highlight w:val="none"/>
          <w:lang w:eastAsia="zh-CN"/>
        </w:rPr>
        <w:t xml:space="preserve">，旨在</w:t>
      </w:r>
      <w:r>
        <w:rPr>
          <w:rFonts w:hint="eastAsia" w:ascii="宋体" w:hAnsi="宋体" w:eastAsia="宋体" w:cs="宋体"/>
          <w:color w:val="auto"/>
          <w:sz w:val="24"/>
          <w:szCs w:val="24"/>
          <w:highlight w:val="none"/>
          <w:lang w:val="en-US" w:eastAsia="zh-CN"/>
        </w:rPr>
        <w:t xml:space="preserve">保障宝华新城建幼儿园顺利开园，满足3-6岁幼儿日常教学、生活照料、游戏活动及安全防护需求</w:t>
      </w:r>
      <w:r>
        <w:rPr>
          <w:rFonts w:hint="eastAsia" w:ascii="宋体" w:hAnsi="宋体" w:eastAsia="宋体" w:cs="宋体"/>
          <w:color w:val="auto"/>
          <w:sz w:val="24"/>
          <w:szCs w:val="24"/>
          <w:highlight w:val="none"/>
          <w:lang w:eastAsia="zh-CN"/>
        </w:rPr>
        <w:t xml:space="preserve">，包括但不限于</w:t>
      </w:r>
      <w:r>
        <w:rPr>
          <w:rFonts w:hint="eastAsia" w:ascii="宋体" w:hAnsi="宋体" w:cs="宋体"/>
          <w:color w:val="auto"/>
          <w:sz w:val="24"/>
          <w:szCs w:val="24"/>
          <w:highlight w:val="none"/>
          <w:lang w:eastAsia="zh-CN"/>
        </w:rPr>
        <w:t xml:space="preserve">教育教学设备设施、办</w:t>
      </w:r>
      <w:r>
        <w:rPr>
          <w:rFonts w:hint="eastAsia" w:ascii="宋体" w:hAnsi="宋体" w:eastAsia="宋体" w:cs="宋体"/>
          <w:color w:val="auto"/>
          <w:sz w:val="24"/>
          <w:szCs w:val="24"/>
          <w:highlight w:val="none"/>
          <w:lang w:eastAsia="zh-CN"/>
        </w:rPr>
        <w:t xml:space="preserve">公家具采购、运输装缷、安装、项目附属配套施工、调试、试运行、验收及质保期内的伴随服务等，并在招标文件要求的工期内保质保量完</w:t>
      </w:r>
      <w:r>
        <w:rPr>
          <w:rFonts w:hint="eastAsia" w:ascii="宋体" w:hAnsi="宋体" w:eastAsia="宋体" w:cs="宋体"/>
          <w:color w:val="auto"/>
          <w:sz w:val="24"/>
          <w:szCs w:val="24"/>
          <w:highlight w:val="none"/>
        </w:rPr>
        <w:t xml:space="preserve">成。</w:t>
      </w:r>
      <w:r/>
    </w:p>
    <w:p>
      <w:pPr>
        <w:pStyle w:val="1021"/>
        <w:jc w:val="left"/>
        <w:keepLines/>
        <w:keepNext/>
        <w:pageBreakBefore w:val="0"/>
        <w:spacing w:before="0" w:after="0" w:line="400" w:lineRule="exact"/>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项目类别属性:货物类采购</w:t>
      </w:r>
      <w:r/>
    </w:p>
    <w:p>
      <w:pPr>
        <w:pStyle w:val="1021"/>
        <w:jc w:val="left"/>
        <w:keepLines/>
        <w:keepNext/>
        <w:pageBreakBefore w:val="0"/>
        <w:spacing w:before="0" w:after="0" w:line="400" w:lineRule="exact"/>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项目所属行业:工业</w:t>
      </w:r>
      <w:r/>
    </w:p>
    <w:p>
      <w:pPr>
        <w:spacing w:line="56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二、采购预算（最高限价）</w:t>
      </w:r>
      <w:r/>
    </w:p>
    <w:p>
      <w:pPr>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1、采购预算：</w:t>
      </w:r>
      <w:r>
        <w:rPr>
          <w:rFonts w:hint="eastAsia" w:ascii="宋体" w:hAnsi="宋体" w:eastAsia="宋体" w:cs="宋体"/>
          <w:color w:val="auto"/>
          <w:sz w:val="24"/>
          <w:highlight w:val="none"/>
          <w:u w:val="single"/>
          <w:lang w:val="en-US" w:eastAsia="zh-CN"/>
        </w:rPr>
        <w:t xml:space="preserve"> </w:t>
      </w:r>
      <w:r>
        <w:rPr>
          <w:rFonts w:hint="eastAsia" w:ascii="宋体" w:hAnsi="宋体" w:cs="宋体"/>
          <w:color w:val="auto"/>
          <w:sz w:val="24"/>
          <w:highlight w:val="none"/>
          <w:u w:val="single"/>
          <w:lang w:val="en-US" w:eastAsia="zh-CN"/>
        </w:rPr>
        <w:t xml:space="preserve">3491120.00 元</w:t>
      </w:r>
      <w:r>
        <w:rPr>
          <w:rFonts w:hint="eastAsia" w:ascii="宋体" w:hAnsi="宋体" w:eastAsia="宋体" w:cs="宋体"/>
          <w:color w:val="auto"/>
          <w:sz w:val="24"/>
          <w:highlight w:val="none"/>
          <w:u w:val="single"/>
        </w:rPr>
        <w:t xml:space="preserve">。</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2、最高限价：</w:t>
      </w:r>
      <w:r>
        <w:rPr>
          <w:rFonts w:hint="eastAsia" w:ascii="宋体" w:hAnsi="宋体" w:eastAsia="宋体" w:cs="宋体"/>
          <w:color w:val="auto"/>
          <w:sz w:val="24"/>
          <w:highlight w:val="none"/>
          <w:u w:val="single"/>
          <w:lang w:val="en-US" w:eastAsia="zh-CN"/>
        </w:rPr>
        <w:t xml:space="preserve"> </w:t>
      </w:r>
      <w:r>
        <w:rPr>
          <w:rFonts w:hint="eastAsia" w:ascii="宋体" w:hAnsi="宋体" w:cs="宋体"/>
          <w:color w:val="auto"/>
          <w:sz w:val="24"/>
          <w:highlight w:val="none"/>
          <w:u w:val="single"/>
          <w:lang w:val="en-US" w:eastAsia="zh-CN"/>
        </w:rPr>
        <w:t xml:space="preserve">3412112.00 元</w:t>
      </w:r>
      <w:r>
        <w:rPr>
          <w:rFonts w:hint="eastAsia" w:ascii="宋体" w:hAnsi="宋体" w:eastAsia="宋体" w:cs="宋体"/>
          <w:color w:val="auto"/>
          <w:sz w:val="24"/>
          <w:highlight w:val="none"/>
          <w:u w:val="single"/>
        </w:rPr>
        <w:t xml:space="preserve">。</w:t>
      </w:r>
      <w:r/>
    </w:p>
    <w:p>
      <w:pPr>
        <w:ind w:left="3"/>
        <w:spacing w:before="263" w:line="219" w:lineRule="auto"/>
        <w:rPr>
          <w:rFonts w:hint="eastAsia" w:ascii="宋体" w:hAnsi="宋体" w:eastAsia="宋体" w:cs="宋体"/>
          <w:color w:val="auto"/>
          <w:sz w:val="24"/>
          <w:highlight w:val="none"/>
        </w:rPr>
      </w:pPr>
      <w:r>
        <w:rPr>
          <w:rFonts w:hint="eastAsia" w:ascii="宋体" w:hAnsi="宋体" w:eastAsia="宋体" w:cs="宋体"/>
          <w:b/>
          <w:bCs/>
          <w:color w:val="auto"/>
          <w:spacing w:val="-3"/>
          <w:sz w:val="24"/>
          <w:highlight w:val="none"/>
        </w:rPr>
        <w:t xml:space="preserve">三.采购标的汇总表</w:t>
      </w:r>
      <w:r/>
    </w:p>
    <w:p>
      <w:pPr>
        <w:ind w:left="6"/>
        <w:spacing w:before="267" w:line="219" w:lineRule="auto"/>
        <w:rPr>
          <w:rFonts w:hint="eastAsia" w:ascii="宋体" w:hAnsi="宋体" w:eastAsia="宋体" w:cs="宋体"/>
          <w:color w:val="auto"/>
          <w:sz w:val="24"/>
          <w:highlight w:val="none"/>
        </w:rPr>
      </w:pPr>
      <w:r>
        <w:rPr>
          <w:rFonts w:hint="eastAsia" w:ascii="宋体" w:hAnsi="宋体" w:eastAsia="宋体" w:cs="宋体"/>
          <w:color w:val="auto"/>
          <w:spacing w:val="-2"/>
          <w:sz w:val="24"/>
          <w:highlight w:val="none"/>
        </w:rPr>
        <w:t xml:space="preserve">（一） 采购标的</w:t>
      </w:r>
      <w:r/>
    </w:p>
    <w:p>
      <w:pPr>
        <w:ind w:left="17"/>
        <w:pageBreakBefore w:val="0"/>
        <w:spacing w:line="300" w:lineRule="exact"/>
        <w:rPr>
          <w:rFonts w:hint="eastAsia" w:ascii="宋体" w:hAnsi="宋体" w:cs="宋体"/>
          <w:color w:val="auto"/>
          <w:sz w:val="24"/>
          <w:highlight w:val="none"/>
        </w:rPr>
      </w:pPr>
      <w:r>
        <w:rPr>
          <w:rFonts w:hint="eastAsia" w:ascii="宋体" w:hAnsi="宋体" w:eastAsia="宋体" w:cs="宋体"/>
          <w:b/>
          <w:bCs/>
          <w:color w:val="auto"/>
          <w:spacing w:val="-4"/>
          <w:sz w:val="24"/>
          <w:highlight w:val="none"/>
        </w:rPr>
        <w:t xml:space="preserve">1.货物类标的</w:t>
      </w:r>
      <w:r>
        <w:rPr>
          <w:rFonts w:hint="eastAsia" w:ascii="宋体" w:hAnsi="宋体" w:cs="宋体"/>
          <w:color w:val="auto"/>
          <w:sz w:val="24"/>
          <w:highlight w:val="none"/>
        </w:rPr>
        <w:t xml:space="preserve"> </w:t>
      </w:r>
      <w:r/>
    </w:p>
    <w:tbl>
      <w:tblPr>
        <w:tblStyle w:val="850"/>
        <w:tblW w:w="0" w:type="auto"/>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1007"/>
        <w:gridCol w:w="1461"/>
        <w:gridCol w:w="3177"/>
        <w:gridCol w:w="990"/>
        <w:gridCol w:w="1255"/>
        <w:gridCol w:w="1599"/>
      </w:tblGrid>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地点</w:t>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货物类标的名称</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计量单位</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是否允许进口</w:t>
            </w:r>
            <w:r/>
          </w:p>
        </w:tc>
      </w:tr>
      <w:tr>
        <w:trPr>
          <w:trHeight w:val="318"/>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门卫室</w:t>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环形岛台</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器械柜</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单人床</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收纳柜</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厨房岛台</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电磁炉</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电饭煲</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微波炉</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电热水器</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51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隔离室</w:t>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1.2米观察床</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书柜</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玩具柜</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玩具桌</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移动消毒灯</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消毒柜</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318"/>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大厅</w:t>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异形沙发</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造型书柜</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平方米</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展示柜</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318"/>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保健室</w:t>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办公桌</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办公椅</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档案柜（按场地尺寸定制）带锁</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药品柜带锁</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四人位沙发</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茶几</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茶水台</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视力表灯箱</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电子体重秤</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身高坐高计</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课桌椅测量尺</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灭火器</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单开门冰箱</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消毒柜</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晨检工作台</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移动紫外线消毒灯</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51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班级活动室</w:t>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cs="宋体"/>
                <w:i w:val="0"/>
                <w:iCs w:val="0"/>
                <w:color w:val="000000"/>
                <w:sz w:val="20"/>
                <w:szCs w:val="20"/>
                <w:u w:val="none"/>
                <w:lang w:val="en-US" w:eastAsia="zh-CN" w:bidi="ar"/>
              </w:rPr>
              <w:t xml:space="preserve">自由组合区角柜</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厨房</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玩具柜（带轮）</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180</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儿童书柜（带轮）</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美工材料柜（带轮）</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长桌（小班）</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长桌（中班）</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长桌（大班）</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方桌（小班）</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方桌（中班）</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方桌（大班）</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（壁挂式）茶杯架</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实物投影展示台</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实物投影</w:t>
            </w:r>
            <w:r>
              <w:rPr>
                <w:rFonts w:hint="eastAsia" w:ascii="宋体" w:hAnsi="宋体" w:cs="宋体"/>
                <w:i w:val="0"/>
                <w:iCs w:val="0"/>
                <w:color w:val="000000"/>
                <w:sz w:val="20"/>
                <w:szCs w:val="20"/>
                <w:u w:val="none"/>
                <w:lang w:val="en-US" w:eastAsia="zh-CN" w:bidi="ar"/>
              </w:rPr>
              <w:t xml:space="preserve">展示</w:t>
            </w:r>
            <w:r>
              <w:rPr>
                <w:rFonts w:hint="eastAsia" w:ascii="宋体" w:hAnsi="宋体" w:eastAsia="宋体" w:cs="宋体"/>
                <w:i w:val="0"/>
                <w:iCs w:val="0"/>
                <w:color w:val="000000"/>
                <w:sz w:val="20"/>
                <w:szCs w:val="20"/>
                <w:u w:val="none"/>
                <w:lang w:val="en-US" w:eastAsia="zh-CN" w:bidi="ar"/>
              </w:rPr>
              <w:t xml:space="preserve">台系统</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塑封机</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手提药箱</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消毒柜</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滚筒洗衣机</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洗手台顶柜</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自然角架</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洗衣机台盆架</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420件室内建构积木</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教师办公桌</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办公椅</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师幼收纳柜</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318"/>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户外活动区</w:t>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小皮球</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61</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儿童标准篮球</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62</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儿童标准足球</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球筐（球车）</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木质篮球架</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副</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小型足球门</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副</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小型足球围栏</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副</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67</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独轮小推车</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辆</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体操凳1</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69</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弹跳球</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羊角球</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71</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脚转球</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拱形门1</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73</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体操圈</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74</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袋鼠跳</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75</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梅花桩（树桩）</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76</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平衡板</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77</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跳床1</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78</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高跷</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79</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体操垫</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套圈</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81</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飞盘</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82</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沙包</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83</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体操棒</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84</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小哑铃</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85</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拉力器</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86</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气球伞</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87</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黄包车</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辆</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88</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威力摇摆车</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辆</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89</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炫风车</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辆</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三轮脚踏车</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辆</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91</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三轮赛车</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辆</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92</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双人手推装卸车</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辆</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93</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平衡车</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辆</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94</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幼儿手滚车</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辆</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95</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脚动扭扭车</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辆</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96</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小推车</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辆</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97</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货架</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98</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1223件户外综合套装碳化积木</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99</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42片侧板积木</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碳化户外安米吉拼插积木569片</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101</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碳化积木866片</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102</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碳化户外百变拼插积木828片</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103</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户外游戏体能梯-方梯</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104</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40件套运动组合碳化梯子</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105</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大型实木螺母组合900件</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106</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569块安米吉拼插积木</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107</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户外大型运动组合器械</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108</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跑酷游戏组合</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109</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大体操垫</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110</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小体操垫</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111</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桌面式涂鸦板</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112</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桌面式多功能涂鸦板</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113</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沙盘游戏</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114</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户外小厨房</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115</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户外音乐墙</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51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116</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户外游戏课程基地</w:t>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活动实施方案</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本</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117</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幼儿园户外活动整体方案</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本</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118</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安全使用手册</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本</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119</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装箱明细表</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本</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分类图卡</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本</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121</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造型图卡</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本</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122</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合格证</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123</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基础建构1单元</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124</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基础建构2单元-C形</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125</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基础建构2单元-L形</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126</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基础建构3单元</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127</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基础建构蓄水件</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128</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基础水道1单元</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129</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基础水道2单元</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130</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基础水道3单元</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131</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基础水道-弯道</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132</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基础木板1单元</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133</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基础木板2单元</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134</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基础木板3单元</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135</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基础木板4单元</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136</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基础木板5单元</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137</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阻水件</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138</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水车</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139</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夹沙件</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140</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钻筛沙件</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141</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沙铲（小）</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142</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沙铲（大）</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143</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沙水桶</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144</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6分水管（1m）</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145</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6分水管（2m）</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146</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6分水管（5m）</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147</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6分通水接口（备用件）</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148</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标准双向奶嘴接口</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149</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标准万用接口</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分流配件</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151</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小球</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152</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基础标配储水盆</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153</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储水盆（小）</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154</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沙城堡1</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155</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沙城堡2</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156</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沙城堡3</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157</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手刮沙工具1</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158</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手刮沙工具2</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159</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手刮沙工具3</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160</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擀泥棒</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161</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平泥工具</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162</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敲泥工具</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163</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翻泥坯盖（小）</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164</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翻泥坯（小）</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165</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翻泥坯盖（大）</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166</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翻泥坯（大）</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167</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画框</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168</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小推车</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169</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鲸鱼推车</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170</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压水泵</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171</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园艺水枪</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172</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喷泉旋转件</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173</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课程</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次</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51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174</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沙水区</w:t>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沙水区组合套装</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玩水管道</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176</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沙水区收纳柜</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318"/>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177</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公共区</w:t>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布艺窗帘</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1214</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178</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百叶窗帘</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210</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平方米</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179</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餐车</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318"/>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180</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财务室</w:t>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班台</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181</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办公椅</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182</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书柜（按场地尺寸提供）</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183</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茶水柜</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184</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保险柜</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185</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碎纸机</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186</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铁皮柜</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318"/>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187</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副园长室</w:t>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班台</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188</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办公椅</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189</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书柜</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190</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3+2人位沙发</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191</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茶几</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192</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茶水台</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193</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会议桌</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194</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会议椅</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318"/>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195</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园长室</w:t>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班台</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196</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班椅</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197</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4+2人位沙发</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198</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角几</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199</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茶几</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书柜（按场地尺寸提供）</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201</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茶水台</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318"/>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202</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大会议室</w:t>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演讲台</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203</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会议桌</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204</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会议椅</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205</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茶水柜</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206</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书柜（按场地尺寸提供）</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207</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会议投屏系统</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208</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会议音箱</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209</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音箱壁挂支架</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210</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专业功放</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211</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前级音频处理器</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212</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音频控制系统</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213</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真分集UHF段一拖四无线会议（长咪杆）</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214</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DSP数字4进1出反馈抑制器</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215</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电源时序器</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216</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配电柜</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217</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机柜</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318"/>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218</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大报告厅</w:t>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座椅</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210</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219</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主席台桌</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220</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主席台椅</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221</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报告台</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222</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茶水柜</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223</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更衣间柜子</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224</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会议投屏系统</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225</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带轮长条折叠桌</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226</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折叠椅</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318"/>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227</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教工之家</w:t>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音箱</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228</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功放</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229</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无线话筒</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230</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打击乐器</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231</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人体追踪无线录像设备</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232</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调音台</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233</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音频处理器会议矩阵4*4</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234</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立式话筒架</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235</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桌面话筒架</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236</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沙发</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237</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柜子</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238</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吧台</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318"/>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239</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教师餐厅</w:t>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2.4m圆桌</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240</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餐椅</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241</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3+2人位沙发</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242</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方桌</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243</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茶水台</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244</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组合柜</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245</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一桌四椅（木质）</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246</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双门消毒柜</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318"/>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247</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图书室</w:t>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装饰柜</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248</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异形沙发</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51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249</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生活坊</w:t>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作品展览柜</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250</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厨房专用材料收纳柜</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251</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材料储物柜</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252</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综合操作台</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253</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方凳</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254</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边台</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255</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幼儿专用罩衣</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256</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教师围裙</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257</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弧形岛台</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258</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带4个水池操作台</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259</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石磨</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260</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粮食碾</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261</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电蒸锅</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262</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非遗传统面塑材料(非食用）</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263</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非遗面塑支架托板</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264</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非遗面塑工具</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265</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编织收纳筐</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266</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铂金硅胶揉面垫</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267</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竹制盖帘</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268</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花馍梳子</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269</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幼儿专用爆米花车</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270</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幼儿专用棉花糖机</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271</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幼儿专用全自动多功能烘焙箱</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272</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封口机套装</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273</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裱花工具</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274</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裱花练习装饰材料</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包</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275</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分料碗</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276</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手动打蛋器</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277</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厨房电子称</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278</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搅拌铲</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279</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面粉筛</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280</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烤盘</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281</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6连蛋糕模具</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282</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棉手套</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283</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锡纸</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卷</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284</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裱花台转盘</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285</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奶油抹刀</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286</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油纸</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卷</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287</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手套-3型</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盒</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288</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手套套装</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289</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对开门冰箱</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290</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消毒柜</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291</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电磁炉</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292</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微波炉</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293</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电动榨汁机</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294</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空气炸锅</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295</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电饭煲</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296</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平底锅</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297</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布织收纳筐</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298</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水桶</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299</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苏式窗镜卡纸</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生宣纸</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包</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301</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彩墨汁</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302</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国画毛笔</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支</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303</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版画拓印滚轮</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304</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砂纸</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305</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拓包</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306</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油墨颜料</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307</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版画</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308</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a4切割点板</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309</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幼儿数字油画</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310</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幼儿专用安全色粉</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盒</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311</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幼儿专用安全重彩油画棒</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312</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幼儿专用安全蜡笔</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313</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圆形油画框</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314</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方形油画框</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315</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画架</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316</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画板</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317</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幼儿专用安全彩泥套组</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318</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麻绳</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捆</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319</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棉花</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320</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丸棒</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321</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圆形作品托板</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322</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刮画纸</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323</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幼儿浮水画套装</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324</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趣味西游皮影戏套组</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325</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幼儿夜光丙烯套装</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326</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中国风白坯挂件</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327</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手绘中式寸鼓</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328</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幼儿专用彩色压花器套装</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329</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幼儿手指画</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瓶</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330</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石膏涂色包</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331</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桌面吸灰器</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332</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幼儿专用安全波浪剪刀</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333</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幼儿专用安全水溶性水彩笔</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334</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幼儿专用安全重彩水彩笔</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335</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皱纹纸</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包</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336</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彩卡</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包</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337</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幼儿专用安全扎染颜料套组</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338</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异形桌+配套椅子</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75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339</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科探室</w:t>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交通安全标志翻版墙</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340</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儿童互动智能桌</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341</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脑电波赛车</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342</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轨道定制</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343</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脑智训练设备</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344</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智能机械手套件</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345</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VR系统</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346</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VR头戴式设备系统</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347</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K12教育资源</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348</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VR课件系统</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349</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SIS学生端管理系统</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350</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异形儿童桌</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51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351</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美术室</w:t>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泥料瓷花认知板</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352</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三福瓶形状工具墙-2</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353</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陶艺-展示A柜</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354</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操作桌</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355</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工作凳</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356</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幼儿美术综合柜</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357</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折叠式边柜</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358</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陈列架</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359</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陈列架</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360</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编织袈</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361</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长条绘画桌</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362</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挂钩</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363</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布织收纳筐</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364</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幼儿专用罩衣</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365</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教师围裙</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366</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玻璃胶套装</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367</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KT胶</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包</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368</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肌理擀泥杖</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369</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唐代人物砖模具</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370</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四神瓦当模具套组</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371</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历代瓷瓶形状教学成型模具</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372</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青铜器器型成型套组</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373</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无极变速拉坯机</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374</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圆形作品托板</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375</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捏塑垫布</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376</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小泥拍</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377</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木质泥塑套装</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378</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陶艺八件套</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379</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公开课小罐颜料</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380</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陶瓷绘画专用色釉</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381</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涂抹式浓缩透明釉</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瓶</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382</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冰裂效果浓缩釉</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瓶</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383</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彩色成型泥浆</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384</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水桶</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385</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陶艺专用蕾丝花边套组</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包</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386</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触屏语音高功率高温电窑</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387</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幼儿陶艺专用素坯</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388</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普通瓷泥</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包</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389</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灰陶</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包</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390</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红陶</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包</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391</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塑钢转台</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392</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美术纸筒柜</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393</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陈列架</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394</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操作桌</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395</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工作凳</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396</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材料柜</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397</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幼儿美术综合柜</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398</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折叠式边柜</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399</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壁挂式画架</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400</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滑轨式作品展示墙</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条</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401</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幼儿专用便携式沙画桌（不带支架版）</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402</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幼儿无尘画板</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403</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桌面工具盒</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404</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幼儿专用罩衣</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405</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教师围裙</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406</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玻璃胶套装</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51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407</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木工坊</w:t>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单人操作台</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408</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实木长条板凳</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409</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新款大号展示架</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410</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展示架1.2米</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411</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机床</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412</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机床润滑油</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罐</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413</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手钻</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414</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大童工具10件套</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415</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手套</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双</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416</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眼罩</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417</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白色修补胶</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瓶</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418</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12件套装雕刻刀</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419</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小锯套装</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420</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U型锯</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421</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迷你老虎钳</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422</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木工刨子</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423</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锤子</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424</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卷尺</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425</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十字批</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426</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一字批</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427</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调色盘、画笔组合、颜料</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428</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材料包1</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429</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材料包2（无丝印</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430</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材料包3（23款小配件）</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431</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材料包4（树枝圆片）</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432</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大车床圆棒荷木</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433</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伐木小车</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434</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颜料架</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435</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笔架</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436</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木工箱</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437</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插孔挂板</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438</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功能隔板</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439</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挂钩</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440</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九宫盒</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75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441</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融合教室</w:t>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手功能及思维训练组合箱</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442</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髋关节旋转训练器</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443</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PT训练床</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444</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平衡板（带扶手）</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445</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组合皮软垫</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446</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儿童滚筒</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447</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听力言语训练设备</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448</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拓展型--显示屏式电子沟通板</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449</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过河石</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450</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训练浪桥</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451</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万象组合套装</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452</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高跷组合</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453</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平衡触觉板</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454</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刷身刷</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455</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摇晃岛</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456</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踩踏石</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457</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悬浮板</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458</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船体套件</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459</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滑板</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460</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跳袋</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461</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卡片式电子沟通板</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462</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阳光隧道组合</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463</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独脚凳</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464</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彩色球</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465</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光面大笼球</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466</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羊角球</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467</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认知学习板</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468</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感知训练器</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469</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彩虹型--显示屏式电子沟通板</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470</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团队协力板/4人</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471</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奥尔夫乐器</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472</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咨询沙发</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473</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咨询配套茶几</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474</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早期行为干预卡片</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51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475</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0-3托幼教室</w:t>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组合玩具柜</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476</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幼儿沙发</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477</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爬爬垫</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478</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各式玩具（海洋球、推推车等等）</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479</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玩具收纳室</w:t>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器材架</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480</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档案室</w:t>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资料架</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318"/>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481</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小中大班桌面玩具、益智区、角色区材料</w:t>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多彩串珠</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482</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ABS颗粒积木</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483</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轮子水管</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484</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彩色磁力棒</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485</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创意拼装条</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486</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手持放大镜</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487</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双孔3×放大观察箱</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488</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牙齿模型</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489</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水底探测船</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490</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羊皮单排铃鼓</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491</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雪铃21铃</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对</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492</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碰钟</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对</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493</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双音木鱼</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494</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木制砂球</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对</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495</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响棒</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对</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496</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手鼓</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497</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木琴</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498</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半球太阳花</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盒</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499</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大圆孔八角片</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盒</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多种连接块</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盒</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501</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工程建构棒</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盒</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502</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医生急救箱</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503</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布娃娃男女组</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504</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蔬菜篮</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505</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水果篮</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506</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餐具仿真颜色41件套网袋</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507</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面条机</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508</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万能积木</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盒</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509</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建筑拼搭</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盒</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510</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空心磁力片</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511</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竹屋积木组</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512</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地板清洁组</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513</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科技收款机II代</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514</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熨斗架</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515</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厨师服4件套</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516</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配对螺丝</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盒</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517</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齿轮游戏-机器</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518</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齿轮游乐园</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519</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简易机械原理组</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520</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工程剑桥组</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521</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108片原木色卡扣积木</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522</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398片积木2.2cm</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523</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420件建构积木2.2cm</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524</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27片盒装镜面积木</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bl>
    <w:p>
      <w:pPr>
        <w:pStyle w:val="851"/>
        <w:rPr>
          <w:rFonts w:hint="eastAsia"/>
        </w:rPr>
      </w:pPr>
      <w:r>
        <w:rPr>
          <w:rFonts w:hint="eastAsia" w:ascii="宋体" w:hAnsi="宋体" w:cs="宋体"/>
          <w:color w:val="auto"/>
          <w:sz w:val="24"/>
          <w:highlight w:val="none"/>
        </w:rPr>
        <w:t xml:space="preserve">（二）本项目核心产品为：</w:t>
      </w:r>
      <w:r>
        <w:rPr>
          <w:rFonts w:hint="eastAsia" w:ascii="宋体" w:hAnsi="宋体" w:cs="宋体"/>
          <w:b/>
          <w:color w:val="auto"/>
          <w:sz w:val="24"/>
          <w:highlight w:val="none"/>
          <w:lang w:eastAsia="zh-CN"/>
        </w:rPr>
        <w:t xml:space="preserve">自由组合区角柜、VR系统、户外大型运动组合器械</w:t>
      </w:r>
      <w:r>
        <w:rPr>
          <w:rFonts w:hint="eastAsia" w:ascii="宋体" w:hAnsi="宋体" w:cs="宋体"/>
          <w:color w:val="auto"/>
          <w:sz w:val="24"/>
          <w:highlight w:val="none"/>
        </w:rPr>
        <w:t xml:space="preserve">。</w:t>
      </w:r>
      <w:r/>
    </w:p>
    <w:p>
      <w:pPr>
        <w:rPr>
          <w:rFonts w:hint="eastAsia"/>
        </w:rPr>
      </w:pPr>
      <w:r>
        <w:rPr>
          <w:rFonts w:hint="eastAsia"/>
        </w:rPr>
      </w:r>
      <w:r/>
    </w:p>
    <w:p>
      <w:pPr>
        <w:pStyle w:val="851"/>
        <w:rPr>
          <w:rFonts w:hint="eastAsia"/>
        </w:rPr>
      </w:pPr>
      <w:r>
        <w:rPr>
          <w:rFonts w:hint="eastAsia"/>
        </w:rPr>
      </w:r>
      <w:r/>
    </w:p>
    <w:p>
      <w:pPr>
        <w:pStyle w:val="1029"/>
        <w:spacing w:before="240" w:after="240" w:line="360" w:lineRule="atLeast"/>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四、技术要求</w:t>
      </w:r>
      <w:r/>
    </w:p>
    <w:p>
      <w:pPr>
        <w:ind w:firstLine="420"/>
        <w:keepLines/>
        <w:keepNext/>
        <w:spacing w:line="360" w:lineRule="atLeast"/>
        <w:rPr>
          <w:rFonts w:hint="eastAsia" w:ascii="宋体" w:hAnsi="宋体" w:cs="宋体"/>
          <w:b/>
          <w:bCs/>
          <w:color w:val="auto"/>
          <w:sz w:val="24"/>
          <w:highlight w:val="none"/>
        </w:rPr>
      </w:pPr>
      <w:r>
        <w:rPr>
          <w:rFonts w:hint="eastAsia" w:ascii="宋体" w:hAnsi="宋体" w:cs="宋体"/>
          <w:b/>
          <w:bCs/>
          <w:color w:val="auto"/>
          <w:sz w:val="24"/>
          <w:highlight w:val="none"/>
        </w:rPr>
        <w:t xml:space="preserve">指标按重要性分为“★”、“#”。★代表实质性指标，不满足该指标项将导致投标无效。#代表重要指标。</w:t>
      </w:r>
      <w:r/>
    </w:p>
    <w:tbl>
      <w:tblPr>
        <w:tblStyle w:val="850"/>
        <w:tblW w:w="967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80"/>
        <w:gridCol w:w="1080"/>
        <w:gridCol w:w="5370"/>
        <w:gridCol w:w="2145"/>
      </w:tblGrid>
      <w:tr>
        <w:trPr>
          <w:jc w:val="center"/>
          <w:trHeight w:val="500"/>
        </w:trPr>
        <w:tc>
          <w:tcPr>
            <w:tcW w:w="108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实质性指标</w:t>
            </w:r>
            <w:r/>
          </w:p>
        </w:tc>
        <w:tc>
          <w:tcPr>
            <w:tcW w:w="108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重要指标</w:t>
            </w:r>
            <w:r/>
          </w:p>
        </w:tc>
        <w:tc>
          <w:tcPr>
            <w:tcW w:w="537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详细技术要求</w:t>
            </w:r>
            <w:r/>
          </w:p>
        </w:tc>
        <w:tc>
          <w:tcPr>
            <w:tcW w:w="2145" w:type="dxa"/>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证明材料要求</w:t>
            </w:r>
            <w:r/>
          </w:p>
        </w:tc>
      </w:tr>
      <w:tr>
        <w:trPr>
          <w:jc w:val="center"/>
          <w:trHeight w:val="500"/>
        </w:trPr>
        <w:tc>
          <w:tcPr>
            <w:tcW w:w="1080" w:type="dxa"/>
            <w:vAlign w:val="center"/>
            <w:textDirection w:val="lrTb"/>
            <w:noWrap w:val="false"/>
          </w:tcPr>
          <w:p>
            <w:pPr>
              <w:jc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sz w:val="20"/>
                <w:szCs w:val="20"/>
                <w:highlight w:val="none"/>
                <w:u w:val="none"/>
              </w:rPr>
            </w:r>
            <w:r/>
          </w:p>
        </w:tc>
        <w:tc>
          <w:tcPr>
            <w:tcW w:w="1080" w:type="dxa"/>
            <w:vAlign w:val="center"/>
            <w:textDirection w:val="lrTb"/>
            <w:noWrap w:val="false"/>
          </w:tcPr>
          <w:p>
            <w:pPr>
              <w:jc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门卫室：</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9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环形岛台：5200*800*600mm，1、人造石台面</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2、E0级多层板柜体,甲醛含量≤1.2mg/L，具有防水、防烫、防污、防酸、防碱、</w:t>
            </w:r>
            <w:r>
              <w:rPr>
                <w:rFonts w:hint="eastAsia" w:ascii="宋体" w:hAnsi="宋体" w:cs="宋体"/>
                <w:i w:val="0"/>
                <w:iCs w:val="0"/>
                <w:color w:val="auto"/>
                <w:sz w:val="20"/>
                <w:szCs w:val="20"/>
                <w:highlight w:val="none"/>
                <w:u w:val="none"/>
                <w:lang w:val="en-US" w:eastAsia="zh-CN" w:bidi="ar"/>
              </w:rPr>
              <w:t xml:space="preserve">防火；五金配件</w:t>
            </w:r>
            <w:r>
              <w:rPr>
                <w:rFonts w:hint="eastAsia" w:ascii="宋体" w:hAnsi="宋体" w:eastAsia="宋体" w:cs="宋体"/>
                <w:i w:val="0"/>
                <w:iCs w:val="0"/>
                <w:color w:val="auto"/>
                <w:sz w:val="20"/>
                <w:szCs w:val="20"/>
                <w:highlight w:val="none"/>
                <w:u w:val="none"/>
                <w:lang w:val="en-US" w:eastAsia="zh-CN" w:bidi="ar"/>
              </w:rPr>
              <w:t xml:space="preserve">：锁具、导轨和门铰。</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器械柜：2300*1200*500mm，E0级多层板柜体,甲醛含量≤1.2mg/L，具有防水、防烫、防污、防酸、防碱、</w:t>
            </w:r>
            <w:r>
              <w:rPr>
                <w:rFonts w:hint="eastAsia" w:ascii="宋体" w:hAnsi="宋体" w:cs="宋体"/>
                <w:i w:val="0"/>
                <w:iCs w:val="0"/>
                <w:color w:val="auto"/>
                <w:sz w:val="20"/>
                <w:szCs w:val="20"/>
                <w:highlight w:val="none"/>
                <w:u w:val="none"/>
                <w:lang w:val="en-US" w:eastAsia="zh-CN" w:bidi="ar"/>
              </w:rPr>
              <w:t xml:space="preserve">防火；五金配件</w:t>
            </w:r>
            <w:r>
              <w:rPr>
                <w:rFonts w:hint="eastAsia" w:ascii="宋体" w:hAnsi="宋体" w:eastAsia="宋体" w:cs="宋体"/>
                <w:i w:val="0"/>
                <w:iCs w:val="0"/>
                <w:color w:val="auto"/>
                <w:sz w:val="20"/>
                <w:szCs w:val="20"/>
                <w:highlight w:val="none"/>
                <w:u w:val="none"/>
                <w:lang w:val="en-US" w:eastAsia="zh-CN" w:bidi="ar"/>
              </w:rPr>
              <w:t xml:space="preserve">：锁具、导轨和门铰。</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单人床：采用实木，表面平整光滑，无结疤，整体结构结实耐用。油漆采用</w:t>
            </w:r>
            <w:r>
              <w:rPr>
                <w:rFonts w:hint="eastAsia" w:ascii="宋体" w:hAnsi="宋体" w:cs="宋体"/>
                <w:i w:val="0"/>
                <w:iCs w:val="0"/>
                <w:color w:val="auto"/>
                <w:sz w:val="20"/>
                <w:szCs w:val="20"/>
                <w:highlight w:val="none"/>
                <w:u w:val="none"/>
                <w:lang w:val="en-US" w:eastAsia="zh-CN" w:bidi="ar"/>
              </w:rPr>
              <w:t xml:space="preserve">哑光聚脂漆，</w:t>
            </w:r>
            <w:r>
              <w:rPr>
                <w:rFonts w:hint="eastAsia" w:ascii="宋体" w:hAnsi="宋体" w:eastAsia="宋体" w:cs="宋体"/>
                <w:i w:val="0"/>
                <w:iCs w:val="0"/>
                <w:color w:val="auto"/>
                <w:sz w:val="20"/>
                <w:szCs w:val="20"/>
                <w:highlight w:val="none"/>
                <w:u w:val="none"/>
                <w:lang w:val="en-US" w:eastAsia="zh-CN" w:bidi="ar"/>
              </w:rPr>
              <w:t xml:space="preserve">油漆无颗粒，无气泡，无渣点，颜色均匀。1500*2000mm</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收纳柜：2500（长）*2000*650mm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E0级多层板柜体,甲醛含量≤1.2mg/L，具有防水、防烫、防污、防酸、防碱、</w:t>
            </w:r>
            <w:r>
              <w:rPr>
                <w:rFonts w:hint="eastAsia" w:ascii="宋体" w:hAnsi="宋体" w:cs="宋体"/>
                <w:i w:val="0"/>
                <w:iCs w:val="0"/>
                <w:color w:val="auto"/>
                <w:sz w:val="20"/>
                <w:szCs w:val="20"/>
                <w:highlight w:val="none"/>
                <w:u w:val="none"/>
                <w:lang w:val="en-US" w:eastAsia="zh-CN" w:bidi="ar"/>
              </w:rPr>
              <w:t xml:space="preserve">防火；五金配件</w:t>
            </w:r>
            <w:r>
              <w:rPr>
                <w:rFonts w:hint="eastAsia" w:ascii="宋体" w:hAnsi="宋体" w:eastAsia="宋体" w:cs="宋体"/>
                <w:i w:val="0"/>
                <w:iCs w:val="0"/>
                <w:color w:val="auto"/>
                <w:sz w:val="20"/>
                <w:szCs w:val="20"/>
                <w:highlight w:val="none"/>
                <w:u w:val="none"/>
                <w:lang w:val="en-US" w:eastAsia="zh-CN" w:bidi="ar"/>
              </w:rPr>
              <w:t xml:space="preserve">：锁具、导轨和门铰。</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厨房岛台：800*600*2000mm，1、人造石台面</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2、E0级多层板柜体,甲醛含量≤1.2mg/L，具有防水、防烫、防污、防酸、防碱、</w:t>
            </w:r>
            <w:r>
              <w:rPr>
                <w:rFonts w:hint="eastAsia" w:ascii="宋体" w:hAnsi="宋体" w:cs="宋体"/>
                <w:i w:val="0"/>
                <w:iCs w:val="0"/>
                <w:color w:val="auto"/>
                <w:sz w:val="20"/>
                <w:szCs w:val="20"/>
                <w:highlight w:val="none"/>
                <w:u w:val="none"/>
                <w:lang w:val="en-US" w:eastAsia="zh-CN" w:bidi="ar"/>
              </w:rPr>
              <w:t xml:space="preserve">防火；五金配件</w:t>
            </w:r>
            <w:r>
              <w:rPr>
                <w:rFonts w:hint="eastAsia" w:ascii="宋体" w:hAnsi="宋体" w:eastAsia="宋体" w:cs="宋体"/>
                <w:i w:val="0"/>
                <w:iCs w:val="0"/>
                <w:color w:val="auto"/>
                <w:sz w:val="20"/>
                <w:szCs w:val="20"/>
                <w:highlight w:val="none"/>
                <w:u w:val="none"/>
                <w:lang w:val="en-US" w:eastAsia="zh-CN" w:bidi="ar"/>
              </w:rPr>
              <w:t xml:space="preserve">：锁具、导轨和门铰。</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电磁炉：尺寸：350×280×60mm，功率220V，额定功率3000W</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电饭煲：容量3L</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微波炉：900W微波</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电热水器：60L，一级能耗，加热功率3300W</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隔离室：</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1.2米观察床：床头、尾板：采用铝合金扁管加彩色防火板制作。</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床框：40*80*1.5mm方管制作。</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床面：采用1.2毫米的冷轧ST14钢板一次冲压成型，特别设计的模具冲压，使床板承载能力更佳。</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床脚：采用方管喷塑，并配防滑脚套。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护栏：折叠式铝合金护栏，带有锁件。护栏上下支架铁件为全套模具化冲压件。</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摇手：，结构采用精密装珠轴承加含油铜罗母，并且有双向打滑限位功能，经过全封闭处理，无灰尘进入。</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床主体：碳钢制造，经过除油→水洗→除锈→水洗→水洗→表调→磷化→水洗→钝化→烘干→静电喷塑→180℃高温固化→冷却多道工序处理，使其整体不腐蚀，不生锈，不潮湿，经久耐用，并带有杂物架，引流钩。</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书柜：1、材质：橡木</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2、采用橡木，表面平整光滑，无结疤，整体结构结实耐用。油漆采用</w:t>
            </w:r>
            <w:r>
              <w:rPr>
                <w:rFonts w:hint="eastAsia" w:ascii="宋体" w:hAnsi="宋体" w:cs="宋体"/>
                <w:i w:val="0"/>
                <w:iCs w:val="0"/>
                <w:color w:val="auto"/>
                <w:sz w:val="20"/>
                <w:szCs w:val="20"/>
                <w:highlight w:val="none"/>
                <w:u w:val="none"/>
                <w:lang w:val="en-US" w:eastAsia="zh-CN" w:bidi="ar"/>
              </w:rPr>
              <w:t xml:space="preserve">哑光聚脂漆，</w:t>
            </w:r>
            <w:r>
              <w:rPr>
                <w:rFonts w:hint="eastAsia" w:ascii="宋体" w:hAnsi="宋体" w:eastAsia="宋体" w:cs="宋体"/>
                <w:i w:val="0"/>
                <w:iCs w:val="0"/>
                <w:color w:val="auto"/>
                <w:sz w:val="20"/>
                <w:szCs w:val="20"/>
                <w:highlight w:val="none"/>
                <w:u w:val="none"/>
                <w:lang w:val="en-US" w:eastAsia="zh-CN" w:bidi="ar"/>
              </w:rPr>
              <w:t xml:space="preserve">油漆无颗粒，无气泡，无渣点，颜色均匀。</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3、1220*300*750mm</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玩具柜：1、材质：橡木</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2、采用橡木，表面平整光滑，无结疤，整体结构结实耐用。油漆采用</w:t>
            </w:r>
            <w:r>
              <w:rPr>
                <w:rFonts w:hint="eastAsia" w:ascii="宋体" w:hAnsi="宋体" w:cs="宋体"/>
                <w:i w:val="0"/>
                <w:iCs w:val="0"/>
                <w:color w:val="auto"/>
                <w:sz w:val="20"/>
                <w:szCs w:val="20"/>
                <w:highlight w:val="none"/>
                <w:u w:val="none"/>
                <w:lang w:val="en-US" w:eastAsia="zh-CN" w:bidi="ar"/>
              </w:rPr>
              <w:t xml:space="preserve">哑光聚脂漆，</w:t>
            </w:r>
            <w:r>
              <w:rPr>
                <w:rFonts w:hint="eastAsia" w:ascii="宋体" w:hAnsi="宋体" w:eastAsia="宋体" w:cs="宋体"/>
                <w:i w:val="0"/>
                <w:iCs w:val="0"/>
                <w:color w:val="auto"/>
                <w:sz w:val="20"/>
                <w:szCs w:val="20"/>
                <w:highlight w:val="none"/>
                <w:u w:val="none"/>
                <w:lang w:val="en-US" w:eastAsia="zh-CN" w:bidi="ar"/>
              </w:rPr>
              <w:t xml:space="preserve">油漆无颗粒，无气泡，无渣点，颜色均匀。</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3、1220*300*750mm</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玩具桌：采用实木，表面平整光滑，无结疤，整体结构结实耐用。油漆采用</w:t>
            </w:r>
            <w:r>
              <w:rPr>
                <w:rFonts w:hint="eastAsia" w:ascii="宋体" w:hAnsi="宋体" w:cs="宋体"/>
                <w:i w:val="0"/>
                <w:iCs w:val="0"/>
                <w:color w:val="auto"/>
                <w:sz w:val="20"/>
                <w:szCs w:val="20"/>
                <w:highlight w:val="none"/>
                <w:u w:val="none"/>
                <w:lang w:val="en-US" w:eastAsia="zh-CN" w:bidi="ar"/>
              </w:rPr>
              <w:t xml:space="preserve">哑光聚脂漆，</w:t>
            </w:r>
            <w:r>
              <w:rPr>
                <w:rFonts w:hint="eastAsia" w:ascii="宋体" w:hAnsi="宋体" w:eastAsia="宋体" w:cs="宋体"/>
                <w:i w:val="0"/>
                <w:iCs w:val="0"/>
                <w:color w:val="auto"/>
                <w:sz w:val="20"/>
                <w:szCs w:val="20"/>
                <w:highlight w:val="none"/>
                <w:u w:val="none"/>
                <w:lang w:val="en-US" w:eastAsia="zh-CN" w:bidi="ar"/>
              </w:rPr>
              <w:t xml:space="preserve">油漆无颗粒，无气泡，无渣点，颜色均匀。</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800*800*520mm</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移动消毒灯：手动灯车，2根紫外线灯管，60W</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消毒柜：不小于290L</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国标二星消毒</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大厅：</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异形沙发：长3500*宽1400mm；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实木框架，表面经除水、防蛀、烘干处理，编织袋打底，蛇形簧造型，多层高密度高回弹棉布艺。</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造型书柜：E0级多层板,甲醛含量≤1.2mg/L，具有防水、防烫、防污、防酸、防碱、</w:t>
            </w:r>
            <w:r>
              <w:rPr>
                <w:rFonts w:hint="eastAsia" w:ascii="宋体" w:hAnsi="宋体" w:cs="宋体"/>
                <w:i w:val="0"/>
                <w:iCs w:val="0"/>
                <w:color w:val="auto"/>
                <w:sz w:val="20"/>
                <w:szCs w:val="20"/>
                <w:highlight w:val="none"/>
                <w:u w:val="none"/>
                <w:lang w:val="en-US" w:eastAsia="zh-CN" w:bidi="ar"/>
              </w:rPr>
              <w:t xml:space="preserve">防火；五金配件</w:t>
            </w:r>
            <w:r>
              <w:rPr>
                <w:rFonts w:hint="eastAsia" w:ascii="宋体" w:hAnsi="宋体" w:eastAsia="宋体" w:cs="宋体"/>
                <w:i w:val="0"/>
                <w:iCs w:val="0"/>
                <w:color w:val="auto"/>
                <w:sz w:val="20"/>
                <w:szCs w:val="20"/>
                <w:highlight w:val="none"/>
                <w:u w:val="none"/>
                <w:lang w:val="en-US" w:eastAsia="zh-CN" w:bidi="ar"/>
              </w:rPr>
              <w:t xml:space="preserve">：锁具、导轨和门铰。</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展示柜：E0级多层板,甲醛含量≤1.2mg/L，具有防水、防烫、防污、防酸、防碱、</w:t>
            </w:r>
            <w:r>
              <w:rPr>
                <w:rFonts w:hint="eastAsia" w:ascii="宋体" w:hAnsi="宋体" w:cs="宋体"/>
                <w:i w:val="0"/>
                <w:iCs w:val="0"/>
                <w:color w:val="auto"/>
                <w:sz w:val="20"/>
                <w:szCs w:val="20"/>
                <w:highlight w:val="none"/>
                <w:u w:val="none"/>
                <w:lang w:val="en-US" w:eastAsia="zh-CN" w:bidi="ar"/>
              </w:rPr>
              <w:t xml:space="preserve">防火；五金配件</w:t>
            </w:r>
            <w:r>
              <w:rPr>
                <w:rFonts w:hint="eastAsia" w:ascii="宋体" w:hAnsi="宋体" w:eastAsia="宋体" w:cs="宋体"/>
                <w:i w:val="0"/>
                <w:iCs w:val="0"/>
                <w:color w:val="auto"/>
                <w:sz w:val="20"/>
                <w:szCs w:val="20"/>
                <w:highlight w:val="none"/>
                <w:u w:val="none"/>
                <w:lang w:val="en-US" w:eastAsia="zh-CN" w:bidi="ar"/>
              </w:rPr>
              <w:t xml:space="preserve">：锁具、导轨和门铰。</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长6000*高2200*深度400mm</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保健室：</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办公桌：1200*600*760mm,饰面：采用三聚氰胺浸渍胶膜纸，依据GB 18584-2024《室内装饰装修材料木家具中有害物质限量》。 </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基材：采用不低于E0级刨花板，依据GB/T 17657-2022《人造板及饰面人造板理化性能试验方法》；GB/T 39600-2021《人造板及其制品甲醛释放量分级》；</w:t>
            </w:r>
            <w:r>
              <w:rPr>
                <w:rFonts w:hint="eastAsia" w:ascii="宋体" w:hAnsi="宋体" w:cs="宋体"/>
                <w:color w:val="auto"/>
                <w:sz w:val="20"/>
                <w:szCs w:val="20"/>
                <w:highlight w:val="none"/>
                <w:u w:val="none"/>
                <w:lang w:bidi="ar"/>
              </w:rPr>
              <w:t xml:space="preserve"> GB/T 35601-2024</w:t>
            </w:r>
            <w:r>
              <w:rPr>
                <w:rFonts w:hint="eastAsia" w:ascii="宋体" w:hAnsi="宋体" w:eastAsia="宋体" w:cs="宋体"/>
                <w:i w:val="0"/>
                <w:iCs w:val="0"/>
                <w:color w:val="auto"/>
                <w:sz w:val="20"/>
                <w:szCs w:val="20"/>
                <w:highlight w:val="none"/>
                <w:u w:val="none"/>
                <w:lang w:val="en-US" w:eastAsia="zh-CN" w:bidi="ar"/>
              </w:rPr>
              <w:t xml:space="preserve">《绿色产品评价人造板和木质地板》；QB/T 4371-2012《家具抗菌性能的评价》；GB 8624-2012《建筑材料及制品燃烧性能分级》；</w:t>
            </w:r>
            <w:r>
              <w:rPr>
                <w:rFonts w:hint="eastAsia" w:ascii="宋体" w:hAnsi="宋体" w:cs="宋体"/>
                <w:color w:val="auto"/>
                <w:sz w:val="20"/>
                <w:szCs w:val="20"/>
                <w:highlight w:val="none"/>
                <w:u w:val="none"/>
                <w:lang w:bidi="ar"/>
              </w:rPr>
              <w:t xml:space="preserve">GB 18584-2024</w:t>
            </w:r>
            <w:r>
              <w:rPr>
                <w:rFonts w:hint="eastAsia" w:ascii="宋体" w:hAnsi="宋体" w:eastAsia="宋体" w:cs="宋体"/>
                <w:i w:val="0"/>
                <w:iCs w:val="0"/>
                <w:color w:val="auto"/>
                <w:sz w:val="20"/>
                <w:szCs w:val="20"/>
                <w:highlight w:val="none"/>
                <w:u w:val="none"/>
                <w:lang w:val="en-US" w:eastAsia="zh-CN" w:bidi="ar"/>
              </w:rPr>
              <w:t xml:space="preserve">《室内装饰装修材料木家具中有害物质限量》；GB/T 4897-2015《刨花板》；外观质量至少4项检测，含水率3%～8%，静曲强度≥15MPa，弹性模量≥2000MPa，内胶合强度≥0.55MPa，表面胶合强度≥1.5MPa，2h吸水厚度膨胀率≤3%，板边握螺钉力≥1400N，板面握螺钉力≥1600N，密度≥0.75g/cm³，甲醛释放量≤0.05mg/m³，总挥发性有机化合物≤20㎍/m³，防霉菌等级0级或1级，60s内无燃烧滴落物引燃滤纸现象。</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封边：采用</w:t>
            </w:r>
            <w:r>
              <w:rPr>
                <w:rFonts w:hint="eastAsia" w:ascii="宋体" w:hAnsi="宋体" w:cs="宋体"/>
                <w:i w:val="0"/>
                <w:iCs w:val="0"/>
                <w:color w:val="auto"/>
                <w:sz w:val="20"/>
                <w:szCs w:val="20"/>
                <w:highlight w:val="none"/>
                <w:u w:val="none"/>
                <w:lang w:val="en-US" w:eastAsia="zh-CN" w:bidi="ar"/>
              </w:rPr>
              <w:t xml:space="preserve">ABS</w:t>
            </w:r>
            <w:r>
              <w:rPr>
                <w:rFonts w:hint="eastAsia" w:ascii="宋体" w:hAnsi="宋体" w:eastAsia="宋体" w:cs="宋体"/>
                <w:i w:val="0"/>
                <w:iCs w:val="0"/>
                <w:color w:val="auto"/>
                <w:sz w:val="20"/>
                <w:szCs w:val="20"/>
                <w:highlight w:val="none"/>
                <w:u w:val="none"/>
                <w:lang w:val="en-US" w:eastAsia="zh-CN" w:bidi="ar"/>
              </w:rPr>
              <w:t xml:space="preserve">激光封边条，依据</w:t>
            </w:r>
            <w:r>
              <w:rPr>
                <w:rFonts w:hint="eastAsia" w:ascii="宋体" w:hAnsi="宋体" w:cs="宋体"/>
                <w:i w:val="0"/>
                <w:iCs w:val="0"/>
                <w:color w:val="auto"/>
                <w:sz w:val="20"/>
                <w:szCs w:val="20"/>
                <w:highlight w:val="none"/>
                <w:u w:val="none"/>
                <w:lang w:val="en-US" w:eastAsia="zh-CN" w:bidi="ar"/>
              </w:rPr>
              <w:t xml:space="preserve">QB/T 4463-2025</w:t>
            </w:r>
            <w:r>
              <w:rPr>
                <w:rFonts w:hint="eastAsia" w:ascii="宋体" w:hAnsi="宋体" w:eastAsia="宋体" w:cs="宋体"/>
                <w:i w:val="0"/>
                <w:iCs w:val="0"/>
                <w:color w:val="auto"/>
                <w:sz w:val="20"/>
                <w:szCs w:val="20"/>
                <w:highlight w:val="none"/>
                <w:u w:val="none"/>
                <w:lang w:val="en-US" w:eastAsia="zh-CN" w:bidi="ar"/>
              </w:rPr>
              <w:t xml:space="preserve">《家具用封边条技术要求》；GB/T 24128-2018《塑料 塑料防霉剂的防霉效果评估》</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cs="宋体"/>
                <w:color w:val="auto"/>
                <w:sz w:val="20"/>
                <w:szCs w:val="20"/>
                <w:highlight w:val="none"/>
                <w:u w:val="none"/>
                <w:lang w:bidi="ar"/>
              </w:rPr>
              <w:t xml:space="preserve">GB 18584-2024</w:t>
            </w:r>
            <w:r>
              <w:rPr>
                <w:rFonts w:hint="eastAsia" w:ascii="宋体" w:hAnsi="宋体" w:eastAsia="宋体" w:cs="宋体"/>
                <w:i w:val="0"/>
                <w:iCs w:val="0"/>
                <w:color w:val="auto"/>
                <w:sz w:val="20"/>
                <w:szCs w:val="20"/>
                <w:highlight w:val="none"/>
                <w:u w:val="none"/>
                <w:lang w:val="en-US" w:eastAsia="zh-CN" w:bidi="ar"/>
              </w:rPr>
              <w:t xml:space="preserve">《塑料家具中有害物质限量》标准；厚度≥1.8mm。压纹（压花）表面有统一的花式。耐开裂性1级，耐老化性无开裂，甲醛释放量≤0.5mg/L，防霉等级0级或1级，16种多环芳烃（PAH）总量≤5mg/kg。 </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热熔胶：选用</w:t>
            </w:r>
            <w:r>
              <w:rPr>
                <w:rFonts w:hint="eastAsia" w:ascii="宋体" w:hAnsi="宋体" w:cs="宋体"/>
                <w:i w:val="0"/>
                <w:iCs w:val="0"/>
                <w:color w:val="auto"/>
                <w:sz w:val="20"/>
                <w:szCs w:val="20"/>
                <w:highlight w:val="none"/>
                <w:u w:val="none"/>
                <w:lang w:val="en-US" w:eastAsia="zh-CN" w:bidi="ar"/>
              </w:rPr>
              <w:t xml:space="preserve">环保</w:t>
            </w:r>
            <w:r>
              <w:rPr>
                <w:rFonts w:hint="eastAsia" w:ascii="宋体" w:hAnsi="宋体" w:eastAsia="宋体" w:cs="宋体"/>
                <w:i w:val="0"/>
                <w:iCs w:val="0"/>
                <w:color w:val="auto"/>
                <w:sz w:val="20"/>
                <w:szCs w:val="20"/>
                <w:highlight w:val="none"/>
                <w:u w:val="none"/>
                <w:lang w:val="en-US" w:eastAsia="zh-CN" w:bidi="ar"/>
              </w:rPr>
              <w:t xml:space="preserve">热熔胶，依据GB18583-2008《室内装饰装修材料胶粘剂中有害物质限量》﹔HJ2541-2016《环境标志产品技术要求胶粘剂》标准；游离甲醛≤0.1g/kg，苯≤0.02g/kg，甲苯≤0.02g/kg，二甲苯≤0.02g/kg，总挥发性有机物≤5g/L，游离甲苯二异氰酸酯≤1g/kg。 </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五金配件：采用品牌五金配件，导轨依据GB/T 10125-2021《人造气氛腐蚀试验盐雾试验》；QB/T 3832- 1999《轻工产品金属镀层腐蚀试验结果的评价》；</w:t>
            </w:r>
            <w:r>
              <w:rPr>
                <w:rFonts w:hint="eastAsia" w:ascii="宋体" w:hAnsi="宋体" w:cs="宋体"/>
                <w:color w:val="auto"/>
                <w:sz w:val="20"/>
                <w:szCs w:val="20"/>
                <w:highlight w:val="none"/>
                <w:u w:val="none"/>
                <w:lang w:bidi="ar"/>
              </w:rPr>
              <w:t xml:space="preserve"> GB/T 24170.1-2023</w:t>
            </w:r>
            <w:r>
              <w:rPr>
                <w:rFonts w:hint="eastAsia" w:ascii="宋体" w:hAnsi="宋体" w:eastAsia="宋体" w:cs="宋体"/>
                <w:i w:val="0"/>
                <w:iCs w:val="0"/>
                <w:color w:val="auto"/>
                <w:sz w:val="20"/>
                <w:szCs w:val="20"/>
                <w:highlight w:val="none"/>
                <w:u w:val="none"/>
                <w:lang w:val="en-US" w:eastAsia="zh-CN" w:bidi="ar"/>
              </w:rPr>
              <w:t xml:space="preserve">《表</w:t>
            </w:r>
            <w:r>
              <w:rPr>
                <w:rFonts w:hint="eastAsia" w:ascii="宋体" w:hAnsi="宋体" w:eastAsia="宋体" w:cs="宋体"/>
                <w:i w:val="0"/>
                <w:iCs w:val="0"/>
                <w:color w:val="auto"/>
                <w:sz w:val="20"/>
                <w:szCs w:val="20"/>
                <w:highlight w:val="none"/>
                <w:u w:val="none"/>
                <w:lang w:val="en-US" w:eastAsia="zh-CN" w:bidi="ar"/>
              </w:rPr>
              <w:t xml:space="preserve">面抗菌不锈钢第1部分:电化学法》； QB/T 2454-2013《家具五金抽屉导轨》检测标准；中性盐雾试验≥500h，镀层本身的耐腐蚀等级≥10级，镀层对基体的保护等级≥10级；乙酸盐雾试验≥250h，镀层本身的耐腐蚀等级≥10级，镀层对基体的保护等级≥10级；耐久性≥12万次检测合格，抗菌性能（抗菌率）≥99%。铰链依据QB/T 2189-2013《家具五金杯状暗铰链》；GB/T 10125 -2021《人造气氛腐蚀试验盐雾 试验》； QB/T 3832-1999 《轻工产品金属镀层腐蚀试验结果的评价》；</w:t>
            </w:r>
            <w:r>
              <w:rPr>
                <w:rFonts w:hint="eastAsia" w:ascii="宋体" w:hAnsi="宋体" w:cs="宋体"/>
                <w:color w:val="auto"/>
                <w:sz w:val="20"/>
                <w:szCs w:val="20"/>
                <w:highlight w:val="none"/>
                <w:u w:val="none"/>
                <w:lang w:bidi="ar"/>
              </w:rPr>
              <w:t xml:space="preserve">GB/T 24170.1-2023</w:t>
            </w:r>
            <w:r>
              <w:rPr>
                <w:rFonts w:hint="eastAsia" w:ascii="宋体" w:hAnsi="宋体" w:eastAsia="宋体" w:cs="宋体"/>
                <w:i w:val="0"/>
                <w:iCs w:val="0"/>
                <w:color w:val="auto"/>
                <w:sz w:val="20"/>
                <w:szCs w:val="20"/>
                <w:highlight w:val="none"/>
                <w:u w:val="none"/>
                <w:lang w:val="en-US" w:eastAsia="zh-CN" w:bidi="ar"/>
              </w:rPr>
              <w:t xml:space="preserve">《表面抗菌不锈钢第1部分:电化学法》检测标准；中性盐雾试验≥500h，镀层本身的耐腐蚀等级≥10级，镀层对基体的保护等级≥10级；乙酸盐雾试验≥250h，镀层本身的耐腐蚀等级≥10级，镀层对基体的保护等级≥10级；耐久性≥12万次检测合格，安装B型试验门时，下沉量不大于1.5mm，抗菌性能（抗菌率）≥99%。</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办公椅：1、面料：</w:t>
            </w:r>
            <w:r>
              <w:rPr>
                <w:rFonts w:hint="eastAsia" w:ascii="宋体" w:hAnsi="宋体" w:cs="宋体"/>
                <w:i w:val="0"/>
                <w:iCs w:val="0"/>
                <w:color w:val="auto"/>
                <w:sz w:val="20"/>
                <w:szCs w:val="20"/>
                <w:highlight w:val="none"/>
                <w:u w:val="none"/>
                <w:lang w:val="en-US" w:eastAsia="zh-CN" w:bidi="ar"/>
              </w:rPr>
              <w:t xml:space="preserve">网布</w:t>
            </w:r>
            <w:r>
              <w:rPr>
                <w:rFonts w:hint="eastAsia" w:ascii="宋体" w:hAnsi="宋体" w:eastAsia="宋体" w:cs="宋体"/>
                <w:i w:val="0"/>
                <w:iCs w:val="0"/>
                <w:color w:val="auto"/>
                <w:sz w:val="20"/>
                <w:szCs w:val="20"/>
                <w:highlight w:val="none"/>
                <w:u w:val="none"/>
                <w:lang w:val="en-US" w:eastAsia="zh-CN" w:bidi="ar"/>
              </w:rPr>
              <w:t xml:space="preserve">，依据</w:t>
            </w:r>
            <w:r>
              <w:rPr>
                <w:rFonts w:hint="eastAsia" w:ascii="宋体" w:hAnsi="宋体" w:cs="宋体"/>
                <w:color w:val="auto"/>
                <w:sz w:val="20"/>
                <w:szCs w:val="20"/>
                <w:highlight w:val="none"/>
                <w:u w:val="none"/>
                <w:lang w:bidi="ar"/>
              </w:rPr>
              <w:t xml:space="preserve">GB 18401-2023</w:t>
            </w:r>
            <w:r>
              <w:rPr>
                <w:rFonts w:hint="eastAsia" w:ascii="宋体" w:hAnsi="宋体" w:eastAsia="宋体" w:cs="宋体"/>
                <w:i w:val="0"/>
                <w:iCs w:val="0"/>
                <w:color w:val="auto"/>
                <w:sz w:val="20"/>
                <w:szCs w:val="20"/>
                <w:highlight w:val="none"/>
                <w:u w:val="none"/>
                <w:lang w:val="en-US" w:eastAsia="zh-CN" w:bidi="ar"/>
              </w:rPr>
              <w:t xml:space="preserve">《国家纺织产品基本安全技术规范》；GB/T 31713-2015《抗菌纺织品安全性卫生要求》；GB/T 24346-2009《纺织品 防霉性能的评价》﹔</w:t>
            </w:r>
            <w:r>
              <w:rPr>
                <w:rFonts w:hint="eastAsia" w:ascii="宋体" w:hAnsi="宋体" w:cs="宋体"/>
                <w:color w:val="auto"/>
                <w:sz w:val="20"/>
                <w:szCs w:val="20"/>
                <w:highlight w:val="none"/>
                <w:u w:val="none"/>
                <w:lang w:bidi="ar"/>
              </w:rPr>
              <w:t xml:space="preserve">GB 17927-2024</w:t>
            </w:r>
            <w:r>
              <w:rPr>
                <w:rFonts w:hint="eastAsia" w:ascii="宋体" w:hAnsi="宋体" w:eastAsia="宋体" w:cs="宋体"/>
                <w:i w:val="0"/>
                <w:iCs w:val="0"/>
                <w:color w:val="auto"/>
                <w:sz w:val="20"/>
                <w:szCs w:val="20"/>
                <w:highlight w:val="none"/>
                <w:u w:val="none"/>
                <w:lang w:val="en-US" w:eastAsia="zh-CN" w:bidi="ar"/>
              </w:rPr>
              <w:t xml:space="preserve">《软体家具 床垫和沙发抗引燃特性的 评定第1部分:阴燃的香烟》﹔</w:t>
            </w:r>
            <w:r>
              <w:rPr>
                <w:rFonts w:hint="eastAsia" w:ascii="宋体" w:hAnsi="宋体" w:cs="宋体"/>
                <w:color w:val="auto"/>
                <w:sz w:val="20"/>
                <w:szCs w:val="20"/>
                <w:highlight w:val="none"/>
                <w:u w:val="none"/>
                <w:lang w:bidi="ar"/>
              </w:rPr>
              <w:t xml:space="preserve">GB/T 35607-2024</w:t>
            </w:r>
            <w:r>
              <w:rPr>
                <w:rFonts w:hint="eastAsia" w:ascii="宋体" w:hAnsi="宋体" w:eastAsia="宋体" w:cs="宋体"/>
                <w:i w:val="0"/>
                <w:iCs w:val="0"/>
                <w:color w:val="auto"/>
                <w:sz w:val="20"/>
                <w:szCs w:val="20"/>
                <w:highlight w:val="none"/>
                <w:u w:val="none"/>
                <w:lang w:val="en-US" w:eastAsia="zh-CN" w:bidi="ar"/>
              </w:rPr>
              <w:t xml:space="preserve">《绿色产品评价 家具》；FZ/T 62011.3-2016《布艺类产品 第3部分:家具用纺织品》标准；甲醛含量≤20mg/kg，可分解致癌芳香胺染料未检出，抗菌性能（抑菌率）≥99%，防霉等级0级或1级，产品有害物质（纺织品、皮革中五氯苯酚（PCP））≤0.5mg/kg，沾色-聚酯纤维≥4级。</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2、海绵：</w:t>
            </w:r>
            <w:r>
              <w:rPr>
                <w:rFonts w:hint="eastAsia" w:ascii="宋体" w:hAnsi="宋体" w:cs="宋体"/>
                <w:i w:val="0"/>
                <w:iCs w:val="0"/>
                <w:color w:val="auto"/>
                <w:sz w:val="20"/>
                <w:szCs w:val="20"/>
                <w:highlight w:val="none"/>
                <w:u w:val="none"/>
                <w:lang w:val="en-US" w:eastAsia="zh-CN" w:bidi="ar"/>
              </w:rPr>
              <w:t xml:space="preserve">采用阻燃高弹海绵</w:t>
            </w:r>
            <w:r>
              <w:rPr>
                <w:rFonts w:hint="eastAsia" w:ascii="宋体" w:hAnsi="宋体" w:eastAsia="宋体" w:cs="宋体"/>
                <w:i w:val="0"/>
                <w:iCs w:val="0"/>
                <w:color w:val="auto"/>
                <w:sz w:val="20"/>
                <w:szCs w:val="20"/>
                <w:highlight w:val="none"/>
                <w:u w:val="none"/>
                <w:lang w:val="en-US" w:eastAsia="zh-CN" w:bidi="ar"/>
              </w:rPr>
              <w:t xml:space="preserve">，依据QB/T 2280-2016《办公家具 办公椅》、GB/T 6343-2009《泡沫塑料及橡胶 表观密度的测定》、</w:t>
            </w:r>
            <w:r>
              <w:rPr>
                <w:rFonts w:hint="eastAsia" w:ascii="宋体" w:hAnsi="宋体" w:cs="宋体"/>
                <w:color w:val="auto"/>
                <w:sz w:val="20"/>
                <w:szCs w:val="20"/>
                <w:highlight w:val="none"/>
                <w:u w:val="none"/>
                <w:lang w:bidi="ar"/>
              </w:rPr>
              <w:t xml:space="preserve"> GB 17927-2024</w:t>
            </w:r>
            <w:r>
              <w:rPr>
                <w:rFonts w:hint="eastAsia" w:ascii="宋体" w:hAnsi="宋体" w:eastAsia="宋体" w:cs="宋体"/>
                <w:i w:val="0"/>
                <w:iCs w:val="0"/>
                <w:color w:val="auto"/>
                <w:sz w:val="20"/>
                <w:szCs w:val="20"/>
                <w:highlight w:val="none"/>
                <w:u w:val="none"/>
                <w:lang w:val="en-US" w:eastAsia="zh-CN" w:bidi="ar"/>
              </w:rPr>
              <w:t xml:space="preserve">《软体家具 床</w:t>
            </w:r>
            <w:r>
              <w:rPr>
                <w:rFonts w:hint="eastAsia" w:ascii="宋体" w:hAnsi="宋体" w:eastAsia="宋体" w:cs="宋体"/>
                <w:i w:val="0"/>
                <w:iCs w:val="0"/>
                <w:color w:val="auto"/>
                <w:sz w:val="20"/>
                <w:szCs w:val="20"/>
                <w:highlight w:val="none"/>
                <w:u w:val="none"/>
                <w:lang w:val="en-US" w:eastAsia="zh-CN" w:bidi="ar"/>
              </w:rPr>
              <w:t xml:space="preserve">垫和沙发抗引燃特性的 评定第1部分：阴燃的香烟》、HJ 2547-2016《环境标志产品技术要求 家具》、QB/T 4371-2012《家具抗菌性能的评价》标准；长度、宽度极限偏差检测合格，厚度极限偏差检测合格，感官要求至少5项检测，物理力学性能（至少包含回弹率≥50%，拉伸强度≥150KPa，伸长率≥168%，撕裂强度≥4.5N/cm，干热老化后拉伸强度≥145KPa），密度≥50kg/m³，甲醛释放量≤0.03mg/m²h，TVOC≤0.05mg/m²h，抗引燃特性阻燃Ⅰ级，抗菌性能（抑菌率）≥95%。</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3、气压棒：依据</w:t>
            </w:r>
            <w:r>
              <w:rPr>
                <w:rFonts w:hint="eastAsia" w:ascii="宋体" w:hAnsi="宋体" w:cs="宋体"/>
                <w:i w:val="0"/>
                <w:iCs w:val="0"/>
                <w:color w:val="auto"/>
                <w:sz w:val="20"/>
                <w:szCs w:val="20"/>
                <w:highlight w:val="none"/>
                <w:u w:val="none"/>
                <w:lang w:val="en-US" w:eastAsia="zh-CN" w:bidi="ar"/>
              </w:rPr>
              <w:t xml:space="preserve">GB/T 29525-2023</w:t>
            </w:r>
            <w:r>
              <w:rPr>
                <w:rFonts w:hint="eastAsia" w:ascii="宋体" w:hAnsi="宋体" w:eastAsia="宋体" w:cs="宋体"/>
                <w:i w:val="0"/>
                <w:iCs w:val="0"/>
                <w:color w:val="auto"/>
                <w:sz w:val="20"/>
                <w:szCs w:val="20"/>
                <w:highlight w:val="none"/>
                <w:u w:val="none"/>
                <w:lang w:val="en-US" w:eastAsia="zh-CN" w:bidi="ar"/>
              </w:rPr>
              <w:t xml:space="preserve">《座椅升降气弹簧 技术条件》；QB/T 2280-2016《办公家具办公椅》标准；金属件镀层应无烧焦、起泡、针孔、裂纹、毛刺、花斑（不包括镀彩锌）和划痕。气弹簧的启动力应小于1.5F3，气弹簧锁定在任意位置，经72h常温储存后，活塞杆不应产生位移。气弹簧经-30℃和60℃高低温储存后，公称力Fa衰减量应不大于5%。行程100mm，公称力Fa的总衰减量应不大于5%。</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4、脚架：</w:t>
            </w:r>
            <w:r>
              <w:rPr>
                <w:rFonts w:hint="eastAsia" w:ascii="宋体" w:hAnsi="宋体" w:cs="宋体"/>
                <w:i w:val="0"/>
                <w:iCs w:val="0"/>
                <w:color w:val="auto"/>
                <w:sz w:val="20"/>
                <w:szCs w:val="20"/>
                <w:highlight w:val="none"/>
                <w:u w:val="none"/>
                <w:lang w:val="en-US" w:eastAsia="zh-CN" w:bidi="ar"/>
              </w:rPr>
              <w:t xml:space="preserve">尼龙</w:t>
            </w:r>
            <w:r>
              <w:rPr>
                <w:rFonts w:hint="eastAsia" w:ascii="宋体" w:hAnsi="宋体" w:eastAsia="宋体" w:cs="宋体"/>
                <w:i w:val="0"/>
                <w:iCs w:val="0"/>
                <w:color w:val="auto"/>
                <w:sz w:val="20"/>
                <w:szCs w:val="20"/>
                <w:highlight w:val="none"/>
                <w:u w:val="none"/>
                <w:lang w:val="en-US" w:eastAsia="zh-CN" w:bidi="ar"/>
              </w:rPr>
              <w:t xml:space="preserve">五星脚架。</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5、脚轮：依据QB/T 4765-2014《家具用脚轮》； </w:t>
            </w:r>
            <w:r>
              <w:rPr>
                <w:rFonts w:hint="eastAsia" w:ascii="宋体" w:hAnsi="宋体" w:cs="宋体"/>
                <w:color w:val="auto"/>
                <w:sz w:val="20"/>
                <w:szCs w:val="20"/>
                <w:highlight w:val="none"/>
                <w:u w:val="none"/>
                <w:lang w:bidi="ar"/>
              </w:rPr>
              <w:t xml:space="preserve">GB 18584-2024</w:t>
            </w:r>
            <w:r>
              <w:rPr>
                <w:rFonts w:hint="eastAsia" w:ascii="宋体" w:hAnsi="宋体" w:eastAsia="宋体" w:cs="宋体"/>
                <w:i w:val="0"/>
                <w:iCs w:val="0"/>
                <w:color w:val="auto"/>
                <w:sz w:val="20"/>
                <w:szCs w:val="20"/>
                <w:highlight w:val="none"/>
                <w:u w:val="none"/>
                <w:lang w:val="en-US" w:eastAsia="zh-CN" w:bidi="ar"/>
              </w:rPr>
              <w:t xml:space="preserve"> 《塑料家具中有害物质限量》；</w:t>
            </w:r>
            <w:r>
              <w:rPr>
                <w:rFonts w:hint="eastAsia" w:ascii="宋体" w:hAnsi="宋体" w:cs="宋体"/>
                <w:color w:val="auto"/>
                <w:sz w:val="20"/>
                <w:szCs w:val="20"/>
                <w:highlight w:val="none"/>
                <w:u w:val="none"/>
                <w:lang w:bidi="ar"/>
              </w:rPr>
              <w:t xml:space="preserve">GB/T 3325-2024</w:t>
            </w:r>
            <w:r>
              <w:rPr>
                <w:rFonts w:hint="eastAsia" w:ascii="宋体" w:hAnsi="宋体" w:eastAsia="宋体" w:cs="宋体"/>
                <w:i w:val="0"/>
                <w:iCs w:val="0"/>
                <w:color w:val="auto"/>
                <w:sz w:val="20"/>
                <w:szCs w:val="20"/>
                <w:highlight w:val="none"/>
                <w:u w:val="none"/>
                <w:lang w:val="en-US" w:eastAsia="zh-CN" w:bidi="ar"/>
              </w:rPr>
              <w:t xml:space="preserve">《金属家具通用技术条件》；GB/T 16422.3-2022《塑料 实验室光源暴露试验方法 第3部分:荧光紫外灯》；</w:t>
            </w:r>
            <w:r>
              <w:rPr>
                <w:rFonts w:hint="eastAsia" w:ascii="宋体" w:hAnsi="宋体" w:cs="宋体"/>
                <w:color w:val="auto"/>
                <w:sz w:val="20"/>
                <w:szCs w:val="20"/>
                <w:highlight w:val="none"/>
                <w:u w:val="none"/>
                <w:lang w:bidi="ar"/>
              </w:rPr>
              <w:t xml:space="preserve">GB/T 35607-2024</w:t>
            </w:r>
            <w:r>
              <w:rPr>
                <w:rFonts w:hint="eastAsia" w:ascii="宋体" w:hAnsi="宋体" w:eastAsia="宋体" w:cs="宋体"/>
                <w:i w:val="0"/>
                <w:iCs w:val="0"/>
                <w:color w:val="auto"/>
                <w:sz w:val="20"/>
                <w:szCs w:val="20"/>
                <w:highlight w:val="none"/>
                <w:u w:val="none"/>
                <w:lang w:val="en-US" w:eastAsia="zh-CN" w:bidi="ar"/>
              </w:rPr>
              <w:t xml:space="preserve">《绿色产品评价 家具》标准；脚轮的轮面光洁，无裂纹、伤痕、毛边等缺陷。抗冲击性、导电性、动载荷、滚动阻力检测合格，实验室光源暴露试验：荧光紫外灯4-5级。产品有害物质（铅、汞）≤1mg/kg。</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档案柜（按场地尺寸定制）带锁：</w:t>
            </w:r>
            <w:r>
              <w:rPr>
                <w:rFonts w:hint="eastAsia" w:ascii="宋体" w:hAnsi="宋体" w:cs="宋体"/>
                <w:i w:val="0"/>
                <w:iCs w:val="0"/>
                <w:color w:val="auto"/>
                <w:sz w:val="20"/>
                <w:szCs w:val="20"/>
                <w:highlight w:val="none"/>
                <w:u w:val="none"/>
                <w:lang w:val="en-US" w:eastAsia="zh-CN" w:bidi="ar"/>
              </w:rPr>
              <w:t xml:space="preserve">W</w:t>
            </w:r>
            <w:r>
              <w:rPr>
                <w:rFonts w:hint="eastAsia" w:ascii="宋体" w:hAnsi="宋体" w:eastAsia="宋体" w:cs="宋体"/>
                <w:i w:val="0"/>
                <w:iCs w:val="0"/>
                <w:color w:val="auto"/>
                <w:sz w:val="20"/>
                <w:szCs w:val="20"/>
                <w:highlight w:val="none"/>
                <w:u w:val="none"/>
                <w:lang w:val="en-US" w:eastAsia="zh-CN" w:bidi="ar"/>
              </w:rPr>
              <w:t xml:space="preserve">900×</w:t>
            </w:r>
            <w:r>
              <w:rPr>
                <w:rFonts w:hint="eastAsia" w:ascii="宋体" w:hAnsi="宋体" w:cs="宋体"/>
                <w:i w:val="0"/>
                <w:iCs w:val="0"/>
                <w:color w:val="auto"/>
                <w:sz w:val="20"/>
                <w:szCs w:val="20"/>
                <w:highlight w:val="none"/>
                <w:u w:val="none"/>
                <w:lang w:val="en-US" w:eastAsia="zh-CN" w:bidi="ar"/>
              </w:rPr>
              <w:t xml:space="preserve">D</w:t>
            </w:r>
            <w:r>
              <w:rPr>
                <w:rFonts w:hint="eastAsia" w:ascii="宋体" w:hAnsi="宋体" w:eastAsia="宋体" w:cs="宋体"/>
                <w:i w:val="0"/>
                <w:iCs w:val="0"/>
                <w:color w:val="auto"/>
                <w:sz w:val="20"/>
                <w:szCs w:val="20"/>
                <w:highlight w:val="none"/>
                <w:u w:val="none"/>
                <w:lang w:val="en-US" w:eastAsia="zh-CN" w:bidi="ar"/>
              </w:rPr>
              <w:t xml:space="preserve">400×</w:t>
            </w:r>
            <w:r>
              <w:rPr>
                <w:rFonts w:hint="eastAsia" w:ascii="宋体" w:hAnsi="宋体" w:cs="宋体"/>
                <w:i w:val="0"/>
                <w:iCs w:val="0"/>
                <w:color w:val="auto"/>
                <w:sz w:val="20"/>
                <w:szCs w:val="20"/>
                <w:highlight w:val="none"/>
                <w:u w:val="none"/>
                <w:lang w:val="en-US" w:eastAsia="zh-CN" w:bidi="ar"/>
              </w:rPr>
              <w:t xml:space="preserve">H</w:t>
            </w:r>
            <w:r>
              <w:rPr>
                <w:rFonts w:hint="eastAsia" w:ascii="宋体" w:hAnsi="宋体" w:eastAsia="宋体" w:cs="宋体"/>
                <w:i w:val="0"/>
                <w:iCs w:val="0"/>
                <w:color w:val="auto"/>
                <w:sz w:val="20"/>
                <w:szCs w:val="20"/>
                <w:highlight w:val="none"/>
                <w:u w:val="none"/>
                <w:lang w:val="en-US" w:eastAsia="zh-CN" w:bidi="ar"/>
              </w:rPr>
              <w:t xml:space="preserve">1850</w:t>
            </w:r>
            <w:r>
              <w:rPr>
                <w:rFonts w:hint="eastAsia" w:ascii="宋体" w:hAnsi="宋体" w:cs="宋体"/>
                <w:i w:val="0"/>
                <w:iCs w:val="0"/>
                <w:color w:val="auto"/>
                <w:sz w:val="20"/>
                <w:szCs w:val="20"/>
                <w:highlight w:val="none"/>
                <w:u w:val="none"/>
                <w:lang w:val="en-US" w:eastAsia="zh-CN" w:bidi="ar"/>
              </w:rPr>
              <w:t xml:space="preserve">mm</w:t>
            </w:r>
            <w:r>
              <w:rPr>
                <w:rFonts w:hint="eastAsia" w:ascii="宋体" w:hAnsi="宋体" w:eastAsia="宋体" w:cs="宋体"/>
                <w:i w:val="0"/>
                <w:iCs w:val="0"/>
                <w:color w:val="auto"/>
                <w:sz w:val="20"/>
                <w:szCs w:val="20"/>
                <w:highlight w:val="none"/>
                <w:u w:val="none"/>
                <w:lang w:val="en-US" w:eastAsia="zh-CN" w:bidi="ar"/>
              </w:rPr>
              <w:t xml:space="preserve">,1.基材：采用品牌厚度0.6mm以上冷轧钢板冲压而成，产品表面经除油、清洗、去锈、磷化清洗、预处理、清洗、钝化等九道工序处理，采用流行色亚光静电喷塑，高温塑化而成。</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2.冷轧钢板通过乙酸盐雾试验，连续喷雾试验≥150小时，镀层本身的耐腐蚀等级及镀层对基体的保护等级达到10级。</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3.喷塑表面平整、光滑，无流挂、起料、皱皮、露底脱落、伤痕等影响质量的缺陷；</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4.耐腐菌性不低于1级，平整度≤0.2mm，翘曲度≤1mm，符合</w:t>
            </w:r>
            <w:r>
              <w:rPr>
                <w:rFonts w:hint="eastAsia" w:ascii="宋体" w:hAnsi="宋体" w:cs="宋体"/>
                <w:color w:val="auto"/>
                <w:sz w:val="20"/>
                <w:szCs w:val="20"/>
                <w:highlight w:val="none"/>
                <w:u w:val="none"/>
                <w:lang w:bidi="ar"/>
              </w:rPr>
              <w:t xml:space="preserve">GB/T 3325-2024</w:t>
            </w:r>
            <w:r>
              <w:rPr>
                <w:rFonts w:hint="eastAsia" w:ascii="宋体" w:hAnsi="宋体" w:eastAsia="宋体" w:cs="宋体"/>
                <w:i w:val="0"/>
                <w:iCs w:val="0"/>
                <w:color w:val="auto"/>
                <w:sz w:val="20"/>
                <w:szCs w:val="20"/>
                <w:highlight w:val="none"/>
                <w:u w:val="none"/>
                <w:lang w:val="en-US" w:eastAsia="zh-CN" w:bidi="ar"/>
              </w:rPr>
              <w:t xml:space="preserve">《金属家具通用技术条件》、GB/T 1741-2020《漆膜耐霉菌性测定法》标准。</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备注：</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·采用0.6mm冷轧板；</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·上2块，下1块活动层板；</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·其他按工厂常规工艺</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药品柜带锁：W900×D400×H1850mm,1.基材：采用品牌厚度0.6mm以上冷轧钢板冲压而成，产品表面经除油、清洗、去锈、磷化清洗、预处理、清洗、钝化等九道工序处理，采用流行色亚光静电喷塑，高温塑化而成。</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2.冷轧钢板通过乙酸盐雾试验，连续喷雾试验≥150小时，镀层本身的耐腐蚀等级及镀层对基体的保护等级达到10级。</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3.喷塑表面平整、光滑，无流挂、起料、皱皮、露底脱落、伤痕等影响质量的缺陷；</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4.耐腐菌性不低于1级，平整度≤0.2mm，翘曲度≤1mm，符合</w:t>
            </w:r>
            <w:r>
              <w:rPr>
                <w:rFonts w:hint="eastAsia" w:ascii="宋体" w:hAnsi="宋体" w:cs="宋体"/>
                <w:color w:val="auto"/>
                <w:sz w:val="20"/>
                <w:szCs w:val="20"/>
                <w:highlight w:val="none"/>
                <w:u w:val="none"/>
                <w:lang w:bidi="ar"/>
              </w:rPr>
              <w:t xml:space="preserve">GB/T 3325-2024</w:t>
            </w:r>
            <w:r>
              <w:rPr>
                <w:rFonts w:hint="eastAsia" w:ascii="宋体" w:hAnsi="宋体" w:eastAsia="宋体" w:cs="宋体"/>
                <w:i w:val="0"/>
                <w:iCs w:val="0"/>
                <w:color w:val="auto"/>
                <w:sz w:val="20"/>
                <w:szCs w:val="20"/>
                <w:highlight w:val="none"/>
                <w:u w:val="none"/>
                <w:lang w:val="en-US" w:eastAsia="zh-CN" w:bidi="ar"/>
              </w:rPr>
              <w:t xml:space="preserve">《金属家具通用技术条件》、GB/T 1741-2020《漆膜耐霉菌性测定法》标准。</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备注：</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·采用0.6mm冷轧板；</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·上2块，下1块活动层板；</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·其他按工厂常规工艺</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四人位沙发：面料：选用麻绒布，依据</w:t>
            </w:r>
            <w:r>
              <w:rPr>
                <w:rFonts w:hint="eastAsia" w:ascii="宋体" w:hAnsi="宋体" w:cs="宋体"/>
                <w:color w:val="auto"/>
                <w:sz w:val="20"/>
                <w:szCs w:val="20"/>
                <w:highlight w:val="none"/>
                <w:u w:val="none"/>
                <w:lang w:bidi="ar"/>
              </w:rPr>
              <w:t xml:space="preserve">GB 18401-2023</w:t>
            </w:r>
            <w:r>
              <w:rPr>
                <w:rFonts w:hint="eastAsia" w:ascii="宋体" w:hAnsi="宋体" w:eastAsia="宋体" w:cs="宋体"/>
                <w:i w:val="0"/>
                <w:iCs w:val="0"/>
                <w:color w:val="auto"/>
                <w:sz w:val="20"/>
                <w:szCs w:val="20"/>
                <w:highlight w:val="none"/>
                <w:u w:val="none"/>
                <w:lang w:val="en-US" w:eastAsia="zh-CN" w:bidi="ar"/>
              </w:rPr>
              <w:t xml:space="preserve">《国家纺织产品基本安全技术规范》；GB/T 31713-2015《抗菌纺织品安全性卫生要求》；GB/T 24346-2009《纺织品 防霉性能的评价》；</w:t>
            </w:r>
            <w:r>
              <w:rPr>
                <w:rFonts w:hint="eastAsia" w:ascii="宋体" w:hAnsi="宋体" w:cs="宋体"/>
                <w:i w:val="0"/>
                <w:iCs w:val="0"/>
                <w:color w:val="auto"/>
                <w:sz w:val="20"/>
                <w:szCs w:val="20"/>
                <w:highlight w:val="none"/>
                <w:u w:val="none"/>
                <w:lang w:val="en-US" w:eastAsia="zh-CN" w:bidi="ar"/>
              </w:rPr>
              <w:t xml:space="preserve">GB 17927-2024</w:t>
            </w:r>
            <w:r>
              <w:rPr>
                <w:rFonts w:hint="eastAsia" w:ascii="宋体" w:hAnsi="宋体" w:eastAsia="宋体" w:cs="宋体"/>
                <w:i w:val="0"/>
                <w:iCs w:val="0"/>
                <w:color w:val="auto"/>
                <w:sz w:val="20"/>
                <w:szCs w:val="20"/>
                <w:highlight w:val="none"/>
                <w:u w:val="none"/>
                <w:lang w:val="en-US" w:eastAsia="zh-CN" w:bidi="ar"/>
              </w:rPr>
              <w:t xml:space="preserve">《软体家具 床垫和沙发抗引燃特性的 评定第1部分:阴燃的香烟》；</w:t>
            </w:r>
            <w:r>
              <w:rPr>
                <w:rFonts w:hint="eastAsia" w:ascii="宋体" w:hAnsi="宋体" w:cs="宋体"/>
                <w:i w:val="0"/>
                <w:iCs w:val="0"/>
                <w:color w:val="auto"/>
                <w:sz w:val="20"/>
                <w:szCs w:val="20"/>
                <w:highlight w:val="none"/>
                <w:u w:val="none"/>
                <w:lang w:val="en-US" w:eastAsia="zh-CN" w:bidi="ar"/>
              </w:rPr>
              <w:t xml:space="preserve">GB/T 35607-2024</w:t>
            </w:r>
            <w:r>
              <w:rPr>
                <w:rFonts w:hint="eastAsia" w:ascii="宋体" w:hAnsi="宋体" w:eastAsia="宋体" w:cs="宋体"/>
                <w:i w:val="0"/>
                <w:iCs w:val="0"/>
                <w:color w:val="auto"/>
                <w:sz w:val="20"/>
                <w:szCs w:val="20"/>
                <w:highlight w:val="none"/>
                <w:u w:val="none"/>
                <w:lang w:val="en-US" w:eastAsia="zh-CN" w:bidi="ar"/>
              </w:rPr>
              <w:t xml:space="preserve">《绿色产品评价家具》；FZ/T 62011.3-2016《布艺类产品 第3部分:家具用纺织品》标准；耐水、耐酸汗渍、耐碱汗渍、耐干摩擦、耐唾液符合要求，甲醛含量≤20mg/kg，可分解致癌芳香胺染料未检出，抗菌性能（抑菌率）≥95%，抗引燃特性阻燃Ⅰ级，防霉等级0级或1级，产品有害物质（纺织品、皮革中五氯苯酚（PCP）≤ 0.5mg/kg。 </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海绵：</w:t>
            </w:r>
            <w:r>
              <w:rPr>
                <w:rFonts w:hint="eastAsia" w:ascii="宋体" w:hAnsi="宋体" w:cs="宋体"/>
                <w:i w:val="0"/>
                <w:iCs w:val="0"/>
                <w:color w:val="auto"/>
                <w:sz w:val="20"/>
                <w:szCs w:val="20"/>
                <w:highlight w:val="none"/>
                <w:u w:val="none"/>
                <w:lang w:val="en-US" w:eastAsia="zh-CN" w:bidi="ar"/>
              </w:rPr>
              <w:t xml:space="preserve">采用阻燃高弹海绵</w:t>
            </w:r>
            <w:r>
              <w:rPr>
                <w:rFonts w:hint="eastAsia" w:ascii="宋体" w:hAnsi="宋体" w:eastAsia="宋体" w:cs="宋体"/>
                <w:i w:val="0"/>
                <w:iCs w:val="0"/>
                <w:color w:val="auto"/>
                <w:sz w:val="20"/>
                <w:szCs w:val="20"/>
                <w:highlight w:val="none"/>
                <w:u w:val="none"/>
                <w:lang w:val="en-US" w:eastAsia="zh-CN" w:bidi="ar"/>
              </w:rPr>
              <w:t xml:space="preserve">，依据</w:t>
            </w:r>
            <w:r>
              <w:rPr>
                <w:rFonts w:hint="eastAsia" w:ascii="宋体" w:hAnsi="宋体" w:cs="宋体"/>
                <w:i w:val="0"/>
                <w:iCs w:val="0"/>
                <w:color w:val="auto"/>
                <w:sz w:val="20"/>
                <w:szCs w:val="20"/>
                <w:highlight w:val="none"/>
                <w:u w:val="none"/>
                <w:lang w:val="en-US" w:eastAsia="zh-CN" w:bidi="ar"/>
              </w:rPr>
              <w:t xml:space="preserve">GB/T 10802-2023</w:t>
            </w:r>
            <w:r>
              <w:rPr>
                <w:rFonts w:hint="eastAsia" w:ascii="宋体" w:hAnsi="宋体" w:eastAsia="宋体" w:cs="宋体"/>
                <w:i w:val="0"/>
                <w:iCs w:val="0"/>
                <w:color w:val="auto"/>
                <w:sz w:val="20"/>
                <w:szCs w:val="20"/>
                <w:highlight w:val="none"/>
                <w:u w:val="none"/>
                <w:lang w:val="en-US" w:eastAsia="zh-CN" w:bidi="ar"/>
              </w:rPr>
              <w:t xml:space="preserve">《通用软质聚醚型聚氨酯泡沫塑料》、QB/T 2280-2016《办公家具 办公椅》、GB/T 6343-2009《泡沫塑料及橡胶 表观密度的测定》、</w:t>
            </w:r>
            <w:r>
              <w:rPr>
                <w:rFonts w:hint="eastAsia" w:ascii="宋体" w:hAnsi="宋体" w:cs="宋体"/>
                <w:i w:val="0"/>
                <w:iCs w:val="0"/>
                <w:color w:val="auto"/>
                <w:sz w:val="20"/>
                <w:szCs w:val="20"/>
                <w:highlight w:val="none"/>
                <w:u w:val="none"/>
                <w:lang w:val="en-US" w:eastAsia="zh-CN" w:bidi="ar"/>
              </w:rPr>
              <w:t xml:space="preserve">GB 17927-2024</w:t>
            </w:r>
            <w:r>
              <w:rPr>
                <w:rFonts w:hint="eastAsia" w:ascii="宋体" w:hAnsi="宋体" w:eastAsia="宋体" w:cs="宋体"/>
                <w:i w:val="0"/>
                <w:iCs w:val="0"/>
                <w:color w:val="auto"/>
                <w:sz w:val="20"/>
                <w:szCs w:val="20"/>
                <w:highlight w:val="none"/>
                <w:u w:val="none"/>
                <w:lang w:val="en-US" w:eastAsia="zh-CN" w:bidi="ar"/>
              </w:rPr>
              <w:t xml:space="preserve">《软体家具 床垫</w:t>
            </w:r>
            <w:r>
              <w:rPr>
                <w:rFonts w:hint="eastAsia" w:ascii="宋体" w:hAnsi="宋体" w:eastAsia="宋体" w:cs="宋体"/>
                <w:i w:val="0"/>
                <w:iCs w:val="0"/>
                <w:color w:val="auto"/>
                <w:sz w:val="20"/>
                <w:szCs w:val="20"/>
                <w:highlight w:val="none"/>
                <w:u w:val="none"/>
                <w:lang w:val="en-US" w:eastAsia="zh-CN" w:bidi="ar"/>
              </w:rPr>
              <w:t xml:space="preserve">和沙发抗引燃特性的 评定第1部分：阴燃的香烟》、HJ 2547-2016《环境标志产品技术要求 家具》、QB/T 4371-2012《家具抗菌性能的评价》标准；长度、宽度极限偏差检测合格，厚度极限偏差检测合格，感官要求至少5项检测，物理力学性能（至少包含回弹率≥50%，拉伸强度≥150KPa，伸长率≥168%，撕裂强度≥4.5N/cm，干热老化后拉伸强度≥145KPa），密度≥50kg/m³，甲醛释放量≤0.03mg/m²h，TVOC≤0.05mg/m²h，抗引燃特性阻燃Ⅰ级，抗菌性能（抑菌率）≥95%。 </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绷带：依据</w:t>
            </w:r>
            <w:r>
              <w:rPr>
                <w:rFonts w:hint="eastAsia" w:ascii="宋体" w:hAnsi="宋体" w:cs="宋体"/>
                <w:i w:val="0"/>
                <w:iCs w:val="0"/>
                <w:color w:val="auto"/>
                <w:sz w:val="20"/>
                <w:szCs w:val="20"/>
                <w:highlight w:val="none"/>
                <w:u w:val="none"/>
                <w:lang w:val="en-US" w:eastAsia="zh-CN" w:bidi="ar"/>
              </w:rPr>
              <w:t xml:space="preserve">GB 18401-2023</w:t>
            </w:r>
            <w:r>
              <w:rPr>
                <w:rFonts w:hint="eastAsia" w:ascii="宋体" w:hAnsi="宋体" w:eastAsia="宋体" w:cs="宋体"/>
                <w:i w:val="0"/>
                <w:iCs w:val="0"/>
                <w:color w:val="auto"/>
                <w:sz w:val="20"/>
                <w:szCs w:val="20"/>
                <w:highlight w:val="none"/>
                <w:u w:val="none"/>
                <w:lang w:val="en-US" w:eastAsia="zh-CN" w:bidi="ar"/>
              </w:rPr>
              <w:t xml:space="preserve"> 《国家纺织产 品基本安全技术规范》；GB/T 31713-2015 《抗菌纺织品安全性卫生要求》；GB/T 20944. 2-2007《纺织品抗菌性能的评价 第2部分:吸收法》；</w:t>
            </w:r>
            <w:r>
              <w:rPr>
                <w:rFonts w:hint="eastAsia" w:ascii="宋体" w:hAnsi="宋体" w:cs="宋体"/>
                <w:i w:val="0"/>
                <w:iCs w:val="0"/>
                <w:color w:val="auto"/>
                <w:sz w:val="20"/>
                <w:szCs w:val="20"/>
                <w:highlight w:val="none"/>
                <w:u w:val="none"/>
                <w:lang w:val="en-US" w:eastAsia="zh-CN" w:bidi="ar"/>
              </w:rPr>
              <w:t xml:space="preserve">GB/T 35607-2024</w:t>
            </w:r>
            <w:r>
              <w:rPr>
                <w:rFonts w:hint="eastAsia" w:ascii="宋体" w:hAnsi="宋体" w:eastAsia="宋体" w:cs="宋体"/>
                <w:i w:val="0"/>
                <w:iCs w:val="0"/>
                <w:color w:val="auto"/>
                <w:sz w:val="20"/>
                <w:szCs w:val="20"/>
                <w:highlight w:val="none"/>
                <w:u w:val="none"/>
                <w:lang w:val="en-US" w:eastAsia="zh-CN" w:bidi="ar"/>
              </w:rPr>
              <w:t xml:space="preserve"> 《绿色产品评价家具》；HJ 2546-2016《环境标志产品技术要求纺织产品》检测标准；甲醛含量≤20mg/kg，可分解致癌芳香胺染料未检出，产品有害物质（纺织品、皮革中五氯苯酚（PCP）≤0.05mg/kg，PH值4.0～7.5，可萃取的重金属（砷、铅、钴、镍）未检出，抗菌性能（抑菌率）≥99%。</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蛇形弹簧：依据</w:t>
            </w:r>
            <w:r>
              <w:rPr>
                <w:rFonts w:hint="eastAsia" w:ascii="宋体" w:hAnsi="宋体" w:cs="宋体"/>
                <w:i w:val="0"/>
                <w:iCs w:val="0"/>
                <w:color w:val="auto"/>
                <w:sz w:val="20"/>
                <w:szCs w:val="20"/>
                <w:highlight w:val="none"/>
                <w:u w:val="none"/>
                <w:lang w:val="en-US" w:eastAsia="zh-CN" w:bidi="ar"/>
              </w:rPr>
              <w:t xml:space="preserve">GB/T 3325-2024</w:t>
            </w:r>
            <w:r>
              <w:rPr>
                <w:rFonts w:hint="eastAsia" w:ascii="宋体" w:hAnsi="宋体" w:eastAsia="宋体" w:cs="宋体"/>
                <w:i w:val="0"/>
                <w:iCs w:val="0"/>
                <w:color w:val="auto"/>
                <w:sz w:val="20"/>
                <w:szCs w:val="20"/>
                <w:highlight w:val="none"/>
                <w:u w:val="none"/>
                <w:lang w:val="en-US" w:eastAsia="zh-CN" w:bidi="ar"/>
              </w:rPr>
              <w:t xml:space="preserve">《金属家具通用技术条件》；GB/T 10125-2021《人造气氛腐蚀试验 盐雾试验》；QB/T 3832- 1999《轻工产品金属镀层腐蚀试验结果的评价》；QB/T 4371-2012《家具抗菌性能的评价》；GB/T 1741-2020 《漆膜耐霉菌性测定法》；</w:t>
            </w:r>
            <w:r>
              <w:rPr>
                <w:rFonts w:hint="eastAsia" w:ascii="宋体" w:hAnsi="宋体" w:cs="宋体"/>
                <w:i w:val="0"/>
                <w:iCs w:val="0"/>
                <w:color w:val="auto"/>
                <w:sz w:val="20"/>
                <w:szCs w:val="20"/>
                <w:highlight w:val="none"/>
                <w:u w:val="none"/>
                <w:lang w:val="en-US" w:eastAsia="zh-CN" w:bidi="ar"/>
              </w:rPr>
              <w:t xml:space="preserve">GB/T 35607-2024</w:t>
            </w:r>
            <w:r>
              <w:rPr>
                <w:rFonts w:hint="eastAsia" w:ascii="宋体" w:hAnsi="宋体" w:eastAsia="宋体" w:cs="宋体"/>
                <w:i w:val="0"/>
                <w:iCs w:val="0"/>
                <w:color w:val="auto"/>
                <w:sz w:val="20"/>
                <w:szCs w:val="20"/>
                <w:highlight w:val="none"/>
                <w:u w:val="none"/>
                <w:lang w:val="en-US" w:eastAsia="zh-CN" w:bidi="ar"/>
              </w:rPr>
              <w:t xml:space="preserve">《绿色产品评价 家具》标准；喷涂层无漏喷、锈蚀和脱色、掉色现象，乙酸盐雾试验≥220h，镀层本身的耐腐蚀等级≥10级，镀层对基体的保护等级≥10级；产品有害物质（铅、镉、汞、砷）未检出，抑菌率≥99%。</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框架：背底采用高频热压机加工成型多层弯曲木板，符合人体工程学。</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脚架：采用实木脚架。</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茶几：1200*1200*450mm；饰面：采用三聚氰胺浸渍胶膜纸，依据</w:t>
            </w:r>
            <w:r>
              <w:rPr>
                <w:rFonts w:hint="eastAsia" w:ascii="宋体" w:hAnsi="宋体" w:cs="宋体"/>
                <w:i w:val="0"/>
                <w:iCs w:val="0"/>
                <w:color w:val="auto"/>
                <w:sz w:val="20"/>
                <w:szCs w:val="20"/>
                <w:highlight w:val="none"/>
                <w:u w:val="none"/>
                <w:lang w:val="en-US" w:eastAsia="zh-CN" w:bidi="ar"/>
              </w:rPr>
              <w:t xml:space="preserve"> GB 18584-2024</w:t>
            </w:r>
            <w:r>
              <w:rPr>
                <w:rFonts w:hint="eastAsia" w:ascii="宋体" w:hAnsi="宋体" w:eastAsia="宋体" w:cs="宋体"/>
                <w:i w:val="0"/>
                <w:iCs w:val="0"/>
                <w:color w:val="auto"/>
                <w:sz w:val="20"/>
                <w:szCs w:val="20"/>
                <w:highlight w:val="none"/>
                <w:u w:val="none"/>
                <w:lang w:val="en-US" w:eastAsia="zh-CN" w:bidi="ar"/>
              </w:rPr>
              <w:t xml:space="preserve">《室内装饰装修材料木家具中有害物质限量》；LY/T 1831-2009《人造板饰面专用装饰纸》；</w:t>
            </w:r>
            <w:r>
              <w:rPr>
                <w:rFonts w:hint="eastAsia" w:ascii="宋体" w:hAnsi="宋体" w:cs="宋体"/>
                <w:i w:val="0"/>
                <w:iCs w:val="0"/>
                <w:color w:val="auto"/>
                <w:sz w:val="20"/>
                <w:szCs w:val="20"/>
                <w:highlight w:val="none"/>
                <w:u w:val="none"/>
                <w:lang w:val="en-US" w:eastAsia="zh-CN" w:bidi="ar"/>
              </w:rPr>
              <w:t xml:space="preserve">GB/T 35601-2024</w:t>
            </w:r>
            <w:r>
              <w:rPr>
                <w:rFonts w:hint="eastAsia" w:ascii="宋体" w:hAnsi="宋体" w:eastAsia="宋体" w:cs="宋体"/>
                <w:i w:val="0"/>
                <w:iCs w:val="0"/>
                <w:color w:val="auto"/>
                <w:sz w:val="20"/>
                <w:szCs w:val="20"/>
                <w:highlight w:val="none"/>
                <w:u w:val="none"/>
                <w:lang w:val="en-US" w:eastAsia="zh-CN" w:bidi="ar"/>
              </w:rPr>
              <w:t xml:space="preserve">《绿色产品评价 人造板和木质地板》标准；耐热性1级，苯≤5㎍/m³，挥发物含量5%-9%，甲醛释放量≤0.5mg/L。 </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基材：采用不低于E0级刨花板，依据GB/T 17657-2022《人造板及饰面人造板理化性能试验方法》；GB/T 39600-2021《人造板及其制品甲醛释放量分级》；GB 18580-2017《室内装饰装修材料人造板及其制品中甲醛释放限量》；</w:t>
            </w:r>
            <w:r>
              <w:rPr>
                <w:rFonts w:hint="eastAsia" w:ascii="宋体" w:hAnsi="宋体" w:cs="宋体"/>
                <w:i w:val="0"/>
                <w:iCs w:val="0"/>
                <w:color w:val="auto"/>
                <w:sz w:val="20"/>
                <w:szCs w:val="20"/>
                <w:highlight w:val="none"/>
                <w:u w:val="none"/>
                <w:lang w:val="en-US" w:eastAsia="zh-CN" w:bidi="ar"/>
              </w:rPr>
              <w:t xml:space="preserve">GB/T 35601-2024</w:t>
            </w:r>
            <w:r>
              <w:rPr>
                <w:rFonts w:hint="eastAsia" w:ascii="宋体" w:hAnsi="宋体" w:eastAsia="宋体" w:cs="宋体"/>
                <w:i w:val="0"/>
                <w:iCs w:val="0"/>
                <w:color w:val="auto"/>
                <w:sz w:val="20"/>
                <w:szCs w:val="20"/>
                <w:highlight w:val="none"/>
                <w:u w:val="none"/>
                <w:lang w:val="en-US" w:eastAsia="zh-CN" w:bidi="ar"/>
              </w:rPr>
              <w:t xml:space="preserve">《绿色产品评价人造板和木质地板》；QB/T 4371-2012《家具抗菌性能的评价》；GB 8624-2012《建筑材料及制品燃烧性能分级》；</w:t>
            </w:r>
            <w:r>
              <w:rPr>
                <w:rFonts w:hint="eastAsia" w:ascii="宋体" w:hAnsi="宋体" w:cs="宋体"/>
                <w:i w:val="0"/>
                <w:iCs w:val="0"/>
                <w:color w:val="auto"/>
                <w:sz w:val="20"/>
                <w:szCs w:val="20"/>
                <w:highlight w:val="none"/>
                <w:u w:val="none"/>
                <w:lang w:val="en-US" w:eastAsia="zh-CN" w:bidi="ar"/>
              </w:rPr>
              <w:t xml:space="preserve"> GB 18584-2024</w:t>
            </w:r>
            <w:r>
              <w:rPr>
                <w:rFonts w:hint="eastAsia" w:ascii="宋体" w:hAnsi="宋体" w:eastAsia="宋体" w:cs="宋体"/>
                <w:i w:val="0"/>
                <w:iCs w:val="0"/>
                <w:color w:val="auto"/>
                <w:sz w:val="20"/>
                <w:szCs w:val="20"/>
                <w:highlight w:val="none"/>
                <w:u w:val="none"/>
                <w:lang w:val="en-US" w:eastAsia="zh-CN" w:bidi="ar"/>
              </w:rPr>
              <w:t xml:space="preserve">《室内装饰装修材料木家具中有害物质限量》；GB/T 4897-2015《刨花板》；外观质量至少4项检测，含水率3%～8%，静曲强度≥15MPa，弹性模量≥2000MPa，内胶合强度≥0.55MPa，表面胶合强度≥1.5MPa，2h吸水厚度膨胀率≤3%，板边握螺钉力≥1400N，板面握螺钉力≥1600N，密度≥0.75g/cm³，甲醛释放量≤0.05mg/m³，总挥发性有机化合物≤20㎍/m³，防霉菌等级0级或1级，60s内无燃烧滴落物引燃滤纸现象。</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封边：采用</w:t>
            </w:r>
            <w:r>
              <w:rPr>
                <w:rFonts w:hint="eastAsia" w:ascii="宋体" w:hAnsi="宋体" w:cs="宋体"/>
                <w:i w:val="0"/>
                <w:iCs w:val="0"/>
                <w:color w:val="auto"/>
                <w:sz w:val="20"/>
                <w:szCs w:val="20"/>
                <w:highlight w:val="none"/>
                <w:u w:val="none"/>
                <w:lang w:val="en-US" w:eastAsia="zh-CN" w:bidi="ar"/>
              </w:rPr>
              <w:t xml:space="preserve">ABS</w:t>
            </w:r>
            <w:r>
              <w:rPr>
                <w:rFonts w:hint="eastAsia" w:ascii="宋体" w:hAnsi="宋体" w:eastAsia="宋体" w:cs="宋体"/>
                <w:i w:val="0"/>
                <w:iCs w:val="0"/>
                <w:color w:val="auto"/>
                <w:sz w:val="20"/>
                <w:szCs w:val="20"/>
                <w:highlight w:val="none"/>
                <w:u w:val="none"/>
                <w:lang w:val="en-US" w:eastAsia="zh-CN" w:bidi="ar"/>
              </w:rPr>
              <w:t xml:space="preserve">激光封边条，依据</w:t>
            </w:r>
            <w:r>
              <w:rPr>
                <w:rFonts w:hint="eastAsia" w:ascii="宋体" w:hAnsi="宋体" w:cs="宋体"/>
                <w:i w:val="0"/>
                <w:iCs w:val="0"/>
                <w:color w:val="auto"/>
                <w:sz w:val="20"/>
                <w:szCs w:val="20"/>
                <w:highlight w:val="none"/>
                <w:u w:val="none"/>
                <w:lang w:val="en-US" w:eastAsia="zh-CN" w:bidi="ar"/>
              </w:rPr>
              <w:t xml:space="preserve">QB/T 4463-2025</w:t>
            </w:r>
            <w:r>
              <w:rPr>
                <w:rFonts w:hint="eastAsia" w:ascii="宋体" w:hAnsi="宋体" w:eastAsia="宋体" w:cs="宋体"/>
                <w:i w:val="0"/>
                <w:iCs w:val="0"/>
                <w:color w:val="auto"/>
                <w:sz w:val="20"/>
                <w:szCs w:val="20"/>
                <w:highlight w:val="none"/>
                <w:u w:val="none"/>
                <w:lang w:val="en-US" w:eastAsia="zh-CN" w:bidi="ar"/>
              </w:rPr>
              <w:t xml:space="preserve">《家具用封边条技术要求》；GB/T 24128-2018《塑料 塑料防霉剂的防霉效果评估》</w:t>
            </w:r>
            <w:r>
              <w:rPr>
                <w:rFonts w:hint="eastAsia" w:ascii="宋体" w:hAnsi="宋体" w:cs="宋体"/>
                <w:i w:val="0"/>
                <w:iCs w:val="0"/>
                <w:color w:val="auto"/>
                <w:sz w:val="20"/>
                <w:szCs w:val="20"/>
                <w:highlight w:val="none"/>
                <w:u w:val="none"/>
                <w:lang w:val="en-US" w:eastAsia="zh-CN" w:bidi="ar"/>
              </w:rPr>
              <w:t xml:space="preserve">；GB 18584-2024</w:t>
            </w:r>
            <w:r>
              <w:rPr>
                <w:rFonts w:hint="eastAsia" w:ascii="宋体" w:hAnsi="宋体" w:eastAsia="宋体" w:cs="宋体"/>
                <w:i w:val="0"/>
                <w:iCs w:val="0"/>
                <w:color w:val="auto"/>
                <w:sz w:val="20"/>
                <w:szCs w:val="20"/>
                <w:highlight w:val="none"/>
                <w:u w:val="none"/>
                <w:lang w:val="en-US" w:eastAsia="zh-CN" w:bidi="ar"/>
              </w:rPr>
              <w:t xml:space="preserve">《塑料家具中有害物质限量》标准；厚度≥1.8mm。压纹（压花）表面有统一的花式。耐开裂性1级，耐老化性无开裂，甲醛释放量≤0.5mg/L，防霉等级0级或1级，16种多环芳烃（PAH）总量≤5mg/kg。 </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热熔胶：选用</w:t>
            </w:r>
            <w:r>
              <w:rPr>
                <w:rFonts w:hint="eastAsia" w:ascii="宋体" w:hAnsi="宋体" w:cs="宋体"/>
                <w:i w:val="0"/>
                <w:iCs w:val="0"/>
                <w:color w:val="auto"/>
                <w:sz w:val="20"/>
                <w:szCs w:val="20"/>
                <w:highlight w:val="none"/>
                <w:u w:val="none"/>
                <w:lang w:val="en-US" w:eastAsia="zh-CN" w:bidi="ar"/>
              </w:rPr>
              <w:t xml:space="preserve">环保</w:t>
            </w:r>
            <w:r>
              <w:rPr>
                <w:rFonts w:hint="eastAsia" w:ascii="宋体" w:hAnsi="宋体" w:eastAsia="宋体" w:cs="宋体"/>
                <w:i w:val="0"/>
                <w:iCs w:val="0"/>
                <w:color w:val="auto"/>
                <w:sz w:val="20"/>
                <w:szCs w:val="20"/>
                <w:highlight w:val="none"/>
                <w:u w:val="none"/>
                <w:lang w:val="en-US" w:eastAsia="zh-CN" w:bidi="ar"/>
              </w:rPr>
              <w:t xml:space="preserve">热熔胶，依据GB18583-2008《室内装饰装修材料胶粘剂中有害物质限量》﹔HJ2541-2016《环境标志产品技术要求胶粘剂》标准；游离甲醛≤0.1g/kg，苯≤0.02g/kg，甲苯≤0.02g/kg，二甲苯≤0.02g/kg，总挥发性有机物≤5g/L，游离甲苯二异氰酸酯≤1g/kg。 </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五金配件：采用品牌五金配件，导轨依据GB/T 10125-2021《人造气氛腐蚀试验盐雾试验》；QB/T 3832- 1999《轻工产品金属镀层腐蚀试验结果的评价》； </w:t>
            </w:r>
            <w:r>
              <w:rPr>
                <w:rFonts w:hint="eastAsia" w:ascii="宋体" w:hAnsi="宋体" w:cs="宋体"/>
                <w:i w:val="0"/>
                <w:iCs w:val="0"/>
                <w:color w:val="auto"/>
                <w:sz w:val="20"/>
                <w:szCs w:val="20"/>
                <w:highlight w:val="none"/>
                <w:u w:val="none"/>
                <w:lang w:val="en-US" w:eastAsia="zh-CN" w:bidi="ar"/>
              </w:rPr>
              <w:t xml:space="preserve">GB/T 24170.1-2023</w:t>
            </w:r>
            <w:r>
              <w:rPr>
                <w:rFonts w:hint="eastAsia" w:ascii="宋体" w:hAnsi="宋体" w:eastAsia="宋体" w:cs="宋体"/>
                <w:i w:val="0"/>
                <w:iCs w:val="0"/>
                <w:color w:val="auto"/>
                <w:sz w:val="20"/>
                <w:szCs w:val="20"/>
                <w:highlight w:val="none"/>
                <w:u w:val="none"/>
                <w:lang w:val="en-US" w:eastAsia="zh-CN" w:bidi="ar"/>
              </w:rPr>
              <w:t xml:space="preserve">《表</w:t>
            </w:r>
            <w:r>
              <w:rPr>
                <w:rFonts w:hint="eastAsia" w:ascii="宋体" w:hAnsi="宋体" w:eastAsia="宋体" w:cs="宋体"/>
                <w:i w:val="0"/>
                <w:iCs w:val="0"/>
                <w:color w:val="auto"/>
                <w:sz w:val="20"/>
                <w:szCs w:val="20"/>
                <w:highlight w:val="none"/>
                <w:u w:val="none"/>
                <w:lang w:val="en-US" w:eastAsia="zh-CN" w:bidi="ar"/>
              </w:rPr>
              <w:t xml:space="preserve">面抗菌不锈钢第1部分:电化学法》； QB/T 2454-2013《家具五金抽屉导轨》检测标准；中性盐雾试验≥500h，镀层本身的耐腐蚀等级≥10级，镀层对基体的保护等级≥10级；乙酸盐雾试验≥250h，镀层本身的耐腐蚀等级≥10级，镀层对基体的保护等级≥10级；耐久性≥12万次检测合格，抗菌性能（抗菌率）≥99%。铰链依据QB/T 2189-2013《家具五金杯状暗铰链》；GB/T 10125 -2021《人造气氛腐蚀试验盐雾 试验》； QB/T 3832-1999 《轻工产品金属镀层腐蚀试验结果的评价》；</w:t>
            </w:r>
            <w:r>
              <w:rPr>
                <w:rFonts w:hint="eastAsia" w:ascii="宋体" w:hAnsi="宋体" w:cs="宋体"/>
                <w:i w:val="0"/>
                <w:iCs w:val="0"/>
                <w:color w:val="auto"/>
                <w:sz w:val="20"/>
                <w:szCs w:val="20"/>
                <w:highlight w:val="none"/>
                <w:u w:val="none"/>
                <w:lang w:val="en-US" w:eastAsia="zh-CN" w:bidi="ar"/>
              </w:rPr>
              <w:t xml:space="preserve">GB/T 24170.1-2023</w:t>
            </w:r>
            <w:r>
              <w:rPr>
                <w:rFonts w:hint="eastAsia" w:ascii="宋体" w:hAnsi="宋体" w:eastAsia="宋体" w:cs="宋体"/>
                <w:i w:val="0"/>
                <w:iCs w:val="0"/>
                <w:color w:val="auto"/>
                <w:sz w:val="20"/>
                <w:szCs w:val="20"/>
                <w:highlight w:val="none"/>
                <w:u w:val="none"/>
                <w:lang w:val="en-US" w:eastAsia="zh-CN" w:bidi="ar"/>
              </w:rPr>
              <w:t xml:space="preserve">《表面抗菌不锈钢第1部分:电化学法》检测标准；中性盐雾试验≥500h，镀层本身的耐腐蚀等级≥10级，镀层对基体的保护等级≥10级；乙酸盐雾试验≥250h，镀层本身的耐腐蚀等级≥10级，镀层对基体的保护等级≥10级；耐久性≥12万次检测合格，安装B型试验门时，下沉量不大于1.5mm，抗菌性能（抗菌率）≥99%。</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茶水台：W800×D400×H850mm；1、饰面：采用木皮，依据</w:t>
            </w:r>
            <w:r>
              <w:rPr>
                <w:rFonts w:hint="eastAsia" w:ascii="宋体" w:hAnsi="宋体" w:cs="宋体"/>
                <w:i w:val="0"/>
                <w:iCs w:val="0"/>
                <w:color w:val="auto"/>
                <w:sz w:val="20"/>
                <w:szCs w:val="20"/>
                <w:highlight w:val="none"/>
                <w:u w:val="none"/>
                <w:lang w:val="en-US" w:eastAsia="zh-CN" w:bidi="ar"/>
              </w:rPr>
              <w:t xml:space="preserve">GB/T 35601-2024</w:t>
            </w:r>
            <w:r>
              <w:rPr>
                <w:rFonts w:hint="eastAsia" w:ascii="宋体" w:hAnsi="宋体" w:eastAsia="宋体" w:cs="宋体"/>
                <w:i w:val="0"/>
                <w:iCs w:val="0"/>
                <w:color w:val="auto"/>
                <w:sz w:val="20"/>
                <w:szCs w:val="20"/>
                <w:highlight w:val="none"/>
                <w:u w:val="none"/>
                <w:lang w:val="en-US" w:eastAsia="zh-CN" w:bidi="ar"/>
              </w:rPr>
              <w:t xml:space="preserve">《绿色产品评价人造板和木质地板》；</w:t>
            </w:r>
            <w:r>
              <w:rPr>
                <w:rFonts w:hint="eastAsia" w:ascii="宋体" w:hAnsi="宋体" w:cs="宋体"/>
                <w:i w:val="0"/>
                <w:iCs w:val="0"/>
                <w:color w:val="auto"/>
                <w:sz w:val="20"/>
                <w:szCs w:val="20"/>
                <w:highlight w:val="none"/>
                <w:u w:val="none"/>
                <w:lang w:val="en-US" w:eastAsia="zh-CN" w:bidi="ar"/>
              </w:rPr>
              <w:t xml:space="preserve"> GB 18584-2024</w:t>
            </w:r>
            <w:r>
              <w:rPr>
                <w:rFonts w:hint="eastAsia" w:ascii="宋体" w:hAnsi="宋体" w:eastAsia="宋体" w:cs="宋体"/>
                <w:i w:val="0"/>
                <w:iCs w:val="0"/>
                <w:color w:val="auto"/>
                <w:sz w:val="20"/>
                <w:szCs w:val="20"/>
                <w:highlight w:val="none"/>
                <w:u w:val="none"/>
                <w:lang w:val="en-US" w:eastAsia="zh-CN" w:bidi="ar"/>
              </w:rPr>
              <w:t xml:space="preserve">《室内装饰装修材料木家具中有害物质限量》；GB/T 13010-2020《木材工业用单板》；</w:t>
            </w:r>
            <w:r>
              <w:rPr>
                <w:rFonts w:hint="eastAsia" w:ascii="宋体" w:hAnsi="宋体" w:cs="宋体"/>
                <w:i w:val="0"/>
                <w:iCs w:val="0"/>
                <w:color w:val="auto"/>
                <w:sz w:val="20"/>
                <w:szCs w:val="20"/>
                <w:highlight w:val="none"/>
                <w:u w:val="none"/>
                <w:lang w:val="en-US" w:eastAsia="zh-CN" w:bidi="ar"/>
              </w:rPr>
              <w:t xml:space="preserve">GB/T 3324-2024</w:t>
            </w:r>
            <w:r>
              <w:rPr>
                <w:rFonts w:hint="eastAsia" w:ascii="宋体" w:hAnsi="宋体" w:eastAsia="宋体" w:cs="宋体"/>
                <w:i w:val="0"/>
                <w:iCs w:val="0"/>
                <w:color w:val="auto"/>
                <w:sz w:val="20"/>
                <w:szCs w:val="20"/>
                <w:highlight w:val="none"/>
                <w:u w:val="none"/>
                <w:lang w:val="en-US" w:eastAsia="zh-CN" w:bidi="ar"/>
              </w:rPr>
              <w:t xml:space="preserve">《木家具通用技术条件》标准；厚度≥0.6mm，总挥发性有机化合物≤20㎍/m³，甲醛释放量≤0.5mg/L，单板含水率3%～8%，无贯通裂缝、无虫蛀现象，无腐朽材。</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2、基材：采用不低于E0级高密度纤维板，依据GB/T 31765-2015《高密度纤维板》；GB/T 17657-2022《人造板及饰面人造板理化性能试验方法》；GB/T 39600-2021《人造板及其制品甲醛释放量分级》；GB 18580-2017《室内装饰装修材料人造板及其制品中甲醛释放限量》；</w:t>
            </w:r>
            <w:r>
              <w:rPr>
                <w:rFonts w:hint="eastAsia" w:ascii="宋体" w:hAnsi="宋体" w:cs="宋体"/>
                <w:i w:val="0"/>
                <w:iCs w:val="0"/>
                <w:color w:val="auto"/>
                <w:sz w:val="20"/>
                <w:szCs w:val="20"/>
                <w:highlight w:val="none"/>
                <w:u w:val="none"/>
                <w:lang w:val="en-US" w:eastAsia="zh-CN" w:bidi="ar"/>
              </w:rPr>
              <w:t xml:space="preserve">GB/T 35601-2024</w:t>
            </w:r>
            <w:r>
              <w:rPr>
                <w:rFonts w:hint="eastAsia" w:ascii="宋体" w:hAnsi="宋体" w:eastAsia="宋体" w:cs="宋体"/>
                <w:i w:val="0"/>
                <w:iCs w:val="0"/>
                <w:color w:val="auto"/>
                <w:sz w:val="20"/>
                <w:szCs w:val="20"/>
                <w:highlight w:val="none"/>
                <w:u w:val="none"/>
                <w:lang w:val="en-US" w:eastAsia="zh-CN" w:bidi="ar"/>
              </w:rPr>
              <w:t xml:space="preserve">《绿色产品评价人造板和木质地板》；JC/T 2039-2010《抗菌防霉木质装饰板》标准；无油污、斑点或异物，无边角缺损，内结合强度，表面结合强度均符合要求，密度≥0.85g/cm³，含水率3%～8%，弹性模量≥4000MPa，吸水厚度膨胀率≤3%，垂直板面握螺钉力板边≥1300N，垂直板面握螺钉力板面≥1500N，甲醛释放量≤0.03mg/m³，总挥发性有机化合物≤20㎍/m³，防霉菌等级0级或1级。</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3、封边：采用实木封边条，依据</w:t>
            </w:r>
            <w:r>
              <w:rPr>
                <w:rFonts w:hint="eastAsia" w:ascii="宋体" w:hAnsi="宋体" w:cs="宋体"/>
                <w:i w:val="0"/>
                <w:iCs w:val="0"/>
                <w:color w:val="auto"/>
                <w:sz w:val="20"/>
                <w:szCs w:val="20"/>
                <w:highlight w:val="none"/>
                <w:u w:val="none"/>
                <w:lang w:val="en-US" w:eastAsia="zh-CN" w:bidi="ar"/>
              </w:rPr>
              <w:t xml:space="preserve">QB/T 4463-2025</w:t>
            </w:r>
            <w:r>
              <w:rPr>
                <w:rFonts w:hint="eastAsia" w:ascii="宋体" w:hAnsi="宋体" w:eastAsia="宋体" w:cs="宋体"/>
                <w:i w:val="0"/>
                <w:iCs w:val="0"/>
                <w:color w:val="auto"/>
                <w:sz w:val="20"/>
                <w:szCs w:val="20"/>
                <w:highlight w:val="none"/>
                <w:u w:val="none"/>
                <w:lang w:val="en-US" w:eastAsia="zh-CN" w:bidi="ar"/>
              </w:rPr>
              <w:t xml:space="preserve">《家具用封边条技术要求》、QB/T 4371-2012《家具抗菌性能的评价》检测标准；厚度≥3mm，含水率8%～11%，甲醛释放量≤0.5mg/L，抗菌性能（抗细菌率）≥99.5%。</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4、油漆：采用环保油漆，依据GB 18581-2020《木器涂料中有害物质限量》；</w:t>
            </w:r>
            <w:r>
              <w:rPr>
                <w:rFonts w:hint="eastAsia" w:ascii="宋体" w:hAnsi="宋体" w:cs="宋体"/>
                <w:i w:val="0"/>
                <w:iCs w:val="0"/>
                <w:color w:val="auto"/>
                <w:sz w:val="20"/>
                <w:szCs w:val="20"/>
                <w:highlight w:val="none"/>
                <w:u w:val="none"/>
                <w:lang w:val="en-US" w:eastAsia="zh-CN" w:bidi="ar"/>
              </w:rPr>
              <w:t xml:space="preserve">GB/T 21866-2025</w:t>
            </w:r>
            <w:r>
              <w:rPr>
                <w:rFonts w:hint="eastAsia" w:ascii="宋体" w:hAnsi="宋体" w:eastAsia="宋体" w:cs="宋体"/>
                <w:i w:val="0"/>
                <w:iCs w:val="0"/>
                <w:color w:val="auto"/>
                <w:sz w:val="20"/>
                <w:szCs w:val="20"/>
                <w:highlight w:val="none"/>
                <w:u w:val="none"/>
                <w:lang w:val="en-US" w:eastAsia="zh-CN" w:bidi="ar"/>
              </w:rPr>
              <w:t xml:space="preserve">《抗菌涂料（漆膜）抗菌性测定法和抗菌效果》；</w:t>
            </w:r>
            <w:r>
              <w:rPr>
                <w:rFonts w:hint="eastAsia" w:ascii="宋体" w:hAnsi="宋体" w:cs="宋体"/>
                <w:i w:val="0"/>
                <w:iCs w:val="0"/>
                <w:color w:val="auto"/>
                <w:sz w:val="20"/>
                <w:szCs w:val="20"/>
                <w:highlight w:val="none"/>
                <w:u w:val="none"/>
                <w:lang w:val="en-US" w:eastAsia="zh-CN" w:bidi="ar"/>
              </w:rPr>
              <w:t xml:space="preserve">GB/T 6739-2020</w:t>
            </w:r>
            <w:r>
              <w:rPr>
                <w:rFonts w:hint="eastAsia" w:ascii="宋体" w:hAnsi="宋体" w:eastAsia="宋体" w:cs="宋体"/>
                <w:i w:val="0"/>
                <w:iCs w:val="0"/>
                <w:color w:val="auto"/>
                <w:sz w:val="20"/>
                <w:szCs w:val="20"/>
                <w:highlight w:val="none"/>
                <w:u w:val="none"/>
                <w:lang w:val="en-US" w:eastAsia="zh-CN" w:bidi="ar"/>
              </w:rPr>
              <w:t xml:space="preserve">《色漆和清漆铅笔法测定漆膜硬度》﹔GB/T 23997-2009《室内装饰装修用溶剂型聚氨酯木器涂料》；</w:t>
            </w:r>
            <w:r>
              <w:rPr>
                <w:rFonts w:hint="eastAsia" w:ascii="宋体" w:hAnsi="宋体" w:cs="宋体"/>
                <w:i w:val="0"/>
                <w:iCs w:val="0"/>
                <w:color w:val="auto"/>
                <w:sz w:val="20"/>
                <w:szCs w:val="20"/>
                <w:highlight w:val="none"/>
                <w:u w:val="none"/>
                <w:lang w:val="en-US" w:eastAsia="zh-CN" w:bidi="ar"/>
              </w:rPr>
              <w:t xml:space="preserve">HJ 2573-2016</w:t>
            </w:r>
            <w:r>
              <w:rPr>
                <w:rFonts w:hint="eastAsia" w:ascii="宋体" w:hAnsi="宋体" w:eastAsia="宋体" w:cs="宋体"/>
                <w:i w:val="0"/>
                <w:iCs w:val="0"/>
                <w:color w:val="auto"/>
                <w:sz w:val="20"/>
                <w:szCs w:val="20"/>
                <w:highlight w:val="none"/>
                <w:u w:val="none"/>
                <w:lang w:val="en-US" w:eastAsia="zh-CN" w:bidi="ar"/>
              </w:rPr>
              <w:t xml:space="preserve">《环境标志产品技术要求 室内装饰装修用溶剂型木器涂料》标准；VOC含量≤5g/L，总铅含量≤2mg/kg，镉含量≤2mg/kg，铬含量≤2mg/kg，汞含量≤2mg/kg，乙二醇醚及醚酯总和含量（限乙二醇甲醚、乙二醇甲醚醋酸酯、乙二醇乙醚、乙二醇乙醚醋酸酯、乙二醇二甲醚、乙二醇二乙醚、二乙二醇二甲醚、三乙二醇二甲醚)≤20mg/kg，苯含量≤0.1%，甲醛含量≤10mg/kg，甲苯与二甲苯（含乙苯）总和含量≤5%，多环芳烃总和含量≤1mg/kg，抗菌性能（抗细菌率）≥99.5%，附着力1级。</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5、水性胶粘剂：选用环保胶，依据GB 18583-2008《室内装饰装修材料胶粘剂中有害物质限量》；HJ 2541-2016《环境标志产品技术要求胶粘剂》标准；游离甲醛≤0.5g/kg，总挥发性有机物≤5g/L，卤代烃≤0.1g/kg。</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6、五金配件：采用品牌五金配件，导轨依据GB/T 10125-2021《人造气氛腐蚀试验盐雾试验》；QB/T 3832- 1999《轻工产品金属镀层腐蚀试验结果的评价》； </w:t>
            </w:r>
            <w:r>
              <w:rPr>
                <w:rFonts w:hint="eastAsia" w:ascii="宋体" w:hAnsi="宋体" w:cs="宋体"/>
                <w:i w:val="0"/>
                <w:iCs w:val="0"/>
                <w:color w:val="auto"/>
                <w:sz w:val="20"/>
                <w:szCs w:val="20"/>
                <w:highlight w:val="none"/>
                <w:u w:val="none"/>
                <w:lang w:val="en-US" w:eastAsia="zh-CN" w:bidi="ar"/>
              </w:rPr>
              <w:t xml:space="preserve">GB/T 24170.1-2023</w:t>
            </w:r>
            <w:r>
              <w:rPr>
                <w:rFonts w:hint="eastAsia" w:ascii="宋体" w:hAnsi="宋体" w:eastAsia="宋体" w:cs="宋体"/>
                <w:i w:val="0"/>
                <w:iCs w:val="0"/>
                <w:color w:val="auto"/>
                <w:sz w:val="20"/>
                <w:szCs w:val="20"/>
                <w:highlight w:val="none"/>
                <w:u w:val="none"/>
                <w:lang w:val="en-US" w:eastAsia="zh-CN" w:bidi="ar"/>
              </w:rPr>
              <w:t xml:space="preserve">《表</w:t>
            </w:r>
            <w:r>
              <w:rPr>
                <w:rFonts w:hint="eastAsia" w:ascii="宋体" w:hAnsi="宋体" w:eastAsia="宋体" w:cs="宋体"/>
                <w:i w:val="0"/>
                <w:iCs w:val="0"/>
                <w:color w:val="auto"/>
                <w:sz w:val="20"/>
                <w:szCs w:val="20"/>
                <w:highlight w:val="none"/>
                <w:u w:val="none"/>
                <w:lang w:val="en-US" w:eastAsia="zh-CN" w:bidi="ar"/>
              </w:rPr>
              <w:t xml:space="preserve">面抗菌不锈钢第1部分:电化学法》； QB/T 2454-2013《家具五金抽屉导轨》检测标准；中性盐雾试验≥500h，镀层本身的耐腐蚀等级≥10级，镀层对基体的保护等级≥10级；乙酸盐雾试验≥250h，镀层本身的耐腐蚀等级≥10级，镀层对基体的保护等级≥10级；耐久性≥12万次检测合格，抗菌性能（抗菌率）≥99%。铰链依据QB/T 2189-2013《家具五金杯状暗铰链》；GB/T 10125 -2021《人造气氛腐蚀试验盐雾 试验》； QB/T 3832-1999 《轻工产品金属镀层腐蚀试验结果的评价》；</w:t>
            </w:r>
            <w:r>
              <w:rPr>
                <w:rFonts w:hint="eastAsia" w:ascii="宋体" w:hAnsi="宋体" w:cs="宋体"/>
                <w:i w:val="0"/>
                <w:iCs w:val="0"/>
                <w:color w:val="auto"/>
                <w:sz w:val="20"/>
                <w:szCs w:val="20"/>
                <w:highlight w:val="none"/>
                <w:u w:val="none"/>
                <w:lang w:val="en-US" w:eastAsia="zh-CN" w:bidi="ar"/>
              </w:rPr>
              <w:t xml:space="preserve">GB/T 24170.1-2023</w:t>
            </w:r>
            <w:r>
              <w:rPr>
                <w:rFonts w:hint="eastAsia" w:ascii="宋体" w:hAnsi="宋体" w:eastAsia="宋体" w:cs="宋体"/>
                <w:i w:val="0"/>
                <w:iCs w:val="0"/>
                <w:color w:val="auto"/>
                <w:sz w:val="20"/>
                <w:szCs w:val="20"/>
                <w:highlight w:val="none"/>
                <w:u w:val="none"/>
                <w:lang w:val="en-US" w:eastAsia="zh-CN" w:bidi="ar"/>
              </w:rPr>
              <w:t xml:space="preserve">《表面抗菌不锈钢第1部分:电化学法》检测标准；中性盐雾试验≥500h，镀层本身的耐腐蚀等级≥10级，镀层对基体的保护等级≥10级；乙酸盐雾试验≥250h，镀层本身的耐腐蚀等级≥10级，镀层对基体的保护等级≥10级；耐久性≥12万次检测合格，安装B型试验门时，下沉量不大于1.5mm，抗菌性能（抗菌率）≥99%。</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视力表灯箱：1. 供中小学卫生室测试学生的视力</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2.产品规格：5.0M标准对数视力表</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电子体重秤：自动；最大秤量：不小于140kg；身长器测量范围：80-210cm；最小分度值：100g；</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身高坐高计：身高测量范围为60-160cm，坐高测量范围为38-100cm,分度值是0.2KG,铝质标杆</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课桌椅测量尺：各方向360度完全测量；多用途测量工具，量角器、倾角仪和水平尺三合一；量 程：4×90°(0～360°)；显示分辨率： 0.1°；精 度： 0°和90°≤0.1°；其余≤0.2°</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灭火器：8KG干粉灭火器,喷射时间≥14S，喷射距离≥4M</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单开门冰箱：类别：单门</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制冷剂：R600a</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总容量：不小于90L</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冷冻室：不小于28L</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冷藏室：不小于42L</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消毒柜：不小于290L</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国标二星消毒</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晨检工作台：材质:ABS高强度原料</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规格:三层</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颜色:纯白</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款式:双抽</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尺寸:大号95×53×83</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脚轮:静音脚轮</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移动紫外线消毒灯：手动灯车，2根紫外线灯管，60W</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班级活动室：</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9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自由组合区角柜：规格206×30×295cm 7件套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1、主框架采用约15mm厚枫木纹</w:t>
            </w:r>
            <w:r>
              <w:rPr>
                <w:rFonts w:hint="eastAsia" w:ascii="宋体" w:hAnsi="宋体" w:cs="宋体"/>
                <w:i w:val="0"/>
                <w:iCs w:val="0"/>
                <w:color w:val="auto"/>
                <w:sz w:val="20"/>
                <w:szCs w:val="20"/>
                <w:highlight w:val="none"/>
                <w:u w:val="none"/>
                <w:lang w:val="en-US" w:eastAsia="zh-CN" w:bidi="ar"/>
              </w:rPr>
              <w:t xml:space="preserve">双贴面橡胶木</w:t>
            </w:r>
            <w:r>
              <w:rPr>
                <w:rFonts w:hint="eastAsia" w:ascii="宋体" w:hAnsi="宋体" w:eastAsia="宋体" w:cs="宋体"/>
                <w:i w:val="0"/>
                <w:iCs w:val="0"/>
                <w:color w:val="auto"/>
                <w:sz w:val="20"/>
                <w:szCs w:val="20"/>
                <w:highlight w:val="none"/>
                <w:u w:val="none"/>
                <w:lang w:val="en-US" w:eastAsia="zh-CN" w:bidi="ar"/>
              </w:rPr>
              <w:t xml:space="preserve">，甲醛释放量≤0.0</w:t>
            </w:r>
            <w:r>
              <w:rPr>
                <w:rFonts w:hint="eastAsia" w:ascii="宋体" w:hAnsi="宋体" w:cs="宋体"/>
                <w:i w:val="0"/>
                <w:iCs w:val="0"/>
                <w:color w:val="auto"/>
                <w:sz w:val="20"/>
                <w:szCs w:val="20"/>
                <w:highlight w:val="none"/>
                <w:u w:val="none"/>
                <w:lang w:val="en-US" w:eastAsia="zh-CN" w:bidi="ar"/>
              </w:rPr>
              <w:t xml:space="preserve">1</w:t>
            </w:r>
            <w:r>
              <w:rPr>
                <w:rFonts w:hint="eastAsia" w:ascii="宋体" w:hAnsi="宋体" w:eastAsia="宋体" w:cs="宋体"/>
                <w:i w:val="0"/>
                <w:iCs w:val="0"/>
                <w:color w:val="auto"/>
                <w:sz w:val="20"/>
                <w:szCs w:val="20"/>
                <w:highlight w:val="none"/>
                <w:u w:val="none"/>
                <w:lang w:val="en-US" w:eastAsia="zh-CN" w:bidi="ar"/>
              </w:rPr>
              <w:t xml:space="preserve">5mg/m³，符合Enf级，层板采用约15mm厚枫木纹双贴面胶合板，背板约为5mm枫木纹双贴面密度板，甲醛释放量≤0.025mg/m³，符合Enf级</w:t>
            </w:r>
            <w:r>
              <w:rPr>
                <w:rFonts w:hint="eastAsia" w:ascii="宋体" w:hAnsi="宋体" w:cs="宋体"/>
                <w:i w:val="0"/>
                <w:iCs w:val="0"/>
                <w:color w:val="auto"/>
                <w:sz w:val="20"/>
                <w:szCs w:val="20"/>
                <w:highlight w:val="none"/>
                <w:u w:val="none"/>
                <w:lang w:val="en-US" w:eastAsia="zh-CN" w:bidi="ar"/>
              </w:rPr>
              <w:t xml:space="preserve">，符合</w:t>
            </w:r>
            <w:r>
              <w:rPr>
                <w:rFonts w:hint="eastAsia" w:ascii="宋体" w:hAnsi="宋体" w:eastAsia="宋体" w:cs="宋体"/>
                <w:i w:val="0"/>
                <w:iCs w:val="0"/>
                <w:color w:val="auto"/>
                <w:sz w:val="20"/>
                <w:szCs w:val="20"/>
                <w:highlight w:val="none"/>
                <w:lang w:val="en-US" w:eastAsia="zh-CN" w:bidi="ar"/>
              </w:rPr>
              <w:t xml:space="preserve">GB/T39600-2021</w:t>
            </w:r>
            <w:r>
              <w:rPr>
                <w:rFonts w:hint="eastAsia" w:ascii="宋体" w:hAnsi="宋体" w:cs="宋体"/>
                <w:i w:val="0"/>
                <w:iCs w:val="0"/>
                <w:color w:val="auto"/>
                <w:sz w:val="20"/>
                <w:szCs w:val="20"/>
                <w:highlight w:val="none"/>
                <w:lang w:val="en-US" w:eastAsia="zh-CN" w:bidi="ar"/>
              </w:rPr>
              <w:t xml:space="preserve">标准要求。</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cs="宋体"/>
                <w:i w:val="0"/>
                <w:iCs w:val="0"/>
                <w:color w:val="auto"/>
                <w:sz w:val="20"/>
                <w:szCs w:val="20"/>
                <w:highlight w:val="none"/>
                <w:u w:val="none"/>
                <w:lang w:val="en-US" w:eastAsia="zh-CN" w:bidi="ar"/>
              </w:rPr>
              <w:t xml:space="preserve">2</w:t>
            </w:r>
            <w:r>
              <w:rPr>
                <w:rFonts w:hint="eastAsia" w:ascii="宋体" w:hAnsi="宋体" w:eastAsia="宋体" w:cs="宋体"/>
                <w:i w:val="0"/>
                <w:iCs w:val="0"/>
                <w:color w:val="auto"/>
                <w:sz w:val="20"/>
                <w:szCs w:val="20"/>
                <w:highlight w:val="none"/>
                <w:u w:val="none"/>
                <w:lang w:val="en-US" w:eastAsia="zh-CN" w:bidi="ar"/>
              </w:rPr>
              <w:t xml:space="preserve">、五金件选用环保五金镉、铅、汞、六价铬含量符合GB/T 26572-2011标准要求</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  </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cs="宋体"/>
                <w:i w:val="0"/>
                <w:iCs w:val="0"/>
                <w:color w:val="auto"/>
                <w:sz w:val="20"/>
                <w:szCs w:val="20"/>
                <w:highlight w:val="none"/>
                <w:u w:val="none"/>
                <w:lang w:val="en-US" w:eastAsia="zh-CN" w:bidi="ar"/>
              </w:rPr>
              <w:t xml:space="preserve">3</w:t>
            </w:r>
            <w:r>
              <w:rPr>
                <w:rFonts w:hint="eastAsia" w:ascii="宋体" w:hAnsi="宋体" w:eastAsia="宋体" w:cs="宋体"/>
                <w:i w:val="0"/>
                <w:iCs w:val="0"/>
                <w:color w:val="auto"/>
                <w:sz w:val="20"/>
                <w:szCs w:val="20"/>
                <w:highlight w:val="none"/>
                <w:u w:val="none"/>
                <w:lang w:val="en-US" w:eastAsia="zh-CN" w:bidi="ar"/>
              </w:rPr>
              <w:t xml:space="preserve">、柜体内部格局分为三层</w:t>
            </w:r>
            <w:r>
              <w:rPr>
                <w:rFonts w:hint="eastAsia" w:ascii="宋体" w:hAnsi="宋体" w:cs="宋体"/>
                <w:i w:val="0"/>
                <w:iCs w:val="0"/>
                <w:color w:val="auto"/>
                <w:sz w:val="20"/>
                <w:szCs w:val="20"/>
                <w:highlight w:val="none"/>
                <w:u w:val="none"/>
                <w:lang w:val="en-US" w:eastAsia="zh-CN" w:bidi="ar"/>
              </w:rPr>
              <w:t xml:space="preserve">。</w:t>
            </w:r>
            <w:r/>
          </w:p>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cs="宋体"/>
                <w:i w:val="0"/>
                <w:iCs w:val="0"/>
                <w:color w:val="auto"/>
                <w:sz w:val="20"/>
                <w:szCs w:val="20"/>
                <w:highlight w:val="none"/>
                <w:u w:val="none"/>
                <w:lang w:val="en-US" w:eastAsia="zh-CN" w:bidi="ar"/>
              </w:rPr>
              <w:t xml:space="preserve">4</w:t>
            </w:r>
            <w:r>
              <w:rPr>
                <w:rFonts w:hint="eastAsia" w:ascii="宋体" w:hAnsi="宋体" w:eastAsia="宋体" w:cs="宋体"/>
                <w:i w:val="0"/>
                <w:iCs w:val="0"/>
                <w:color w:val="auto"/>
                <w:sz w:val="20"/>
                <w:szCs w:val="20"/>
                <w:highlight w:val="none"/>
                <w:u w:val="none"/>
                <w:lang w:val="en-US" w:eastAsia="zh-CN" w:bidi="ar"/>
              </w:rPr>
              <w:t xml:space="preserve">、板材裁切侧边、端面、拼接缝隙全域采用木蜡油封边，成膜牢固，搅拌后均匀无硬块，细度、干燥时间、贮存稳定性、涂膜外观、光泽、硬度、附着力、耐干热性、耐水性、耐碱性、耐醇性、耐污染性（醋、茶）、挥发性有机化合物(VOC)含量、苯含量、甲苯二甲苯乙苯含量总和、卤代烃含量、可溶性重金属（铅、镉、铬、汞）含量符合GB/T 27811-2011标准要求</w:t>
            </w:r>
            <w:r>
              <w:rPr>
                <w:rFonts w:hint="eastAsia" w:ascii="宋体" w:hAnsi="宋体" w:cs="宋体"/>
                <w:i w:val="0"/>
                <w:iCs w:val="0"/>
                <w:color w:val="auto"/>
                <w:sz w:val="20"/>
                <w:szCs w:val="20"/>
                <w:highlight w:val="none"/>
                <w:u w:val="none"/>
                <w:lang w:val="en-US" w:eastAsia="zh-CN" w:bidi="ar"/>
              </w:rPr>
              <w:t xml:space="preserve">。</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厨房：规格约；65×160×31cm 4件套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1、框体采用约18mm厚环保三聚氰胺双贴面刨花板，甲醛释放量符合GB/T 39600-2021标准要求，甲醛释放量≤0.025mg/m³，符合Enf级； 背板约为5mm枫木纹双贴面密度板，甲醛释放量符合GB/T 39600-2021标准要求，甲醛释放量≤0.025mg/m³，符合Enf级；</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PVC封边条封边，表面光滑无污点，花纹清晰均匀，色泽均匀无色差，转角过渡自然，耐干热性、耐磨性、耐开裂性、耐老化性、耐冷热循环性、耐光色牢度、甲醛释放量、氯乙烯单体、可迁移元素（铅、镉、铬、汞、砷、钡、锑、硒）含量、邻苯二甲酸酯总量、多溴联苯(PBB)、多溴联苯醚(PBDE)等符合</w:t>
            </w:r>
            <w:r>
              <w:rPr>
                <w:rFonts w:hint="eastAsia" w:ascii="宋体" w:hAnsi="宋体" w:cs="宋体"/>
                <w:i w:val="0"/>
                <w:iCs w:val="0"/>
                <w:color w:val="auto"/>
                <w:sz w:val="20"/>
                <w:szCs w:val="20"/>
                <w:highlight w:val="none"/>
                <w:u w:val="none"/>
                <w:lang w:val="en-US" w:eastAsia="zh-CN" w:bidi="ar"/>
              </w:rPr>
              <w:t xml:space="preserve">QB/T 4463-2025</w:t>
            </w:r>
            <w:r>
              <w:rPr>
                <w:rFonts w:hint="eastAsia" w:ascii="宋体" w:hAnsi="宋体" w:eastAsia="宋体" w:cs="宋体"/>
                <w:i w:val="0"/>
                <w:iCs w:val="0"/>
                <w:color w:val="auto"/>
                <w:sz w:val="20"/>
                <w:szCs w:val="20"/>
                <w:highlight w:val="none"/>
                <w:u w:val="none"/>
                <w:lang w:val="en-US" w:eastAsia="zh-CN" w:bidi="ar"/>
              </w:rPr>
              <w:t xml:space="preserve">标准要求</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3、五金件选用环保五金，镉、铅、汞、六价铬含量符合GB/T 26572-2011标准要求</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4、厨房主题图案UV打印工艺处理，颜色饱满，图案附着力好，生动立体，不易褪色，无异味，无结块，且所使用的UV打印均为环保材料，颜色、着色力、细度、干燥性、有害可溶性元素（铅，镉，铬，钡，锑，汞，砷，硒）、挥发性有机化合物(VOCs)含量等符合QB/T 5603-2021标准要求</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5、采用直径33mm加大旋钮设计，易于儿童使用，并明显标识指针位置</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6、洗涤台顶板设有直径18.5cm的圆形孔洞，用于放置不锈钢盆</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6593"/>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default" w:ascii="宋体" w:hAnsi="宋体" w:eastAsia="宋体" w:cs="宋体"/>
                <w:i w:val="0"/>
                <w:iCs w:val="0"/>
                <w:color w:val="auto"/>
                <w:sz w:val="20"/>
                <w:szCs w:val="20"/>
                <w:highlight w:val="none"/>
                <w:u w:val="none"/>
                <w:lang w:val="en-US"/>
              </w:rPr>
            </w:pPr>
            <w:r>
              <w:rPr>
                <w:rFonts w:hint="default" w:ascii="宋体" w:hAnsi="宋体" w:eastAsia="宋体" w:cs="宋体"/>
                <w:i w:val="0"/>
                <w:iCs w:val="0"/>
                <w:color w:val="auto"/>
                <w:sz w:val="20"/>
                <w:szCs w:val="20"/>
                <w:highlight w:val="none"/>
                <w:u w:val="none"/>
                <w:lang w:val="en-US"/>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玩具柜（带轮）：尺寸：W80×D30×H84cm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1、侧板、顶板、上饰板采用约18mm厚枫木纹双贴面松木，松木实木板甲醛释放量符合GB/T 39600-2021标准要求，甲醛释放量≤0.025mg/m³，符合Enf级；</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2、层板、中竖板、底板、踢脚板采用约16mm厚枫木纹双贴面刨花板，饰面刨花板甲醛释放量符合GB/T 39600-2021标准要求，甲醛释放量≤0.025mg/m³，符合Enf级；背板约为5mm厚枫木纹双贴面密度板，饰面密度板甲醛释放量符合GB/T 39600-2021标准要求，甲醛释放量≤0.025mg/m³，符合Enf级； </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cs="宋体"/>
                <w:i w:val="0"/>
                <w:iCs w:val="0"/>
                <w:color w:val="auto"/>
                <w:sz w:val="20"/>
                <w:szCs w:val="20"/>
                <w:highlight w:val="none"/>
                <w:u w:val="none"/>
                <w:lang w:val="en-US" w:eastAsia="zh-CN" w:bidi="ar"/>
              </w:rPr>
              <w:t xml:space="preserve">3</w:t>
            </w:r>
            <w:r>
              <w:rPr>
                <w:rFonts w:hint="eastAsia" w:ascii="宋体" w:hAnsi="宋体" w:eastAsia="宋体" w:cs="宋体"/>
                <w:i w:val="0"/>
                <w:iCs w:val="0"/>
                <w:color w:val="auto"/>
                <w:sz w:val="20"/>
                <w:szCs w:val="20"/>
                <w:highlight w:val="none"/>
                <w:u w:val="none"/>
                <w:lang w:val="en-US" w:eastAsia="zh-CN" w:bidi="ar"/>
              </w:rPr>
              <w:t xml:space="preserve">、五金件选用环保五金，镉、铅、汞、六价铬含量符合GB/T 26572-2011标准要求</w:t>
            </w:r>
            <w:r>
              <w:rPr>
                <w:rFonts w:hint="eastAsia" w:ascii="宋体" w:hAnsi="宋体" w:cs="宋体"/>
                <w:i w:val="0"/>
                <w:iCs w:val="0"/>
                <w:color w:val="auto"/>
                <w:sz w:val="20"/>
                <w:szCs w:val="20"/>
                <w:highlight w:val="none"/>
                <w:u w:val="none"/>
                <w:lang w:val="en-US" w:eastAsia="zh-CN" w:bidi="ar"/>
              </w:rPr>
              <w:t xml:space="preserve">；</w:t>
            </w:r>
            <w:r/>
          </w:p>
          <w:p>
            <w:pPr>
              <w:numPr>
                <w:ilvl w:val="0"/>
                <w:numId w:val="0"/>
              </w:num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cs="宋体"/>
                <w:i w:val="0"/>
                <w:iCs w:val="0"/>
                <w:color w:val="auto"/>
                <w:sz w:val="20"/>
                <w:szCs w:val="20"/>
                <w:highlight w:val="none"/>
                <w:u w:val="none"/>
                <w:lang w:val="en-US" w:eastAsia="zh-CN" w:bidi="ar"/>
              </w:rPr>
              <w:t xml:space="preserve">4、</w:t>
            </w:r>
            <w:r>
              <w:rPr>
                <w:rFonts w:hint="eastAsia" w:ascii="宋体" w:hAnsi="宋体" w:eastAsia="宋体" w:cs="宋体"/>
                <w:i w:val="0"/>
                <w:iCs w:val="0"/>
                <w:color w:val="auto"/>
                <w:sz w:val="20"/>
                <w:szCs w:val="20"/>
                <w:highlight w:val="none"/>
                <w:u w:val="none"/>
                <w:lang w:val="en-US" w:eastAsia="zh-CN" w:bidi="ar"/>
              </w:rPr>
              <w:t xml:space="preserve">PVC封边条封边，表面光滑无污点，花纹清晰均匀，色泽均匀无色差，转角过渡自然，耐干热性、耐磨性、耐开裂性、耐老化性、耐冷热循环性、耐光色牢度、甲醛释放量、氯乙烯单体、可迁移元素（铅、镉、铬、汞、砷、钡、锑、硒）含量、邻苯二甲酸酯总量、多溴联苯(PBB)、多溴联苯醚(PBDE)等符合</w:t>
            </w:r>
            <w:r>
              <w:rPr>
                <w:rFonts w:hint="eastAsia" w:ascii="宋体" w:hAnsi="宋体" w:cs="宋体"/>
                <w:i w:val="0"/>
                <w:iCs w:val="0"/>
                <w:color w:val="auto"/>
                <w:sz w:val="20"/>
                <w:szCs w:val="20"/>
                <w:highlight w:val="none"/>
                <w:u w:val="none"/>
                <w:lang w:val="en-US" w:eastAsia="zh-CN" w:bidi="ar"/>
              </w:rPr>
              <w:t xml:space="preserve">QB/T 4463-2025</w:t>
            </w:r>
            <w:r>
              <w:rPr>
                <w:rFonts w:hint="eastAsia" w:ascii="宋体" w:hAnsi="宋体" w:eastAsia="宋体" w:cs="宋体"/>
                <w:i w:val="0"/>
                <w:iCs w:val="0"/>
                <w:color w:val="auto"/>
                <w:sz w:val="20"/>
                <w:szCs w:val="20"/>
                <w:highlight w:val="none"/>
                <w:u w:val="none"/>
                <w:lang w:val="en-US" w:eastAsia="zh-CN" w:bidi="ar"/>
              </w:rPr>
              <w:t xml:space="preserve">标准要求</w:t>
            </w:r>
            <w:r>
              <w:rPr>
                <w:rFonts w:hint="eastAsia" w:ascii="宋体" w:hAnsi="宋体" w:cs="宋体"/>
                <w:i w:val="0"/>
                <w:iCs w:val="0"/>
                <w:color w:val="auto"/>
                <w:sz w:val="20"/>
                <w:szCs w:val="20"/>
                <w:highlight w:val="none"/>
                <w:u w:val="none"/>
                <w:lang w:val="en-US" w:eastAsia="zh-CN" w:bidi="ar"/>
              </w:rPr>
              <w:t xml:space="preserve">；</w:t>
            </w:r>
            <w:r/>
          </w:p>
          <w:p>
            <w:pPr>
              <w:pStyle w:val="851"/>
              <w:numPr>
                <w:ilvl w:val="0"/>
                <w:numId w:val="0"/>
              </w:numPr>
              <w:rPr>
                <w:rFonts w:hint="default"/>
                <w:highlight w:val="none"/>
                <w:lang w:val="en-US" w:eastAsia="zh-CN"/>
              </w:rPr>
            </w:pPr>
            <w:r>
              <w:rPr>
                <w:rFonts w:hint="eastAsia"/>
                <w:highlight w:val="none"/>
                <w:lang w:val="en-US" w:eastAsia="zh-CN"/>
              </w:rPr>
              <w:t xml:space="preserve">5、滚轮主要尺寸[轮径≥20.0mm，轮宽-双联轮脚轮≥5.0mm，外角倒圆半径≥1.5mm]、外观、装配、抗冲击性能、动载荷、滚动阻力、旋转阻力、静载荷等符合QB/T 4765-2014标准。</w:t>
            </w:r>
            <w:r/>
          </w:p>
        </w:tc>
        <w:tc>
          <w:tcPr>
            <w:tcW w:w="2145" w:type="dxa"/>
            <w:vAlign w:val="center"/>
            <w:textDirection w:val="lrTb"/>
            <w:noWrap w:val="false"/>
          </w:tcPr>
          <w:p>
            <w:pPr>
              <w:pStyle w:val="851"/>
              <w:rPr>
                <w:rFonts w:hint="eastAsia"/>
                <w:highlight w:val="none"/>
                <w:lang w:val="en-US" w:eastAsia="zh-CN"/>
              </w:rPr>
            </w:pPr>
            <w:r>
              <w:rPr>
                <w:rFonts w:hint="eastAsia"/>
                <w:highlight w:val="none"/>
                <w:lang w:val="en-US" w:eastAsia="zh-CN"/>
              </w:rPr>
            </w:r>
            <w:r/>
          </w:p>
        </w:tc>
      </w:tr>
      <w:tr>
        <w:trPr>
          <w:jc w:val="center"/>
          <w:trHeight w:val="1492"/>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default" w:ascii="宋体" w:hAnsi="宋体" w:eastAsia="宋体" w:cs="宋体"/>
                <w:i w:val="0"/>
                <w:iCs w:val="0"/>
                <w:color w:val="auto"/>
                <w:sz w:val="20"/>
                <w:szCs w:val="20"/>
                <w:highlight w:val="none"/>
                <w:u w:val="none"/>
                <w:lang w:val="en-US"/>
              </w:rPr>
            </w:pPr>
            <w:r>
              <w:rPr>
                <w:rFonts w:hint="default" w:ascii="宋体" w:hAnsi="宋体" w:eastAsia="宋体" w:cs="宋体"/>
                <w:i w:val="0"/>
                <w:iCs w:val="0"/>
                <w:color w:val="auto"/>
                <w:sz w:val="20"/>
                <w:szCs w:val="20"/>
                <w:highlight w:val="none"/>
                <w:u w:val="none"/>
                <w:lang w:val="en-US"/>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儿童书柜（带轮）：尺寸：W83×D30×H80cm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1、侧板、竖板、底板、踢脚板采用约18mm厚枫木纹双贴面刨花板，甲醛释放量符合GB/T 39600-2021标准要求，甲醛释放量≤0.025mg/m³，符合Enf级；层板采用约5mm厚枫木纹双贴面密度板，饰面密度板甲醛释放量符合GB/T 39600-2021标准要求，甲醛释放量≤0.025mg/m³，符合Enf级；       </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cs="宋体"/>
                <w:i w:val="0"/>
                <w:iCs w:val="0"/>
                <w:color w:val="auto"/>
                <w:sz w:val="20"/>
                <w:szCs w:val="20"/>
                <w:highlight w:val="none"/>
                <w:u w:val="none"/>
                <w:lang w:val="en-US" w:eastAsia="zh-CN" w:bidi="ar"/>
              </w:rPr>
              <w:t xml:space="preserve">2</w:t>
            </w:r>
            <w:r>
              <w:rPr>
                <w:rFonts w:hint="eastAsia" w:ascii="宋体" w:hAnsi="宋体" w:eastAsia="宋体" w:cs="宋体"/>
                <w:i w:val="0"/>
                <w:iCs w:val="0"/>
                <w:color w:val="auto"/>
                <w:sz w:val="20"/>
                <w:szCs w:val="20"/>
                <w:highlight w:val="none"/>
                <w:u w:val="none"/>
                <w:lang w:val="en-US" w:eastAsia="zh-CN" w:bidi="ar"/>
              </w:rPr>
              <w:t xml:space="preserve">、五金件选用环保五金，镉、铅、汞、六价铬含量符合GB/T 26572-2011标准要求</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cs="宋体"/>
                <w:i w:val="0"/>
                <w:iCs w:val="0"/>
                <w:color w:val="auto"/>
                <w:sz w:val="20"/>
                <w:szCs w:val="20"/>
                <w:highlight w:val="none"/>
                <w:u w:val="none"/>
                <w:lang w:val="en-US" w:eastAsia="zh-CN" w:bidi="ar"/>
              </w:rPr>
              <w:t xml:space="preserve">3</w:t>
            </w:r>
            <w:r>
              <w:rPr>
                <w:rFonts w:hint="eastAsia" w:ascii="宋体" w:hAnsi="宋体" w:eastAsia="宋体" w:cs="宋体"/>
                <w:i w:val="0"/>
                <w:iCs w:val="0"/>
                <w:color w:val="auto"/>
                <w:sz w:val="20"/>
                <w:szCs w:val="20"/>
                <w:highlight w:val="none"/>
                <w:u w:val="none"/>
                <w:lang w:val="en-US" w:eastAsia="zh-CN" w:bidi="ar"/>
              </w:rPr>
              <w:t xml:space="preserve">、书柜采用错层设计，方便图书的分类摆放及取阅，共设4层，各层间竖隔板为流线弧形设计；</w:t>
            </w:r>
            <w:r/>
          </w:p>
          <w:p>
            <w:pPr>
              <w:numPr>
                <w:ilvl w:val="0"/>
                <w:numId w:val="3"/>
              </w:numPr>
              <w:jc w:val="left"/>
              <w:keepLines w:val="0"/>
              <w:keepNext w:val="0"/>
              <w:widowControl/>
              <w:rPr>
                <w:rFonts w:hint="eastAsia" w:ascii="宋体" w:hAnsi="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PVC封边条封边，表面光滑无污点，花纹清晰均匀，色泽均匀无色差，转角过渡自然，耐干热性、耐磨性、耐开裂性、耐老化性、耐冷热循环性、耐光色牢度、甲醛释放量、氯乙烯单体、可迁移元素（铅、镉、铬、汞、砷、钡、锑、硒）含量、邻苯二甲酸酯总量、多溴联苯(PBB)、多溴联苯醚(PBDE)等符合</w:t>
            </w:r>
            <w:r>
              <w:rPr>
                <w:rFonts w:hint="eastAsia" w:ascii="宋体" w:hAnsi="宋体" w:cs="宋体"/>
                <w:i w:val="0"/>
                <w:iCs w:val="0"/>
                <w:color w:val="auto"/>
                <w:sz w:val="20"/>
                <w:szCs w:val="20"/>
                <w:highlight w:val="none"/>
                <w:u w:val="none"/>
                <w:lang w:val="en-US" w:eastAsia="zh-CN" w:bidi="ar"/>
              </w:rPr>
              <w:t xml:space="preserve">QB/T 4463-2025</w:t>
            </w:r>
            <w:r>
              <w:rPr>
                <w:rFonts w:hint="eastAsia" w:ascii="宋体" w:hAnsi="宋体" w:eastAsia="宋体" w:cs="宋体"/>
                <w:i w:val="0"/>
                <w:iCs w:val="0"/>
                <w:color w:val="auto"/>
                <w:sz w:val="20"/>
                <w:szCs w:val="20"/>
                <w:highlight w:val="none"/>
                <w:u w:val="none"/>
                <w:lang w:val="en-US" w:eastAsia="zh-CN" w:bidi="ar"/>
              </w:rPr>
              <w:t xml:space="preserve">标准要求</w:t>
            </w:r>
            <w:r>
              <w:rPr>
                <w:rFonts w:hint="eastAsia" w:ascii="宋体" w:hAnsi="宋体" w:cs="宋体"/>
                <w:i w:val="0"/>
                <w:iCs w:val="0"/>
                <w:color w:val="auto"/>
                <w:sz w:val="20"/>
                <w:szCs w:val="20"/>
                <w:highlight w:val="none"/>
                <w:u w:val="none"/>
                <w:lang w:val="en-US" w:eastAsia="zh-CN" w:bidi="ar"/>
              </w:rPr>
              <w:t xml:space="preserve">；</w:t>
            </w:r>
            <w:r/>
          </w:p>
          <w:p>
            <w:pPr>
              <w:numPr>
                <w:ilvl w:val="0"/>
                <w:numId w:val="0"/>
              </w:num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highlight w:val="none"/>
                <w:lang w:val="en-US" w:eastAsia="zh-CN"/>
              </w:rPr>
              <w:t xml:space="preserve">5、滚轮主要尺寸[轮径≥20.0mm，轮宽-双联轮脚轮≥5.0mm，外角倒圆半径≥1.5mm]、外观、装配、抗冲击性能、动载荷、滚动阻力、旋转阻力、静载荷等符合QB/T 4765-2014标准。</w:t>
            </w:r>
            <w:r>
              <w:rPr>
                <w:rFonts w:hint="eastAsia" w:ascii="宋体" w:hAnsi="宋体" w:eastAsia="宋体" w:cs="宋体"/>
                <w:i w:val="0"/>
                <w:iCs w:val="0"/>
                <w:color w:val="auto"/>
                <w:sz w:val="20"/>
                <w:szCs w:val="20"/>
                <w:highlight w:val="none"/>
                <w:u w:val="none"/>
                <w:lang w:val="en-US" w:eastAsia="zh-CN" w:bidi="ar"/>
              </w:rPr>
              <w:t xml:space="preserve">  </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8112"/>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keepLines w:val="0"/>
              <w:keepNext w:val="0"/>
              <w:widowControl/>
              <w:rPr>
                <w:rFonts w:hint="default" w:ascii="宋体" w:hAnsi="宋体" w:eastAsia="宋体" w:cs="宋体"/>
                <w:i w:val="0"/>
                <w:iCs w:val="0"/>
                <w:color w:val="auto"/>
                <w:sz w:val="20"/>
                <w:szCs w:val="20"/>
                <w:highlight w:val="none"/>
                <w:u w:val="none"/>
                <w:lang w:val="en-US"/>
              </w:rPr>
              <w:suppressLineNumbers w:val="0"/>
            </w:pPr>
            <w:r>
              <w:rPr>
                <w:rFonts w:hint="default" w:ascii="宋体" w:hAnsi="宋体" w:eastAsia="宋体" w:cs="宋体"/>
                <w:i w:val="0"/>
                <w:iCs w:val="0"/>
                <w:color w:val="auto"/>
                <w:sz w:val="20"/>
                <w:szCs w:val="20"/>
                <w:highlight w:val="none"/>
                <w:u w:val="none"/>
                <w:lang w:val="en-US"/>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美工材料柜（带轮）：尺寸：W80×D30×H80cm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1、侧板</w:t>
            </w:r>
            <w:r>
              <w:rPr>
                <w:rFonts w:hint="eastAsia" w:ascii="宋体" w:hAnsi="宋体" w:eastAsia="宋体" w:cs="宋体"/>
                <w:i w:val="0"/>
                <w:iCs w:val="0"/>
                <w:color w:val="auto"/>
                <w:sz w:val="20"/>
                <w:szCs w:val="20"/>
                <w:highlight w:val="none"/>
                <w:u w:val="none"/>
                <w:lang w:val="en-US" w:eastAsia="zh-CN" w:bidi="ar"/>
              </w:rPr>
              <w:t xml:space="preserve">、顶板、上背板采用约18mm厚枫木纹双贴面松木，松木实木板甲醛释放量符合GB/T 39600-2021标准要求，甲醛释放量≤0.025mg/m³，符合Enf级；上方左侧层板采用约9mm厚枫木纹双贴面胶合板，上方右侧层板采用约15mm厚枫木纹双贴面胶合板，饰面胶合板甲醛释放量符合GB/T 39600-2021标准要求，甲醛释放量≤0.025mg/m³，符合Enf级；背板为5mm厚枫木纹双贴面密度板，饰面密度板甲醛释放量符合GB/T 39600-2021标准要求，甲醛释放量≤0.025mg/m³，符合Enf级；</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2、竖隔板、下层板、底板、踢脚板采用16mm厚枫木纹双贴面刨花板，饰面刨花板甲醛释放量符合GB/T 39600-2021标准要求，甲醛释放量≤0.025mg/m³，符合Enf级；</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3、五金件选用环保五金，镉、铅、汞、六价铬含量符合GB/T 26572-2011标准要求</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cs="宋体"/>
                <w:i w:val="0"/>
                <w:iCs w:val="0"/>
                <w:color w:val="auto"/>
                <w:sz w:val="20"/>
                <w:szCs w:val="20"/>
                <w:highlight w:val="none"/>
                <w:u w:val="none"/>
                <w:lang w:val="en-US" w:eastAsia="zh-CN" w:bidi="ar"/>
              </w:rPr>
              <w:t xml:space="preserve">4</w:t>
            </w:r>
            <w:r>
              <w:rPr>
                <w:rFonts w:hint="eastAsia" w:ascii="宋体" w:hAnsi="宋体" w:eastAsia="宋体" w:cs="宋体"/>
                <w:i w:val="0"/>
                <w:iCs w:val="0"/>
                <w:color w:val="auto"/>
                <w:sz w:val="20"/>
                <w:szCs w:val="20"/>
                <w:highlight w:val="none"/>
                <w:u w:val="none"/>
                <w:lang w:val="en-US" w:eastAsia="zh-CN" w:bidi="ar"/>
              </w:rPr>
              <w:t xml:space="preserve">、本款产品上部分为综合存放空间</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可放置画纸及幼儿作品</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插入画笔等物</w:t>
            </w:r>
            <w:r>
              <w:rPr>
                <w:rFonts w:hint="eastAsia" w:ascii="宋体" w:hAnsi="宋体" w:cs="宋体"/>
                <w:i w:val="0"/>
                <w:iCs w:val="0"/>
                <w:color w:val="auto"/>
                <w:sz w:val="20"/>
                <w:szCs w:val="20"/>
                <w:highlight w:val="none"/>
                <w:u w:val="none"/>
                <w:lang w:val="en-US" w:eastAsia="zh-CN" w:bidi="ar"/>
              </w:rPr>
              <w:t xml:space="preserve">和</w:t>
            </w:r>
            <w:r>
              <w:rPr>
                <w:rFonts w:hint="eastAsia" w:ascii="宋体" w:hAnsi="宋体" w:eastAsia="宋体" w:cs="宋体"/>
                <w:i w:val="0"/>
                <w:iCs w:val="0"/>
                <w:color w:val="auto"/>
                <w:sz w:val="20"/>
                <w:szCs w:val="20"/>
                <w:highlight w:val="none"/>
                <w:u w:val="none"/>
                <w:lang w:val="en-US" w:eastAsia="zh-CN" w:bidi="ar"/>
              </w:rPr>
              <w:t xml:space="preserve">用于放置颜料</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柜体下部分为</w:t>
            </w:r>
            <w:r>
              <w:rPr>
                <w:rFonts w:hint="eastAsia" w:ascii="宋体" w:hAnsi="宋体" w:cs="宋体"/>
                <w:i w:val="0"/>
                <w:iCs w:val="0"/>
                <w:color w:val="auto"/>
                <w:sz w:val="20"/>
                <w:szCs w:val="20"/>
                <w:highlight w:val="none"/>
                <w:u w:val="none"/>
                <w:lang w:val="en-US" w:eastAsia="zh-CN" w:bidi="ar"/>
              </w:rPr>
              <w:t xml:space="preserve">多</w:t>
            </w:r>
            <w:r>
              <w:rPr>
                <w:rFonts w:hint="eastAsia" w:ascii="宋体" w:hAnsi="宋体" w:eastAsia="宋体" w:cs="宋体"/>
                <w:i w:val="0"/>
                <w:iCs w:val="0"/>
                <w:color w:val="auto"/>
                <w:sz w:val="20"/>
                <w:szCs w:val="20"/>
                <w:highlight w:val="none"/>
                <w:u w:val="none"/>
                <w:lang w:val="en-US" w:eastAsia="zh-CN" w:bidi="ar"/>
              </w:rPr>
              <w:t xml:space="preserve">层格柜，</w:t>
            </w:r>
            <w:r>
              <w:rPr>
                <w:rFonts w:hint="eastAsia" w:ascii="宋体" w:hAnsi="宋体" w:cs="宋体"/>
                <w:i w:val="0"/>
                <w:iCs w:val="0"/>
                <w:color w:val="auto"/>
                <w:sz w:val="20"/>
                <w:szCs w:val="20"/>
                <w:highlight w:val="none"/>
                <w:u w:val="none"/>
                <w:lang w:val="en-US" w:eastAsia="zh-CN" w:bidi="ar"/>
              </w:rPr>
              <w:t xml:space="preserve">可</w:t>
            </w:r>
            <w:r>
              <w:rPr>
                <w:rFonts w:hint="eastAsia" w:ascii="宋体" w:hAnsi="宋体" w:eastAsia="宋体" w:cs="宋体"/>
                <w:i w:val="0"/>
                <w:iCs w:val="0"/>
                <w:color w:val="auto"/>
                <w:sz w:val="20"/>
                <w:szCs w:val="20"/>
                <w:highlight w:val="none"/>
                <w:u w:val="none"/>
                <w:lang w:val="en-US" w:eastAsia="zh-CN" w:bidi="ar"/>
              </w:rPr>
              <w:t xml:space="preserve">方便不同尺寸、规格物品的收纳、整理</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cs="宋体"/>
                <w:i w:val="0"/>
                <w:iCs w:val="0"/>
                <w:color w:val="auto"/>
                <w:sz w:val="20"/>
                <w:szCs w:val="20"/>
                <w:highlight w:val="none"/>
                <w:u w:val="none"/>
                <w:lang w:val="en-US" w:eastAsia="zh-CN" w:bidi="ar"/>
              </w:rPr>
              <w:t xml:space="preserve">5</w:t>
            </w:r>
            <w:r>
              <w:rPr>
                <w:rFonts w:hint="eastAsia" w:ascii="宋体" w:hAnsi="宋体" w:eastAsia="宋体" w:cs="宋体"/>
                <w:i w:val="0"/>
                <w:iCs w:val="0"/>
                <w:color w:val="auto"/>
                <w:sz w:val="20"/>
                <w:szCs w:val="20"/>
                <w:highlight w:val="none"/>
                <w:u w:val="none"/>
                <w:lang w:val="en-US" w:eastAsia="zh-CN" w:bidi="ar"/>
              </w:rPr>
              <w:t xml:space="preserve">、采用踢脚板设计，既增加了稳定性，又可以防止杂物进入柜底</w:t>
            </w:r>
            <w:r>
              <w:rPr>
                <w:rFonts w:hint="eastAsia" w:ascii="宋体" w:hAnsi="宋体" w:cs="宋体"/>
                <w:i w:val="0"/>
                <w:iCs w:val="0"/>
                <w:color w:val="auto"/>
                <w:sz w:val="20"/>
                <w:szCs w:val="20"/>
                <w:highlight w:val="none"/>
                <w:u w:val="none"/>
                <w:lang w:val="en-US" w:eastAsia="zh-CN" w:bidi="ar"/>
              </w:rPr>
              <w:t xml:space="preserve">。</w:t>
            </w:r>
            <w:r/>
          </w:p>
          <w:p>
            <w:pPr>
              <w:numPr>
                <w:ilvl w:val="0"/>
                <w:numId w:val="0"/>
              </w:numPr>
              <w:jc w:val="left"/>
              <w:keepLines w:val="0"/>
              <w:keepNext w:val="0"/>
              <w:widowControl/>
              <w:rPr>
                <w:rFonts w:hint="eastAsia" w:ascii="宋体" w:hAnsi="宋体" w:cs="宋体"/>
                <w:i w:val="0"/>
                <w:iCs w:val="0"/>
                <w:color w:val="auto"/>
                <w:sz w:val="20"/>
                <w:szCs w:val="20"/>
                <w:highlight w:val="none"/>
                <w:u w:val="none"/>
                <w:lang w:val="en-US" w:eastAsia="zh-CN" w:bidi="ar"/>
              </w:rPr>
              <w:suppressLineNumbers w:val="0"/>
            </w:pPr>
            <w:r>
              <w:rPr>
                <w:rFonts w:hint="eastAsia" w:ascii="宋体" w:hAnsi="宋体" w:cs="宋体"/>
                <w:i w:val="0"/>
                <w:iCs w:val="0"/>
                <w:color w:val="auto"/>
                <w:sz w:val="20"/>
                <w:szCs w:val="20"/>
                <w:highlight w:val="none"/>
                <w:u w:val="none"/>
                <w:lang w:val="en-US" w:eastAsia="zh-CN" w:bidi="ar"/>
              </w:rPr>
              <w:t xml:space="preserve">6、</w:t>
            </w:r>
            <w:r>
              <w:rPr>
                <w:rFonts w:hint="eastAsia" w:ascii="宋体" w:hAnsi="宋体" w:eastAsia="宋体" w:cs="宋体"/>
                <w:i w:val="0"/>
                <w:iCs w:val="0"/>
                <w:color w:val="auto"/>
                <w:sz w:val="20"/>
                <w:szCs w:val="20"/>
                <w:highlight w:val="none"/>
                <w:u w:val="none"/>
                <w:lang w:val="en-US" w:eastAsia="zh-CN" w:bidi="ar"/>
              </w:rPr>
              <w:t xml:space="preserve">PVC封边条封边，表面光滑无污点，花纹清晰均匀，色泽均匀无色差，转角过渡自然，耐干热性、耐磨性、耐开裂性、耐老化性、耐冷热循环性、耐光色牢度、甲醛释放量、氯乙烯单体、可迁移元素（铅、镉、铬、汞、砷、钡、锑、硒）含量、邻苯二甲酸酯总量、多溴联苯(PBB)、多溴联苯醚(PBDE)等符合</w:t>
            </w:r>
            <w:r>
              <w:rPr>
                <w:rFonts w:hint="eastAsia" w:ascii="宋体" w:hAnsi="宋体" w:cs="宋体"/>
                <w:i w:val="0"/>
                <w:iCs w:val="0"/>
                <w:color w:val="auto"/>
                <w:sz w:val="20"/>
                <w:szCs w:val="20"/>
                <w:highlight w:val="none"/>
                <w:u w:val="none"/>
                <w:lang w:val="en-US" w:eastAsia="zh-CN" w:bidi="ar"/>
              </w:rPr>
              <w:t xml:space="preserve">QB/T 4463-2025</w:t>
            </w:r>
            <w:r>
              <w:rPr>
                <w:rFonts w:hint="eastAsia" w:ascii="宋体" w:hAnsi="宋体" w:eastAsia="宋体" w:cs="宋体"/>
                <w:i w:val="0"/>
                <w:iCs w:val="0"/>
                <w:color w:val="auto"/>
                <w:sz w:val="20"/>
                <w:szCs w:val="20"/>
                <w:highlight w:val="none"/>
                <w:u w:val="none"/>
                <w:lang w:val="en-US" w:eastAsia="zh-CN" w:bidi="ar"/>
              </w:rPr>
              <w:t xml:space="preserve">标准要求</w:t>
            </w:r>
            <w:r>
              <w:rPr>
                <w:rFonts w:hint="eastAsia" w:ascii="宋体" w:hAnsi="宋体" w:cs="宋体"/>
                <w:i w:val="0"/>
                <w:iCs w:val="0"/>
                <w:color w:val="auto"/>
                <w:sz w:val="20"/>
                <w:szCs w:val="20"/>
                <w:highlight w:val="none"/>
                <w:u w:val="none"/>
                <w:lang w:val="en-US" w:eastAsia="zh-CN" w:bidi="ar"/>
              </w:rPr>
              <w:t xml:space="preserve">。</w:t>
            </w:r>
            <w:r/>
          </w:p>
          <w:p>
            <w:pPr>
              <w:pStyle w:val="851"/>
              <w:numPr>
                <w:ilvl w:val="0"/>
                <w:numId w:val="0"/>
              </w:numPr>
              <w:rPr>
                <w:rFonts w:hint="eastAsia"/>
                <w:highlight w:val="none"/>
                <w:lang w:val="en-US" w:eastAsia="zh-CN"/>
              </w:rPr>
            </w:pPr>
            <w:r>
              <w:rPr>
                <w:rFonts w:hint="eastAsia"/>
                <w:highlight w:val="none"/>
                <w:lang w:val="en-US" w:eastAsia="zh-CN"/>
              </w:rPr>
              <w:t xml:space="preserve">7、滚轮主要尺寸[轮径≥20.0mm，轮宽-双联轮脚轮≥5.0mm，外角倒圆半径≥1.5mm]、外观、装配、抗冲击性能、动载荷、滚动阻力、旋转阻力、静载荷等符合QB/T 4765-2014标准。</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597"/>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keepLines w:val="0"/>
              <w:keepNext w:val="0"/>
              <w:widowControl/>
              <w:rPr>
                <w:rFonts w:hint="default" w:ascii="宋体" w:hAnsi="宋体" w:eastAsia="宋体" w:cs="宋体"/>
                <w:i w:val="0"/>
                <w:iCs w:val="0"/>
                <w:color w:val="auto"/>
                <w:sz w:val="20"/>
                <w:szCs w:val="20"/>
                <w:highlight w:val="none"/>
                <w:u w:val="none"/>
                <w:lang w:val="en-US"/>
              </w:rPr>
              <w:suppressLineNumbers w:val="0"/>
            </w:pPr>
            <w:r>
              <w:rPr>
                <w:rFonts w:hint="default" w:ascii="宋体" w:hAnsi="宋体" w:eastAsia="宋体" w:cs="宋体"/>
                <w:i w:val="0"/>
                <w:iCs w:val="0"/>
                <w:color w:val="auto"/>
                <w:sz w:val="20"/>
                <w:szCs w:val="20"/>
                <w:highlight w:val="none"/>
                <w:u w:val="none"/>
                <w:lang w:val="en-US"/>
              </w:rPr>
            </w:r>
            <w:r/>
          </w:p>
        </w:tc>
        <w:tc>
          <w:tcPr>
            <w:tcW w:w="5370" w:type="dxa"/>
            <w:vAlign w:val="center"/>
            <w:textDirection w:val="lrTb"/>
            <w:noWrap w:val="false"/>
          </w:tcPr>
          <w:p>
            <w:pPr>
              <w:jc w:val="left"/>
              <w:keepLines w:val="0"/>
              <w:keepNext w:val="0"/>
              <w:widowControl/>
              <w:rPr>
                <w:rFonts w:hint="eastAsia" w:ascii="宋体" w:hAnsi="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长桌（小班）：桌面尺寸：120×60×49cm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1、桌面采用约25mm厚防火板双贴面松木，甲醛释放量符合GB/T39600-2021标准要求，甲醛释放量≤0.025mg/m³，符合Enf级；桌面背部使用塑料应力杆</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2、木蜡油封边，成膜牢固，搅拌后均匀无硬块，木蜡油在容器中状态；细度≤40μm；干燥时间[表干≤8h、实干≤24h]；贮存稳定性[结皮性-无结皮、沉降性-无异常]；涂膜外观正常</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光泽(60°)；硬度 (擦伤)≥B；附着力(划格间距2mm)≤1级；耐干热性≤2级；耐水性无异常；耐碱性无异常；耐醇性无异常；耐污染性（醋、茶）无异常；挥发性有机化合物(VOC)含量≤450g/L；苯含量未检出；甲苯、二甲苯、乙苯含量总和未检出；卤代烃含量≤0.1%；无可溶性重金属含量（铅、镉、铬、汞）符合GB/T27811-2011</w:t>
            </w:r>
            <w:r>
              <w:rPr>
                <w:rFonts w:hint="eastAsia" w:ascii="宋体" w:hAnsi="宋体" w:cs="宋体"/>
                <w:i w:val="0"/>
                <w:iCs w:val="0"/>
                <w:color w:val="auto"/>
                <w:sz w:val="20"/>
                <w:szCs w:val="20"/>
                <w:highlight w:val="none"/>
                <w:u w:val="none"/>
                <w:lang w:val="en-US" w:eastAsia="zh-CN" w:bidi="ar"/>
              </w:rPr>
              <w:t xml:space="preserve">标准规范</w:t>
            </w:r>
            <w:r>
              <w:rPr>
                <w:rFonts w:hint="eastAsia" w:ascii="宋体" w:hAnsi="宋体" w:eastAsia="宋体" w:cs="宋体"/>
                <w:i w:val="0"/>
                <w:iCs w:val="0"/>
                <w:color w:val="auto"/>
                <w:sz w:val="20"/>
                <w:szCs w:val="20"/>
                <w:highlight w:val="none"/>
                <w:u w:val="none"/>
                <w:lang w:val="en-US" w:eastAsia="zh-CN" w:bidi="ar"/>
              </w:rPr>
              <w:t xml:space="preserve">要求</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3、五金件选用环保五金，镉、铅、汞、六价铬含量符合GB/T 26572-2011标准要求</w:t>
            </w:r>
            <w:r>
              <w:rPr>
                <w:rFonts w:hint="eastAsia" w:ascii="宋体" w:hAnsi="宋体" w:cs="宋体"/>
                <w:i w:val="0"/>
                <w:iCs w:val="0"/>
                <w:color w:val="auto"/>
                <w:sz w:val="20"/>
                <w:szCs w:val="20"/>
                <w:highlight w:val="none"/>
                <w:u w:val="none"/>
                <w:lang w:val="en-US" w:eastAsia="zh-CN" w:bidi="ar"/>
              </w:rPr>
              <w:t xml:space="preserve">。</w:t>
            </w:r>
            <w:r/>
          </w:p>
          <w:p>
            <w:pPr>
              <w:numPr>
                <w:ilvl w:val="0"/>
                <w:numId w:val="0"/>
              </w:numPr>
              <w:rPr>
                <w:rFonts w:hint="eastAsia" w:ascii="宋体" w:hAnsi="宋体" w:cs="宋体"/>
                <w:i w:val="0"/>
                <w:iCs w:val="0"/>
                <w:color w:val="auto"/>
                <w:sz w:val="20"/>
                <w:szCs w:val="20"/>
                <w:highlight w:val="none"/>
                <w:u w:val="none"/>
                <w:lang w:val="en-US" w:eastAsia="zh-CN" w:bidi="ar"/>
              </w:rPr>
            </w:pPr>
            <w:r>
              <w:rPr>
                <w:rFonts w:hint="eastAsia" w:ascii="宋体" w:hAnsi="宋体" w:cs="宋体"/>
                <w:i w:val="0"/>
                <w:iCs w:val="0"/>
                <w:color w:val="auto"/>
                <w:sz w:val="20"/>
                <w:szCs w:val="20"/>
                <w:highlight w:val="none"/>
                <w:u w:val="none"/>
                <w:lang w:val="en-US" w:eastAsia="zh-CN" w:bidi="ar"/>
              </w:rPr>
              <w:t xml:space="preserve">4、桌子塑料连接件适配幼儿园教室人员密集，</w:t>
            </w:r>
            <w:r>
              <w:rPr>
                <w:rFonts w:hint="eastAsia" w:ascii="宋体" w:hAnsi="宋体" w:eastAsia="宋体" w:cs="宋体"/>
                <w:i w:val="0"/>
                <w:iCs w:val="0"/>
                <w:color w:val="auto"/>
                <w:sz w:val="20"/>
                <w:szCs w:val="20"/>
                <w:highlight w:val="none"/>
                <w:u w:val="none"/>
                <w:lang w:val="en-US" w:eastAsia="zh-CN" w:bidi="ar"/>
              </w:rPr>
              <w:t xml:space="preserve">园区日常洗手、洒水清洁易造成塑料件潮湿积污，连接件需具备长效防霉能力，依据 GB/T 24128-2018 完成防霉性能检测，</w:t>
            </w:r>
            <w:r>
              <w:rPr>
                <w:rFonts w:hint="eastAsia" w:ascii="宋体" w:hAnsi="宋体" w:cs="宋体"/>
                <w:i w:val="0"/>
                <w:iCs w:val="0"/>
                <w:color w:val="auto"/>
                <w:sz w:val="20"/>
                <w:szCs w:val="20"/>
                <w:highlight w:val="none"/>
                <w:u w:val="none"/>
                <w:lang w:val="en-US" w:eastAsia="zh-CN" w:bidi="ar"/>
              </w:rPr>
              <w:t xml:space="preserve">检测标准为</w:t>
            </w:r>
            <w:r>
              <w:rPr>
                <w:rFonts w:hint="eastAsia" w:ascii="宋体" w:hAnsi="宋体" w:eastAsia="宋体" w:cs="宋体"/>
                <w:i w:val="0"/>
                <w:iCs w:val="0"/>
                <w:color w:val="auto"/>
                <w:sz w:val="20"/>
                <w:szCs w:val="20"/>
                <w:highlight w:val="none"/>
                <w:u w:val="none"/>
                <w:lang w:val="en-US" w:eastAsia="zh-CN" w:bidi="ar"/>
              </w:rPr>
              <w:t xml:space="preserve">潮湿环境下不滋生霉菌</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黑曲霉、球毛壳霉、宛氏拟青霉、绳状青霉、长枝木霉长霉等级为0级</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、不产生致敏微生物，降低幼儿皮肤、呼吸道感染风险</w:t>
            </w:r>
            <w:r>
              <w:rPr>
                <w:rFonts w:hint="eastAsia" w:ascii="宋体" w:hAnsi="宋体" w:cs="宋体"/>
                <w:i w:val="0"/>
                <w:iCs w:val="0"/>
                <w:color w:val="auto"/>
                <w:sz w:val="20"/>
                <w:szCs w:val="20"/>
                <w:highlight w:val="none"/>
                <w:u w:val="none"/>
                <w:lang w:val="en-US" w:eastAsia="zh-CN" w:bidi="ar"/>
              </w:rPr>
              <w:t xml:space="preserve">。</w:t>
            </w:r>
            <w:r/>
          </w:p>
          <w:p>
            <w:pPr>
              <w:pStyle w:val="851"/>
              <w:numPr>
                <w:ilvl w:val="0"/>
                <w:numId w:val="0"/>
              </w:numPr>
              <w:rPr>
                <w:rFonts w:hint="eastAsia" w:ascii="宋体" w:hAnsi="宋体" w:cs="宋体"/>
                <w:i w:val="0"/>
                <w:iCs w:val="0"/>
                <w:color w:val="auto"/>
                <w:sz w:val="20"/>
                <w:szCs w:val="20"/>
                <w:highlight w:val="none"/>
                <w:u w:val="none"/>
                <w:lang w:val="en-US" w:eastAsia="zh-CN" w:bidi="ar"/>
              </w:rPr>
            </w:pPr>
            <w:r>
              <w:rPr>
                <w:rFonts w:hint="eastAsia" w:ascii="宋体" w:hAnsi="宋体" w:cs="宋体"/>
                <w:i w:val="0"/>
                <w:iCs w:val="0"/>
                <w:color w:val="auto"/>
                <w:sz w:val="20"/>
                <w:szCs w:val="20"/>
                <w:highlight w:val="none"/>
                <w:u w:val="none"/>
                <w:lang w:val="en-US" w:eastAsia="zh-CN" w:bidi="ar"/>
              </w:rPr>
              <w:t xml:space="preserve">5、安全使用要求：本项目用于幼儿园教学活动，幼儿活泼好动，桌椅长期受反复摇晃、推拉冲击，桌体塑料连接件若发生老化、滑丝、松动、断裂，极易引发桌椅倾倒、幼儿磕碰受伤等安全事故，塑料连接件必须具备长期稳定的紧固性能与耐光照老化能力。</w:t>
            </w:r>
            <w:r/>
          </w:p>
        </w:tc>
        <w:tc>
          <w:tcPr>
            <w:tcW w:w="2145" w:type="dxa"/>
            <w:vAlign w:val="center"/>
            <w:textDirection w:val="lrTb"/>
            <w:noWrap w:val="false"/>
          </w:tcPr>
          <w:p>
            <w:pPr>
              <w:numPr>
                <w:ilvl w:val="0"/>
                <w:numId w:val="0"/>
              </w:numPr>
              <w:jc w:val="left"/>
              <w:keepLines w:val="0"/>
              <w:keepNext w:val="0"/>
              <w:widowControl/>
              <w:rPr>
                <w:rFonts w:hint="default" w:ascii="宋体" w:hAnsi="宋体" w:eastAsia="宋体" w:cs="宋体"/>
                <w:i w:val="0"/>
                <w:iCs w:val="0"/>
                <w:color w:val="auto"/>
                <w:sz w:val="20"/>
                <w:szCs w:val="20"/>
                <w:highlight w:val="none"/>
                <w:lang w:val="en-US" w:eastAsia="zh-CN" w:bidi="ar"/>
              </w:rPr>
              <w:suppressLineNumbers w:val="0"/>
            </w:pPr>
            <w:r>
              <w:rPr>
                <w:rFonts w:hint="default" w:ascii="宋体" w:hAnsi="宋体" w:eastAsia="宋体" w:cs="宋体"/>
                <w:i w:val="0"/>
                <w:iCs w:val="0"/>
                <w:color w:val="auto"/>
                <w:sz w:val="20"/>
                <w:szCs w:val="20"/>
                <w:highlight w:val="none"/>
                <w:lang w:val="en-US" w:eastAsia="zh-CN" w:bidi="ar"/>
              </w:rPr>
            </w:r>
            <w:r/>
          </w:p>
        </w:tc>
      </w:tr>
      <w:tr>
        <w:trPr>
          <w:jc w:val="center"/>
          <w:trHeight w:val="3147"/>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keepLines w:val="0"/>
              <w:keepNext w:val="0"/>
              <w:widowControl/>
              <w:rPr>
                <w:rFonts w:hint="default" w:ascii="宋体" w:hAnsi="宋体" w:eastAsia="宋体" w:cs="宋体"/>
                <w:i w:val="0"/>
                <w:iCs w:val="0"/>
                <w:color w:val="auto"/>
                <w:sz w:val="20"/>
                <w:szCs w:val="20"/>
                <w:highlight w:val="none"/>
                <w:u w:val="none"/>
                <w:lang w:val="en-US"/>
              </w:rPr>
              <w:suppressLineNumbers w:val="0"/>
            </w:pPr>
            <w:r>
              <w:rPr>
                <w:rFonts w:hint="default" w:ascii="宋体" w:hAnsi="宋体" w:eastAsia="宋体" w:cs="宋体"/>
                <w:i w:val="0"/>
                <w:iCs w:val="0"/>
                <w:color w:val="auto"/>
                <w:sz w:val="20"/>
                <w:szCs w:val="20"/>
                <w:highlight w:val="none"/>
                <w:u w:val="none"/>
                <w:lang w:val="en-US"/>
              </w:rPr>
            </w:r>
            <w:r/>
          </w:p>
        </w:tc>
        <w:tc>
          <w:tcPr>
            <w:tcW w:w="5370" w:type="dxa"/>
            <w:vAlign w:val="center"/>
            <w:textDirection w:val="lrTb"/>
            <w:noWrap w:val="false"/>
          </w:tcPr>
          <w:p>
            <w:pPr>
              <w:jc w:val="left"/>
              <w:keepLines w:val="0"/>
              <w:keepNext w:val="0"/>
              <w:widowControl/>
              <w:rPr>
                <w:rFonts w:hint="eastAsia" w:ascii="宋体" w:hAnsi="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长桌（中班）：桌面尺寸：120×60×52cm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1、桌面采用25mm厚防火板双贴面松木，甲醛释放量符合GB/T39600-2021标准要求，甲醛释放量≤0.025mg/m³，符合Enf级；桌面背部使用塑料应力杆</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2、木蜡油封边，成膜牢固，搅拌后均匀无硬块，木蜡油在容器中状态；细度≤40μm；干燥时间[表干≤8h、实干≤24h]；贮存稳定性[结皮性-无结皮、沉降性-无异常]；涂膜外观正常</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光泽(60°)；硬度 (擦伤)≥B；附着力(划格间距2mm)≤1级；耐干热性≤2级；耐水性无异常；耐碱性无异常；耐醇性无异常；耐污染性（醋、茶）无异常；挥发性有机化合物(VOC)含量≤450g/L；苯含量未检出；甲苯、二甲苯、乙苯含量总和未检出；卤代烃含量≤0.1%；无可溶性重金属含量（铅、镉、铬、汞）符合GB/T27811-2011</w:t>
            </w:r>
            <w:r>
              <w:rPr>
                <w:rFonts w:hint="eastAsia" w:ascii="宋体" w:hAnsi="宋体" w:cs="宋体"/>
                <w:i w:val="0"/>
                <w:iCs w:val="0"/>
                <w:color w:val="auto"/>
                <w:sz w:val="20"/>
                <w:szCs w:val="20"/>
                <w:highlight w:val="none"/>
                <w:u w:val="none"/>
                <w:lang w:val="en-US" w:eastAsia="zh-CN" w:bidi="ar"/>
              </w:rPr>
              <w:t xml:space="preserve">标准规范</w:t>
            </w:r>
            <w:r>
              <w:rPr>
                <w:rFonts w:hint="eastAsia" w:ascii="宋体" w:hAnsi="宋体" w:eastAsia="宋体" w:cs="宋体"/>
                <w:i w:val="0"/>
                <w:iCs w:val="0"/>
                <w:color w:val="auto"/>
                <w:sz w:val="20"/>
                <w:szCs w:val="20"/>
                <w:highlight w:val="none"/>
                <w:u w:val="none"/>
                <w:lang w:val="en-US" w:eastAsia="zh-CN" w:bidi="ar"/>
              </w:rPr>
              <w:t xml:space="preserve">要求</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3、五金件选用环保五金，镉、铅、汞、六价铬含量符合GB/T 26572-2011标准要求</w:t>
            </w:r>
            <w:r>
              <w:rPr>
                <w:rFonts w:hint="eastAsia" w:ascii="宋体" w:hAnsi="宋体" w:cs="宋体"/>
                <w:i w:val="0"/>
                <w:iCs w:val="0"/>
                <w:color w:val="auto"/>
                <w:sz w:val="20"/>
                <w:szCs w:val="20"/>
                <w:highlight w:val="none"/>
                <w:u w:val="none"/>
                <w:lang w:val="en-US" w:eastAsia="zh-CN" w:bidi="ar"/>
              </w:rPr>
              <w:t xml:space="preserve">。</w:t>
            </w:r>
            <w:r/>
          </w:p>
          <w:p>
            <w:pPr>
              <w:numPr>
                <w:ilvl w:val="0"/>
                <w:numId w:val="0"/>
              </w:numPr>
              <w:rPr>
                <w:rFonts w:hint="eastAsia" w:ascii="宋体" w:hAnsi="宋体" w:cs="宋体"/>
                <w:i w:val="0"/>
                <w:iCs w:val="0"/>
                <w:color w:val="auto"/>
                <w:sz w:val="20"/>
                <w:szCs w:val="20"/>
                <w:highlight w:val="none"/>
                <w:u w:val="none"/>
                <w:lang w:val="en-US" w:eastAsia="zh-CN" w:bidi="ar"/>
              </w:rPr>
            </w:pPr>
            <w:r>
              <w:rPr>
                <w:rFonts w:hint="eastAsia" w:ascii="宋体" w:hAnsi="宋体" w:cs="宋体"/>
                <w:i w:val="0"/>
                <w:iCs w:val="0"/>
                <w:color w:val="auto"/>
                <w:sz w:val="20"/>
                <w:szCs w:val="20"/>
                <w:highlight w:val="none"/>
                <w:u w:val="none"/>
                <w:lang w:val="en-US" w:eastAsia="zh-CN" w:bidi="ar"/>
              </w:rPr>
              <w:t xml:space="preserve">4、桌子塑料连接件适配幼儿园教室人员密集，</w:t>
            </w:r>
            <w:r>
              <w:rPr>
                <w:rFonts w:hint="eastAsia" w:ascii="宋体" w:hAnsi="宋体" w:eastAsia="宋体" w:cs="宋体"/>
                <w:i w:val="0"/>
                <w:iCs w:val="0"/>
                <w:color w:val="auto"/>
                <w:sz w:val="20"/>
                <w:szCs w:val="20"/>
                <w:highlight w:val="none"/>
                <w:u w:val="none"/>
                <w:lang w:val="en-US" w:eastAsia="zh-CN" w:bidi="ar"/>
              </w:rPr>
              <w:t xml:space="preserve">园区日常洗手、洒水清洁易造成塑料件潮湿积污，连接件需具备长效防霉能力，依据 GB/T 24128-2018 完成防霉性能检测，</w:t>
            </w:r>
            <w:r>
              <w:rPr>
                <w:rFonts w:hint="eastAsia" w:ascii="宋体" w:hAnsi="宋体" w:cs="宋体"/>
                <w:i w:val="0"/>
                <w:iCs w:val="0"/>
                <w:color w:val="auto"/>
                <w:sz w:val="20"/>
                <w:szCs w:val="20"/>
                <w:highlight w:val="none"/>
                <w:u w:val="none"/>
                <w:lang w:val="en-US" w:eastAsia="zh-CN" w:bidi="ar"/>
              </w:rPr>
              <w:t xml:space="preserve">检测标准为</w:t>
            </w:r>
            <w:r>
              <w:rPr>
                <w:rFonts w:hint="eastAsia" w:ascii="宋体" w:hAnsi="宋体" w:eastAsia="宋体" w:cs="宋体"/>
                <w:i w:val="0"/>
                <w:iCs w:val="0"/>
                <w:color w:val="auto"/>
                <w:sz w:val="20"/>
                <w:szCs w:val="20"/>
                <w:highlight w:val="none"/>
                <w:u w:val="none"/>
                <w:lang w:val="en-US" w:eastAsia="zh-CN" w:bidi="ar"/>
              </w:rPr>
              <w:t xml:space="preserve">潮湿环境下不滋生霉菌</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黑曲霉、球毛壳霉、宛氏拟青霉、绳状青霉、长枝木霉长霉等级为0级</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、不产生致敏微生物，降低幼儿皮肤、呼吸道感染风险</w:t>
            </w:r>
            <w:r>
              <w:rPr>
                <w:rFonts w:hint="eastAsia" w:ascii="宋体" w:hAnsi="宋体" w:cs="宋体"/>
                <w:i w:val="0"/>
                <w:iCs w:val="0"/>
                <w:color w:val="auto"/>
                <w:sz w:val="20"/>
                <w:szCs w:val="20"/>
                <w:highlight w:val="none"/>
                <w:u w:val="none"/>
                <w:lang w:val="en-US" w:eastAsia="zh-CN" w:bidi="ar"/>
              </w:rPr>
              <w:t xml:space="preserve">。</w:t>
            </w:r>
            <w:r/>
          </w:p>
          <w:p>
            <w:pPr>
              <w:pStyle w:val="851"/>
              <w:numPr>
                <w:ilvl w:val="0"/>
                <w:numId w:val="0"/>
              </w:numPr>
              <w:rPr>
                <w:rFonts w:hint="eastAsia" w:ascii="宋体" w:hAnsi="宋体" w:cs="宋体"/>
                <w:i w:val="0"/>
                <w:iCs w:val="0"/>
                <w:color w:val="auto"/>
                <w:sz w:val="20"/>
                <w:szCs w:val="20"/>
                <w:highlight w:val="none"/>
                <w:u w:val="none"/>
                <w:lang w:val="en-US" w:eastAsia="zh-CN" w:bidi="ar"/>
              </w:rPr>
            </w:pPr>
            <w:r>
              <w:rPr>
                <w:rFonts w:hint="eastAsia" w:ascii="宋体" w:hAnsi="宋体" w:cs="宋体"/>
                <w:i w:val="0"/>
                <w:iCs w:val="0"/>
                <w:color w:val="auto"/>
                <w:sz w:val="20"/>
                <w:szCs w:val="20"/>
                <w:highlight w:val="none"/>
                <w:u w:val="none"/>
                <w:lang w:val="en-US" w:eastAsia="zh-CN" w:bidi="ar"/>
              </w:rPr>
              <w:t xml:space="preserve">5、安全使用要求：本项目用于幼儿园教学活动，幼儿活泼好动，桌椅长期受反复摇晃、推拉冲击，桌体塑料连接件若发生老化、滑丝、松动、断裂，极易引发桌椅倾倒、幼儿磕碰受伤等安全事故，塑料连接件必须具备长期稳定的紧固性能与耐光照老化能力。</w:t>
            </w:r>
            <w:r/>
          </w:p>
        </w:tc>
        <w:tc>
          <w:tcPr>
            <w:tcW w:w="2145" w:type="dxa"/>
            <w:vAlign w:val="center"/>
            <w:textDirection w:val="lrTb"/>
            <w:noWrap w:val="false"/>
          </w:tcPr>
          <w:p>
            <w:pPr>
              <w:numPr>
                <w:ilvl w:val="0"/>
                <w:numId w:val="0"/>
              </w:numPr>
              <w:jc w:val="left"/>
              <w:keepLines w:val="0"/>
              <w:keepNext w:val="0"/>
              <w:widowControl/>
              <w:rPr>
                <w:rFonts w:hint="eastAsia"/>
                <w:color w:val="auto"/>
                <w:highlight w:val="none"/>
                <w:lang w:val="en-US" w:eastAsia="zh-CN"/>
              </w:rPr>
              <w:suppressLineNumbers w:val="0"/>
            </w:pPr>
            <w:r>
              <w:rPr>
                <w:rFonts w:hint="eastAsia"/>
                <w:color w:val="auto"/>
                <w:highlight w:val="none"/>
                <w:lang w:val="en-US" w:eastAsia="zh-CN"/>
              </w:rPr>
            </w:r>
            <w:r/>
          </w:p>
        </w:tc>
      </w:tr>
      <w:tr>
        <w:trPr>
          <w:jc w:val="center"/>
          <w:trHeight w:val="8654"/>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default" w:ascii="宋体" w:hAnsi="宋体" w:eastAsia="宋体" w:cs="宋体"/>
                <w:i w:val="0"/>
                <w:iCs w:val="0"/>
                <w:color w:val="auto"/>
                <w:sz w:val="20"/>
                <w:szCs w:val="20"/>
                <w:highlight w:val="none"/>
                <w:u w:val="none"/>
                <w:lang w:val="en-US"/>
              </w:rPr>
            </w:pPr>
            <w:r>
              <w:rPr>
                <w:rFonts w:hint="default" w:ascii="宋体" w:hAnsi="宋体" w:eastAsia="宋体" w:cs="宋体"/>
                <w:i w:val="0"/>
                <w:iCs w:val="0"/>
                <w:color w:val="auto"/>
                <w:sz w:val="20"/>
                <w:szCs w:val="20"/>
                <w:highlight w:val="none"/>
                <w:u w:val="none"/>
                <w:lang w:val="en-US"/>
              </w:rPr>
            </w:r>
            <w:r/>
          </w:p>
        </w:tc>
        <w:tc>
          <w:tcPr>
            <w:tcW w:w="5370" w:type="dxa"/>
            <w:vAlign w:val="center"/>
            <w:textDirection w:val="lrTb"/>
            <w:noWrap w:val="false"/>
          </w:tcPr>
          <w:p>
            <w:pPr>
              <w:jc w:val="left"/>
              <w:keepLines w:val="0"/>
              <w:keepNext w:val="0"/>
              <w:widowControl/>
              <w:rPr>
                <w:rFonts w:hint="eastAsia" w:ascii="宋体" w:hAnsi="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长桌（大班）：桌面尺寸：120×60×55cm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1、桌面采用25mm厚防火板双贴面松木，甲醛释放量符合GB/T39600-2021标准要求，甲醛释放量≤0.025mg/m³，符合Enf级；桌面背部使用塑料应力杆</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2、木蜡油封边，成膜牢固，搅拌后均匀无硬块，木蜡油在容器中状态；细度≤40μm；干燥时间[表干≤8h、实干≤24h]；贮存稳定性[结皮性-无结皮、沉降性-无异常]；涂膜外观正常</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光泽(60°)；硬度 (擦伤)≥B；附着力(划格间距2mm)≤1级；耐干热性≤2级；耐水性无异常；耐碱性无异常；耐醇性无异常；耐污染性（醋、茶）无异常；挥发性有机化合物(VOC)含量≤450g/L；苯含量未检出；甲苯、二甲苯、乙苯含量总和未检出；卤代烃含量≤0.1%；无可溶性重金属含量（铅、镉、铬、汞）符合GB/T27811-2011</w:t>
            </w:r>
            <w:r>
              <w:rPr>
                <w:rFonts w:hint="eastAsia" w:ascii="宋体" w:hAnsi="宋体" w:cs="宋体"/>
                <w:i w:val="0"/>
                <w:iCs w:val="0"/>
                <w:color w:val="auto"/>
                <w:sz w:val="20"/>
                <w:szCs w:val="20"/>
                <w:highlight w:val="none"/>
                <w:u w:val="none"/>
                <w:lang w:val="en-US" w:eastAsia="zh-CN" w:bidi="ar"/>
              </w:rPr>
              <w:t xml:space="preserve">标准规范</w:t>
            </w:r>
            <w:r>
              <w:rPr>
                <w:rFonts w:hint="eastAsia" w:ascii="宋体" w:hAnsi="宋体" w:eastAsia="宋体" w:cs="宋体"/>
                <w:i w:val="0"/>
                <w:iCs w:val="0"/>
                <w:color w:val="auto"/>
                <w:sz w:val="20"/>
                <w:szCs w:val="20"/>
                <w:highlight w:val="none"/>
                <w:u w:val="none"/>
                <w:lang w:val="en-US" w:eastAsia="zh-CN" w:bidi="ar"/>
              </w:rPr>
              <w:t xml:space="preserve">要求</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3、五金件选用环保五金，镉、铅、汞、六价铬含量符合GB/T 26572-2011标准要求</w:t>
            </w:r>
            <w:r>
              <w:rPr>
                <w:rFonts w:hint="eastAsia" w:ascii="宋体" w:hAnsi="宋体" w:cs="宋体"/>
                <w:i w:val="0"/>
                <w:iCs w:val="0"/>
                <w:color w:val="auto"/>
                <w:sz w:val="20"/>
                <w:szCs w:val="20"/>
                <w:highlight w:val="none"/>
                <w:u w:val="none"/>
                <w:lang w:val="en-US" w:eastAsia="zh-CN" w:bidi="ar"/>
              </w:rPr>
              <w:t xml:space="preserve">。</w:t>
            </w:r>
            <w:r/>
          </w:p>
          <w:p>
            <w:pPr>
              <w:pStyle w:val="851"/>
              <w:rPr>
                <w:rFonts w:hint="eastAsia" w:ascii="宋体" w:hAnsi="宋体" w:cs="宋体"/>
                <w:i w:val="0"/>
                <w:iCs w:val="0"/>
                <w:color w:val="auto"/>
                <w:sz w:val="20"/>
                <w:szCs w:val="20"/>
                <w:highlight w:val="none"/>
                <w:u w:val="none"/>
                <w:lang w:val="en-US" w:eastAsia="zh-CN" w:bidi="ar"/>
              </w:rPr>
            </w:pPr>
            <w:r>
              <w:rPr>
                <w:rFonts w:hint="eastAsia" w:ascii="宋体" w:hAnsi="宋体" w:cs="宋体"/>
                <w:i w:val="0"/>
                <w:iCs w:val="0"/>
                <w:color w:val="auto"/>
                <w:sz w:val="20"/>
                <w:szCs w:val="20"/>
                <w:highlight w:val="none"/>
                <w:u w:val="none"/>
                <w:lang w:val="en-US" w:eastAsia="zh-CN" w:bidi="ar"/>
              </w:rPr>
              <w:t xml:space="preserve">4、桌子塑料连接件适配幼儿园教室人员密集，</w:t>
            </w:r>
            <w:r>
              <w:rPr>
                <w:rFonts w:hint="eastAsia" w:ascii="宋体" w:hAnsi="宋体" w:eastAsia="宋体" w:cs="宋体"/>
                <w:i w:val="0"/>
                <w:iCs w:val="0"/>
                <w:color w:val="auto"/>
                <w:sz w:val="20"/>
                <w:szCs w:val="20"/>
                <w:highlight w:val="none"/>
                <w:u w:val="none"/>
                <w:lang w:val="en-US" w:eastAsia="zh-CN" w:bidi="ar"/>
              </w:rPr>
              <w:t xml:space="preserve">园区日常洗手、洒水清洁易造成塑料件潮湿积污，连接件需具备长效防霉能力，依据 GB/T 24128-2018 完成防霉性能检测，</w:t>
            </w:r>
            <w:r>
              <w:rPr>
                <w:rFonts w:hint="eastAsia" w:ascii="宋体" w:hAnsi="宋体" w:cs="宋体"/>
                <w:i w:val="0"/>
                <w:iCs w:val="0"/>
                <w:color w:val="auto"/>
                <w:sz w:val="20"/>
                <w:szCs w:val="20"/>
                <w:highlight w:val="none"/>
                <w:u w:val="none"/>
                <w:lang w:val="en-US" w:eastAsia="zh-CN" w:bidi="ar"/>
              </w:rPr>
              <w:t xml:space="preserve">检测标准为</w:t>
            </w:r>
            <w:r>
              <w:rPr>
                <w:rFonts w:hint="eastAsia" w:ascii="宋体" w:hAnsi="宋体" w:eastAsia="宋体" w:cs="宋体"/>
                <w:i w:val="0"/>
                <w:iCs w:val="0"/>
                <w:color w:val="auto"/>
                <w:sz w:val="20"/>
                <w:szCs w:val="20"/>
                <w:highlight w:val="none"/>
                <w:u w:val="none"/>
                <w:lang w:val="en-US" w:eastAsia="zh-CN" w:bidi="ar"/>
              </w:rPr>
              <w:t xml:space="preserve">潮湿环境下不滋生霉菌</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黑曲霉、球毛壳霉、宛氏拟青霉、绳状青霉、长枝木霉长霉等级为0级</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、不产生致敏微生物，降低幼儿皮肤、呼吸道感染风险</w:t>
            </w:r>
            <w:r>
              <w:rPr>
                <w:rFonts w:hint="eastAsia" w:ascii="宋体" w:hAnsi="宋体" w:cs="宋体"/>
                <w:i w:val="0"/>
                <w:iCs w:val="0"/>
                <w:color w:val="auto"/>
                <w:sz w:val="20"/>
                <w:szCs w:val="20"/>
                <w:highlight w:val="none"/>
                <w:u w:val="none"/>
                <w:lang w:val="en-US" w:eastAsia="zh-CN" w:bidi="ar"/>
              </w:rPr>
              <w:t xml:space="preserve">。</w:t>
            </w:r>
            <w:r/>
          </w:p>
          <w:p>
            <w:pPr>
              <w:pStyle w:val="851"/>
              <w:numPr>
                <w:ilvl w:val="0"/>
                <w:numId w:val="0"/>
              </w:numPr>
              <w:rPr>
                <w:rFonts w:hint="eastAsia" w:ascii="宋体" w:hAnsi="宋体" w:cs="宋体"/>
                <w:i w:val="0"/>
                <w:iCs w:val="0"/>
                <w:color w:val="auto"/>
                <w:sz w:val="20"/>
                <w:szCs w:val="20"/>
                <w:highlight w:val="none"/>
                <w:u w:val="none"/>
                <w:lang w:val="en-US" w:eastAsia="zh-CN" w:bidi="ar"/>
              </w:rPr>
            </w:pPr>
            <w:r>
              <w:rPr>
                <w:rFonts w:hint="eastAsia" w:ascii="宋体" w:hAnsi="宋体" w:cs="宋体"/>
                <w:i w:val="0"/>
                <w:iCs w:val="0"/>
                <w:color w:val="auto"/>
                <w:sz w:val="20"/>
                <w:szCs w:val="20"/>
                <w:highlight w:val="none"/>
                <w:u w:val="none"/>
                <w:lang w:val="en-US" w:eastAsia="zh-CN" w:bidi="ar"/>
              </w:rPr>
              <w:t xml:space="preserve">5、安全使用要求：本项目用于幼儿园教学活动，幼儿活泼好动，桌椅长期受反复摇晃、推拉冲击，桌体塑料连接件若发生老化、滑丝、松动、断裂，极易引发桌椅倾倒、幼儿磕碰受伤等安全事故，塑料连接件必须具备长期稳定的紧固性能与耐光照老化能力。</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1862"/>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default" w:ascii="宋体" w:hAnsi="宋体" w:eastAsia="宋体" w:cs="宋体"/>
                <w:i w:val="0"/>
                <w:iCs w:val="0"/>
                <w:color w:val="auto"/>
                <w:sz w:val="20"/>
                <w:szCs w:val="20"/>
                <w:highlight w:val="none"/>
                <w:u w:val="none"/>
                <w:lang w:val="en-US"/>
              </w:rPr>
            </w:pPr>
            <w:r>
              <w:rPr>
                <w:rFonts w:hint="default" w:ascii="宋体" w:hAnsi="宋体" w:eastAsia="宋体" w:cs="宋体"/>
                <w:i w:val="0"/>
                <w:iCs w:val="0"/>
                <w:color w:val="auto"/>
                <w:sz w:val="20"/>
                <w:szCs w:val="20"/>
                <w:highlight w:val="none"/>
                <w:u w:val="none"/>
                <w:lang w:val="en-US"/>
              </w:rPr>
            </w:r>
            <w:r/>
          </w:p>
        </w:tc>
        <w:tc>
          <w:tcPr>
            <w:tcW w:w="5370" w:type="dxa"/>
            <w:vAlign w:val="center"/>
            <w:textDirection w:val="lrTb"/>
            <w:noWrap w:val="false"/>
          </w:tcPr>
          <w:p>
            <w:pPr>
              <w:jc w:val="left"/>
              <w:keepLines w:val="0"/>
              <w:keepNext w:val="0"/>
              <w:widowControl/>
              <w:rPr>
                <w:rFonts w:hint="default"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方桌（小班）：桌面尺寸：60×60×49cm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1、桌面采用25mm厚防火板双贴面松木，甲醛释放量符合GB/T39600-2021标准要求，甲醛释放量≤0.025mg/m³，符合Enf级；桌面背部使用塑料应力杆</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cs="宋体"/>
                <w:i w:val="0"/>
                <w:iCs w:val="0"/>
                <w:color w:val="auto"/>
                <w:sz w:val="20"/>
                <w:szCs w:val="20"/>
                <w:highlight w:val="none"/>
                <w:u w:val="none"/>
                <w:lang w:val="en-US" w:eastAsia="zh-CN" w:bidi="ar"/>
              </w:rPr>
              <w:t xml:space="preserve">2</w:t>
            </w:r>
            <w:r>
              <w:rPr>
                <w:rFonts w:hint="eastAsia" w:ascii="宋体" w:hAnsi="宋体" w:eastAsia="宋体" w:cs="宋体"/>
                <w:i w:val="0"/>
                <w:iCs w:val="0"/>
                <w:color w:val="auto"/>
                <w:sz w:val="20"/>
                <w:szCs w:val="20"/>
                <w:highlight w:val="none"/>
                <w:u w:val="none"/>
                <w:lang w:val="en-US" w:eastAsia="zh-CN" w:bidi="ar"/>
              </w:rPr>
              <w:t xml:space="preserve">、桌脚采用直径约48mm桦木，表面采用</w:t>
            </w:r>
            <w:r>
              <w:rPr>
                <w:rFonts w:hint="eastAsia" w:ascii="宋体" w:hAnsi="宋体" w:cs="宋体"/>
                <w:i w:val="0"/>
                <w:iCs w:val="0"/>
                <w:color w:val="auto"/>
                <w:sz w:val="20"/>
                <w:szCs w:val="20"/>
                <w:highlight w:val="none"/>
                <w:u w:val="none"/>
                <w:lang w:val="en-US" w:eastAsia="zh-CN" w:bidi="ar"/>
              </w:rPr>
              <w:t xml:space="preserve">油漆处理</w:t>
            </w:r>
            <w:r>
              <w:rPr>
                <w:rFonts w:hint="eastAsia" w:ascii="宋体" w:hAnsi="宋体" w:eastAsia="宋体" w:cs="宋体"/>
                <w:i w:val="0"/>
                <w:iCs w:val="0"/>
                <w:color w:val="auto"/>
                <w:sz w:val="20"/>
                <w:szCs w:val="20"/>
                <w:highlight w:val="none"/>
                <w:u w:val="none"/>
                <w:lang w:val="en-US" w:eastAsia="zh-CN" w:bidi="ar"/>
              </w:rPr>
              <w:t xml:space="preserve">，挥发性有机化合物(VOC)含量、甲醛含量、苯甲苯乙苯和二甲苯的含量总和、乙二醇醚及其酯含量、重金属元素（铅、镉、六价铬、汞、砷、钡、锑、硒）含量等符合GB/T 35602-2017标准要求</w:t>
            </w:r>
            <w:r>
              <w:rPr>
                <w:rFonts w:hint="eastAsia" w:ascii="宋体" w:hAnsi="宋体" w:cs="宋体"/>
                <w:i w:val="0"/>
                <w:iCs w:val="0"/>
                <w:color w:val="auto"/>
                <w:sz w:val="20"/>
                <w:szCs w:val="20"/>
                <w:highlight w:val="none"/>
                <w:u w:val="none"/>
                <w:lang w:val="en-US" w:eastAsia="zh-CN" w:bidi="ar"/>
              </w:rPr>
              <w:t xml:space="preserve">。</w:t>
            </w:r>
            <w:r/>
          </w:p>
          <w:p>
            <w:pPr>
              <w:jc w:val="left"/>
              <w:keepLines w:val="0"/>
              <w:keepNext w:val="0"/>
              <w:widowControl/>
              <w:rPr>
                <w:rFonts w:hint="eastAsia" w:ascii="宋体" w:hAnsi="宋体" w:cs="宋体"/>
                <w:i w:val="0"/>
                <w:iCs w:val="0"/>
                <w:color w:val="auto"/>
                <w:sz w:val="20"/>
                <w:szCs w:val="20"/>
                <w:highlight w:val="none"/>
                <w:u w:val="none"/>
                <w:lang w:val="en-US" w:eastAsia="zh-CN" w:bidi="ar"/>
              </w:rPr>
              <w:suppressLineNumbers w:val="0"/>
            </w:pPr>
            <w:r>
              <w:rPr>
                <w:rFonts w:hint="eastAsia" w:ascii="宋体" w:hAnsi="宋体" w:cs="宋体"/>
                <w:i w:val="0"/>
                <w:iCs w:val="0"/>
                <w:color w:val="auto"/>
                <w:sz w:val="20"/>
                <w:szCs w:val="20"/>
                <w:highlight w:val="none"/>
                <w:u w:val="none"/>
                <w:lang w:val="en-US" w:eastAsia="zh-CN" w:bidi="ar"/>
              </w:rPr>
              <w:t xml:space="preserve">3</w:t>
            </w:r>
            <w:r>
              <w:rPr>
                <w:rFonts w:hint="eastAsia" w:ascii="宋体" w:hAnsi="宋体" w:eastAsia="宋体" w:cs="宋体"/>
                <w:i w:val="0"/>
                <w:iCs w:val="0"/>
                <w:color w:val="auto"/>
                <w:sz w:val="20"/>
                <w:szCs w:val="20"/>
                <w:highlight w:val="none"/>
                <w:u w:val="none"/>
                <w:lang w:val="en-US" w:eastAsia="zh-CN" w:bidi="ar"/>
              </w:rPr>
              <w:t xml:space="preserve">、木蜡油封边，成膜牢固，搅拌后均匀无硬块，木蜡油在容器中状态；细度≤40μm；干燥时间[表干≤8h、实干≤24h]；贮存稳定性[结皮性-无结皮、沉降性-无异常]；涂膜外观正常</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光泽(60°)；硬度 (擦伤)≥B；附着力(划格间距2mm)≤1级；耐干热性≤2级；耐水性无异常；耐碱性无异常；耐醇性无异常；耐污染性（醋、茶）无异常；挥发性有机化合物(VOC)含量≤450g/L；苯含量未检出；甲苯、二甲苯、乙苯含量总和未检出；卤代烃含量≤0.1%；无可溶性重金属含量（铅、镉、铬、汞）符合GB/T27811-2011</w:t>
            </w:r>
            <w:r>
              <w:rPr>
                <w:rFonts w:hint="eastAsia" w:ascii="宋体" w:hAnsi="宋体" w:cs="宋体"/>
                <w:i w:val="0"/>
                <w:iCs w:val="0"/>
                <w:color w:val="auto"/>
                <w:sz w:val="20"/>
                <w:szCs w:val="20"/>
                <w:highlight w:val="none"/>
                <w:u w:val="none"/>
                <w:lang w:val="en-US" w:eastAsia="zh-CN" w:bidi="ar"/>
              </w:rPr>
              <w:t xml:space="preserve">标准规范</w:t>
            </w:r>
            <w:r>
              <w:rPr>
                <w:rFonts w:hint="eastAsia" w:ascii="宋体" w:hAnsi="宋体" w:eastAsia="宋体" w:cs="宋体"/>
                <w:i w:val="0"/>
                <w:iCs w:val="0"/>
                <w:color w:val="auto"/>
                <w:sz w:val="20"/>
                <w:szCs w:val="20"/>
                <w:highlight w:val="none"/>
                <w:u w:val="none"/>
                <w:lang w:val="en-US" w:eastAsia="zh-CN" w:bidi="ar"/>
              </w:rPr>
              <w:t xml:space="preserve">要求</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cs="宋体"/>
                <w:i w:val="0"/>
                <w:iCs w:val="0"/>
                <w:color w:val="auto"/>
                <w:sz w:val="20"/>
                <w:szCs w:val="20"/>
                <w:highlight w:val="none"/>
                <w:u w:val="none"/>
                <w:lang w:val="en-US" w:eastAsia="zh-CN" w:bidi="ar"/>
              </w:rPr>
              <w:t xml:space="preserve">4</w:t>
            </w:r>
            <w:r>
              <w:rPr>
                <w:rFonts w:hint="eastAsia" w:ascii="宋体" w:hAnsi="宋体" w:eastAsia="宋体" w:cs="宋体"/>
                <w:i w:val="0"/>
                <w:iCs w:val="0"/>
                <w:color w:val="auto"/>
                <w:sz w:val="20"/>
                <w:szCs w:val="20"/>
                <w:highlight w:val="none"/>
                <w:u w:val="none"/>
                <w:lang w:val="en-US" w:eastAsia="zh-CN" w:bidi="ar"/>
              </w:rPr>
              <w:t xml:space="preserve">、五金件选用环保五金，镉、铅、汞、六价铬含量符合GB/T 26572-2011标准要求</w:t>
            </w:r>
            <w:r>
              <w:rPr>
                <w:rFonts w:hint="eastAsia" w:ascii="宋体" w:hAnsi="宋体" w:cs="宋体"/>
                <w:i w:val="0"/>
                <w:iCs w:val="0"/>
                <w:color w:val="auto"/>
                <w:sz w:val="20"/>
                <w:szCs w:val="20"/>
                <w:highlight w:val="none"/>
                <w:u w:val="none"/>
                <w:lang w:val="en-US" w:eastAsia="zh-CN" w:bidi="ar"/>
              </w:rPr>
              <w:t xml:space="preserve">。</w:t>
            </w:r>
            <w:r/>
          </w:p>
          <w:p>
            <w:pPr>
              <w:pStyle w:val="851"/>
              <w:numPr>
                <w:ilvl w:val="0"/>
                <w:numId w:val="0"/>
              </w:numPr>
              <w:rPr>
                <w:rFonts w:hint="eastAsia" w:ascii="宋体" w:hAnsi="宋体" w:cs="宋体"/>
                <w:i w:val="0"/>
                <w:iCs w:val="0"/>
                <w:color w:val="auto"/>
                <w:sz w:val="20"/>
                <w:szCs w:val="20"/>
                <w:highlight w:val="none"/>
                <w:u w:val="none"/>
                <w:lang w:val="en-US" w:eastAsia="zh-CN" w:bidi="ar"/>
              </w:rPr>
            </w:pPr>
            <w:r>
              <w:rPr>
                <w:rFonts w:hint="eastAsia" w:ascii="宋体" w:hAnsi="宋体" w:cs="宋体"/>
                <w:i w:val="0"/>
                <w:iCs w:val="0"/>
                <w:color w:val="auto"/>
                <w:sz w:val="20"/>
                <w:szCs w:val="20"/>
                <w:highlight w:val="none"/>
                <w:u w:val="none"/>
                <w:lang w:val="en-US" w:eastAsia="zh-CN" w:bidi="ar"/>
              </w:rPr>
              <w:t xml:space="preserve">5、安全使用要求：本项目用于幼儿园教学活动，幼儿活泼好动，桌椅长期受反复摇晃、推拉冲击，桌体塑料连接件若发生老化、滑丝、松动、断裂，极易引发桌椅倾倒、幼儿磕碰受伤等安全事故，塑料连接件必须具备长期稳定的紧固性能与耐光照老化能力。</w:t>
            </w:r>
            <w:r/>
          </w:p>
          <w:p>
            <w:pPr>
              <w:jc w:val="left"/>
              <w:keepLines w:val="0"/>
              <w:keepNext w:val="0"/>
              <w:widowControl/>
              <w:rPr>
                <w:rFonts w:hint="eastAsia" w:ascii="宋体" w:hAnsi="宋体" w:cs="宋体"/>
                <w:i w:val="0"/>
                <w:iCs w:val="0"/>
                <w:color w:val="auto"/>
                <w:sz w:val="20"/>
                <w:szCs w:val="20"/>
                <w:highlight w:val="none"/>
                <w:u w:val="none"/>
                <w:lang w:val="en-US" w:eastAsia="zh-CN" w:bidi="ar"/>
              </w:rPr>
              <w:suppressLineNumbers w:val="0"/>
            </w:pPr>
            <w:r>
              <w:rPr>
                <w:rFonts w:hint="eastAsia" w:ascii="宋体" w:hAnsi="宋体" w:cs="宋体"/>
                <w:i w:val="0"/>
                <w:iCs w:val="0"/>
                <w:color w:val="auto"/>
                <w:sz w:val="20"/>
                <w:szCs w:val="20"/>
                <w:highlight w:val="none"/>
                <w:u w:val="none"/>
                <w:lang w:val="en-US" w:eastAsia="zh-CN" w:bidi="ar"/>
              </w:rPr>
              <w:t xml:space="preserve">6、桌子塑料连接件适配幼儿园教室人员密集，</w:t>
            </w:r>
            <w:r>
              <w:rPr>
                <w:rFonts w:hint="eastAsia" w:ascii="宋体" w:hAnsi="宋体" w:eastAsia="宋体" w:cs="宋体"/>
                <w:i w:val="0"/>
                <w:iCs w:val="0"/>
                <w:color w:val="auto"/>
                <w:sz w:val="20"/>
                <w:szCs w:val="20"/>
                <w:highlight w:val="none"/>
                <w:u w:val="none"/>
                <w:lang w:val="en-US" w:eastAsia="zh-CN" w:bidi="ar"/>
              </w:rPr>
              <w:t xml:space="preserve">园区日常洗手、洒水清洁易造成塑料件潮湿积污，连接件需具备长效防霉能力，依据 GB/T 24128-2018 完成防霉性能检测，</w:t>
            </w:r>
            <w:r>
              <w:rPr>
                <w:rFonts w:hint="eastAsia" w:ascii="宋体" w:hAnsi="宋体" w:cs="宋体"/>
                <w:i w:val="0"/>
                <w:iCs w:val="0"/>
                <w:color w:val="auto"/>
                <w:sz w:val="20"/>
                <w:szCs w:val="20"/>
                <w:highlight w:val="none"/>
                <w:u w:val="none"/>
                <w:lang w:val="en-US" w:eastAsia="zh-CN" w:bidi="ar"/>
              </w:rPr>
              <w:t xml:space="preserve">检测标准为</w:t>
            </w:r>
            <w:r>
              <w:rPr>
                <w:rFonts w:hint="eastAsia" w:ascii="宋体" w:hAnsi="宋体" w:eastAsia="宋体" w:cs="宋体"/>
                <w:i w:val="0"/>
                <w:iCs w:val="0"/>
                <w:color w:val="auto"/>
                <w:sz w:val="20"/>
                <w:szCs w:val="20"/>
                <w:highlight w:val="none"/>
                <w:u w:val="none"/>
                <w:lang w:val="en-US" w:eastAsia="zh-CN" w:bidi="ar"/>
              </w:rPr>
              <w:t xml:space="preserve">潮湿环境下不滋生霉菌</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黑曲霉、球毛壳霉、宛氏拟青霉、绳状青霉、长枝木霉长霉等级为0级</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、不产生致敏微生物，降低幼儿皮肤、呼吸道感染风险</w:t>
            </w:r>
            <w:r>
              <w:rPr>
                <w:rFonts w:hint="eastAsia" w:ascii="宋体" w:hAnsi="宋体" w:cs="宋体"/>
                <w:i w:val="0"/>
                <w:iCs w:val="0"/>
                <w:color w:val="auto"/>
                <w:sz w:val="20"/>
                <w:szCs w:val="20"/>
                <w:highlight w:val="none"/>
                <w:u w:val="none"/>
                <w:lang w:val="en-US" w:eastAsia="zh-CN" w:bidi="ar"/>
              </w:rPr>
              <w:t xml:space="preserve">。</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881"/>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default" w:ascii="宋体" w:hAnsi="宋体" w:eastAsia="宋体" w:cs="宋体"/>
                <w:i w:val="0"/>
                <w:iCs w:val="0"/>
                <w:color w:val="auto"/>
                <w:sz w:val="20"/>
                <w:szCs w:val="20"/>
                <w:highlight w:val="none"/>
                <w:u w:val="none"/>
                <w:lang w:val="en-US"/>
              </w:rPr>
            </w:pPr>
            <w:r>
              <w:rPr>
                <w:rFonts w:hint="default" w:ascii="宋体" w:hAnsi="宋体" w:eastAsia="宋体" w:cs="宋体"/>
                <w:i w:val="0"/>
                <w:iCs w:val="0"/>
                <w:color w:val="auto"/>
                <w:sz w:val="20"/>
                <w:szCs w:val="20"/>
                <w:highlight w:val="none"/>
                <w:u w:val="none"/>
                <w:lang w:val="en-US"/>
              </w:rPr>
            </w:r>
            <w:r/>
          </w:p>
        </w:tc>
        <w:tc>
          <w:tcPr>
            <w:tcW w:w="5370" w:type="dxa"/>
            <w:vAlign w:val="center"/>
            <w:textDirection w:val="lrTb"/>
            <w:noWrap w:val="false"/>
          </w:tcPr>
          <w:p>
            <w:pPr>
              <w:jc w:val="left"/>
              <w:keepLines w:val="0"/>
              <w:keepNext w:val="0"/>
              <w:widowControl/>
              <w:rPr>
                <w:rFonts w:hint="default"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方桌（中班）：桌面尺寸：约60×60×52cm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1、桌面采用25mm厚防火板双贴面松木，甲醛释放量符合GB/T39600-2021标准要求，甲醛释放量≤0.025mg/m³，符合Enf级；桌面背部使用塑料应力杆</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cs="宋体"/>
                <w:i w:val="0"/>
                <w:iCs w:val="0"/>
                <w:color w:val="auto"/>
                <w:sz w:val="20"/>
                <w:szCs w:val="20"/>
                <w:highlight w:val="none"/>
                <w:u w:val="none"/>
                <w:lang w:val="en-US" w:eastAsia="zh-CN" w:bidi="ar"/>
              </w:rPr>
              <w:t xml:space="preserve">2</w:t>
            </w:r>
            <w:r>
              <w:rPr>
                <w:rFonts w:hint="eastAsia" w:ascii="宋体" w:hAnsi="宋体" w:eastAsia="宋体" w:cs="宋体"/>
                <w:i w:val="0"/>
                <w:iCs w:val="0"/>
                <w:color w:val="auto"/>
                <w:sz w:val="20"/>
                <w:szCs w:val="20"/>
                <w:highlight w:val="none"/>
                <w:u w:val="none"/>
                <w:lang w:val="en-US" w:eastAsia="zh-CN" w:bidi="ar"/>
              </w:rPr>
              <w:t xml:space="preserve">、桌脚采用直径约48mm桦木，表面采用</w:t>
            </w:r>
            <w:r>
              <w:rPr>
                <w:rFonts w:hint="eastAsia" w:ascii="宋体" w:hAnsi="宋体" w:cs="宋体"/>
                <w:i w:val="0"/>
                <w:iCs w:val="0"/>
                <w:color w:val="auto"/>
                <w:sz w:val="20"/>
                <w:szCs w:val="20"/>
                <w:highlight w:val="none"/>
                <w:u w:val="none"/>
                <w:lang w:val="en-US" w:eastAsia="zh-CN" w:bidi="ar"/>
              </w:rPr>
              <w:t xml:space="preserve">油漆处理</w:t>
            </w:r>
            <w:r>
              <w:rPr>
                <w:rFonts w:hint="eastAsia" w:ascii="宋体" w:hAnsi="宋体" w:eastAsia="宋体" w:cs="宋体"/>
                <w:i w:val="0"/>
                <w:iCs w:val="0"/>
                <w:color w:val="auto"/>
                <w:sz w:val="20"/>
                <w:szCs w:val="20"/>
                <w:highlight w:val="none"/>
                <w:u w:val="none"/>
                <w:lang w:val="en-US" w:eastAsia="zh-CN" w:bidi="ar"/>
              </w:rPr>
              <w:t xml:space="preserve">，挥发性有机化合物(VOC)含量、甲醛含量、苯甲苯乙苯和二甲苯的含量总和、乙二醇醚及其酯含量、重金属元素（铅、镉、六价铬、汞、砷、钡、锑、硒）含量等符合GB/T 35602-2017标准要求</w:t>
            </w:r>
            <w:r>
              <w:rPr>
                <w:rFonts w:hint="eastAsia" w:ascii="宋体" w:hAnsi="宋体" w:cs="宋体"/>
                <w:i w:val="0"/>
                <w:iCs w:val="0"/>
                <w:color w:val="auto"/>
                <w:sz w:val="20"/>
                <w:szCs w:val="20"/>
                <w:highlight w:val="none"/>
                <w:u w:val="none"/>
                <w:lang w:val="en-US" w:eastAsia="zh-CN" w:bidi="ar"/>
              </w:rPr>
              <w:t xml:space="preserve">。</w:t>
            </w:r>
            <w:r/>
          </w:p>
          <w:p>
            <w:pPr>
              <w:jc w:val="left"/>
              <w:keepLines w:val="0"/>
              <w:keepNext w:val="0"/>
              <w:widowControl/>
              <w:rPr>
                <w:rFonts w:hint="eastAsia" w:ascii="宋体" w:hAnsi="宋体" w:cs="宋体"/>
                <w:i w:val="0"/>
                <w:iCs w:val="0"/>
                <w:color w:val="auto"/>
                <w:sz w:val="20"/>
                <w:szCs w:val="20"/>
                <w:highlight w:val="none"/>
                <w:u w:val="none"/>
                <w:lang w:val="en-US" w:eastAsia="zh-CN" w:bidi="ar"/>
              </w:rPr>
              <w:suppressLineNumbers w:val="0"/>
            </w:pPr>
            <w:r>
              <w:rPr>
                <w:rFonts w:hint="eastAsia" w:ascii="宋体" w:hAnsi="宋体" w:cs="宋体"/>
                <w:i w:val="0"/>
                <w:iCs w:val="0"/>
                <w:color w:val="auto"/>
                <w:sz w:val="20"/>
                <w:szCs w:val="20"/>
                <w:highlight w:val="none"/>
                <w:u w:val="none"/>
                <w:lang w:val="en-US" w:eastAsia="zh-CN" w:bidi="ar"/>
              </w:rPr>
              <w:t xml:space="preserve">3</w:t>
            </w:r>
            <w:r>
              <w:rPr>
                <w:rFonts w:hint="eastAsia" w:ascii="宋体" w:hAnsi="宋体" w:eastAsia="宋体" w:cs="宋体"/>
                <w:i w:val="0"/>
                <w:iCs w:val="0"/>
                <w:color w:val="auto"/>
                <w:sz w:val="20"/>
                <w:szCs w:val="20"/>
                <w:highlight w:val="none"/>
                <w:u w:val="none"/>
                <w:lang w:val="en-US" w:eastAsia="zh-CN" w:bidi="ar"/>
              </w:rPr>
              <w:t xml:space="preserve">、木蜡油封边，成膜牢固，搅拌后均匀无硬块，木蜡油在容器中状态；细度≤40μm；干燥时间[表干≤8h、实干≤24h]；贮存稳定性[结皮性-无结皮、沉降性-无异常]；涂膜外观正常</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光泽(60°)；硬度 (擦伤)≥B；附着力(划格间距2mm)≤1级；耐干热性≤2级；耐水性无异常；耐碱性无异常；耐醇性无异常；耐污染性（醋、茶）无异常；挥发性有机化合物(VOC)含量≤450g/L；苯含量未检出；甲苯、二甲苯、乙苯含量总和未检出；卤代烃含量≤0.1%；无可溶性重金属含量（铅、镉、铬、汞）符合GB/T27811-2011</w:t>
            </w:r>
            <w:r>
              <w:rPr>
                <w:rFonts w:hint="eastAsia" w:ascii="宋体" w:hAnsi="宋体" w:cs="宋体"/>
                <w:i w:val="0"/>
                <w:iCs w:val="0"/>
                <w:color w:val="auto"/>
                <w:sz w:val="20"/>
                <w:szCs w:val="20"/>
                <w:highlight w:val="none"/>
                <w:u w:val="none"/>
                <w:lang w:val="en-US" w:eastAsia="zh-CN" w:bidi="ar"/>
              </w:rPr>
              <w:t xml:space="preserve">标准规范</w:t>
            </w:r>
            <w:r>
              <w:rPr>
                <w:rFonts w:hint="eastAsia" w:ascii="宋体" w:hAnsi="宋体" w:eastAsia="宋体" w:cs="宋体"/>
                <w:i w:val="0"/>
                <w:iCs w:val="0"/>
                <w:color w:val="auto"/>
                <w:sz w:val="20"/>
                <w:szCs w:val="20"/>
                <w:highlight w:val="none"/>
                <w:u w:val="none"/>
                <w:lang w:val="en-US" w:eastAsia="zh-CN" w:bidi="ar"/>
              </w:rPr>
              <w:t xml:space="preserve">要求</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cs="宋体"/>
                <w:i w:val="0"/>
                <w:iCs w:val="0"/>
                <w:color w:val="auto"/>
                <w:sz w:val="20"/>
                <w:szCs w:val="20"/>
                <w:highlight w:val="none"/>
                <w:u w:val="none"/>
                <w:lang w:val="en-US" w:eastAsia="zh-CN" w:bidi="ar"/>
              </w:rPr>
              <w:t xml:space="preserve">4</w:t>
            </w:r>
            <w:r>
              <w:rPr>
                <w:rFonts w:hint="eastAsia" w:ascii="宋体" w:hAnsi="宋体" w:eastAsia="宋体" w:cs="宋体"/>
                <w:i w:val="0"/>
                <w:iCs w:val="0"/>
                <w:color w:val="auto"/>
                <w:sz w:val="20"/>
                <w:szCs w:val="20"/>
                <w:highlight w:val="none"/>
                <w:u w:val="none"/>
                <w:lang w:val="en-US" w:eastAsia="zh-CN" w:bidi="ar"/>
              </w:rPr>
              <w:t xml:space="preserve">、五金件选用环保五金，镉、铅、汞、六价铬含量符合GB/T 26572-2011标准要求</w:t>
            </w:r>
            <w:r>
              <w:rPr>
                <w:rFonts w:hint="eastAsia" w:ascii="宋体" w:hAnsi="宋体" w:cs="宋体"/>
                <w:i w:val="0"/>
                <w:iCs w:val="0"/>
                <w:color w:val="auto"/>
                <w:sz w:val="20"/>
                <w:szCs w:val="20"/>
                <w:highlight w:val="none"/>
                <w:u w:val="none"/>
                <w:lang w:val="en-US" w:eastAsia="zh-CN" w:bidi="ar"/>
              </w:rPr>
              <w:t xml:space="preserve">。</w:t>
            </w:r>
            <w:r/>
          </w:p>
          <w:p>
            <w:pPr>
              <w:pStyle w:val="851"/>
              <w:numPr>
                <w:ilvl w:val="0"/>
                <w:numId w:val="0"/>
              </w:numPr>
              <w:rPr>
                <w:rFonts w:hint="eastAsia" w:ascii="宋体" w:hAnsi="宋体" w:cs="宋体"/>
                <w:i w:val="0"/>
                <w:iCs w:val="0"/>
                <w:color w:val="auto"/>
                <w:sz w:val="20"/>
                <w:szCs w:val="20"/>
                <w:highlight w:val="none"/>
                <w:u w:val="none"/>
                <w:lang w:val="en-US" w:eastAsia="zh-CN" w:bidi="ar"/>
              </w:rPr>
            </w:pPr>
            <w:r>
              <w:rPr>
                <w:rFonts w:hint="eastAsia" w:ascii="宋体" w:hAnsi="宋体" w:cs="宋体"/>
                <w:i w:val="0"/>
                <w:iCs w:val="0"/>
                <w:color w:val="auto"/>
                <w:sz w:val="20"/>
                <w:szCs w:val="20"/>
                <w:highlight w:val="none"/>
                <w:u w:val="none"/>
                <w:lang w:val="en-US" w:eastAsia="zh-CN" w:bidi="ar"/>
              </w:rPr>
              <w:t xml:space="preserve">5、安全使用要求：本项目用于幼儿园教学活动，幼儿活泼好动，桌椅长期受反复摇晃、推拉冲击，桌体塑料连接件若发生老化、滑丝、松动、断裂，极易引发桌椅倾倒、幼儿磕碰受伤等安全事故，塑料连接件必须具备长期稳定的紧固性能与耐光照老化能力。</w:t>
            </w:r>
            <w:r/>
          </w:p>
          <w:p>
            <w:pPr>
              <w:jc w:val="left"/>
              <w:keepLines w:val="0"/>
              <w:keepNext w:val="0"/>
              <w:widowControl/>
              <w:rPr>
                <w:rFonts w:hint="eastAsia" w:ascii="宋体" w:hAnsi="宋体" w:cs="宋体"/>
                <w:i w:val="0"/>
                <w:iCs w:val="0"/>
                <w:color w:val="auto"/>
                <w:sz w:val="20"/>
                <w:szCs w:val="20"/>
                <w:highlight w:val="none"/>
                <w:u w:val="none"/>
                <w:lang w:val="en-US" w:eastAsia="zh-CN" w:bidi="ar"/>
              </w:rPr>
              <w:suppressLineNumbers w:val="0"/>
            </w:pPr>
            <w:r>
              <w:rPr>
                <w:rFonts w:hint="eastAsia" w:ascii="宋体" w:hAnsi="宋体" w:cs="宋体"/>
                <w:i w:val="0"/>
                <w:iCs w:val="0"/>
                <w:color w:val="auto"/>
                <w:sz w:val="20"/>
                <w:szCs w:val="20"/>
                <w:highlight w:val="none"/>
                <w:u w:val="none"/>
                <w:lang w:val="en-US" w:eastAsia="zh-CN" w:bidi="ar"/>
              </w:rPr>
              <w:t xml:space="preserve">6、桌子塑料连接件适配幼儿园教室人员密集，</w:t>
            </w:r>
            <w:r>
              <w:rPr>
                <w:rFonts w:hint="eastAsia" w:ascii="宋体" w:hAnsi="宋体" w:eastAsia="宋体" w:cs="宋体"/>
                <w:i w:val="0"/>
                <w:iCs w:val="0"/>
                <w:color w:val="auto"/>
                <w:sz w:val="20"/>
                <w:szCs w:val="20"/>
                <w:highlight w:val="none"/>
                <w:u w:val="none"/>
                <w:lang w:val="en-US" w:eastAsia="zh-CN" w:bidi="ar"/>
              </w:rPr>
              <w:t xml:space="preserve">园区日常洗手、洒水清洁易造成塑料件潮湿积污，连接件需具备长效防霉能力，依据 GB/T 24128-2018 完成防霉性能检测，</w:t>
            </w:r>
            <w:r>
              <w:rPr>
                <w:rFonts w:hint="eastAsia" w:ascii="宋体" w:hAnsi="宋体" w:cs="宋体"/>
                <w:i w:val="0"/>
                <w:iCs w:val="0"/>
                <w:color w:val="auto"/>
                <w:sz w:val="20"/>
                <w:szCs w:val="20"/>
                <w:highlight w:val="none"/>
                <w:u w:val="none"/>
                <w:lang w:val="en-US" w:eastAsia="zh-CN" w:bidi="ar"/>
              </w:rPr>
              <w:t xml:space="preserve">检测标准为</w:t>
            </w:r>
            <w:r>
              <w:rPr>
                <w:rFonts w:hint="eastAsia" w:ascii="宋体" w:hAnsi="宋体" w:eastAsia="宋体" w:cs="宋体"/>
                <w:i w:val="0"/>
                <w:iCs w:val="0"/>
                <w:color w:val="auto"/>
                <w:sz w:val="20"/>
                <w:szCs w:val="20"/>
                <w:highlight w:val="none"/>
                <w:u w:val="none"/>
                <w:lang w:val="en-US" w:eastAsia="zh-CN" w:bidi="ar"/>
              </w:rPr>
              <w:t xml:space="preserve">潮湿环境下不滋生霉菌</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黑曲霉、球毛壳霉、宛氏拟青霉、绳状青霉、长枝木霉长霉等级为0级</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、不产生致敏微生物，降低幼儿皮肤、呼吸道感染风险</w:t>
            </w:r>
            <w:r>
              <w:rPr>
                <w:rFonts w:hint="eastAsia" w:ascii="宋体" w:hAnsi="宋体" w:cs="宋体"/>
                <w:i w:val="0"/>
                <w:iCs w:val="0"/>
                <w:color w:val="auto"/>
                <w:sz w:val="20"/>
                <w:szCs w:val="20"/>
                <w:highlight w:val="none"/>
                <w:u w:val="none"/>
                <w:lang w:val="en-US" w:eastAsia="zh-CN" w:bidi="ar"/>
              </w:rPr>
              <w:t xml:space="preserve">。</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684"/>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keepLines w:val="0"/>
              <w:keepNext w:val="0"/>
              <w:widowControl/>
              <w:rPr>
                <w:rFonts w:hint="default" w:ascii="宋体" w:hAnsi="宋体" w:eastAsia="宋体" w:cs="宋体"/>
                <w:i w:val="0"/>
                <w:iCs w:val="0"/>
                <w:color w:val="auto"/>
                <w:sz w:val="20"/>
                <w:szCs w:val="20"/>
                <w:highlight w:val="none"/>
                <w:u w:val="none"/>
                <w:lang w:val="en-US"/>
              </w:rPr>
              <w:suppressLineNumbers w:val="0"/>
            </w:pPr>
            <w:r>
              <w:rPr>
                <w:rFonts w:hint="default" w:ascii="宋体" w:hAnsi="宋体" w:eastAsia="宋体" w:cs="宋体"/>
                <w:i w:val="0"/>
                <w:iCs w:val="0"/>
                <w:color w:val="auto"/>
                <w:sz w:val="20"/>
                <w:szCs w:val="20"/>
                <w:highlight w:val="none"/>
                <w:u w:val="none"/>
                <w:lang w:val="en-US"/>
              </w:rPr>
            </w:r>
            <w:r/>
          </w:p>
        </w:tc>
        <w:tc>
          <w:tcPr>
            <w:tcW w:w="5370" w:type="dxa"/>
            <w:vAlign w:val="center"/>
            <w:textDirection w:val="lrTb"/>
            <w:noWrap w:val="false"/>
          </w:tcPr>
          <w:p>
            <w:pPr>
              <w:jc w:val="left"/>
              <w:keepLines w:val="0"/>
              <w:keepNext w:val="0"/>
              <w:widowControl/>
              <w:rPr>
                <w:rFonts w:hint="default"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方桌（大班）：桌面尺寸：约60×60×60cm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1、桌面采用25mm厚防火板双贴面松木，甲醛释放量符合GB/T39600-2021标准要求，甲醛释放量≤0.025mg/m³，符合Enf级；桌面背部使用塑料应力杆</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cs="宋体"/>
                <w:i w:val="0"/>
                <w:iCs w:val="0"/>
                <w:color w:val="auto"/>
                <w:sz w:val="20"/>
                <w:szCs w:val="20"/>
                <w:highlight w:val="none"/>
                <w:u w:val="none"/>
                <w:lang w:val="en-US" w:eastAsia="zh-CN" w:bidi="ar"/>
              </w:rPr>
              <w:t xml:space="preserve">2</w:t>
            </w:r>
            <w:r>
              <w:rPr>
                <w:rFonts w:hint="eastAsia" w:ascii="宋体" w:hAnsi="宋体" w:eastAsia="宋体" w:cs="宋体"/>
                <w:i w:val="0"/>
                <w:iCs w:val="0"/>
                <w:color w:val="auto"/>
                <w:sz w:val="20"/>
                <w:szCs w:val="20"/>
                <w:highlight w:val="none"/>
                <w:u w:val="none"/>
                <w:lang w:val="en-US" w:eastAsia="zh-CN" w:bidi="ar"/>
              </w:rPr>
              <w:t xml:space="preserve">、桌脚采用直径约48mm桦木，表面采用</w:t>
            </w:r>
            <w:r>
              <w:rPr>
                <w:rFonts w:hint="eastAsia" w:ascii="宋体" w:hAnsi="宋体" w:cs="宋体"/>
                <w:i w:val="0"/>
                <w:iCs w:val="0"/>
                <w:color w:val="auto"/>
                <w:sz w:val="20"/>
                <w:szCs w:val="20"/>
                <w:highlight w:val="none"/>
                <w:u w:val="none"/>
                <w:lang w:val="en-US" w:eastAsia="zh-CN" w:bidi="ar"/>
              </w:rPr>
              <w:t xml:space="preserve">油漆处理</w:t>
            </w:r>
            <w:r>
              <w:rPr>
                <w:rFonts w:hint="eastAsia" w:ascii="宋体" w:hAnsi="宋体" w:eastAsia="宋体" w:cs="宋体"/>
                <w:i w:val="0"/>
                <w:iCs w:val="0"/>
                <w:color w:val="auto"/>
                <w:sz w:val="20"/>
                <w:szCs w:val="20"/>
                <w:highlight w:val="none"/>
                <w:u w:val="none"/>
                <w:lang w:val="en-US" w:eastAsia="zh-CN" w:bidi="ar"/>
              </w:rPr>
              <w:t xml:space="preserve">，挥发性有机化合物(VOC)含量、甲醛含量、苯甲苯乙苯和二甲苯的含量总和、乙二醇醚及其酯含量、重金属元素（铅、镉、六价铬、汞、砷、钡、锑、硒）含量等符合GB/T 35602-2017标准要求</w:t>
            </w:r>
            <w:r>
              <w:rPr>
                <w:rFonts w:hint="eastAsia" w:ascii="宋体" w:hAnsi="宋体" w:cs="宋体"/>
                <w:i w:val="0"/>
                <w:iCs w:val="0"/>
                <w:color w:val="auto"/>
                <w:sz w:val="20"/>
                <w:szCs w:val="20"/>
                <w:highlight w:val="none"/>
                <w:u w:val="none"/>
                <w:lang w:val="en-US" w:eastAsia="zh-CN" w:bidi="ar"/>
              </w:rPr>
              <w:t xml:space="preserve">。</w:t>
            </w:r>
            <w:r/>
          </w:p>
          <w:p>
            <w:pPr>
              <w:jc w:val="left"/>
              <w:keepLines w:val="0"/>
              <w:keepNext w:val="0"/>
              <w:widowControl/>
              <w:rPr>
                <w:rFonts w:hint="eastAsia" w:ascii="宋体" w:hAnsi="宋体" w:cs="宋体"/>
                <w:i w:val="0"/>
                <w:iCs w:val="0"/>
                <w:color w:val="auto"/>
                <w:sz w:val="20"/>
                <w:szCs w:val="20"/>
                <w:highlight w:val="none"/>
                <w:u w:val="none"/>
                <w:lang w:val="en-US" w:eastAsia="zh-CN" w:bidi="ar"/>
              </w:rPr>
              <w:suppressLineNumbers w:val="0"/>
            </w:pPr>
            <w:r>
              <w:rPr>
                <w:rFonts w:hint="eastAsia" w:ascii="宋体" w:hAnsi="宋体" w:cs="宋体"/>
                <w:i w:val="0"/>
                <w:iCs w:val="0"/>
                <w:color w:val="auto"/>
                <w:sz w:val="20"/>
                <w:szCs w:val="20"/>
                <w:highlight w:val="none"/>
                <w:u w:val="none"/>
                <w:lang w:val="en-US" w:eastAsia="zh-CN" w:bidi="ar"/>
              </w:rPr>
              <w:t xml:space="preserve">3</w:t>
            </w:r>
            <w:r>
              <w:rPr>
                <w:rFonts w:hint="eastAsia" w:ascii="宋体" w:hAnsi="宋体" w:eastAsia="宋体" w:cs="宋体"/>
                <w:i w:val="0"/>
                <w:iCs w:val="0"/>
                <w:color w:val="auto"/>
                <w:sz w:val="20"/>
                <w:szCs w:val="20"/>
                <w:highlight w:val="none"/>
                <w:u w:val="none"/>
                <w:lang w:val="en-US" w:eastAsia="zh-CN" w:bidi="ar"/>
              </w:rPr>
              <w:t xml:space="preserve">、木蜡油封边，成膜牢固，搅拌后均匀无硬块，木蜡油在容器中状态；细度≤40μm；干燥时间[表干≤8h、实干≤24h]；贮存稳定性[结皮性-无结皮、沉降性-无异常]；涂膜外观正常</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光泽(60°)；硬度 (擦伤)≥B；附着力(划格间距2mm)≤1级；耐干热性≤2级；耐水性无异常；耐碱性无异常；耐醇性无异常；耐污染性（醋、茶）无异常；挥发性有机化合物(VOC)含量≤450g/L；苯含量未检出；甲苯、二甲苯、乙苯含量总和未检出；卤代烃含量≤0.1%；无可溶性重金属含量（铅、镉、铬、汞）符合GB/T27811-2011</w:t>
            </w:r>
            <w:r>
              <w:rPr>
                <w:rFonts w:hint="eastAsia" w:ascii="宋体" w:hAnsi="宋体" w:cs="宋体"/>
                <w:i w:val="0"/>
                <w:iCs w:val="0"/>
                <w:color w:val="auto"/>
                <w:sz w:val="20"/>
                <w:szCs w:val="20"/>
                <w:highlight w:val="none"/>
                <w:u w:val="none"/>
                <w:lang w:val="en-US" w:eastAsia="zh-CN" w:bidi="ar"/>
              </w:rPr>
              <w:t xml:space="preserve">标准规范</w:t>
            </w:r>
            <w:r>
              <w:rPr>
                <w:rFonts w:hint="eastAsia" w:ascii="宋体" w:hAnsi="宋体" w:eastAsia="宋体" w:cs="宋体"/>
                <w:i w:val="0"/>
                <w:iCs w:val="0"/>
                <w:color w:val="auto"/>
                <w:sz w:val="20"/>
                <w:szCs w:val="20"/>
                <w:highlight w:val="none"/>
                <w:u w:val="none"/>
                <w:lang w:val="en-US" w:eastAsia="zh-CN" w:bidi="ar"/>
              </w:rPr>
              <w:t xml:space="preserve">要求</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cs="宋体"/>
                <w:i w:val="0"/>
                <w:iCs w:val="0"/>
                <w:color w:val="auto"/>
                <w:sz w:val="20"/>
                <w:szCs w:val="20"/>
                <w:highlight w:val="none"/>
                <w:u w:val="none"/>
                <w:lang w:val="en-US" w:eastAsia="zh-CN" w:bidi="ar"/>
              </w:rPr>
              <w:t xml:space="preserve">4</w:t>
            </w:r>
            <w:r>
              <w:rPr>
                <w:rFonts w:hint="eastAsia" w:ascii="宋体" w:hAnsi="宋体" w:eastAsia="宋体" w:cs="宋体"/>
                <w:i w:val="0"/>
                <w:iCs w:val="0"/>
                <w:color w:val="auto"/>
                <w:sz w:val="20"/>
                <w:szCs w:val="20"/>
                <w:highlight w:val="none"/>
                <w:u w:val="none"/>
                <w:lang w:val="en-US" w:eastAsia="zh-CN" w:bidi="ar"/>
              </w:rPr>
              <w:t xml:space="preserve">、五金件选用环保五金，镉、铅、汞、六价铬含量符合GB/T 26572-2011标准要求</w:t>
            </w:r>
            <w:r>
              <w:rPr>
                <w:rFonts w:hint="eastAsia" w:ascii="宋体" w:hAnsi="宋体" w:cs="宋体"/>
                <w:i w:val="0"/>
                <w:iCs w:val="0"/>
                <w:color w:val="auto"/>
                <w:sz w:val="20"/>
                <w:szCs w:val="20"/>
                <w:highlight w:val="none"/>
                <w:u w:val="none"/>
                <w:lang w:val="en-US" w:eastAsia="zh-CN" w:bidi="ar"/>
              </w:rPr>
              <w:t xml:space="preserve">。</w:t>
            </w:r>
            <w:r/>
          </w:p>
          <w:p>
            <w:pPr>
              <w:pStyle w:val="851"/>
              <w:numPr>
                <w:ilvl w:val="0"/>
                <w:numId w:val="0"/>
              </w:numPr>
              <w:rPr>
                <w:rFonts w:hint="eastAsia" w:ascii="宋体" w:hAnsi="宋体" w:cs="宋体"/>
                <w:i w:val="0"/>
                <w:iCs w:val="0"/>
                <w:color w:val="auto"/>
                <w:sz w:val="20"/>
                <w:szCs w:val="20"/>
                <w:highlight w:val="none"/>
                <w:u w:val="none"/>
                <w:lang w:val="en-US" w:eastAsia="zh-CN" w:bidi="ar"/>
              </w:rPr>
            </w:pPr>
            <w:r>
              <w:rPr>
                <w:rFonts w:hint="eastAsia" w:ascii="宋体" w:hAnsi="宋体" w:cs="宋体"/>
                <w:i w:val="0"/>
                <w:iCs w:val="0"/>
                <w:color w:val="auto"/>
                <w:sz w:val="20"/>
                <w:szCs w:val="20"/>
                <w:highlight w:val="none"/>
                <w:u w:val="none"/>
                <w:lang w:val="en-US" w:eastAsia="zh-CN" w:bidi="ar"/>
              </w:rPr>
              <w:t xml:space="preserve">5、安全使用要求：本项目用于幼儿园教学活动，幼儿活泼好动，桌椅长期受反复摇晃、推拉冲击，桌体塑料连接件若发生老化、滑丝、松动、断裂，极易引发桌椅倾倒、幼儿磕碰受伤等安全事故，塑料连接件必须具备长期稳定的紧固性能与耐光照老化能力。</w:t>
            </w:r>
            <w:r/>
          </w:p>
          <w:p>
            <w:pPr>
              <w:numPr>
                <w:ilvl w:val="0"/>
                <w:numId w:val="0"/>
              </w:numPr>
              <w:jc w:val="left"/>
              <w:keepLines w:val="0"/>
              <w:keepNext w:val="0"/>
              <w:widowControl/>
              <w:rPr>
                <w:rFonts w:hint="eastAsia" w:ascii="宋体" w:hAnsi="宋体" w:cs="宋体"/>
                <w:i w:val="0"/>
                <w:iCs w:val="0"/>
                <w:color w:val="auto"/>
                <w:sz w:val="20"/>
                <w:szCs w:val="20"/>
                <w:highlight w:val="none"/>
                <w:u w:val="none"/>
                <w:lang w:val="en-US" w:eastAsia="zh-CN" w:bidi="ar"/>
              </w:rPr>
              <w:suppressLineNumbers w:val="0"/>
            </w:pPr>
            <w:r>
              <w:rPr>
                <w:rFonts w:hint="eastAsia" w:ascii="宋体" w:hAnsi="宋体" w:cs="宋体"/>
                <w:i w:val="0"/>
                <w:iCs w:val="0"/>
                <w:color w:val="auto"/>
                <w:sz w:val="20"/>
                <w:szCs w:val="20"/>
                <w:highlight w:val="none"/>
                <w:u w:val="none"/>
                <w:lang w:val="en-US" w:eastAsia="zh-CN" w:bidi="ar"/>
              </w:rPr>
              <w:t xml:space="preserve">6、桌子塑料连接件适配幼儿园教室人员密集，</w:t>
            </w:r>
            <w:r>
              <w:rPr>
                <w:rFonts w:hint="eastAsia" w:ascii="宋体" w:hAnsi="宋体" w:eastAsia="宋体" w:cs="宋体"/>
                <w:i w:val="0"/>
                <w:iCs w:val="0"/>
                <w:color w:val="auto"/>
                <w:sz w:val="20"/>
                <w:szCs w:val="20"/>
                <w:highlight w:val="none"/>
                <w:u w:val="none"/>
                <w:lang w:val="en-US" w:eastAsia="zh-CN" w:bidi="ar"/>
              </w:rPr>
              <w:t xml:space="preserve">园区日常洗手、洒水清洁易造成塑料件潮湿积污，连接件需具备长效防霉能力，依据 GB/T 24128-2018 完成防霉性能检测，</w:t>
            </w:r>
            <w:r>
              <w:rPr>
                <w:rFonts w:hint="eastAsia" w:ascii="宋体" w:hAnsi="宋体" w:cs="宋体"/>
                <w:i w:val="0"/>
                <w:iCs w:val="0"/>
                <w:color w:val="auto"/>
                <w:sz w:val="20"/>
                <w:szCs w:val="20"/>
                <w:highlight w:val="none"/>
                <w:u w:val="none"/>
                <w:lang w:val="en-US" w:eastAsia="zh-CN" w:bidi="ar"/>
              </w:rPr>
              <w:t xml:space="preserve">检测标准为</w:t>
            </w:r>
            <w:r>
              <w:rPr>
                <w:rFonts w:hint="eastAsia" w:ascii="宋体" w:hAnsi="宋体" w:eastAsia="宋体" w:cs="宋体"/>
                <w:i w:val="0"/>
                <w:iCs w:val="0"/>
                <w:color w:val="auto"/>
                <w:sz w:val="20"/>
                <w:szCs w:val="20"/>
                <w:highlight w:val="none"/>
                <w:u w:val="none"/>
                <w:lang w:val="en-US" w:eastAsia="zh-CN" w:bidi="ar"/>
              </w:rPr>
              <w:t xml:space="preserve">潮湿环境下不滋生霉菌</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黑曲霉、球毛壳霉、宛氏拟青霉、绳状青霉、长枝木霉长霉等级为0级</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、不产生致敏微生物，降低幼儿皮肤、呼吸道感染风险</w:t>
            </w:r>
            <w:r>
              <w:rPr>
                <w:rFonts w:hint="eastAsia" w:ascii="宋体" w:hAnsi="宋体" w:cs="宋体"/>
                <w:i w:val="0"/>
                <w:iCs w:val="0"/>
                <w:color w:val="auto"/>
                <w:sz w:val="20"/>
                <w:szCs w:val="20"/>
                <w:highlight w:val="none"/>
                <w:u w:val="none"/>
                <w:lang w:val="en-US" w:eastAsia="zh-CN" w:bidi="ar"/>
              </w:rPr>
              <w:t xml:space="preserve">。</w:t>
            </w:r>
            <w:r/>
          </w:p>
        </w:tc>
        <w:tc>
          <w:tcPr>
            <w:tcW w:w="2145" w:type="dxa"/>
            <w:vAlign w:val="center"/>
            <w:textDirection w:val="lrTb"/>
            <w:noWrap w:val="false"/>
          </w:tcPr>
          <w:p>
            <w:pPr>
              <w:numPr>
                <w:ilvl w:val="0"/>
                <w:numId w:val="0"/>
              </w:numPr>
              <w:jc w:val="left"/>
              <w:keepLines w:val="0"/>
              <w:keepNext w:val="0"/>
              <w:widowControl/>
              <w:rPr>
                <w:rFonts w:hint="eastAsia"/>
                <w:color w:val="auto"/>
                <w:highlight w:val="none"/>
                <w:lang w:val="en-US" w:eastAsia="zh-CN"/>
              </w:rPr>
              <w:suppressLineNumbers w:val="0"/>
            </w:pPr>
            <w:r>
              <w:rPr>
                <w:rFonts w:hint="eastAsia"/>
                <w:color w:val="auto"/>
                <w:highlight w:val="none"/>
                <w:lang w:val="en-US" w:eastAsia="zh-CN"/>
              </w:rPr>
            </w:r>
            <w:r/>
          </w:p>
        </w:tc>
      </w:tr>
      <w:tr>
        <w:trPr>
          <w:jc w:val="center"/>
          <w:trHeight w:val="500"/>
        </w:trPr>
        <w:tc>
          <w:tcPr>
            <w:tcW w:w="1080" w:type="dxa"/>
            <w:vAlign w:val="center"/>
            <w:textDirection w:val="lrTb"/>
            <w:noWrap/>
          </w:tcPr>
          <w:p>
            <w:pPr>
              <w:jc w:val="center"/>
              <w:keepLines w:val="0"/>
              <w:keepNext w:val="0"/>
              <w:widowControl/>
              <w:rPr>
                <w:rFonts w:ascii="宋体" w:hAnsi="宋体" w:eastAsia="宋体" w:cs="宋体"/>
                <w:i w:val="0"/>
                <w:iCs w:val="0"/>
                <w:color w:val="auto"/>
                <w:sz w:val="20"/>
                <w:szCs w:val="20"/>
                <w:highlight w:val="none"/>
                <w:u w:val="none"/>
                <w:lang w:val="en-US"/>
              </w:rPr>
              <w:suppressLineNumbers w:val="0"/>
            </w:pPr>
            <w:r>
              <w:rPr>
                <w:rFonts w:hint="eastAsia" w:ascii="宋体" w:hAnsi="宋体" w:eastAsia="宋体" w:cs="宋体"/>
                <w:i w:val="0"/>
                <w:iCs w:val="0"/>
                <w:color w:val="auto"/>
                <w:sz w:val="20"/>
                <w:szCs w:val="20"/>
                <w:highlight w:val="none"/>
                <w:u w:val="none"/>
                <w:lang w:val="en-US" w:eastAsia="zh-CN" w:bidi="ar"/>
              </w:rPr>
              <w:t xml:space="preserve">★</w:t>
            </w:r>
            <w:r>
              <w:rPr>
                <w:rFonts w:hint="eastAsia" w:ascii="宋体" w:hAnsi="宋体" w:cs="宋体"/>
                <w:i w:val="0"/>
                <w:iCs w:val="0"/>
                <w:color w:val="auto"/>
                <w:sz w:val="20"/>
                <w:szCs w:val="20"/>
                <w:highlight w:val="none"/>
                <w:u w:val="none"/>
                <w:lang w:val="en-US" w:eastAsia="zh-CN" w:bidi="ar"/>
              </w:rPr>
              <w:t xml:space="preserve">1</w:t>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（壁挂式）茶杯架：生活区岛台带茶杯架、饮水机架，大理石台面，按照甲方定制；水杯格尺寸：约9×14×10cm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1、顶板、侧板、底板、中竖板及中层板采用约15mm厚枫木纹双贴面胶合板，其他竖板及层板采用9mm厚枫木纹双贴面胶合板，甲醛释放量符合GB/T 39600-2021标准要求，甲醛释放量≤0.025mg/m³，符合Enf级；背板为约5mm厚枫木纹双贴面密度板，甲醛释放量符合GB/T 39600-2021标准要求，甲醛释放量≤0.025mg/m³，符合Enf级； </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木蜡油封边，成膜牢固，搅拌后均匀无硬块，细度、干燥时间、贮存稳定性、涂膜外观、光泽、硬度、附着力、耐干热性、耐水性、耐碱性、耐醇性、耐污染性（醋、茶）、挥发性有机化合物(VOC)含量、苯含量、甲苯二甲苯乙苯含量总和、卤代烃含量、可溶性重金属（铅、镉、铬、汞）含量符合GB/T 27811-2011标准要求    </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3、五金件选用环保五金，镉、铅、汞、六价铬含量符合GB/T 26572-2011标准要求     </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4、挂墙设计，充分利用空间茶杯柜为对开门设计，每扇门板设计4个约为W107×H235mm长方形镂空孔洞，加装纱网，既能通风透气又能防止蚊蝇异物等进入，保持安全卫生与清洁，美观实用</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内部分为6行8列共48格，48个收纳格，满足一个班级人数使用</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t xml:space="preserve">现场按照使用方要求定制，投标时出具承诺函</w:t>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实物投影展示台：1摄像头像素≥800万</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2.摄像头支持自动对焦，A4大小拍摄幅面，1080P动态视频预览达到30帧/秒</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3.整机采用圆弧式设计，无锐角；托板可承重≥3kg，同时托板采用磁吸吸附式机构</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4.展示托板正上方具备LED补光灯补光灯开关采用触摸按键设计，同时可通过视频展台软件直接控制开关；</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5.摄像头部分进行外壳防护等级试验，防护等级达到IP4×级别</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实物投影展示台</w:t>
            </w:r>
            <w:r>
              <w:rPr>
                <w:rFonts w:hint="eastAsia" w:ascii="宋体" w:hAnsi="宋体" w:cs="宋体"/>
                <w:i w:val="0"/>
                <w:iCs w:val="0"/>
                <w:color w:val="auto"/>
                <w:sz w:val="20"/>
                <w:szCs w:val="20"/>
                <w:highlight w:val="none"/>
                <w:u w:val="none"/>
                <w:lang w:val="en-US" w:eastAsia="zh-CN" w:bidi="ar"/>
              </w:rPr>
              <w:t xml:space="preserve">系统</w:t>
            </w:r>
            <w:r>
              <w:rPr>
                <w:rFonts w:hint="eastAsia" w:ascii="宋体" w:hAnsi="宋体" w:eastAsia="宋体" w:cs="宋体"/>
                <w:i w:val="0"/>
                <w:iCs w:val="0"/>
                <w:color w:val="auto"/>
                <w:sz w:val="20"/>
                <w:szCs w:val="20"/>
                <w:highlight w:val="none"/>
                <w:u w:val="none"/>
                <w:lang w:val="en-US" w:eastAsia="zh-CN" w:bidi="ar"/>
              </w:rPr>
              <w:t xml:space="preserve">：</w:t>
            </w:r>
            <w:r/>
          </w:p>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cs="宋体"/>
                <w:i w:val="0"/>
                <w:iCs w:val="0"/>
                <w:color w:val="auto"/>
                <w:sz w:val="20"/>
                <w:szCs w:val="20"/>
                <w:highlight w:val="none"/>
                <w:u w:val="none"/>
                <w:lang w:val="en-US" w:eastAsia="zh-CN" w:bidi="ar"/>
              </w:rPr>
              <w:t xml:space="preserve">1</w:t>
            </w:r>
            <w:r>
              <w:rPr>
                <w:rFonts w:hint="eastAsia" w:ascii="宋体" w:hAnsi="宋体" w:eastAsia="宋体" w:cs="宋体"/>
                <w:i w:val="0"/>
                <w:iCs w:val="0"/>
                <w:color w:val="auto"/>
                <w:sz w:val="20"/>
                <w:szCs w:val="20"/>
                <w:highlight w:val="none"/>
                <w:u w:val="none"/>
                <w:lang w:val="en-US" w:eastAsia="zh-CN" w:bidi="ar"/>
              </w:rPr>
              <w:t xml:space="preserve">.支持对展台画面进行实时批注、放大、缩小、旋转、自适应、冻结画面等操作</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cs="宋体"/>
                <w:i w:val="0"/>
                <w:iCs w:val="0"/>
                <w:color w:val="auto"/>
                <w:sz w:val="20"/>
                <w:szCs w:val="20"/>
                <w:highlight w:val="none"/>
                <w:u w:val="none"/>
                <w:lang w:val="en-US" w:eastAsia="zh-CN" w:bidi="ar"/>
              </w:rPr>
              <w:t xml:space="preserve">2</w:t>
            </w:r>
            <w:r>
              <w:rPr>
                <w:rFonts w:hint="eastAsia" w:ascii="宋体" w:hAnsi="宋体" w:eastAsia="宋体" w:cs="宋体"/>
                <w:i w:val="0"/>
                <w:iCs w:val="0"/>
                <w:color w:val="auto"/>
                <w:sz w:val="20"/>
                <w:szCs w:val="20"/>
                <w:highlight w:val="none"/>
                <w:u w:val="none"/>
                <w:lang w:val="en-US" w:eastAsia="zh-CN" w:bidi="ar"/>
              </w:rPr>
              <w:t xml:space="preserve">.具备图像增强功能，可自动裁剪背景并增强文字显示，</w:t>
            </w:r>
            <w:r>
              <w:rPr>
                <w:rFonts w:hint="eastAsia" w:ascii="宋体" w:hAnsi="宋体" w:cs="宋体"/>
                <w:i w:val="0"/>
                <w:iCs w:val="0"/>
                <w:color w:val="auto"/>
                <w:sz w:val="20"/>
                <w:szCs w:val="20"/>
                <w:highlight w:val="none"/>
                <w:u w:val="none"/>
                <w:lang w:val="en-US" w:eastAsia="zh-CN" w:bidi="ar"/>
              </w:rPr>
              <w:t xml:space="preserve">在不改变图像原始语义信息的前提下，提升视觉观感、突出有效目标区域、弱化干扰信息，</w:t>
            </w:r>
            <w:r>
              <w:rPr>
                <w:rFonts w:hint="eastAsia" w:ascii="宋体" w:hAnsi="宋体" w:eastAsia="宋体" w:cs="宋体"/>
                <w:i w:val="0"/>
                <w:iCs w:val="0"/>
                <w:color w:val="auto"/>
                <w:sz w:val="20"/>
                <w:szCs w:val="20"/>
                <w:highlight w:val="none"/>
                <w:u w:val="none"/>
                <w:lang w:val="en-US" w:eastAsia="zh-CN" w:bidi="ar"/>
              </w:rPr>
              <w:t xml:space="preserve">使文档画面更清晰</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cs="宋体"/>
                <w:i w:val="0"/>
                <w:iCs w:val="0"/>
                <w:color w:val="auto"/>
                <w:sz w:val="20"/>
                <w:szCs w:val="20"/>
                <w:highlight w:val="none"/>
                <w:u w:val="none"/>
                <w:lang w:val="en-US" w:eastAsia="zh-CN" w:bidi="ar"/>
              </w:rPr>
              <w:t xml:space="preserve">3</w:t>
            </w:r>
            <w:r>
              <w:rPr>
                <w:rFonts w:hint="eastAsia" w:ascii="宋体" w:hAnsi="宋体" w:eastAsia="宋体" w:cs="宋体"/>
                <w:i w:val="0"/>
                <w:iCs w:val="0"/>
                <w:color w:val="auto"/>
                <w:sz w:val="20"/>
                <w:szCs w:val="20"/>
                <w:highlight w:val="none"/>
                <w:u w:val="none"/>
                <w:lang w:val="en-US" w:eastAsia="zh-CN" w:bidi="ar"/>
              </w:rPr>
              <w:t xml:space="preserve">.具备图像、文本或动态等多种情景模式，适应不同展示内容</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cs="宋体"/>
                <w:i w:val="0"/>
                <w:iCs w:val="0"/>
                <w:color w:val="auto"/>
                <w:sz w:val="20"/>
                <w:szCs w:val="20"/>
                <w:highlight w:val="none"/>
                <w:u w:val="none"/>
                <w:lang w:val="en-US" w:eastAsia="zh-CN" w:bidi="ar"/>
              </w:rPr>
              <w:t xml:space="preserve">4</w:t>
            </w:r>
            <w:r>
              <w:rPr>
                <w:rFonts w:hint="eastAsia" w:ascii="宋体" w:hAnsi="宋体" w:eastAsia="宋体" w:cs="宋体"/>
                <w:i w:val="0"/>
                <w:iCs w:val="0"/>
                <w:color w:val="auto"/>
                <w:sz w:val="20"/>
                <w:szCs w:val="20"/>
                <w:highlight w:val="none"/>
                <w:u w:val="none"/>
                <w:lang w:val="en-US" w:eastAsia="zh-CN" w:bidi="ar"/>
              </w:rPr>
              <w:t xml:space="preserve">.二维码扫码：支持扫一扫功能，将书本上的二维码放入扫描框内即可自动扫描，并进入系统浏览器获取二维码的链接内容，可获取电子教学资源</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cs="宋体"/>
                <w:i w:val="0"/>
                <w:iCs w:val="0"/>
                <w:color w:val="auto"/>
                <w:sz w:val="20"/>
                <w:szCs w:val="20"/>
                <w:highlight w:val="none"/>
                <w:u w:val="none"/>
                <w:lang w:val="en-US" w:eastAsia="zh-CN" w:bidi="ar"/>
              </w:rPr>
              <w:t xml:space="preserve">5</w:t>
            </w:r>
            <w:r>
              <w:rPr>
                <w:rFonts w:hint="eastAsia" w:ascii="宋体" w:hAnsi="宋体" w:eastAsia="宋体" w:cs="宋体"/>
                <w:i w:val="0"/>
                <w:iCs w:val="0"/>
                <w:color w:val="auto"/>
                <w:sz w:val="20"/>
                <w:szCs w:val="20"/>
                <w:highlight w:val="none"/>
                <w:u w:val="none"/>
                <w:lang w:val="en-US" w:eastAsia="zh-CN" w:bidi="ar"/>
              </w:rPr>
              <w:t xml:space="preserve">.支持故障自动检测，在软件无法出现展台拍摄画面时，自动出现检测链接，检测“无画面”的原因，并给出引导性解决方案可判断硬件连接、显卡驱动、摄像头占用、软件版本等问题</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塑封机：尺寸: 460×145×90mm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温度范围: 85°C-145°C</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过塑速度: ≤ 300mm/60s</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过膜厚度: 0.6mm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多孔散热、快捷退膜</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手提药箱：尺寸：355×200×220mm 14英寸</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材质：铝合金、中纤版</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颜色：银色</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净重：1.56KG</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消毒柜：不小于290L</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国标二星消毒</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滚筒洗衣机：洗涤容量（kg）：3.5</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电机类型：变频</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能效等级：1级</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温度调节：最高95</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洗手台顶柜：E0级多层板,甲醛含量≤1.2mg/L，具有防水、防烫、防污、防酸、防碱、</w:t>
            </w:r>
            <w:r>
              <w:rPr>
                <w:rFonts w:hint="eastAsia" w:ascii="宋体" w:hAnsi="宋体" w:cs="宋体"/>
                <w:i w:val="0"/>
                <w:iCs w:val="0"/>
                <w:color w:val="auto"/>
                <w:sz w:val="20"/>
                <w:szCs w:val="20"/>
                <w:highlight w:val="none"/>
                <w:u w:val="none"/>
                <w:lang w:val="en-US" w:eastAsia="zh-CN" w:bidi="ar"/>
              </w:rPr>
              <w:t xml:space="preserve">防火；五金配件</w:t>
            </w:r>
            <w:r>
              <w:rPr>
                <w:rFonts w:hint="eastAsia" w:ascii="宋体" w:hAnsi="宋体" w:eastAsia="宋体" w:cs="宋体"/>
                <w:i w:val="0"/>
                <w:iCs w:val="0"/>
                <w:color w:val="auto"/>
                <w:sz w:val="20"/>
                <w:szCs w:val="20"/>
                <w:highlight w:val="none"/>
                <w:u w:val="none"/>
                <w:lang w:val="en-US" w:eastAsia="zh-CN" w:bidi="ar"/>
              </w:rPr>
              <w:t xml:space="preserve">：锁具、导轨和门铰；带消毒柜格子，根据现场定制；长4000*高600*深度400mm</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自然角架：采用实木，表面平整光滑，无结疤，整体结构结实耐用。油漆采用</w:t>
            </w:r>
            <w:r>
              <w:rPr>
                <w:rFonts w:hint="eastAsia" w:ascii="宋体" w:hAnsi="宋体" w:cs="宋体"/>
                <w:i w:val="0"/>
                <w:iCs w:val="0"/>
                <w:color w:val="auto"/>
                <w:sz w:val="20"/>
                <w:szCs w:val="20"/>
                <w:highlight w:val="none"/>
                <w:u w:val="none"/>
                <w:lang w:val="en-US" w:eastAsia="zh-CN" w:bidi="ar"/>
              </w:rPr>
              <w:t xml:space="preserve">哑光聚脂漆，</w:t>
            </w:r>
            <w:r>
              <w:rPr>
                <w:rFonts w:hint="eastAsia" w:ascii="宋体" w:hAnsi="宋体" w:eastAsia="宋体" w:cs="宋体"/>
                <w:i w:val="0"/>
                <w:iCs w:val="0"/>
                <w:color w:val="auto"/>
                <w:sz w:val="20"/>
                <w:szCs w:val="20"/>
                <w:highlight w:val="none"/>
                <w:u w:val="none"/>
                <w:lang w:val="en-US" w:eastAsia="zh-CN" w:bidi="ar"/>
              </w:rPr>
              <w:t xml:space="preserve">油漆无颗粒，无气泡，无渣点，颜色均匀。</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洗衣机台盆架：1、人造石台面</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2、E0级多层板柜体,甲醛含量≤1.2mg/L，具有防水、防烫、防污、防酸、防碱、</w:t>
            </w:r>
            <w:r>
              <w:rPr>
                <w:rFonts w:hint="eastAsia" w:ascii="宋体" w:hAnsi="宋体" w:cs="宋体"/>
                <w:i w:val="0"/>
                <w:iCs w:val="0"/>
                <w:color w:val="auto"/>
                <w:sz w:val="20"/>
                <w:szCs w:val="20"/>
                <w:highlight w:val="none"/>
                <w:u w:val="none"/>
                <w:lang w:val="en-US" w:eastAsia="zh-CN" w:bidi="ar"/>
              </w:rPr>
              <w:t xml:space="preserve">防火；五金配件</w:t>
            </w:r>
            <w:r>
              <w:rPr>
                <w:rFonts w:hint="eastAsia" w:ascii="宋体" w:hAnsi="宋体" w:eastAsia="宋体" w:cs="宋体"/>
                <w:i w:val="0"/>
                <w:iCs w:val="0"/>
                <w:color w:val="auto"/>
                <w:sz w:val="20"/>
                <w:szCs w:val="20"/>
                <w:highlight w:val="none"/>
                <w:u w:val="none"/>
                <w:lang w:val="en-US" w:eastAsia="zh-CN" w:bidi="ar"/>
              </w:rPr>
              <w:t xml:space="preserve">：锁具、导轨和门铰。</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3、含不锈钢水池、龙头</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4、长1450*高800*深度600mm</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420件室内建构积木：长方体：6*6*3cm，24粒</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长方体：12*6*3cm，12粒</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长方体：24*6*3cm，12粒</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长方体：48*6*3cm，12粒</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长方体：6*3*3cm，48粒</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长方体：12*3*3cm，24粒</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长方体：24*3*3cm，12粒</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长方体：48*6*1.5cm，6粒</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长方体：24*14*1.5cm，6粒</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多变形：18*18*3cm，2粒</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七形：12*6*3cm，8粒</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异形：6*6*3cm，24粒</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圆柱体：6*3*3cm，32粒</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圆柱体：12*3*3cm，16粒</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圆柱体：12*6*6cm，6粒</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梯形：12*6*3cm，8粒</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坡形6*3*3cm，8粒</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坡形12*6*3cm，4粒</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坡形6*6*3cm，12粒</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长方形60*6*1.5cm，6粒</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异性18*9*3cm，2粒</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弧形12*12*3cm，4粒</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异形9*3*3cm，8粒</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三角形6*6*3cm，24粒</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三角形12*6*3cm，12粒</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三角形24*6*3cm，12粒</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坡形12*6*6cm，6粒</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正方体6*6*1.5cm，24粒</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长方形12*6*1.5cm，24粒</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长方形24*6*1.5cm，12粒</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桥形24*12*3cm，4粒</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Y形18*18*3cm，2粒</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Y形24*16*3cm，2粒</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异形11*4*3cm，2粒</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教师办公桌：1400*600*760mm饰面：采用三聚氰胺浸渍胶膜纸，依据</w:t>
            </w:r>
            <w:r>
              <w:rPr>
                <w:rFonts w:hint="eastAsia" w:ascii="宋体" w:hAnsi="宋体" w:cs="宋体"/>
                <w:i w:val="0"/>
                <w:iCs w:val="0"/>
                <w:color w:val="auto"/>
                <w:sz w:val="20"/>
                <w:szCs w:val="20"/>
                <w:highlight w:val="none"/>
                <w:u w:val="none"/>
                <w:lang w:val="en-US" w:eastAsia="zh-CN" w:bidi="ar"/>
              </w:rPr>
              <w:t xml:space="preserve"> GB 18584-2024</w:t>
            </w:r>
            <w:r>
              <w:rPr>
                <w:rFonts w:hint="eastAsia" w:ascii="宋体" w:hAnsi="宋体" w:eastAsia="宋体" w:cs="宋体"/>
                <w:i w:val="0"/>
                <w:iCs w:val="0"/>
                <w:color w:val="auto"/>
                <w:sz w:val="20"/>
                <w:szCs w:val="20"/>
                <w:highlight w:val="none"/>
                <w:u w:val="none"/>
                <w:lang w:val="en-US" w:eastAsia="zh-CN" w:bidi="ar"/>
              </w:rPr>
              <w:t xml:space="preserve">《室内装饰装修材料木家具中有害物质限量》；LY/T 1831-2009《人造板饰面专用装饰纸》；</w:t>
            </w:r>
            <w:r>
              <w:rPr>
                <w:rFonts w:hint="eastAsia" w:ascii="宋体" w:hAnsi="宋体" w:cs="宋体"/>
                <w:i w:val="0"/>
                <w:iCs w:val="0"/>
                <w:color w:val="auto"/>
                <w:sz w:val="20"/>
                <w:szCs w:val="20"/>
                <w:highlight w:val="none"/>
                <w:u w:val="none"/>
                <w:lang w:val="en-US" w:eastAsia="zh-CN" w:bidi="ar"/>
              </w:rPr>
              <w:t xml:space="preserve">GB/T 35601-2024</w:t>
            </w:r>
            <w:r>
              <w:rPr>
                <w:rFonts w:hint="eastAsia" w:ascii="宋体" w:hAnsi="宋体" w:eastAsia="宋体" w:cs="宋体"/>
                <w:i w:val="0"/>
                <w:iCs w:val="0"/>
                <w:color w:val="auto"/>
                <w:sz w:val="20"/>
                <w:szCs w:val="20"/>
                <w:highlight w:val="none"/>
                <w:u w:val="none"/>
                <w:lang w:val="en-US" w:eastAsia="zh-CN" w:bidi="ar"/>
              </w:rPr>
              <w:t xml:space="preserve">《绿色产品评价 人造板和木质地板》标准；耐热性1级，苯≤5㎍/m³，挥发物含量5%-9%，甲醛释放量≤0.5mg/L。 </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基材：采用不低于E0级刨花板，依据GB/T 17657-2022《人造板及饰面人造板理化性能试验方法》；GB/T 39600-2021《人造板及其制品甲醛释放量分级》；GB 18580-2017《室内装饰装修材料人造板及其制品中甲醛释放限量》；</w:t>
            </w:r>
            <w:r>
              <w:rPr>
                <w:rFonts w:hint="eastAsia" w:ascii="宋体" w:hAnsi="宋体" w:cs="宋体"/>
                <w:i w:val="0"/>
                <w:iCs w:val="0"/>
                <w:color w:val="auto"/>
                <w:sz w:val="20"/>
                <w:szCs w:val="20"/>
                <w:highlight w:val="none"/>
                <w:u w:val="none"/>
                <w:lang w:val="en-US" w:eastAsia="zh-CN" w:bidi="ar"/>
              </w:rPr>
              <w:t xml:space="preserve">GB/T 35601-2024</w:t>
            </w:r>
            <w:r>
              <w:rPr>
                <w:rFonts w:hint="eastAsia" w:ascii="宋体" w:hAnsi="宋体" w:eastAsia="宋体" w:cs="宋体"/>
                <w:i w:val="0"/>
                <w:iCs w:val="0"/>
                <w:color w:val="auto"/>
                <w:sz w:val="20"/>
                <w:szCs w:val="20"/>
                <w:highlight w:val="none"/>
                <w:u w:val="none"/>
                <w:lang w:val="en-US" w:eastAsia="zh-CN" w:bidi="ar"/>
              </w:rPr>
              <w:t xml:space="preserve">《绿色产品评价人造板和木质地板》；QB/T 4371-2012《家具抗菌性能的评价》；GB 8624-2012《建筑材料及制品燃烧性能分级》；</w:t>
            </w:r>
            <w:r>
              <w:rPr>
                <w:rFonts w:hint="eastAsia" w:ascii="宋体" w:hAnsi="宋体" w:cs="宋体"/>
                <w:i w:val="0"/>
                <w:iCs w:val="0"/>
                <w:color w:val="auto"/>
                <w:sz w:val="20"/>
                <w:szCs w:val="20"/>
                <w:highlight w:val="none"/>
                <w:u w:val="none"/>
                <w:lang w:val="en-US" w:eastAsia="zh-CN" w:bidi="ar"/>
              </w:rPr>
              <w:t xml:space="preserve"> GB 18584-2024</w:t>
            </w:r>
            <w:r>
              <w:rPr>
                <w:rFonts w:hint="eastAsia" w:ascii="宋体" w:hAnsi="宋体" w:eastAsia="宋体" w:cs="宋体"/>
                <w:i w:val="0"/>
                <w:iCs w:val="0"/>
                <w:color w:val="auto"/>
                <w:sz w:val="20"/>
                <w:szCs w:val="20"/>
                <w:highlight w:val="none"/>
                <w:u w:val="none"/>
                <w:lang w:val="en-US" w:eastAsia="zh-CN" w:bidi="ar"/>
              </w:rPr>
              <w:t xml:space="preserve">《室内装饰装修材料木家具中有害物质限量》；GB/T 4897-2015《刨花板》；外观质量至少4项检测，含水率3%～8%，静曲强度≥15MPa，弹性模量≥2000MPa，内胶合强度≥0.55MPa，表面胶合强度≥1.5MPa，2h吸水厚度膨胀率≤3%，板边握螺钉力≥1400N，板面握螺钉力≥1600N，密度≥0.75g/cm³，甲醛释放量≤0.05mg/m³，总挥发性有机化合物≤20㎍/m³，防霉菌等级0级或1级，60s内无燃烧滴落物引燃滤纸现象。</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封边：采用</w:t>
            </w:r>
            <w:r>
              <w:rPr>
                <w:rFonts w:hint="eastAsia" w:ascii="宋体" w:hAnsi="宋体" w:cs="宋体"/>
                <w:i w:val="0"/>
                <w:iCs w:val="0"/>
                <w:color w:val="auto"/>
                <w:sz w:val="20"/>
                <w:szCs w:val="20"/>
                <w:highlight w:val="none"/>
                <w:u w:val="none"/>
                <w:lang w:val="en-US" w:eastAsia="zh-CN" w:bidi="ar"/>
              </w:rPr>
              <w:t xml:space="preserve">ABS</w:t>
            </w:r>
            <w:r>
              <w:rPr>
                <w:rFonts w:hint="eastAsia" w:ascii="宋体" w:hAnsi="宋体" w:eastAsia="宋体" w:cs="宋体"/>
                <w:i w:val="0"/>
                <w:iCs w:val="0"/>
                <w:color w:val="auto"/>
                <w:sz w:val="20"/>
                <w:szCs w:val="20"/>
                <w:highlight w:val="none"/>
                <w:u w:val="none"/>
                <w:lang w:val="en-US" w:eastAsia="zh-CN" w:bidi="ar"/>
              </w:rPr>
              <w:t xml:space="preserve">激光封边条，依据</w:t>
            </w:r>
            <w:r>
              <w:rPr>
                <w:rFonts w:hint="eastAsia" w:ascii="宋体" w:hAnsi="宋体" w:cs="宋体"/>
                <w:i w:val="0"/>
                <w:iCs w:val="0"/>
                <w:color w:val="auto"/>
                <w:sz w:val="20"/>
                <w:szCs w:val="20"/>
                <w:highlight w:val="none"/>
                <w:u w:val="none"/>
                <w:lang w:val="en-US" w:eastAsia="zh-CN" w:bidi="ar"/>
              </w:rPr>
              <w:t xml:space="preserve">QB/T 4463-2025</w:t>
            </w:r>
            <w:r>
              <w:rPr>
                <w:rFonts w:hint="eastAsia" w:ascii="宋体" w:hAnsi="宋体" w:eastAsia="宋体" w:cs="宋体"/>
                <w:i w:val="0"/>
                <w:iCs w:val="0"/>
                <w:color w:val="auto"/>
                <w:sz w:val="20"/>
                <w:szCs w:val="20"/>
                <w:highlight w:val="none"/>
                <w:u w:val="none"/>
                <w:lang w:val="en-US" w:eastAsia="zh-CN" w:bidi="ar"/>
              </w:rPr>
              <w:t xml:space="preserve">《家具用封边条技术要求》；GB/T 24128-2018《塑料 塑料防霉剂的防霉效果评估》</w:t>
            </w:r>
            <w:r>
              <w:rPr>
                <w:rFonts w:hint="eastAsia" w:ascii="宋体" w:hAnsi="宋体" w:cs="宋体"/>
                <w:i w:val="0"/>
                <w:iCs w:val="0"/>
                <w:color w:val="auto"/>
                <w:sz w:val="20"/>
                <w:szCs w:val="20"/>
                <w:highlight w:val="none"/>
                <w:u w:val="none"/>
                <w:lang w:val="en-US" w:eastAsia="zh-CN" w:bidi="ar"/>
              </w:rPr>
              <w:t xml:space="preserve">；GB 18584-2024</w:t>
            </w:r>
            <w:r>
              <w:rPr>
                <w:rFonts w:hint="eastAsia" w:ascii="宋体" w:hAnsi="宋体" w:eastAsia="宋体" w:cs="宋体"/>
                <w:i w:val="0"/>
                <w:iCs w:val="0"/>
                <w:color w:val="auto"/>
                <w:sz w:val="20"/>
                <w:szCs w:val="20"/>
                <w:highlight w:val="none"/>
                <w:u w:val="none"/>
                <w:lang w:val="en-US" w:eastAsia="zh-CN" w:bidi="ar"/>
              </w:rPr>
              <w:t xml:space="preserve">《塑料家具中有害物质限量》标准；厚度≥1.8mm。压纹（压花）表面有统一的花式。耐开裂性1级，耐老化性无开裂，甲醛释放量≤0.5mg/L，防霉等级0级或1级，16种多环芳烃（PAH）总量≤5mg/kg。 </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热熔胶：选用</w:t>
            </w:r>
            <w:r>
              <w:rPr>
                <w:rFonts w:hint="eastAsia" w:ascii="宋体" w:hAnsi="宋体" w:cs="宋体"/>
                <w:i w:val="0"/>
                <w:iCs w:val="0"/>
                <w:color w:val="auto"/>
                <w:sz w:val="20"/>
                <w:szCs w:val="20"/>
                <w:highlight w:val="none"/>
                <w:u w:val="none"/>
                <w:lang w:val="en-US" w:eastAsia="zh-CN" w:bidi="ar"/>
              </w:rPr>
              <w:t xml:space="preserve">环保</w:t>
            </w:r>
            <w:r>
              <w:rPr>
                <w:rFonts w:hint="eastAsia" w:ascii="宋体" w:hAnsi="宋体" w:eastAsia="宋体" w:cs="宋体"/>
                <w:i w:val="0"/>
                <w:iCs w:val="0"/>
                <w:color w:val="auto"/>
                <w:sz w:val="20"/>
                <w:szCs w:val="20"/>
                <w:highlight w:val="none"/>
                <w:u w:val="none"/>
                <w:lang w:val="en-US" w:eastAsia="zh-CN" w:bidi="ar"/>
              </w:rPr>
              <w:t xml:space="preserve">热熔胶，依据GB18583-2008《室内装饰装修材料胶粘剂中有害物质限量》﹔HJ2541-2016《环境标志产品技术要求胶粘剂》标准；游离甲醛≤0.1g/kg，苯≤0.02g/kg，甲苯≤0.02g/kg，二甲苯≤0.02g/kg，总挥发性有机物≤5g/L，游离甲苯二异氰酸酯≤1g/kg。 </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五金配件：采用品牌五金配件，导轨依据GB/T 10125-2021《人造气氛腐蚀试验盐雾试验》；QB/T 3832- 1999《轻工产品金属镀层腐蚀试验结果的评价》；</w:t>
            </w:r>
            <w:r>
              <w:rPr>
                <w:rFonts w:hint="eastAsia" w:ascii="宋体" w:hAnsi="宋体" w:cs="宋体"/>
                <w:i w:val="0"/>
                <w:iCs w:val="0"/>
                <w:color w:val="auto"/>
                <w:sz w:val="20"/>
                <w:szCs w:val="20"/>
                <w:highlight w:val="none"/>
                <w:u w:val="none"/>
                <w:lang w:val="en-US" w:eastAsia="zh-CN" w:bidi="ar"/>
              </w:rPr>
              <w:t xml:space="preserve">GB/T 24170.1-2023</w:t>
            </w:r>
            <w:r>
              <w:rPr>
                <w:rFonts w:hint="eastAsia" w:ascii="宋体" w:hAnsi="宋体" w:eastAsia="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表面抗菌不锈钢第1部分:电化学法》； QB/T 2454-2013《家具五金抽屉导轨》检测标准；中性盐雾试验≥500h，镀层本身的耐腐蚀等级≥10级，镀层对基体的保护等级≥10级；乙酸盐雾试验≥250h，镀层本身的耐腐蚀等级≥10级，镀层对基体的保护等级≥10级；耐久性≥12万次检测合格，抗菌性能（抗菌率）≥99%。铰链依据QB/T 2189-2013《家具五金杯状暗铰链》；GB/T 10125 -2021《人造气氛腐蚀试验盐雾 试验》；QB/T 3832-1999 《轻工产品金属镀层腐蚀试验结果的评价》；</w:t>
            </w:r>
            <w:r>
              <w:rPr>
                <w:rFonts w:hint="eastAsia" w:ascii="宋体" w:hAnsi="宋体" w:cs="宋体"/>
                <w:i w:val="0"/>
                <w:iCs w:val="0"/>
                <w:color w:val="auto"/>
                <w:sz w:val="20"/>
                <w:szCs w:val="20"/>
                <w:highlight w:val="none"/>
                <w:u w:val="none"/>
                <w:lang w:val="en-US" w:eastAsia="zh-CN" w:bidi="ar"/>
              </w:rPr>
              <w:t xml:space="preserve">GB/T 24170.1-2023</w:t>
            </w:r>
            <w:r>
              <w:rPr>
                <w:rFonts w:hint="eastAsia" w:ascii="宋体" w:hAnsi="宋体" w:eastAsia="宋体" w:cs="宋体"/>
                <w:i w:val="0"/>
                <w:iCs w:val="0"/>
                <w:color w:val="auto"/>
                <w:sz w:val="20"/>
                <w:szCs w:val="20"/>
                <w:highlight w:val="none"/>
                <w:u w:val="none"/>
                <w:lang w:val="en-US" w:eastAsia="zh-CN" w:bidi="ar"/>
              </w:rPr>
              <w:t xml:space="preserve">《表面抗菌不锈钢第1部分:电化学法》检测标准；中性盐雾试验≥500h，镀层本身的耐腐蚀等级≥10级，镀层对基体的保护等级≥10级；乙酸盐雾试验≥250h，镀层本身的耐腐蚀等级≥10级，镀层对基体的保护等级≥10级；耐久性≥12万次检测合格，安装B型试验门时，下沉量不大于1.5mm，抗菌性能（抗菌率）≥99%。</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办公椅：1、面料：</w:t>
            </w:r>
            <w:r>
              <w:rPr>
                <w:rFonts w:hint="eastAsia" w:ascii="宋体" w:hAnsi="宋体" w:cs="宋体"/>
                <w:i w:val="0"/>
                <w:iCs w:val="0"/>
                <w:color w:val="auto"/>
                <w:sz w:val="20"/>
                <w:szCs w:val="20"/>
                <w:highlight w:val="none"/>
                <w:u w:val="none"/>
                <w:lang w:val="en-US" w:eastAsia="zh-CN" w:bidi="ar"/>
              </w:rPr>
              <w:t xml:space="preserve">网布</w:t>
            </w:r>
            <w:r>
              <w:rPr>
                <w:rFonts w:hint="eastAsia" w:ascii="宋体" w:hAnsi="宋体" w:eastAsia="宋体" w:cs="宋体"/>
                <w:i w:val="0"/>
                <w:iCs w:val="0"/>
                <w:color w:val="auto"/>
                <w:sz w:val="20"/>
                <w:szCs w:val="20"/>
                <w:highlight w:val="none"/>
                <w:u w:val="none"/>
                <w:lang w:val="en-US" w:eastAsia="zh-CN" w:bidi="ar"/>
              </w:rPr>
              <w:t xml:space="preserve">，依据</w:t>
            </w:r>
            <w:r>
              <w:rPr>
                <w:rFonts w:hint="eastAsia" w:ascii="宋体" w:hAnsi="宋体" w:cs="宋体"/>
                <w:i w:val="0"/>
                <w:iCs w:val="0"/>
                <w:color w:val="auto"/>
                <w:sz w:val="20"/>
                <w:szCs w:val="20"/>
                <w:highlight w:val="none"/>
                <w:u w:val="none"/>
                <w:lang w:val="en-US" w:eastAsia="zh-CN" w:bidi="ar"/>
              </w:rPr>
              <w:t xml:space="preserve">GB 18401-2023</w:t>
            </w:r>
            <w:r>
              <w:rPr>
                <w:rFonts w:hint="eastAsia" w:ascii="宋体" w:hAnsi="宋体" w:eastAsia="宋体" w:cs="宋体"/>
                <w:i w:val="0"/>
                <w:iCs w:val="0"/>
                <w:color w:val="auto"/>
                <w:sz w:val="20"/>
                <w:szCs w:val="20"/>
                <w:highlight w:val="none"/>
                <w:u w:val="none"/>
                <w:lang w:val="en-US" w:eastAsia="zh-CN" w:bidi="ar"/>
              </w:rPr>
              <w:t xml:space="preserve">《国家纺织产品基本安全技术规范》；GB/T 31713-2015《抗菌纺织品安全性卫生要求》；GB/T 24346-2009《纺织品 防霉性能的评价》﹔</w:t>
            </w:r>
            <w:r>
              <w:rPr>
                <w:rFonts w:hint="eastAsia" w:ascii="宋体" w:hAnsi="宋体" w:cs="宋体"/>
                <w:i w:val="0"/>
                <w:iCs w:val="0"/>
                <w:color w:val="auto"/>
                <w:sz w:val="20"/>
                <w:szCs w:val="20"/>
                <w:highlight w:val="none"/>
                <w:u w:val="none"/>
                <w:lang w:val="en-US" w:eastAsia="zh-CN" w:bidi="ar"/>
              </w:rPr>
              <w:t xml:space="preserve">GB 17927-2024</w:t>
            </w:r>
            <w:r>
              <w:rPr>
                <w:rFonts w:hint="eastAsia" w:ascii="宋体" w:hAnsi="宋体" w:eastAsia="宋体" w:cs="宋体"/>
                <w:i w:val="0"/>
                <w:iCs w:val="0"/>
                <w:color w:val="auto"/>
                <w:sz w:val="20"/>
                <w:szCs w:val="20"/>
                <w:highlight w:val="none"/>
                <w:u w:val="none"/>
                <w:lang w:val="en-US" w:eastAsia="zh-CN" w:bidi="ar"/>
              </w:rPr>
              <w:t xml:space="preserve">《软体家具 床垫和沙发抗引燃特性的 评定第1部分:阴燃的香烟》﹔</w:t>
            </w:r>
            <w:r>
              <w:rPr>
                <w:rFonts w:hint="eastAsia" w:ascii="宋体" w:hAnsi="宋体" w:cs="宋体"/>
                <w:i w:val="0"/>
                <w:iCs w:val="0"/>
                <w:color w:val="auto"/>
                <w:sz w:val="20"/>
                <w:szCs w:val="20"/>
                <w:highlight w:val="none"/>
                <w:u w:val="none"/>
                <w:lang w:val="en-US" w:eastAsia="zh-CN" w:bidi="ar"/>
              </w:rPr>
              <w:t xml:space="preserve">GB/T 35607-2024</w:t>
            </w:r>
            <w:r>
              <w:rPr>
                <w:rFonts w:hint="eastAsia" w:ascii="宋体" w:hAnsi="宋体" w:eastAsia="宋体" w:cs="宋体"/>
                <w:i w:val="0"/>
                <w:iCs w:val="0"/>
                <w:color w:val="auto"/>
                <w:sz w:val="20"/>
                <w:szCs w:val="20"/>
                <w:highlight w:val="none"/>
                <w:u w:val="none"/>
                <w:lang w:val="en-US" w:eastAsia="zh-CN" w:bidi="ar"/>
              </w:rPr>
              <w:t xml:space="preserve">《绿色产品评价家具》；FZ/T 62011.3-2016《布艺类产品 第3部分:家具用纺织品》标准；甲醛含量≤20mg/kg，可分解致癌芳香胺染料未检出，抗菌性能（抑菌率）≥99%，防霉等级0级或1级，产品有害物质（纺织品、皮革中五氯苯酚（PCP））≤0.5mg/kg，沾色-聚酯纤维≥4级。</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2、海绵：</w:t>
            </w:r>
            <w:r>
              <w:rPr>
                <w:rFonts w:hint="eastAsia" w:ascii="宋体" w:hAnsi="宋体" w:cs="宋体"/>
                <w:i w:val="0"/>
                <w:iCs w:val="0"/>
                <w:color w:val="auto"/>
                <w:sz w:val="20"/>
                <w:szCs w:val="20"/>
                <w:highlight w:val="none"/>
                <w:u w:val="none"/>
                <w:lang w:val="en-US" w:eastAsia="zh-CN" w:bidi="ar"/>
              </w:rPr>
              <w:t xml:space="preserve">采用阻燃高弹海绵</w:t>
            </w:r>
            <w:r>
              <w:rPr>
                <w:rFonts w:hint="eastAsia" w:ascii="宋体" w:hAnsi="宋体" w:eastAsia="宋体" w:cs="宋体"/>
                <w:i w:val="0"/>
                <w:iCs w:val="0"/>
                <w:color w:val="auto"/>
                <w:sz w:val="20"/>
                <w:szCs w:val="20"/>
                <w:highlight w:val="none"/>
                <w:u w:val="none"/>
                <w:lang w:val="en-US" w:eastAsia="zh-CN" w:bidi="ar"/>
              </w:rPr>
              <w:t xml:space="preserve">，依据QB/T 2280-2016《办公家具办公椅》、GB/T 6343-2009《泡沫塑料及橡胶 表观密度的测定》、</w:t>
            </w:r>
            <w:r>
              <w:rPr>
                <w:rFonts w:hint="eastAsia" w:ascii="宋体" w:hAnsi="宋体" w:cs="宋体"/>
                <w:i w:val="0"/>
                <w:iCs w:val="0"/>
                <w:color w:val="auto"/>
                <w:sz w:val="20"/>
                <w:szCs w:val="20"/>
                <w:highlight w:val="none"/>
                <w:u w:val="none"/>
                <w:lang w:val="en-US" w:eastAsia="zh-CN" w:bidi="ar"/>
              </w:rPr>
              <w:t xml:space="preserve">GB 17927-2024</w:t>
            </w:r>
            <w:r>
              <w:rPr>
                <w:rFonts w:hint="eastAsia" w:ascii="宋体" w:hAnsi="宋体" w:eastAsia="宋体" w:cs="宋体"/>
                <w:i w:val="0"/>
                <w:iCs w:val="0"/>
                <w:color w:val="auto"/>
                <w:sz w:val="20"/>
                <w:szCs w:val="20"/>
                <w:highlight w:val="none"/>
                <w:u w:val="none"/>
                <w:lang w:val="en-US" w:eastAsia="zh-CN" w:bidi="ar"/>
              </w:rPr>
              <w:t xml:space="preserve">《软体家具 </w:t>
            </w:r>
            <w:r>
              <w:rPr>
                <w:rFonts w:hint="eastAsia" w:ascii="宋体" w:hAnsi="宋体" w:eastAsia="宋体" w:cs="宋体"/>
                <w:i w:val="0"/>
                <w:iCs w:val="0"/>
                <w:color w:val="auto"/>
                <w:sz w:val="20"/>
                <w:szCs w:val="20"/>
                <w:highlight w:val="none"/>
                <w:u w:val="none"/>
                <w:lang w:val="en-US" w:eastAsia="zh-CN" w:bidi="ar"/>
              </w:rPr>
              <w:t xml:space="preserve">床垫和沙发抗引燃特性的 评定第1部分：阴燃的香烟》、HJ 2547-2016《环境标志产品技术要求家具》、QB/T 4371-2012《家具抗菌性能的评价》标准；长度、宽度极限偏差检测合格，厚度极限偏差检测合格，感官要求至少5项检测，物理力学性能（至少包含回弹率≥50%，拉伸强度≥150KPa，伸长率≥168%，撕裂强度≥4.5N/cm，干热老化后拉伸强度≥145KPa），密度≥50kg/m³，甲醛释放量≤0.03mg/m²h，TVOC≤0.05mg/m²h，抗引燃特性阻燃Ⅰ级，抗菌性能（抑菌率）≥95%。</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3、气压棒：依据</w:t>
            </w:r>
            <w:r>
              <w:rPr>
                <w:rFonts w:hint="eastAsia" w:ascii="宋体" w:hAnsi="宋体" w:cs="宋体"/>
                <w:i w:val="0"/>
                <w:iCs w:val="0"/>
                <w:color w:val="auto"/>
                <w:sz w:val="20"/>
                <w:szCs w:val="20"/>
                <w:highlight w:val="none"/>
                <w:u w:val="none"/>
                <w:lang w:val="en-US" w:eastAsia="zh-CN" w:bidi="ar"/>
              </w:rPr>
              <w:t xml:space="preserve">GB/T 29525-2023</w:t>
            </w:r>
            <w:r>
              <w:rPr>
                <w:rFonts w:hint="eastAsia" w:ascii="宋体" w:hAnsi="宋体" w:eastAsia="宋体" w:cs="宋体"/>
                <w:i w:val="0"/>
                <w:iCs w:val="0"/>
                <w:color w:val="auto"/>
                <w:sz w:val="20"/>
                <w:szCs w:val="20"/>
                <w:highlight w:val="none"/>
                <w:u w:val="none"/>
                <w:lang w:val="en-US" w:eastAsia="zh-CN" w:bidi="ar"/>
              </w:rPr>
              <w:t xml:space="preserve">《座椅升降气弹簧技术条件》；QB/T 2280-2016《办公家具办公椅》标准；金属件镀层应无烧焦、起泡、针孔、裂纹、毛刺、花斑（不包括镀彩锌）和划痕。气弹簧的启动力应小于1.5F3，气弹簧锁定在任意位置，经72h常温储存后，活塞杆不应产生位移。气弹簧经-30℃和60℃高低温储存后，公称力Fa衰减量应不大于5%。行程100mm，公称力Fa的总衰减量应不大于5%。</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4、脚架：</w:t>
            </w:r>
            <w:r>
              <w:rPr>
                <w:rFonts w:hint="eastAsia" w:ascii="宋体" w:hAnsi="宋体" w:cs="宋体"/>
                <w:i w:val="0"/>
                <w:iCs w:val="0"/>
                <w:color w:val="auto"/>
                <w:sz w:val="20"/>
                <w:szCs w:val="20"/>
                <w:highlight w:val="none"/>
                <w:u w:val="none"/>
                <w:lang w:val="en-US" w:eastAsia="zh-CN" w:bidi="ar"/>
              </w:rPr>
              <w:t xml:space="preserve">尼龙</w:t>
            </w:r>
            <w:r>
              <w:rPr>
                <w:rFonts w:hint="eastAsia" w:ascii="宋体" w:hAnsi="宋体" w:eastAsia="宋体" w:cs="宋体"/>
                <w:i w:val="0"/>
                <w:iCs w:val="0"/>
                <w:color w:val="auto"/>
                <w:sz w:val="20"/>
                <w:szCs w:val="20"/>
                <w:highlight w:val="none"/>
                <w:u w:val="none"/>
                <w:lang w:val="en-US" w:eastAsia="zh-CN" w:bidi="ar"/>
              </w:rPr>
              <w:t xml:space="preserve">五星脚架。</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5、脚轮：依据QB/T 4765-2014《家具用脚轮》； </w:t>
            </w:r>
            <w:r>
              <w:rPr>
                <w:rFonts w:hint="eastAsia" w:ascii="宋体" w:hAnsi="宋体" w:cs="宋体"/>
                <w:i w:val="0"/>
                <w:iCs w:val="0"/>
                <w:color w:val="auto"/>
                <w:sz w:val="20"/>
                <w:szCs w:val="20"/>
                <w:highlight w:val="none"/>
                <w:u w:val="none"/>
                <w:lang w:val="en-US" w:eastAsia="zh-CN" w:bidi="ar"/>
              </w:rPr>
              <w:t xml:space="preserve">GB 18584-2024</w:t>
            </w:r>
            <w:r>
              <w:rPr>
                <w:rFonts w:hint="eastAsia" w:ascii="宋体" w:hAnsi="宋体" w:eastAsia="宋体" w:cs="宋体"/>
                <w:i w:val="0"/>
                <w:iCs w:val="0"/>
                <w:color w:val="auto"/>
                <w:sz w:val="20"/>
                <w:szCs w:val="20"/>
                <w:highlight w:val="none"/>
                <w:u w:val="none"/>
                <w:lang w:val="en-US" w:eastAsia="zh-CN" w:bidi="ar"/>
              </w:rPr>
              <w:t xml:space="preserve"> 《塑料家具中有害物质限量》；</w:t>
            </w:r>
            <w:r>
              <w:rPr>
                <w:rFonts w:hint="eastAsia" w:ascii="宋体" w:hAnsi="宋体" w:cs="宋体"/>
                <w:i w:val="0"/>
                <w:iCs w:val="0"/>
                <w:color w:val="auto"/>
                <w:sz w:val="20"/>
                <w:szCs w:val="20"/>
                <w:highlight w:val="none"/>
                <w:u w:val="none"/>
                <w:lang w:val="en-US" w:eastAsia="zh-CN" w:bidi="ar"/>
              </w:rPr>
              <w:t xml:space="preserve">GB/T 3325-2024</w:t>
            </w:r>
            <w:r>
              <w:rPr>
                <w:rFonts w:hint="eastAsia" w:ascii="宋体" w:hAnsi="宋体" w:eastAsia="宋体" w:cs="宋体"/>
                <w:i w:val="0"/>
                <w:iCs w:val="0"/>
                <w:color w:val="auto"/>
                <w:sz w:val="20"/>
                <w:szCs w:val="20"/>
                <w:highlight w:val="none"/>
                <w:u w:val="none"/>
                <w:lang w:val="en-US" w:eastAsia="zh-CN" w:bidi="ar"/>
              </w:rPr>
              <w:t xml:space="preserve">《金属家具通用技术条件》；GB/T 16422.3-2022《塑料 实验室光源暴露试验方法 第3部分:荧光紫外灯》；</w:t>
            </w:r>
            <w:r>
              <w:rPr>
                <w:rFonts w:hint="eastAsia" w:ascii="宋体" w:hAnsi="宋体" w:cs="宋体"/>
                <w:i w:val="0"/>
                <w:iCs w:val="0"/>
                <w:color w:val="auto"/>
                <w:sz w:val="20"/>
                <w:szCs w:val="20"/>
                <w:highlight w:val="none"/>
                <w:u w:val="none"/>
                <w:lang w:val="en-US" w:eastAsia="zh-CN" w:bidi="ar"/>
              </w:rPr>
              <w:t xml:space="preserve">GB/T 35607-2024</w:t>
            </w:r>
            <w:r>
              <w:rPr>
                <w:rFonts w:hint="eastAsia" w:ascii="宋体" w:hAnsi="宋体" w:eastAsia="宋体" w:cs="宋体"/>
                <w:i w:val="0"/>
                <w:iCs w:val="0"/>
                <w:color w:val="auto"/>
                <w:sz w:val="20"/>
                <w:szCs w:val="20"/>
                <w:highlight w:val="none"/>
                <w:u w:val="none"/>
                <w:lang w:val="en-US" w:eastAsia="zh-CN" w:bidi="ar"/>
              </w:rPr>
              <w:t xml:space="preserve">《绿色产品评价 家具》标准；脚轮的轮面光洁，无裂纹、伤痕、毛边等缺陷。抗冲击性、导电性、动载荷、滚动阻力检测合格，实验室光源暴露试验：荧光紫外灯4-5级。产品有害物质（铅、汞）≤1mg/kg。</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师幼收纳柜：3000*2200*400mm，根据现场情况定制</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E0级多层板,甲醛含量≤1.2mg/L，具有防水、防烫、防污、防酸、防碱、</w:t>
            </w:r>
            <w:r>
              <w:rPr>
                <w:rFonts w:hint="eastAsia" w:ascii="宋体" w:hAnsi="宋体" w:cs="宋体"/>
                <w:i w:val="0"/>
                <w:iCs w:val="0"/>
                <w:color w:val="auto"/>
                <w:sz w:val="20"/>
                <w:szCs w:val="20"/>
                <w:highlight w:val="none"/>
                <w:u w:val="none"/>
                <w:lang w:val="en-US" w:eastAsia="zh-CN" w:bidi="ar"/>
              </w:rPr>
              <w:t xml:space="preserve">防火；五金配件</w:t>
            </w:r>
            <w:r>
              <w:rPr>
                <w:rFonts w:hint="eastAsia" w:ascii="宋体" w:hAnsi="宋体" w:eastAsia="宋体" w:cs="宋体"/>
                <w:i w:val="0"/>
                <w:iCs w:val="0"/>
                <w:color w:val="auto"/>
                <w:sz w:val="20"/>
                <w:szCs w:val="20"/>
                <w:highlight w:val="none"/>
                <w:u w:val="none"/>
                <w:lang w:val="en-US" w:eastAsia="zh-CN" w:bidi="ar"/>
              </w:rPr>
              <w:t xml:space="preserve">：锁具、导轨和门铰。</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户外活动区：</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小皮球：直径17cm；软体环保塑料</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儿童标准篮球：直径20—20.5cm,重量340-370克（4号）</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儿童标准足球：直径约19cm，重量320-360g（4号）</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球筐（球车）：配有滚轮，可移动；材质为金属铁，静电喷塑；110×63×85cm</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木质篮球架：尺寸：90×83×180cm</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小型足球门：120×52×80cm（内含球网）材质为烤漆钢管、牛津布和特多龙无结网。管径32mm,壁厚0.8mm，粉末喷雾防锈处理,使用足厚强刚性管材，所有转角均为圆角设计保护幼儿防刮蹭受伤。300D牛津布结实耐用不易变形，涤纶无结网小网孔不易绊脚和漏球。</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小型足球围栏：150×36×60cm（内含支撑底座）材质为烤漆钢管、牛津布和特多龙无结网。管径20mm,壁厚1mm,粉末喷雾防锈处理,使用足厚强刚性管材，所有转角均为圆角设计保护幼儿防刮蹭受伤。300D牛津布结实耐用不易变形，涤纶无结网小网孔不易绊脚和漏球。</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独轮小推车：工程塑料；85×34×40cm</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体操凳1：130×24×20cm；工程塑料制品；直条型</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弹跳球：直径16cm；材质为橡胶</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羊角球：直径45cm；红绿黄蓝四色；PVC</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脚转球：套圈塑料味工程塑料；每套十只</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拱形门1：78×19×80cm；工程塑料</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体操圈：直径50cm；材质为工程塑料</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袋鼠跳：防雨布</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梅花桩（树桩）：工程塑料；直径19cm；高40cm；8支一套</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平衡板：河流平衡板；12块一套；高级塑料；每块35×12×5cm</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跳床1：直径一米；单人跳床</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高跷：规格，10×10（圆柱）材质工程塑料2个</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体操垫：两联可折叠；60×60×10cm表面为牛津布，内高密度海绵</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套圈：大象套圈；24件一套；工程塑料，无毒无味无害</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飞盘：塑料</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沙包：棉质</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体操棒：45cm；材质为塑料；有声体操棒</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小哑铃：材质为塑料；有声哑铃</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拉力器：环保PE塑料；双人用</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气球伞：直径5M；布料</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黄包车：名称：黄包车</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材质：钢材   天然橡胶  塑料高密度工程钢铁材质，天然橡胶，塑料</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威力摇摆车：名称：威力摇摆车</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材质：钢材   天然橡胶  塑料高密度工程钢铁材质，天然橡胶，塑料</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炫风车：名称：炫风车</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材质：钢材   天然橡胶  塑料高密度工程钢铁材质，天然橡胶，塑料</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三轮脚踏车：名称：三轮脚踏车</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材质：钢材   天然橡胶  塑料高密度工程钢铁材质，天然橡胶，塑料</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三轮赛车：名称：三轮赛车</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材质：钢材   天然橡胶  塑料高密度工程钢铁材质，天然橡胶，塑料</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双人手推装卸车：名称：双人手推装卸车</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材质：钢材   天然橡胶  塑料高密度工程钢铁材质，天然橡胶，塑料</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平衡车：14寸，二、车架与材质</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材质：阳极氧化 6061 铝合金</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轮组与操控</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轮胎类型：</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发泡免充气轮：无需打气，耐扎，适合小区 / 公园硬地</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车把：360° 可转 + 限位（防侧翻），高度可调；防滑橡胶握把</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转向角度：约 45°</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幼儿手滚车：名称：幼儿手滚车</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材质：钢材   天然橡胶  塑料高密度工程钢铁材质，天然橡胶，塑料</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脚动扭扭车：名称：脚动扭扭车</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材质：钢材   天然橡胶  塑料高密度工程钢铁材质，天然橡胶，塑料</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小推车：名称：小推车</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材质：钢材   天然橡胶  塑料高密度工程钢铁材质，天然橡胶，塑料</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货架：长度5米带防雨布定制</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1223件户外综合套装碳化积木：1. 三角中空  33.5×31.5×10×16cm 松 碳化+水性清漆 8块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 矩形中空1  16×16×10cm 松 碳化+水性清漆 16块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 矩形中空2  24×16×10cm 松 碳化+水性清漆 8块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4. 矩形中空3  32×16×10cm 松 碳化+水性清漆 8块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5. 矩形中空4  48×16×10cm 松 碳化+水性清漆 8块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6. 矩形中空5  56×28×14cm 松 碳化+水性清漆 4块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7. 正方形  10×10×2.5cm 松 碳化+水性清漆 140块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8. 正方形  10×10×2.5cm 松 碳化+水性清漆 100块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9. 正方形  10×10×5cm 松 碳化+水性清漆 40块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10. 正方形  10×10×5cm 松 碳化+水性清漆 40块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11. 长方形  20×10×2.5cm 松 碳化+水性清漆 80块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12. 长方形  20×10×2.5cm 松 碳化+水性清漆 60块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13. 长方形  20×10×5cm 松 碳化+水性清漆 60块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14. 长方形  20×10×5cm 松 碳化+水性清漆 40块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15. 长方形  40×10×2.5cm 松 碳化+水性清漆 50块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16. 长方形  40×10×2.5cm 松 碳化+水性清漆 40块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17. 长方形  60×10×2.5cm 松 碳化+水性清漆 10块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18. 长方形  60×10×2.5cm 松 碳化+水性清漆 8块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19. 长方形（开槽）  60×10×2.5cm 松 碳化+水性清漆 8块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20. 长方形  80×10×2.5cm 松 碳化+水性清漆 4块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21. 长方形  80×10×2.5cm 松 碳化+水性清漆 4块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22. 长方形  100×10×2.5cm 松 碳化+水性清漆 4块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23. 长条板  120×10×2.5cm 松 碳化+水性清漆 2块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24. 长条板  120×10×2.5cm 松 碳化+水性清漆 2块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25. 方柱  20×10×10cm 松 碳化+水性清漆 12块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26. 圆柱积木  Φ2.5×5cm 松 碳化+水性清漆 60块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27. 圆柱积木  Φ2.5×10cm 松 碳化+水性清漆 30块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28. 圆柱积木  Φ2.5×15cm 松 碳化+水性清漆 30块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29. 圆柱积木  Φ2.5×20cm 松 碳化+水性清漆 20块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30 圆柱积木  Φ2.5×25cm 松 碳化+水性清漆 20块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31. 圆柱积木  Φ2.5×30cm 松 碳化+水性清漆 20块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32. 圆柱积木  Φ10×20cm 松 碳化+水性清漆 4块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33. 圆柱积木  Φ10×40cm 松 碳化+水性清漆 2块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34. 直角三角形  40×20×2.5cm 松 碳化+水性清漆 8块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35. 等腰三角形  39×20×2.5cm 松 碳化+水性清漆 12块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36. 扇形积木  半径为20cm 松 碳化+水性清漆 16块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37. 半圆积木  20×10×2.5cm 松 碳化+水性清漆 8块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38. 四分之一圆环积木  42×15×2.5cm 松 碳化+水性清漆 8块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39. 半圆环积木  30×15×2.5cm 松 碳化+水性清漆 8块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40. 三叉路  42×30×2.5cm 松 碳化+水性清漆 4块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41. Y型  40×30×2.5cm 松 碳化+水性清漆 0块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42. 小单元积木  20×4×10cm 松 碳化+水性清漆 40块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43. 中号单元积木  70×4×10cm 松 碳化+水性清漆 24块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44. 大号单元积木  120×4×10cm 松 碳化+水性清漆 4块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45. 大号半单元积木  120×4×5cm 松 碳化+水性清漆 2块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46. 烟囱  20×4×10cm 松 碳化+   水性清漆 1块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47. 脚垫  20×4×10cm 松 碳化+   水性清漆 2块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48. 带木条屋板  130×11×1.5cm 松 碳化+水性清漆 2块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49. 屋板  130×11×1.5cm 松 碳化+   水性清漆 6块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50. 圆环积木（小）直径20cm，内圆直径5cm，厚度2.5cm 松碳化+ 水性清漆 4块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51. 圆环积木（卡口）直径30cm，内圆直径5cm，厚度2.5cm 松碳化+水性清漆2块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52. 屋顶板1  70×30×4cm 松 碳化+   水性清漆 2块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53. 屋顶板2  100×10×4cm 松 碳化+   水性清漆 2块</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42片侧板积木：7个不同的形状，</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松木碳化</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碳化户外安米吉拼插积木569片：1. 木片： 10×2.5×10cm 20块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10×2.5×20cm 20块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10×2.5×40cm 20块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10×2.5×60cm 10块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10×2.5×80cm 10块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10×2.5×100cm 10块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10×2.5×120cm 10块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 木砖： 10×5×10cm 20块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10×5×20cm 20块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10×5×40cm 20块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 正方体：10×10×10cm 20块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4. 长方体：10×10×20cm 20块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10×10×30cm 20块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10×10×40cm 20块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5. 三角形：10×10×10cm 20块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20×10×20cm 10块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6. 圆柱积木：10×10×10cm 20块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10×10×20cm 20块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10×10×30cm 10块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10×10×40cm 10块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7. 圆锥：10×10×20cm 10个</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8. 圆形：20×20×2.5cm 10个</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20×20×5cm 10个</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9. 半圆形：20×10×2.5cm 10个</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20×10×5cm 10个</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10. 连接杆：2.5×2.5×5cm 60套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2.5×2.5×10cm  30套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2.5×2.5×15cm  30套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2.5×2.5×20cm  20套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2.5×2.5×25cm  20套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2.5×2.5×30cm  20套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11. 角色包-情景车辆6款 木制情景小车6个，分别是警车14×6.2×7.4cm，救护车14×6.2×7.4cm，校车：14×6.2×7.4cm,出租车13.7×6.2×7.4cm，消防车13.7×6.2×7.4cm，推土机13.7×6.2×7cm每个小车热转印印刷对应卡通图案   6个</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12. 手推车</w:t>
            </w:r>
            <w:r>
              <w:rPr>
                <w:rFonts w:hint="eastAsia" w:ascii="宋体" w:hAnsi="宋体" w:cs="宋体"/>
                <w:i w:val="0"/>
                <w:iCs w:val="0"/>
                <w:color w:val="auto"/>
                <w:sz w:val="20"/>
                <w:szCs w:val="20"/>
                <w:highlight w:val="none"/>
                <w:u w:val="none"/>
                <w:lang w:val="en-US" w:eastAsia="zh-CN" w:bidi="ar"/>
              </w:rPr>
              <w:t xml:space="preserve"> </w:t>
            </w:r>
            <w:r>
              <w:rPr>
                <w:rFonts w:hint="eastAsia" w:ascii="宋体" w:hAnsi="宋体" w:eastAsia="宋体" w:cs="宋体"/>
                <w:i w:val="0"/>
                <w:iCs w:val="0"/>
                <w:color w:val="auto"/>
                <w:sz w:val="20"/>
                <w:szCs w:val="20"/>
                <w:highlight w:val="none"/>
                <w:u w:val="none"/>
                <w:lang w:val="en-US" w:eastAsia="zh-CN" w:bidi="ar"/>
              </w:rPr>
              <w:t xml:space="preserve">长：60cm，宽：40cm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，高度：10cm，扶手高度：60cm</w:t>
            </w:r>
            <w:r>
              <w:rPr>
                <w:rFonts w:hint="eastAsia" w:ascii="宋体" w:hAnsi="宋体" w:cs="宋体"/>
                <w:i w:val="0"/>
                <w:iCs w:val="0"/>
                <w:color w:val="auto"/>
                <w:sz w:val="20"/>
                <w:szCs w:val="20"/>
                <w:highlight w:val="none"/>
                <w:u w:val="none"/>
                <w:lang w:val="en-US" w:eastAsia="zh-CN" w:bidi="ar"/>
              </w:rPr>
              <w:t xml:space="preserve">  </w:t>
            </w:r>
            <w:r>
              <w:rPr>
                <w:rFonts w:hint="eastAsia" w:ascii="宋体" w:hAnsi="宋体" w:eastAsia="宋体" w:cs="宋体"/>
                <w:i w:val="0"/>
                <w:iCs w:val="0"/>
                <w:color w:val="auto"/>
                <w:sz w:val="20"/>
                <w:szCs w:val="20"/>
                <w:highlight w:val="none"/>
                <w:u w:val="none"/>
                <w:lang w:val="en-US" w:eastAsia="zh-CN" w:bidi="ar"/>
              </w:rPr>
              <w:t xml:space="preserve">1个</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以上规格均为cm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13. 箱式拉车 长50cm，宽35cm，高15cm（松木）</w:t>
            </w:r>
            <w:r>
              <w:rPr>
                <w:rFonts w:hint="eastAsia" w:ascii="宋体" w:hAnsi="宋体" w:cs="宋体"/>
                <w:i w:val="0"/>
                <w:iCs w:val="0"/>
                <w:color w:val="auto"/>
                <w:sz w:val="20"/>
                <w:szCs w:val="20"/>
                <w:highlight w:val="none"/>
                <w:u w:val="none"/>
                <w:lang w:val="en-US" w:eastAsia="zh-CN" w:bidi="ar"/>
              </w:rPr>
              <w:t xml:space="preserve"> </w:t>
            </w:r>
            <w:r>
              <w:rPr>
                <w:rFonts w:hint="eastAsia" w:ascii="宋体" w:hAnsi="宋体" w:eastAsia="宋体" w:cs="宋体"/>
                <w:i w:val="0"/>
                <w:iCs w:val="0"/>
                <w:color w:val="auto"/>
                <w:sz w:val="20"/>
                <w:szCs w:val="20"/>
                <w:highlight w:val="none"/>
                <w:u w:val="none"/>
                <w:lang w:val="en-US" w:eastAsia="zh-CN" w:bidi="ar"/>
              </w:rPr>
              <w:t xml:space="preserve">1个</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14. 平板拉车</w:t>
            </w:r>
            <w:r>
              <w:rPr>
                <w:rFonts w:hint="eastAsia" w:ascii="宋体" w:hAnsi="宋体" w:cs="宋体"/>
                <w:i w:val="0"/>
                <w:iCs w:val="0"/>
                <w:color w:val="auto"/>
                <w:sz w:val="20"/>
                <w:szCs w:val="20"/>
                <w:highlight w:val="none"/>
                <w:u w:val="none"/>
                <w:lang w:val="en-US" w:eastAsia="zh-CN" w:bidi="ar"/>
              </w:rPr>
              <w:t xml:space="preserve"> </w:t>
            </w:r>
            <w:r>
              <w:rPr>
                <w:rFonts w:hint="eastAsia" w:ascii="宋体" w:hAnsi="宋体" w:eastAsia="宋体" w:cs="宋体"/>
                <w:i w:val="0"/>
                <w:iCs w:val="0"/>
                <w:color w:val="auto"/>
                <w:sz w:val="20"/>
                <w:szCs w:val="20"/>
                <w:highlight w:val="none"/>
                <w:u w:val="none"/>
                <w:lang w:val="en-US" w:eastAsia="zh-CN" w:bidi="ar"/>
              </w:rPr>
              <w:t xml:space="preserve">长65cm，宽45cm，高10cm（花松木）</w:t>
            </w:r>
            <w:r>
              <w:rPr>
                <w:rFonts w:hint="eastAsia" w:ascii="宋体" w:hAnsi="宋体" w:cs="宋体"/>
                <w:i w:val="0"/>
                <w:iCs w:val="0"/>
                <w:color w:val="auto"/>
                <w:sz w:val="20"/>
                <w:szCs w:val="20"/>
                <w:highlight w:val="none"/>
                <w:u w:val="none"/>
                <w:lang w:val="en-US" w:eastAsia="zh-CN" w:bidi="ar"/>
              </w:rPr>
              <w:t xml:space="preserve"> </w:t>
            </w:r>
            <w:r>
              <w:rPr>
                <w:rFonts w:hint="eastAsia" w:ascii="宋体" w:hAnsi="宋体" w:eastAsia="宋体" w:cs="宋体"/>
                <w:i w:val="0"/>
                <w:iCs w:val="0"/>
                <w:color w:val="auto"/>
                <w:sz w:val="20"/>
                <w:szCs w:val="20"/>
                <w:highlight w:val="none"/>
                <w:u w:val="none"/>
                <w:lang w:val="en-US" w:eastAsia="zh-CN" w:bidi="ar"/>
              </w:rPr>
              <w:t xml:space="preserve">1个</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碳化积木866片：1.正方形（厚）10×10×5cm 松木 碳化+清漆 120块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2.正方形（薄）10×10×2.5cm 松木 碳化+清漆 166块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3.长方形（厚）20×10×5cm 松木 碳化+清漆 200块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4.长方形（薄）20×10×2.5cm 松木 碳化+清漆 180块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5.长方形（薄）40×10×2.5cm 松木 碳化+清漆 60块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6.长方形（薄）60×10×2.5cm 松木 碳化+清漆 30块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7.长方形（薄）80×10×2.5cm 松木 碳化+清漆 12块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8.大长方形（有槽）80×10×2.5cm 松木 碳化+清漆 0</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9.大长方形（有槽）120×10×2.5cm 松木 碳化+清漆 12块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10.半环形50×25×5cm 松木 碳化+清漆 3块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11.半圆 30×15×5cm 松木 碳化+清漆 3块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12.1/4圆形 15×15×5cm 松木 碳化+清漆 6块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13.三角形 20×10×5cm 松木 碳化+清漆 16块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14.三角形 30×30×5cm 松木 碳化+清漆 8块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15.小短圆柱 10×5×5cm 松木 碳化+清漆 16块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16.小短圆柱 20×5×5cm 松木 碳化+清漆 8块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17.大短圆柱 20×10×10cm 松木 碳化+清漆 4块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18.小长圆柱 40×5×5cm 松木 碳化+清漆 4块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19.大长圆柱 40×10×10cm 松木 碳化+清漆 2块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20.锥形 10×10×15cm 松木 碳化+清漆 4块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21.四分之一圆环积木 40×15×2.5cm 松化碳化+清漆 6块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22.Y型 40×30×2.5cm 松木 碳化+清漆 3块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23.三叉路 42×30×2.5cm 松木 碳化+清漆 3块</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碳化户外百变拼插积木828片：1. 正方形  90块 10×10×5cm     1孔</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 正方形  220块 10×10×2.5cm 1孔</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 长方形  45块 20×10×5cm     2孔</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4. 长方形  120块 20×10×2.5cm 2孔</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5. 长方形  40块 40×10×2.5cm 2孔</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6. 长方形  50块 60×10×2.5cm 3孔</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7. 长方形  30块 80×10×2.5cm 4孔</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8. 圆棒  28块 Φ2.5×10cm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9. 圆棒  80块 Φ2.5×20cm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10. 圆棒  80块 Φ2.5×40cm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11. 圆柱  20块 Φ10×10cm </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12. 圆柱  10块 Φ10×20cm </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13. Y形积木  1块 40×30×2.5cm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14. 1/2圆环  2块 直径30×15×2.5cm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15. 长条板（原木板）12块 100×10×2.5cm</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户外游戏体能梯-方梯：16件套炭烧梯规格：平衡梯规格：180×35×7cm，4个平衡木板：180×20×2.5，6个  高低架：53×50（80—100）cm各3个</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40件套运动组合碳化梯子：共计40件套，松木碳化，多层板</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人字梯 尺寸：120cm 数量：4</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直梯 尺寸：195cm 数量：4</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直梯 尺寸：150cm 数量：4</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1.2m平衡板 尺寸：120×20×2.5cm 数量：8</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1.5m平衡板 尺寸：150×20×2.5cm 数量：6</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支架 尺寸：60cm 数量：2</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支架 尺寸：30cm 数量：2</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攀爬箱 尺寸：60cm 数量：2</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攀爬箱 尺寸：80cm 数量：2</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平板车 尺寸：60×60cm 数量：2</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大型实木螺母组合900件：1.弧形连接短板：600*100*25mm，海洋板 12个，</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2.弧形连接长板：800*100*25mm，海洋板 8个，</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3.转角：100*100mm，海洋板 40个，</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4.连接短板：400*100*25mm，海洋板 56个； </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5.连接中长板：600*100*25mm，海洋板 72个；</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6.连接长板：800*100*25mm，海洋板 20个；</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7.连接加长板：1000*100*25mm，海洋板 16个；</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8.轮：直径150mm，海洋板 40个；</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9.滑轮：外直径115mm，塑料+金属 4个；</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10.桶：直径200mm，塑料 4个；</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11.绳子：6*6*1000mm，尼龙 8根；</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12.长螺丝：79*103mm，塑料 310个；</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13.螺母：72*16mm，塑料 310个。</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569块安米吉拼插积木：木片：</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宽10*厚2.5*长10cm  20块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宽10*厚2.5*长20cm 20块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宽10*厚2.5*长40cm  20块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宽10*厚2.5*长60cm  10块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宽10*厚2.5*长80cm  10块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宽10*厚2.5*长100cm  10块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宽10*厚2.5*长120cm  10块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木砖：</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宽10*厚5*长10cm  20块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宽10*厚5*长20cm  20块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宽10*厚5*长40cm  20块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正方体：宽10*厚10长10cm 20块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长方体：</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宽10*厚10长20cm  20块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宽10*厚10长30cm  20块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宽10*厚10长40cm  10块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三角形：</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宽10*厚10长10cm（切成三角形） 20块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宽20*厚10长20cm（切成三角形） 20块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圆柱形：</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直径10cm 高10cm  20个</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直径10cm 高20cm  20个</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直径10cm 高30cm  10个</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直径10cm 高40cm  10个</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圆锥：直径10cm 高20cm  10个</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圆形：</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直径20cm 厚度2.5cm  10个</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直径20cm 厚度5cm  10个</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半圆形：</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半径10cm  厚度2.5cm  10个</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半径10cm  厚度5cm    10个</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连接杆：</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6cm 60根； 11cm 30根；      16cm 30根；21cm 20根；      26cm 20根；31cm 20根</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手推车：</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长：60cm 宽：40cm，高度：10cm，扶手高度：60cm  1个</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箱式拉车：</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长50cm，宽35cm，高15cm（松） 1辆</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平板拉车：</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长65cm，宽45cm，高10cm（松）  1辆</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户外大型运动组合器械：规格：1100*600*580cm  材质：一、塑料件:采用食品级LLDPE工程塑料，经造粒工艺将颜料完全</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溶入颗粒中、磨粉机加工、滚塑工艺成型，符合</w:t>
            </w:r>
            <w:r>
              <w:rPr>
                <w:rFonts w:hint="eastAsia" w:ascii="宋体" w:hAnsi="宋体" w:cs="宋体"/>
                <w:i w:val="0"/>
                <w:iCs w:val="0"/>
                <w:color w:val="auto"/>
                <w:sz w:val="20"/>
                <w:szCs w:val="20"/>
                <w:highlight w:val="none"/>
                <w:u w:val="none"/>
                <w:lang w:val="en-US" w:eastAsia="zh-CN" w:bidi="ar"/>
              </w:rPr>
              <w:t xml:space="preserve">GB/T 4454-2018</w:t>
            </w:r>
            <w:r>
              <w:rPr>
                <w:rFonts w:hint="eastAsia" w:ascii="宋体" w:hAnsi="宋体" w:eastAsia="宋体" w:cs="宋体"/>
                <w:i w:val="0"/>
                <w:iCs w:val="0"/>
                <w:color w:val="auto"/>
                <w:sz w:val="20"/>
                <w:szCs w:val="20"/>
                <w:highlight w:val="none"/>
                <w:u w:val="none"/>
                <w:lang w:val="en-US" w:eastAsia="zh-CN" w:bidi="ar"/>
              </w:rPr>
              <w:t xml:space="preserve">要求，工程塑料壁厚6mm以上，色彩艳丽，渗入抗紫外线、防静电及防脱色元素，安全、环保、不易老化。扣件采用锌铝合金压铸成形, 符合（</w:t>
            </w:r>
            <w:r>
              <w:rPr>
                <w:rFonts w:hint="eastAsia" w:ascii="宋体" w:hAnsi="宋体" w:cs="宋体"/>
                <w:i w:val="0"/>
                <w:iCs w:val="0"/>
                <w:color w:val="auto"/>
                <w:sz w:val="20"/>
                <w:szCs w:val="20"/>
                <w:highlight w:val="none"/>
                <w:u w:val="none"/>
                <w:lang w:val="en-US" w:eastAsia="zh-CN" w:bidi="ar"/>
              </w:rPr>
              <w:t xml:space="preserve">GB/T 13818-2021</w:t>
            </w:r>
            <w:r>
              <w:rPr>
                <w:rFonts w:hint="eastAsia" w:ascii="宋体" w:hAnsi="宋体" w:eastAsia="宋体" w:cs="宋体"/>
                <w:i w:val="0"/>
                <w:iCs w:val="0"/>
                <w:color w:val="auto"/>
                <w:sz w:val="20"/>
                <w:szCs w:val="20"/>
                <w:highlight w:val="none"/>
                <w:u w:val="none"/>
                <w:lang w:val="en-US" w:eastAsia="zh-CN" w:bidi="ar"/>
              </w:rPr>
              <w:t xml:space="preserve">）。螺丝采用不锈钢材质（符合</w:t>
            </w:r>
            <w:r>
              <w:rPr>
                <w:rFonts w:hint="eastAsia" w:ascii="宋体" w:hAnsi="宋体" w:cs="宋体"/>
                <w:i w:val="0"/>
                <w:iCs w:val="0"/>
                <w:color w:val="auto"/>
                <w:sz w:val="20"/>
                <w:szCs w:val="20"/>
                <w:highlight w:val="none"/>
                <w:u w:val="none"/>
                <w:lang w:val="en-US" w:eastAsia="zh-CN" w:bidi="ar"/>
              </w:rPr>
              <w:t xml:space="preserve">GB/T 1221-2007</w:t>
            </w:r>
            <w:r>
              <w:rPr>
                <w:rFonts w:hint="eastAsia" w:ascii="宋体" w:hAnsi="宋体" w:eastAsia="宋体" w:cs="宋体"/>
                <w:i w:val="0"/>
                <w:iCs w:val="0"/>
                <w:color w:val="auto"/>
                <w:sz w:val="20"/>
                <w:szCs w:val="20"/>
                <w:highlight w:val="none"/>
                <w:u w:val="none"/>
                <w:lang w:val="en-US" w:eastAsia="zh-CN" w:bidi="ar"/>
              </w:rPr>
              <w:t xml:space="preserve">精度标准要求）。</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二、钢管：采用热镀锌钢管和扣件连接工艺，产品铁件经整体加工成型后经除油、除锈、中和、磷化、钝化、抛丸等前处理,表面平滑，不易生锈。表面喷涂户外环保聚酯粉末涂料，抗紫外线，色泽艳丽，不易脱落。整套产品铁件采用的规格分别是钢管Φ114、Φ60、Φ48、Φ32、Φ25。</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三、滑梯及钻桶类：采用食品级LLDPE工程塑料，经造粒工艺将颜料完全溶入颗粒中、磨粉机加工、滚塑工艺成型，符合</w:t>
            </w:r>
            <w:r>
              <w:rPr>
                <w:rFonts w:hint="eastAsia" w:ascii="宋体" w:hAnsi="宋体" w:cs="宋体"/>
                <w:i w:val="0"/>
                <w:iCs w:val="0"/>
                <w:color w:val="auto"/>
                <w:sz w:val="20"/>
                <w:szCs w:val="20"/>
                <w:highlight w:val="none"/>
                <w:u w:val="none"/>
                <w:lang w:val="en-US" w:eastAsia="zh-CN" w:bidi="ar"/>
              </w:rPr>
              <w:t xml:space="preserve">GB/T 4454-2018</w:t>
            </w:r>
            <w:r>
              <w:rPr>
                <w:rFonts w:hint="eastAsia" w:ascii="宋体" w:hAnsi="宋体" w:eastAsia="宋体" w:cs="宋体"/>
                <w:i w:val="0"/>
                <w:iCs w:val="0"/>
                <w:color w:val="auto"/>
                <w:sz w:val="20"/>
                <w:szCs w:val="20"/>
                <w:highlight w:val="none"/>
                <w:u w:val="none"/>
                <w:lang w:val="en-US" w:eastAsia="zh-CN" w:bidi="ar"/>
              </w:rPr>
              <w:t xml:space="preserve">要求，工程塑料壁厚6mm以上，色彩艳丽，渗入抗紫外线、防静电及防脱色元素，安全、环保、不易老化。扣件采用锌铝合金压铸成形, 符合（</w:t>
            </w:r>
            <w:r>
              <w:rPr>
                <w:rFonts w:hint="eastAsia" w:ascii="宋体" w:hAnsi="宋体" w:cs="宋体"/>
                <w:i w:val="0"/>
                <w:iCs w:val="0"/>
                <w:color w:val="auto"/>
                <w:sz w:val="20"/>
                <w:szCs w:val="20"/>
                <w:highlight w:val="none"/>
                <w:u w:val="none"/>
                <w:lang w:val="en-US" w:eastAsia="zh-CN" w:bidi="ar"/>
              </w:rPr>
              <w:t xml:space="preserve">GB/T 13818-2021</w:t>
            </w:r>
            <w:r>
              <w:rPr>
                <w:rFonts w:hint="eastAsia" w:ascii="宋体" w:hAnsi="宋体" w:eastAsia="宋体" w:cs="宋体"/>
                <w:i w:val="0"/>
                <w:iCs w:val="0"/>
                <w:color w:val="auto"/>
                <w:sz w:val="20"/>
                <w:szCs w:val="20"/>
                <w:highlight w:val="none"/>
                <w:u w:val="none"/>
                <w:lang w:val="en-US" w:eastAsia="zh-CN" w:bidi="ar"/>
              </w:rPr>
              <w:t xml:space="preserve">）。螺丝采用不锈钢材质（符合</w:t>
            </w:r>
            <w:r>
              <w:rPr>
                <w:rFonts w:hint="eastAsia" w:ascii="宋体" w:hAnsi="宋体" w:cs="宋体"/>
                <w:i w:val="0"/>
                <w:iCs w:val="0"/>
                <w:color w:val="auto"/>
                <w:sz w:val="20"/>
                <w:szCs w:val="20"/>
                <w:highlight w:val="none"/>
                <w:u w:val="none"/>
                <w:lang w:val="en-US" w:eastAsia="zh-CN" w:bidi="ar"/>
              </w:rPr>
              <w:t xml:space="preserve">GB/T 1221-2007</w:t>
            </w:r>
            <w:r>
              <w:rPr>
                <w:rFonts w:hint="eastAsia" w:ascii="宋体" w:hAnsi="宋体" w:eastAsia="宋体" w:cs="宋体"/>
                <w:i w:val="0"/>
                <w:iCs w:val="0"/>
                <w:color w:val="auto"/>
                <w:sz w:val="20"/>
                <w:szCs w:val="20"/>
                <w:highlight w:val="none"/>
                <w:u w:val="none"/>
                <w:lang w:val="en-US" w:eastAsia="zh-CN" w:bidi="ar"/>
              </w:rPr>
              <w:t xml:space="preserve">精度标准要求）。</w:t>
            </w:r>
            <w:r/>
          </w:p>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四、</w:t>
            </w:r>
            <w:r>
              <w:rPr>
                <w:rFonts w:hint="eastAsia" w:ascii="宋体" w:hAnsi="宋体" w:eastAsia="宋体" w:cs="宋体"/>
                <w:i w:val="0"/>
                <w:iCs w:val="0"/>
                <w:color w:val="auto"/>
                <w:sz w:val="20"/>
                <w:szCs w:val="20"/>
                <w:highlight w:val="none"/>
                <w:u w:val="none"/>
                <w:lang w:val="en-US" w:eastAsia="zh-CN" w:bidi="ar"/>
              </w:rPr>
              <w:t xml:space="preserve">平台：冷轧钢板浸塑；井字型承重加固设计，承载力不低于450公斤。冲孔机一次成型，平台孔径大小一致、无锐利毛边、无变型，浸塑表面有软接触功能对使用人员形成保护层。工艺过程加入抗紫外线、抗风化稳定剂，保证5年以上不褪色、不锈蚀、不剥离。浸塑平台盐雾试验时间≥2100h，外观无明显变化，保护等级达到10级，符合GB/T 10125-2021标准要求。</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cs="宋体"/>
                <w:i w:val="0"/>
                <w:iCs w:val="0"/>
                <w:color w:val="auto"/>
                <w:sz w:val="20"/>
                <w:szCs w:val="20"/>
                <w:highlight w:val="none"/>
                <w:u w:val="none"/>
                <w:lang w:val="en-US" w:eastAsia="zh-CN" w:bidi="ar"/>
              </w:rPr>
              <w:t xml:space="preserve">五</w:t>
            </w:r>
            <w:r>
              <w:rPr>
                <w:rFonts w:hint="eastAsia" w:ascii="宋体" w:hAnsi="宋体" w:eastAsia="宋体" w:cs="宋体"/>
                <w:i w:val="0"/>
                <w:iCs w:val="0"/>
                <w:color w:val="auto"/>
                <w:sz w:val="20"/>
                <w:szCs w:val="20"/>
                <w:highlight w:val="none"/>
                <w:u w:val="none"/>
                <w:lang w:val="en-US" w:eastAsia="zh-CN" w:bidi="ar"/>
              </w:rPr>
              <w:t xml:space="preserve">、支杆类:采用的钢管Φ60、Φ48、Φ32、Φ25。</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焊接采用氩弧焊及CO2气体保护焊。整体加工成型后经除油、磷化、抛丸处理,表面平滑，不生锈。</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cs="宋体"/>
                <w:i w:val="0"/>
                <w:iCs w:val="0"/>
                <w:color w:val="auto"/>
                <w:sz w:val="20"/>
                <w:szCs w:val="20"/>
                <w:highlight w:val="none"/>
                <w:u w:val="none"/>
                <w:lang w:val="en-US" w:eastAsia="zh-CN" w:bidi="ar"/>
              </w:rPr>
              <w:t xml:space="preserve">六</w:t>
            </w:r>
            <w:r>
              <w:rPr>
                <w:rFonts w:hint="eastAsia" w:ascii="宋体" w:hAnsi="宋体" w:eastAsia="宋体" w:cs="宋体"/>
                <w:i w:val="0"/>
                <w:iCs w:val="0"/>
                <w:color w:val="auto"/>
                <w:sz w:val="20"/>
                <w:szCs w:val="20"/>
                <w:highlight w:val="none"/>
                <w:u w:val="none"/>
                <w:lang w:val="en-US" w:eastAsia="zh-CN" w:bidi="ar"/>
              </w:rPr>
              <w:t xml:space="preserve">、附件类：盖帽采用铝合金压铸成型；螺丝采用不锈钢材质（符合</w:t>
            </w:r>
            <w:r>
              <w:rPr>
                <w:rFonts w:hint="eastAsia" w:ascii="宋体" w:hAnsi="宋体" w:cs="宋体"/>
                <w:i w:val="0"/>
                <w:iCs w:val="0"/>
                <w:color w:val="auto"/>
                <w:sz w:val="20"/>
                <w:szCs w:val="20"/>
                <w:highlight w:val="none"/>
                <w:u w:val="none"/>
                <w:lang w:val="en-US" w:eastAsia="zh-CN" w:bidi="ar"/>
              </w:rPr>
              <w:t xml:space="preserve">GB/T 1221-2007</w:t>
            </w:r>
            <w:r>
              <w:rPr>
                <w:rFonts w:hint="eastAsia" w:ascii="宋体" w:hAnsi="宋体" w:eastAsia="宋体" w:cs="宋体"/>
                <w:i w:val="0"/>
                <w:iCs w:val="0"/>
                <w:color w:val="auto"/>
                <w:sz w:val="20"/>
                <w:szCs w:val="20"/>
                <w:highlight w:val="none"/>
                <w:u w:val="none"/>
                <w:lang w:val="en-US" w:eastAsia="zh-CN" w:bidi="ar"/>
              </w:rPr>
              <w:t xml:space="preserve">精度标准要求）</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cs="宋体"/>
                <w:i w:val="0"/>
                <w:iCs w:val="0"/>
                <w:color w:val="auto"/>
                <w:sz w:val="20"/>
                <w:szCs w:val="20"/>
                <w:highlight w:val="none"/>
                <w:u w:val="none"/>
                <w:lang w:val="en-US" w:eastAsia="zh-CN" w:bidi="ar"/>
              </w:rPr>
              <w:t xml:space="preserve">七</w:t>
            </w:r>
            <w:r>
              <w:rPr>
                <w:rFonts w:hint="eastAsia" w:ascii="宋体" w:hAnsi="宋体" w:eastAsia="宋体" w:cs="宋体"/>
                <w:i w:val="0"/>
                <w:iCs w:val="0"/>
                <w:color w:val="auto"/>
                <w:sz w:val="20"/>
                <w:szCs w:val="20"/>
                <w:highlight w:val="none"/>
                <w:u w:val="none"/>
                <w:lang w:val="en-US" w:eastAsia="zh-CN" w:bidi="ar"/>
              </w:rPr>
              <w:t xml:space="preserve">、绳网类:采用￠14mm航海绳加钢丝、￠6mm航海绳</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跑酷游戏组合：三角蹬（浅咖色）：尺寸：800 * 600 * 430mm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表面材质：PU</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三角蹬（深咖色）：尺寸：800 * 600 * 430mm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表面材质：PU</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平衡木-H30：尺寸：600 * 300 * 300 mm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表面材质：PU</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平衡木-H45：尺寸：800 * 300 * 450mm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表面材质：PU</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折叠防护地垫：尺寸：2000 * 800 * 50mm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表面材质：PU</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跳箱：H10尺寸：800 * 600 * 100mm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H20尺寸：800 * 600 * 200mm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H30尺寸：800 * 600 * 300mm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H40尺寸：800 * 600 * 400mm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表面材质：PU</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跳马：第四级尺寸：800 * 300 * 200mm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第三级尺寸：800 * 400 * 200mm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第二级尺寸：800 * 500 * 200mm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第一级尺寸：800 * 600 * 200mm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表面材质：PU</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大圆环：尺寸：1000 * 400 * 500mm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表面材质：PU</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半圆柱-H30：尺寸600 * 400 * 300mm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表面材质：PU</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弧形斜坡（绿色）：尺寸：800 * 600 * 800mm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表面材质：PU</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体能训</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练架：尺寸（含把手和轮子）：</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1320 * 800 * 1020mm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材质：铁，PU</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梯形墩：材质：1200 * 600 * 400mm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表面材质：PU</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大体操垫：200*100*10cm，表面为牛津布，内高密度海绵</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小体操垫：120*60*10cm，表面为牛津布，内高密度海绵</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桌面式涂鸦板：52.5×30×65cm，实木架构</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桌面式多功能涂鸦板：53.5×30×64cm，实木架构</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沙盘游戏：54.3*53.5*15.5cm，供货时需要通过甲方认可</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户外小厨房：过家家类玩具，仿木质，包括橱柜一套，餐桌一套，餐椅两张，洗菜池一套，款式自选，供货时需要通过甲方认可</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户外音乐墙：打击乐*4，尺寸分别为140*64*95cm，115*60*96cm，82*12*150cm，200*20*150cm，乐拍鼓一套（四个鼓），单鼓尺寸为35*40*50cm</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户外游戏课程基地：</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活动实施方案：1.规格：封面157g铜版纸，附哑膜，内页80g双胶纸,长18.5cm×宽26cm</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幼儿园户外活动整体方案：1.规格：封面157g铜版纸，内页80g双胶纸，长18.5cm×宽26cm</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安全使用手册：1.规格：封面157g铜版纸，内页80g双胶纸，长18.5cm×宽26cm</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装箱明细表：1.规格：长42cm×宽28.5cm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2.材质：200g铜版纸</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分类图卡：1.规格：长21cm×宽14cm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2.材质：300g双面铜版纸</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3.数量：34张/套</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造型图卡：1.规格：长21cm×宽14cm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2.材质：300g双面铜版纸</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3.数量：12张/套</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合格证：1.规格：长25cm×宽12cm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2.材质：200g铜版纸</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基础建构1单元：1.规格：长16cm×宽16cm×高16cm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2.材质：塑料ABS</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3.数量：3件为1组</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基础建构2单元-C形：1.规格：长32cm×宽16cm×高16cm2.材质：塑料ABS3.数量：3件为1组</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基础建构2单元-L形：1.规格：长32cm×宽16cm×高16cm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2.材质：塑料ABS</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3.数量：3件为1组</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基础建构3单元：1.规格：长48cm×宽16cm×高16cm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2.材质：塑料ABS</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3.数量：3件为1组</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基础建构蓄水件：1.规格：长32cm×宽16cm×高32cm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2.材质：塑料ABS</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3.数量：1个</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基础水道1单元：1.规格：长23cm×宽12cm×高5cm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2.材质：塑料ABS+橡胶</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3.数量：1个</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基础水道2单元：1.规格：长39cm×宽12cm×高5cm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2.材质：塑料ABS+橡胶</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3.数量：1个</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基础水道3单元：1.规格：长55cm×宽12cm×高5cm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2.材质：塑料ABS+橡胶</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3.数量：1个</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基础水道-弯道：1.规格：长42cm×宽12cm×高8cm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2.材质：塑料ABS+橡胶</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3.数量：1个</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基础木板1单元：1.规格：长16cm×宽16cm×高3cm2.材质：松深度炭化木3.数量：1个</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基础木板2单元：1.规格：长32cm×宽16cm×高3cm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2.材质：松深度炭化木</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3.数量：1个</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基础木板3单元：1.规格：长48cm×宽16cm×高3cm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2.材质：松深度炭化木</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3.数量：1个</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基础木板4单元：1.规格：长64cm×宽16cm×高3cm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2.材质：松深度炭化木</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3.数量：1个</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基础木板5单元：1.规格：长96cm×宽16cm×高3cm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2.材质：松深度炭化木</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3.数量：1个</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阻水件：1.规格：长14cm×宽14cm×高11cm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2.材质：塑料ABS+松深度炭化木</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3.数量：1个</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水车：1.规格：长18.8cm×宽14cm×高15.6cm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2.材质：塑料ABS+松深度炭化木</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3.数量：1个</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夹沙件：1.规格：长29.4cm×宽12.6cm×高15.1cm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2.材质：塑料ABS</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3.数量：1个</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钻筛沙件：1.规格：把手：长20cm×宽5cm，直径2cm；漏斗：边长12.5cm、深10.5cm2.材质：塑料ABS3.数量：1个</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沙铲（小）：1.规格：铲柄长12.5cm，直径2.5cm，铲柄把手长5cm，外径2.5cm，内径1.9cm，前端沙铲长10.2cm，宽8.5cm，深4cm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2.材质：塑料ABS</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3.数量：1个</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沙铲（大）：1.规格：铲柄长23cm，直径2.5cm，铲柄把手长5cm，外径2.5cm，内径1.9cm，前端沙铲长13.5cm，宽10cm，深5cm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2.材质：塑料ABS</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3.数量：1个</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沙水桶：1.规格：桶口长15cm×宽15cm，桶底长10.6cm×宽10.6cm，桶深14.5cm，桶提手直径2.5cm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2.材质：塑料ABS</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3.数量：1个</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6分水管（1m）：1.规格：直径2.5cm，长100cm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2.材质：PVC</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3.数量：1根</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6分水管（2m）：1.规格：直径2.5cm，长200cm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2.材质：PVC</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3.数量：1根</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6分水管（5m）：1.规格：直径2.5cm，长500cm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2.材质：PVC</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3.数量：1根</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6分通水接口（备用件）：1.规格：直径4cm，长6cm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2.材质：金属+塑料ABS</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3.数量：1个</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标准双向奶嘴接口：1.规格：直径2.5cm，长4.8cm2.材质：金属+塑料ABS3.数量：1个</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标准万用接口：1.规格：直径3.5cm，长6cm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2.材质：金属+塑料ABS</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3.数量：1个</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分流配件：1.规格：长12cm×宽5cm×高3cm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2.材质：塑料ABS+橡胶</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3.数量：1个</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小球：1.规格：直径3cm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2.材质：塑料PP</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3.数量：1个</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基础标配储水盆：1.规格：长56.5cm×宽37cm×高18cm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2.材质：塑料PP</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3.数量：1个</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储水盆（小）：1.规格：长52.5cm×宽32.5cm×高9.5cm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2.材质：塑料PC</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3.数量：1个</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沙城堡1：1.规格：长10.5cm×宽10.5cm×高7.8cm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2.材质：松深度炭化木</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3.数量：1个</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沙城堡2：1.规格：长15.3cm×宽15.3cm×高7.8cm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2.材质：松深度炭化木</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3.数量：1个</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沙城堡3：1.规格：长19.5cm×宽19.5cm×高7.8cm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2.材质：松深度炭化木</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3.数量：1个</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手刮沙工具1：1.规格：三边长分别为：21cm、18.2cm、12.1cm，厚1.7cm2.材质：松深度炭化木3.数量：1个</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手刮沙工具2：1.规格：三边长分别为：21cm、18.2cm、12.1cm，厚1.7cm，长边有锯齿</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2.材质：松深度炭化木</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3.数量：1个</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手刮沙工具3：1.规格：三边长分别为：21cm、18.2cm、12.1cm，厚1.7cm，长边有锯齿</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2.材质：松深度炭化木</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3.数量：1个</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擀泥棒：1.规格：长32.4cm，把手直径2cm，擀泥部分直径4cm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2.材质：松深度炭化木</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3.数量：1个</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平泥工具：1.规格：外围长度分别为：16cm、16cm、11cm，厚1.2cm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2.材质：松深度炭化木</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3.数量：1个</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敲泥工具：1.规格：总长18.8cm，正四棱锥边长9.6cm，锥顶磨平</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2.材质：松深度炭化木</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3.数量：1个</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翻泥坯盖（小）：1.规格：长4.8cm×宽4.8cm×高2.4cm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2.材质：松深度炭化木</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3.数量：1个</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翻泥坯（小）：1.规格：长9.8cm×宽7.3cm×高4.6cm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2.材质：松深度炭化木</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3.数量：1个</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翻泥坯盖（大）：1.规格：长9.8cm×宽4.8cm×高2.4cm2.材质：松深度炭化木3.数量：1个</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翻泥坯（大）：1.规格：长14.5cm×宽7cm×高4.9cm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2.材质：松深度炭化木</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3.数量：1个</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画框：1.规格：长48cm×宽41.2cm×高8cm，支架：长14cm×宽14cm×高2cm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2.材质：松深度炭化木+亚克力</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3.数量：1个</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小推车：1.规格：长75.5cm×宽45cm×高59cm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2.材质：松深度炭化木</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3.数量：1个</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鲸鱼推车：1.规格：长80cm×宽44.8cm×高59.5cm，不含压水机的高度</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2.材质：松深度炭化木+塑料ABS+金属</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3.数量：1个</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压水泵：1.规格：长56cm×宽15cm×高9cm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2.材质：松深度炭化木+塑料ABS+金属+橡胶</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3.数量：1个</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园艺水枪：1.规格：枪口直径5cm，总长度19.5cm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2.材质：塑料ABS+橡胶</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3.数量：1个</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喷泉旋转件：1.规格：总高度9.5cm，直径19cm，含接口直径21cm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2.材质：塑料ABS</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3.数量：1个</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课程：不低于3次</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沙水区：</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沙水区组合套装：200*340*230cm，多变水循环，包括戏水台，戏水箱</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玩水管道：5CM直径管子53支，弯头27个，三通12个，球阀（单阀）11个</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沙水区收纳柜：长1600深400高800mm，E0级多层板柜体,甲醛含量≤1.2mg/L，具有防水、防烫、防污、防酸、防碱、</w:t>
            </w:r>
            <w:r>
              <w:rPr>
                <w:rFonts w:hint="eastAsia" w:ascii="宋体" w:hAnsi="宋体" w:cs="宋体"/>
                <w:i w:val="0"/>
                <w:iCs w:val="0"/>
                <w:color w:val="auto"/>
                <w:sz w:val="20"/>
                <w:szCs w:val="20"/>
                <w:highlight w:val="none"/>
                <w:u w:val="none"/>
                <w:lang w:val="en-US" w:eastAsia="zh-CN" w:bidi="ar"/>
              </w:rPr>
              <w:t xml:space="preserve">防火；五金配件</w:t>
            </w:r>
            <w:r>
              <w:rPr>
                <w:rFonts w:hint="eastAsia" w:ascii="宋体" w:hAnsi="宋体" w:eastAsia="宋体" w:cs="宋体"/>
                <w:i w:val="0"/>
                <w:iCs w:val="0"/>
                <w:color w:val="auto"/>
                <w:sz w:val="20"/>
                <w:szCs w:val="20"/>
                <w:highlight w:val="none"/>
                <w:u w:val="none"/>
                <w:lang w:val="en-US" w:eastAsia="zh-CN" w:bidi="ar"/>
              </w:rPr>
              <w:t xml:space="preserve">：锁具、导轨和门铰。</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公共区：</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布艺窗帘：1.面料材质与克重</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成分：共聚型阻燃聚酯纤维</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厚度：≥0.4mm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 遮光与功能</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遮光率：≥80%（午睡室/教室建议≥90%）</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cs="宋体"/>
                <w:i w:val="0"/>
                <w:iCs w:val="0"/>
                <w:color w:val="auto"/>
                <w:sz w:val="20"/>
                <w:szCs w:val="20"/>
                <w:highlight w:val="none"/>
                <w:u w:val="none"/>
                <w:lang w:val="en-US" w:eastAsia="zh-CN" w:bidi="ar"/>
              </w:rPr>
              <w:t xml:space="preserve">3.</w:t>
            </w:r>
            <w:r>
              <w:rPr>
                <w:rFonts w:hint="eastAsia" w:ascii="宋体" w:hAnsi="宋体" w:eastAsia="宋体" w:cs="宋体"/>
                <w:i w:val="0"/>
                <w:iCs w:val="0"/>
                <w:color w:val="auto"/>
                <w:sz w:val="20"/>
                <w:szCs w:val="20"/>
                <w:highlight w:val="none"/>
                <w:u w:val="none"/>
                <w:lang w:val="en-US" w:eastAsia="zh-CN" w:bidi="ar"/>
              </w:rPr>
              <w:t xml:space="preserve">无镂空、无易脱落小配件（防儿童误食/缠绕）</w:t>
            </w:r>
            <w:r/>
          </w:p>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燃烧性能：执行 GB/T 17591-2025《阻燃织物》室内装饰用织物 B1 级（难燃）；水洗不少于25次，干洗不少于10次，仍符合上述燃烧性能等级要求</w:t>
            </w:r>
            <w:r>
              <w:rPr>
                <w:rFonts w:hint="eastAsia" w:ascii="宋体" w:hAnsi="宋体" w:cs="宋体"/>
                <w:i w:val="0"/>
                <w:iCs w:val="0"/>
                <w:color w:val="auto"/>
                <w:sz w:val="20"/>
                <w:szCs w:val="20"/>
                <w:highlight w:val="none"/>
                <w:u w:val="none"/>
                <w:lang w:val="en-US" w:eastAsia="zh-CN" w:bidi="ar"/>
              </w:rPr>
              <w:t xml:space="preserve">；</w:t>
            </w:r>
            <w:r/>
          </w:p>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4.垂直燃烧测试：GB/T 5455-2014：损毁长度≤150mm，续燃时间≤5s，阴燃时间≤5s，无熔融滴落；</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cs="宋体"/>
                <w:i w:val="0"/>
                <w:iCs w:val="0"/>
                <w:color w:val="auto"/>
                <w:sz w:val="20"/>
                <w:szCs w:val="20"/>
                <w:highlight w:val="none"/>
                <w:u w:val="none"/>
                <w:lang w:val="en-US" w:eastAsia="zh-CN" w:bidi="ar"/>
              </w:rPr>
              <w:t xml:space="preserve">5</w:t>
            </w:r>
            <w:r>
              <w:rPr>
                <w:rFonts w:hint="eastAsia" w:ascii="宋体" w:hAnsi="宋体" w:eastAsia="宋体" w:cs="宋体"/>
                <w:i w:val="0"/>
                <w:iCs w:val="0"/>
                <w:color w:val="auto"/>
                <w:sz w:val="20"/>
                <w:szCs w:val="20"/>
                <w:highlight w:val="none"/>
                <w:u w:val="none"/>
                <w:lang w:val="en-US" w:eastAsia="zh-CN" w:bidi="ar"/>
              </w:rPr>
              <w:t xml:space="preserve">.包含配套罗马杆</w:t>
            </w:r>
            <w:r>
              <w:rPr>
                <w:rFonts w:hint="eastAsia" w:ascii="宋体" w:hAnsi="宋体" w:cs="宋体"/>
                <w:i w:val="0"/>
                <w:iCs w:val="0"/>
                <w:color w:val="auto"/>
                <w:sz w:val="20"/>
                <w:szCs w:val="20"/>
                <w:highlight w:val="none"/>
                <w:u w:val="none"/>
                <w:lang w:val="en-US" w:eastAsia="zh-CN" w:bidi="ar"/>
              </w:rPr>
              <w:t xml:space="preserve">。</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百叶窗帘：窗洞深度：内装≥6cm（含轨道 + 叶片翻转空间）</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百叶深度（框厚）：60–150mm（影响防雨 / 通风）</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叶片宽度：50mm，包含配套五金件</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1、一、二楼公共卫生间（弧形）：11.5*3m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2、教室卫生间：(1.95*1.45+3.35*1.45)*6*3m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3、传达室：1.2*1.5m</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750"/>
        </w:trPr>
        <w:tc>
          <w:tcPr>
            <w:tcW w:w="1080" w:type="dxa"/>
            <w:vAlign w:val="center"/>
            <w:textDirection w:val="lrTb"/>
            <w:noWrap/>
          </w:tcPr>
          <w:p>
            <w:pPr>
              <w:jc w:val="center"/>
              <w:rPr>
                <w:rFonts w:hint="default" w:ascii="宋体" w:hAnsi="宋体" w:eastAsia="宋体" w:cs="宋体"/>
                <w:i w:val="0"/>
                <w:iCs w:val="0"/>
                <w:color w:val="auto"/>
                <w:sz w:val="20"/>
                <w:szCs w:val="20"/>
                <w:highlight w:val="none"/>
                <w:u w:val="none"/>
                <w:lang w:val="en-US"/>
              </w:rPr>
            </w:pPr>
            <w:r>
              <w:rPr>
                <w:rFonts w:hint="default" w:ascii="宋体" w:hAnsi="宋体" w:eastAsia="宋体" w:cs="宋体"/>
                <w:i w:val="0"/>
                <w:iCs w:val="0"/>
                <w:color w:val="auto"/>
                <w:sz w:val="20"/>
                <w:szCs w:val="20"/>
                <w:highlight w:val="none"/>
                <w:u w:val="none"/>
                <w:lang w:val="en-US"/>
              </w:rPr>
            </w:r>
            <w:r/>
          </w:p>
        </w:tc>
        <w:tc>
          <w:tcPr>
            <w:tcW w:w="1080" w:type="dxa"/>
            <w:vAlign w:val="center"/>
            <w:textDirection w:val="lrTb"/>
            <w:noWrap/>
          </w:tcPr>
          <w:p>
            <w:pPr>
              <w:jc w:val="center"/>
              <w:rPr>
                <w:rFonts w:hint="default" w:ascii="宋体" w:hAnsi="宋体" w:eastAsia="宋体" w:cs="宋体"/>
                <w:i w:val="0"/>
                <w:iCs w:val="0"/>
                <w:color w:val="auto"/>
                <w:sz w:val="20"/>
                <w:szCs w:val="20"/>
                <w:highlight w:val="none"/>
                <w:u w:val="none"/>
                <w:lang w:val="en-US" w:eastAsia="zh-CN"/>
              </w:rPr>
            </w:pPr>
            <w:r>
              <w:rPr>
                <w:rFonts w:hint="default" w:ascii="宋体" w:hAnsi="宋体" w:eastAsia="宋体" w:cs="宋体"/>
                <w:i w:val="0"/>
                <w:iCs w:val="0"/>
                <w:color w:val="auto"/>
                <w:sz w:val="20"/>
                <w:szCs w:val="20"/>
                <w:highlight w:val="none"/>
                <w:u w:val="none"/>
                <w:lang w:val="en-US" w:eastAsia="zh-CN"/>
              </w:rPr>
            </w:r>
            <w:r/>
          </w:p>
        </w:tc>
        <w:tc>
          <w:tcPr>
            <w:tcW w:w="5370" w:type="dxa"/>
            <w:vAlign w:val="center"/>
            <w:textDirection w:val="lrTb"/>
            <w:noWrap w:val="false"/>
          </w:tcPr>
          <w:p>
            <w:pPr>
              <w:jc w:val="left"/>
              <w:keepLines w:val="0"/>
              <w:keepNext w:val="0"/>
              <w:widowControl/>
              <w:rPr>
                <w:rFonts w:hint="eastAsia"/>
                <w:highlight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餐车：</w:t>
            </w:r>
            <w:r>
              <w:rPr>
                <w:rFonts w:hint="eastAsia" w:ascii="宋体" w:hAnsi="宋体" w:cs="宋体"/>
                <w:i w:val="0"/>
                <w:iCs w:val="0"/>
                <w:color w:val="auto"/>
                <w:sz w:val="20"/>
                <w:szCs w:val="20"/>
                <w:highlight w:val="none"/>
                <w:u w:val="none"/>
                <w:lang w:val="en-US" w:eastAsia="zh-CN" w:bidi="ar"/>
              </w:rPr>
              <w:t xml:space="preserve">1、</w:t>
            </w:r>
            <w:r>
              <w:rPr>
                <w:rFonts w:hint="eastAsia" w:ascii="宋体" w:hAnsi="宋体" w:eastAsia="宋体" w:cs="宋体"/>
                <w:i w:val="0"/>
                <w:iCs w:val="0"/>
                <w:color w:val="auto"/>
                <w:sz w:val="20"/>
                <w:szCs w:val="20"/>
                <w:highlight w:val="none"/>
                <w:u w:val="none"/>
                <w:lang w:val="en-US" w:eastAsia="zh-CN" w:bidi="ar"/>
              </w:rPr>
              <w:t xml:space="preserve">不锈钢保温，三格，30°-110°智能控温，整机尺寸1220*700*800mm，餐盒尺寸550*330*150mm，额定功率2000W/220V</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财务室：</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班台：W1600×D780×H750mm,饰面：采用三聚氰胺浸渍胶膜纸，依据</w:t>
            </w:r>
            <w:r>
              <w:rPr>
                <w:rFonts w:hint="eastAsia" w:ascii="宋体" w:hAnsi="宋体" w:cs="宋体"/>
                <w:i w:val="0"/>
                <w:iCs w:val="0"/>
                <w:color w:val="auto"/>
                <w:sz w:val="20"/>
                <w:szCs w:val="20"/>
                <w:highlight w:val="none"/>
                <w:u w:val="none"/>
                <w:lang w:val="en-US" w:eastAsia="zh-CN" w:bidi="ar"/>
              </w:rPr>
              <w:t xml:space="preserve"> GB 18584-2024</w:t>
            </w:r>
            <w:r>
              <w:rPr>
                <w:rFonts w:hint="eastAsia" w:ascii="宋体" w:hAnsi="宋体" w:eastAsia="宋体" w:cs="宋体"/>
                <w:i w:val="0"/>
                <w:iCs w:val="0"/>
                <w:color w:val="auto"/>
                <w:sz w:val="20"/>
                <w:szCs w:val="20"/>
                <w:highlight w:val="none"/>
                <w:u w:val="none"/>
                <w:lang w:val="en-US" w:eastAsia="zh-CN" w:bidi="ar"/>
              </w:rPr>
              <w:t xml:space="preserve">《室内装饰装修材料木家具中有害物质限量》；LY/T 1831-2009《人造板饰面专用装饰纸》；</w:t>
            </w:r>
            <w:r>
              <w:rPr>
                <w:rFonts w:hint="eastAsia" w:ascii="宋体" w:hAnsi="宋体" w:cs="宋体"/>
                <w:i w:val="0"/>
                <w:iCs w:val="0"/>
                <w:color w:val="auto"/>
                <w:sz w:val="20"/>
                <w:szCs w:val="20"/>
                <w:highlight w:val="none"/>
                <w:u w:val="none"/>
                <w:lang w:val="en-US" w:eastAsia="zh-CN" w:bidi="ar"/>
              </w:rPr>
              <w:t xml:space="preserve">GB/T 35601-2024</w:t>
            </w:r>
            <w:r>
              <w:rPr>
                <w:rFonts w:hint="eastAsia" w:ascii="宋体" w:hAnsi="宋体" w:eastAsia="宋体" w:cs="宋体"/>
                <w:i w:val="0"/>
                <w:iCs w:val="0"/>
                <w:color w:val="auto"/>
                <w:sz w:val="20"/>
                <w:szCs w:val="20"/>
                <w:highlight w:val="none"/>
                <w:u w:val="none"/>
                <w:lang w:val="en-US" w:eastAsia="zh-CN" w:bidi="ar"/>
              </w:rPr>
              <w:t xml:space="preserve">《绿色产品评价人造板和木质地板》标准；耐热性1级，苯≤5㎍/m³，挥发物含量5%-9%，甲醛释放量≤0.5mg/L。 </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基材：采用不低于E0级刨花板，依据GB/T 17657-2022《人造板及饰面人造板理化性能试验方法》；GB/T 39600-2021《人造板及其制品甲醛释放量分级》；GB 18580-2017《室内装饰装修材料人造板及其制品中甲醛释放限量》；</w:t>
            </w:r>
            <w:r>
              <w:rPr>
                <w:rFonts w:hint="eastAsia" w:ascii="宋体" w:hAnsi="宋体" w:cs="宋体"/>
                <w:i w:val="0"/>
                <w:iCs w:val="0"/>
                <w:color w:val="auto"/>
                <w:sz w:val="20"/>
                <w:szCs w:val="20"/>
                <w:highlight w:val="none"/>
                <w:u w:val="none"/>
                <w:lang w:val="en-US" w:eastAsia="zh-CN" w:bidi="ar"/>
              </w:rPr>
              <w:t xml:space="preserve">GB/T 35601-2024</w:t>
            </w:r>
            <w:r>
              <w:rPr>
                <w:rFonts w:hint="eastAsia" w:ascii="宋体" w:hAnsi="宋体" w:eastAsia="宋体" w:cs="宋体"/>
                <w:i w:val="0"/>
                <w:iCs w:val="0"/>
                <w:color w:val="auto"/>
                <w:sz w:val="20"/>
                <w:szCs w:val="20"/>
                <w:highlight w:val="none"/>
                <w:u w:val="none"/>
                <w:lang w:val="en-US" w:eastAsia="zh-CN" w:bidi="ar"/>
              </w:rPr>
              <w:t xml:space="preserve">《绿色产品评价人造板和木质地板》；QB/T 4371-2012《家具抗菌性能的评价》；GB 8624-2012《建筑材料及制品燃烧性能分级》；</w:t>
            </w:r>
            <w:r>
              <w:rPr>
                <w:rFonts w:hint="eastAsia" w:ascii="宋体" w:hAnsi="宋体" w:cs="宋体"/>
                <w:i w:val="0"/>
                <w:iCs w:val="0"/>
                <w:color w:val="auto"/>
                <w:sz w:val="20"/>
                <w:szCs w:val="20"/>
                <w:highlight w:val="none"/>
                <w:u w:val="none"/>
                <w:lang w:val="en-US" w:eastAsia="zh-CN" w:bidi="ar"/>
              </w:rPr>
              <w:t xml:space="preserve"> GB 18584-2024</w:t>
            </w:r>
            <w:r>
              <w:rPr>
                <w:rFonts w:hint="eastAsia" w:ascii="宋体" w:hAnsi="宋体" w:eastAsia="宋体" w:cs="宋体"/>
                <w:i w:val="0"/>
                <w:iCs w:val="0"/>
                <w:color w:val="auto"/>
                <w:sz w:val="20"/>
                <w:szCs w:val="20"/>
                <w:highlight w:val="none"/>
                <w:u w:val="none"/>
                <w:lang w:val="en-US" w:eastAsia="zh-CN" w:bidi="ar"/>
              </w:rPr>
              <w:t xml:space="preserve">《室内装饰装修材料木家具中有害物质限量》；GB/T 4897-2015《刨花板》；外观质量至少4项检测，含水率3%～8%，静曲强度≥15MPa，弹性模量≥2000MPa，内胶合强度≥0.55MPa，表面胶合强度≥1.5MPa，2h吸水厚度膨胀率≤3%，板边握螺钉力≥1400N，板面握螺钉力≥1600N，密度≥0.75g/cm³，甲醛释放量≤0.05mg/m³，总挥发性有机化合物≤20㎍/m³，防霉菌等级0级或1级，60s内无燃烧滴落物引燃滤纸现象。</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封边：采用</w:t>
            </w:r>
            <w:r>
              <w:rPr>
                <w:rFonts w:hint="eastAsia" w:ascii="宋体" w:hAnsi="宋体" w:cs="宋体"/>
                <w:i w:val="0"/>
                <w:iCs w:val="0"/>
                <w:color w:val="auto"/>
                <w:sz w:val="20"/>
                <w:szCs w:val="20"/>
                <w:highlight w:val="none"/>
                <w:u w:val="none"/>
                <w:lang w:val="en-US" w:eastAsia="zh-CN" w:bidi="ar"/>
              </w:rPr>
              <w:t xml:space="preserve">ABS</w:t>
            </w:r>
            <w:r>
              <w:rPr>
                <w:rFonts w:hint="eastAsia" w:ascii="宋体" w:hAnsi="宋体" w:eastAsia="宋体" w:cs="宋体"/>
                <w:i w:val="0"/>
                <w:iCs w:val="0"/>
                <w:color w:val="auto"/>
                <w:sz w:val="20"/>
                <w:szCs w:val="20"/>
                <w:highlight w:val="none"/>
                <w:u w:val="none"/>
                <w:lang w:val="en-US" w:eastAsia="zh-CN" w:bidi="ar"/>
              </w:rPr>
              <w:t xml:space="preserve">激光封边条，依据</w:t>
            </w:r>
            <w:r>
              <w:rPr>
                <w:rFonts w:hint="eastAsia" w:ascii="宋体" w:hAnsi="宋体" w:cs="宋体"/>
                <w:i w:val="0"/>
                <w:iCs w:val="0"/>
                <w:color w:val="auto"/>
                <w:sz w:val="20"/>
                <w:szCs w:val="20"/>
                <w:highlight w:val="none"/>
                <w:u w:val="none"/>
                <w:lang w:val="en-US" w:eastAsia="zh-CN" w:bidi="ar"/>
              </w:rPr>
              <w:t xml:space="preserve"> </w:t>
            </w:r>
            <w:r>
              <w:rPr>
                <w:rFonts w:hint="eastAsia" w:ascii="宋体" w:hAnsi="宋体" w:eastAsia="宋体" w:cs="宋体"/>
                <w:i w:val="0"/>
                <w:iCs w:val="0"/>
                <w:color w:val="auto"/>
                <w:sz w:val="20"/>
                <w:szCs w:val="20"/>
                <w:highlight w:val="none"/>
                <w:u w:val="none"/>
                <w:lang w:val="en-US" w:eastAsia="zh-CN" w:bidi="ar"/>
              </w:rPr>
              <w:t xml:space="preserve">；GB/T 24128-2018《塑料 塑料防霉剂的防霉效果评估》</w:t>
            </w:r>
            <w:r>
              <w:rPr>
                <w:rFonts w:hint="eastAsia" w:ascii="宋体" w:hAnsi="宋体" w:cs="宋体"/>
                <w:i w:val="0"/>
                <w:iCs w:val="0"/>
                <w:color w:val="auto"/>
                <w:sz w:val="20"/>
                <w:szCs w:val="20"/>
                <w:highlight w:val="none"/>
                <w:u w:val="none"/>
                <w:lang w:val="en-US" w:eastAsia="zh-CN" w:bidi="ar"/>
              </w:rPr>
              <w:t xml:space="preserve">；GB 18584-2024</w:t>
            </w:r>
            <w:r>
              <w:rPr>
                <w:rFonts w:hint="eastAsia" w:ascii="宋体" w:hAnsi="宋体" w:eastAsia="宋体" w:cs="宋体"/>
                <w:i w:val="0"/>
                <w:iCs w:val="0"/>
                <w:color w:val="auto"/>
                <w:sz w:val="20"/>
                <w:szCs w:val="20"/>
                <w:highlight w:val="none"/>
                <w:u w:val="none"/>
                <w:lang w:val="en-US" w:eastAsia="zh-CN" w:bidi="ar"/>
              </w:rPr>
              <w:t xml:space="preserve">《塑料家具中有害物质限量》标准；厚度≥1.8mm。压纹（压花）表面有统一的花式。耐开裂性1级，耐老化性无开裂，甲醛释放量≤0.5mg/L，防霉等级0级或1级，16种多环芳烃（PAH）总量≤5mg/kg。 </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热熔胶：选用</w:t>
            </w:r>
            <w:r>
              <w:rPr>
                <w:rFonts w:hint="eastAsia" w:ascii="宋体" w:hAnsi="宋体" w:cs="宋体"/>
                <w:i w:val="0"/>
                <w:iCs w:val="0"/>
                <w:color w:val="auto"/>
                <w:sz w:val="20"/>
                <w:szCs w:val="20"/>
                <w:highlight w:val="none"/>
                <w:u w:val="none"/>
                <w:lang w:val="en-US" w:eastAsia="zh-CN" w:bidi="ar"/>
              </w:rPr>
              <w:t xml:space="preserve">环保</w:t>
            </w:r>
            <w:r>
              <w:rPr>
                <w:rFonts w:hint="eastAsia" w:ascii="宋体" w:hAnsi="宋体" w:eastAsia="宋体" w:cs="宋体"/>
                <w:i w:val="0"/>
                <w:iCs w:val="0"/>
                <w:color w:val="auto"/>
                <w:sz w:val="20"/>
                <w:szCs w:val="20"/>
                <w:highlight w:val="none"/>
                <w:u w:val="none"/>
                <w:lang w:val="en-US" w:eastAsia="zh-CN" w:bidi="ar"/>
              </w:rPr>
              <w:t xml:space="preserve">热熔胶，依据GB18583-2008《室内装饰装修材料胶粘剂中有害物质限量》﹔HJ2541-2016《环境标志产品技术要求胶粘剂》标准；游离甲醛≤0.1g/kg，苯≤0.02g/kg，甲苯≤0.02g/kg，二甲苯≤0.02g/kg，总挥发性有机物≤5g/L，游离甲苯二异氰酸酯≤1g/kg。 </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五金配件：采用品牌五金配件，导轨依据GB/T 10125-2021《人造气氛腐蚀试验盐雾试验》；QB/T 3832- 1999《轻工产品金属镀层腐蚀试验结果的评价》； </w:t>
            </w:r>
            <w:r>
              <w:rPr>
                <w:rFonts w:hint="eastAsia" w:ascii="宋体" w:hAnsi="宋体" w:cs="宋体"/>
                <w:i w:val="0"/>
                <w:iCs w:val="0"/>
                <w:color w:val="auto"/>
                <w:sz w:val="20"/>
                <w:szCs w:val="20"/>
                <w:highlight w:val="none"/>
                <w:u w:val="none"/>
                <w:lang w:val="en-US" w:eastAsia="zh-CN" w:bidi="ar"/>
              </w:rPr>
              <w:t xml:space="preserve">GB/T 24170.1-2023</w:t>
            </w:r>
            <w:r>
              <w:rPr>
                <w:rFonts w:hint="eastAsia" w:ascii="宋体" w:hAnsi="宋体" w:eastAsia="宋体" w:cs="宋体"/>
                <w:i w:val="0"/>
                <w:iCs w:val="0"/>
                <w:color w:val="auto"/>
                <w:sz w:val="20"/>
                <w:szCs w:val="20"/>
                <w:highlight w:val="none"/>
                <w:u w:val="none"/>
                <w:lang w:val="en-US" w:eastAsia="zh-CN" w:bidi="ar"/>
              </w:rPr>
              <w:t xml:space="preserve">《表面抗菌不锈钢第1部分:电化学法》；QB/T 2454-2013《家具五金抽屉导轨》检测标准；中性盐雾试验≥500h，镀层本身的耐腐蚀等级≥10级，镀层对基体的保护等级≥10级；乙酸盐雾试验≥250h，镀层本身的耐腐蚀等级≥10级，镀层对基体的保护等级≥10级；耐久性≥12万次检测合格，抗菌性能（抗菌率）≥99%。铰链依据QB/T 2189-2013《家具五金杯状暗铰链》；GB/T 10125 -2021《人造气氛腐蚀试验盐雾试验》； QB/T 3832-1999 《轻工产品金属镀层腐蚀试验结果的评价》；</w:t>
            </w:r>
            <w:r>
              <w:rPr>
                <w:rFonts w:hint="eastAsia" w:ascii="宋体" w:hAnsi="宋体" w:cs="宋体"/>
                <w:i w:val="0"/>
                <w:iCs w:val="0"/>
                <w:color w:val="auto"/>
                <w:sz w:val="20"/>
                <w:szCs w:val="20"/>
                <w:highlight w:val="none"/>
                <w:u w:val="none"/>
                <w:lang w:val="en-US" w:eastAsia="zh-CN" w:bidi="ar"/>
              </w:rPr>
              <w:t xml:space="preserve">GB/T 24170.1-2023</w:t>
            </w:r>
            <w:r>
              <w:rPr>
                <w:rFonts w:hint="eastAsia" w:ascii="宋体" w:hAnsi="宋体" w:eastAsia="宋体" w:cs="宋体"/>
                <w:i w:val="0"/>
                <w:iCs w:val="0"/>
                <w:color w:val="auto"/>
                <w:sz w:val="20"/>
                <w:szCs w:val="20"/>
                <w:highlight w:val="none"/>
                <w:u w:val="none"/>
                <w:lang w:val="en-US" w:eastAsia="zh-CN" w:bidi="ar"/>
              </w:rPr>
              <w:t xml:space="preserve">《表面抗菌不锈钢第1部分:电化学法》检测标准；中性盐雾试验≥500h，镀层本身的耐腐蚀等级≥10级，镀层对基体的保护等级≥10级；乙酸盐雾试验≥250h，镀层本身的耐腐蚀等级≥10级，镀层对基体的保护等级≥10级；耐久性≥12万次检测合格，安装B型试验门时，下沉量不大于1.5mm，抗菌性能（抗菌率）≥99%。</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办公椅：1.面料：选用</w:t>
            </w:r>
            <w:r>
              <w:rPr>
                <w:rFonts w:hint="eastAsia" w:ascii="宋体" w:hAnsi="宋体" w:cs="宋体"/>
                <w:i w:val="0"/>
                <w:iCs w:val="0"/>
                <w:color w:val="auto"/>
                <w:sz w:val="20"/>
                <w:szCs w:val="20"/>
                <w:highlight w:val="none"/>
                <w:u w:val="none"/>
                <w:lang w:val="en-US" w:eastAsia="zh-CN" w:bidi="ar"/>
              </w:rPr>
              <w:t xml:space="preserve">皮料</w:t>
            </w:r>
            <w:r>
              <w:rPr>
                <w:rFonts w:hint="eastAsia" w:ascii="宋体" w:hAnsi="宋体" w:eastAsia="宋体" w:cs="宋体"/>
                <w:i w:val="0"/>
                <w:iCs w:val="0"/>
                <w:color w:val="auto"/>
                <w:sz w:val="20"/>
                <w:szCs w:val="20"/>
                <w:highlight w:val="none"/>
                <w:u w:val="none"/>
                <w:lang w:val="en-US" w:eastAsia="zh-CN" w:bidi="ar"/>
              </w:rPr>
              <w:t xml:space="preserve">，厚度≥1.5mm，摩擦色牢度干擦500次≥4级，湿擦250次≥3/4级，涂层粘着牢度≥6.0N/10mm，耐折牢度（50000次）无裂纹，撕裂力≥80N，游离甲醛≤20mg/kg，挥发性有机化合物（VOC）≤10mg/kg，禁用偶氮染料≤5mg/kg，防霉菌性能不低于1级，符合GB/T 16799-2018《家具用皮革》、QB/T 4199-2011《皮革 防霉性能测试方法》标准。</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2.海绵：</w:t>
            </w:r>
            <w:r>
              <w:rPr>
                <w:rFonts w:hint="eastAsia" w:ascii="宋体" w:hAnsi="宋体" w:cs="宋体"/>
                <w:i w:val="0"/>
                <w:iCs w:val="0"/>
                <w:color w:val="auto"/>
                <w:sz w:val="20"/>
                <w:szCs w:val="20"/>
                <w:highlight w:val="none"/>
                <w:u w:val="none"/>
                <w:lang w:val="en-US" w:eastAsia="zh-CN" w:bidi="ar"/>
              </w:rPr>
              <w:t xml:space="preserve">采用阻燃高弹海绵</w:t>
            </w:r>
            <w:r>
              <w:rPr>
                <w:rFonts w:hint="eastAsia" w:ascii="宋体" w:hAnsi="宋体" w:eastAsia="宋体" w:cs="宋体"/>
                <w:i w:val="0"/>
                <w:iCs w:val="0"/>
                <w:color w:val="auto"/>
                <w:sz w:val="20"/>
                <w:szCs w:val="20"/>
                <w:highlight w:val="none"/>
                <w:u w:val="none"/>
                <w:lang w:val="en-US" w:eastAsia="zh-CN" w:bidi="ar"/>
              </w:rPr>
              <w:t xml:space="preserve">，用抽纱或丝绒覆面，表面有防腐化和防变型保护膜，回弹性高，耐用度高，防碎，防氧化，密度≥46kg/m3，回弹率≥47%，75%压缩永久变形≤5%，湿热老化后拉伸强度≥100KPa，干热老化后拉伸强度≥100KPa，甲醛释放量≤0.03mg/m2h，燃烧性能达B1级，抗疲劳力强，坐感舒适，符合</w:t>
            </w:r>
            <w:r>
              <w:rPr>
                <w:rFonts w:hint="eastAsia" w:ascii="宋体" w:hAnsi="宋体" w:cs="宋体"/>
                <w:i w:val="0"/>
                <w:iCs w:val="0"/>
                <w:color w:val="auto"/>
                <w:sz w:val="20"/>
                <w:szCs w:val="20"/>
                <w:highlight w:val="none"/>
                <w:u w:val="none"/>
                <w:lang w:val="en-US" w:eastAsia="zh-CN" w:bidi="ar"/>
              </w:rPr>
              <w:t xml:space="preserve">GB/T 10802-2023</w:t>
            </w:r>
            <w:r>
              <w:rPr>
                <w:rFonts w:hint="eastAsia" w:ascii="宋体" w:hAnsi="宋体" w:eastAsia="宋体" w:cs="宋体"/>
                <w:i w:val="0"/>
                <w:iCs w:val="0"/>
                <w:color w:val="auto"/>
                <w:sz w:val="20"/>
                <w:szCs w:val="20"/>
                <w:highlight w:val="none"/>
                <w:u w:val="none"/>
                <w:lang w:val="en-US" w:eastAsia="zh-CN" w:bidi="ar"/>
              </w:rPr>
              <w:t xml:space="preserve">《通用软质聚醚型氨酯泡沫塑料》、GB 8624-2012《建筑材料及制品燃烧性能分级》等标准。</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气压棒：升降轻便灵活，螺旋机构的升降配合良好，气动升降平稳、无漏气、无燥音，公称力Fa衰减量不大于5%，表面无剥落、返锈、毛刺，表面无烧焦、起泡、针孔、裂纹、花斑（不包括镀彩梓）和划痕，多功能底盘。</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4.脚架：钢制五星脚架。</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5.脚轮：采用增强尼龙万向脚轮，可溶性重金属可溶性铅（Pb）≤8mg/kg、可溶性汞(Hg)≤2mg/kg、可溶性铬(Cr)≤3mg/kg、可溶性镉(Cd)≤2mg/kg。</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书柜（按场地尺寸提供）：W2400×D400×H2000mm，饰面：采用三聚氰胺浸渍胶膜纸，依据</w:t>
            </w:r>
            <w:r>
              <w:rPr>
                <w:rFonts w:hint="eastAsia" w:ascii="宋体" w:hAnsi="宋体" w:cs="宋体"/>
                <w:i w:val="0"/>
                <w:iCs w:val="0"/>
                <w:color w:val="auto"/>
                <w:sz w:val="20"/>
                <w:szCs w:val="20"/>
                <w:highlight w:val="none"/>
                <w:u w:val="none"/>
                <w:lang w:val="en-US" w:eastAsia="zh-CN" w:bidi="ar"/>
              </w:rPr>
              <w:t xml:space="preserve"> GB 18584-2024</w:t>
            </w:r>
            <w:r>
              <w:rPr>
                <w:rFonts w:hint="eastAsia" w:ascii="宋体" w:hAnsi="宋体" w:eastAsia="宋体" w:cs="宋体"/>
                <w:i w:val="0"/>
                <w:iCs w:val="0"/>
                <w:color w:val="auto"/>
                <w:sz w:val="20"/>
                <w:szCs w:val="20"/>
                <w:highlight w:val="none"/>
                <w:u w:val="none"/>
                <w:lang w:val="en-US" w:eastAsia="zh-CN" w:bidi="ar"/>
              </w:rPr>
              <w:t xml:space="preserve">《室内装饰装修材料木家具中有害物质限量》；LY/T 1831-2009《人造板饰面专用装饰纸》；</w:t>
            </w:r>
            <w:r>
              <w:rPr>
                <w:rFonts w:hint="eastAsia" w:ascii="宋体" w:hAnsi="宋体" w:cs="宋体"/>
                <w:i w:val="0"/>
                <w:iCs w:val="0"/>
                <w:color w:val="auto"/>
                <w:sz w:val="20"/>
                <w:szCs w:val="20"/>
                <w:highlight w:val="none"/>
                <w:u w:val="none"/>
                <w:lang w:val="en-US" w:eastAsia="zh-CN" w:bidi="ar"/>
              </w:rPr>
              <w:t xml:space="preserve">GB/T 35601-2024</w:t>
            </w:r>
            <w:r>
              <w:rPr>
                <w:rFonts w:hint="eastAsia" w:ascii="宋体" w:hAnsi="宋体" w:eastAsia="宋体" w:cs="宋体"/>
                <w:i w:val="0"/>
                <w:iCs w:val="0"/>
                <w:color w:val="auto"/>
                <w:sz w:val="20"/>
                <w:szCs w:val="20"/>
                <w:highlight w:val="none"/>
                <w:u w:val="none"/>
                <w:lang w:val="en-US" w:eastAsia="zh-CN" w:bidi="ar"/>
              </w:rPr>
              <w:t xml:space="preserve">《绿色产品评价 人造板和木质地板》标准；耐热性1级，苯≤5㎍/m³，挥发物含量5%-9%，甲醛释放量≤0.5mg/L。 </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基材：采用不低于E0级刨花板，依据GB/T 17657-2022《人造板及饰面人造板理化性能试验方法》；GB/T 39600-2021《人造板及其制品甲醛释放量分级》；GB 18580-2017《室内装饰装修材料人造板及其制品中甲醛释放限量》；</w:t>
            </w:r>
            <w:r>
              <w:rPr>
                <w:rFonts w:hint="eastAsia" w:ascii="宋体" w:hAnsi="宋体" w:cs="宋体"/>
                <w:i w:val="0"/>
                <w:iCs w:val="0"/>
                <w:color w:val="auto"/>
                <w:sz w:val="20"/>
                <w:szCs w:val="20"/>
                <w:highlight w:val="none"/>
                <w:u w:val="none"/>
                <w:lang w:val="en-US" w:eastAsia="zh-CN" w:bidi="ar"/>
              </w:rPr>
              <w:t xml:space="preserve">GB/T 35601-2024</w:t>
            </w:r>
            <w:r>
              <w:rPr>
                <w:rFonts w:hint="eastAsia" w:ascii="宋体" w:hAnsi="宋体" w:eastAsia="宋体" w:cs="宋体"/>
                <w:i w:val="0"/>
                <w:iCs w:val="0"/>
                <w:color w:val="auto"/>
                <w:sz w:val="20"/>
                <w:szCs w:val="20"/>
                <w:highlight w:val="none"/>
                <w:u w:val="none"/>
                <w:lang w:val="en-US" w:eastAsia="zh-CN" w:bidi="ar"/>
              </w:rPr>
              <w:t xml:space="preserve">《绿色产品评价人造板和木质地板》；QB/T 4371-2012《家具抗菌性能的评价》；GB 8624-2012《建筑材料及制品燃烧性能分级》；</w:t>
            </w:r>
            <w:r>
              <w:rPr>
                <w:rFonts w:hint="eastAsia" w:ascii="宋体" w:hAnsi="宋体" w:cs="宋体"/>
                <w:i w:val="0"/>
                <w:iCs w:val="0"/>
                <w:color w:val="auto"/>
                <w:sz w:val="20"/>
                <w:szCs w:val="20"/>
                <w:highlight w:val="none"/>
                <w:u w:val="none"/>
                <w:lang w:val="en-US" w:eastAsia="zh-CN" w:bidi="ar"/>
              </w:rPr>
              <w:t xml:space="preserve"> GB 18584-2024</w:t>
            </w:r>
            <w:r>
              <w:rPr>
                <w:rFonts w:hint="eastAsia" w:ascii="宋体" w:hAnsi="宋体" w:eastAsia="宋体" w:cs="宋体"/>
                <w:i w:val="0"/>
                <w:iCs w:val="0"/>
                <w:color w:val="auto"/>
                <w:sz w:val="20"/>
                <w:szCs w:val="20"/>
                <w:highlight w:val="none"/>
                <w:u w:val="none"/>
                <w:lang w:val="en-US" w:eastAsia="zh-CN" w:bidi="ar"/>
              </w:rPr>
              <w:t xml:space="preserve">《室内装饰装修材料木家具中有害物质限量》；GB/T 4897-2015《刨花板》；外观质量至少4项检测，含水率3%～8%，静曲强度≥15MPa，弹性模量≥2000MPa，内胶合强度≥0.55MPa，表面胶合强度≥1.5MPa，2h吸水厚度膨胀率≤3%，板边握螺钉力≥1400N，板面握螺钉力≥1600N，密度≥0.75g/cm³，甲醛释放量≤0.05mg/m³，总挥发性有机化合物≤20㎍/m³，防霉菌等级0级或1级，60s内无燃烧滴落物引燃滤纸现象。</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封边：采用</w:t>
            </w:r>
            <w:r>
              <w:rPr>
                <w:rFonts w:hint="eastAsia" w:ascii="宋体" w:hAnsi="宋体" w:cs="宋体"/>
                <w:i w:val="0"/>
                <w:iCs w:val="0"/>
                <w:color w:val="auto"/>
                <w:sz w:val="20"/>
                <w:szCs w:val="20"/>
                <w:highlight w:val="none"/>
                <w:u w:val="none"/>
                <w:lang w:val="en-US" w:eastAsia="zh-CN" w:bidi="ar"/>
              </w:rPr>
              <w:t xml:space="preserve">ABS</w:t>
            </w:r>
            <w:r>
              <w:rPr>
                <w:rFonts w:hint="eastAsia" w:ascii="宋体" w:hAnsi="宋体" w:eastAsia="宋体" w:cs="宋体"/>
                <w:i w:val="0"/>
                <w:iCs w:val="0"/>
                <w:color w:val="auto"/>
                <w:sz w:val="20"/>
                <w:szCs w:val="20"/>
                <w:highlight w:val="none"/>
                <w:u w:val="none"/>
                <w:lang w:val="en-US" w:eastAsia="zh-CN" w:bidi="ar"/>
              </w:rPr>
              <w:t xml:space="preserve">激光封边条，依据</w:t>
            </w:r>
            <w:r>
              <w:rPr>
                <w:rFonts w:hint="eastAsia" w:ascii="宋体" w:hAnsi="宋体" w:cs="宋体"/>
                <w:i w:val="0"/>
                <w:iCs w:val="0"/>
                <w:color w:val="auto"/>
                <w:sz w:val="20"/>
                <w:szCs w:val="20"/>
                <w:highlight w:val="none"/>
                <w:u w:val="none"/>
                <w:lang w:val="en-US" w:eastAsia="zh-CN" w:bidi="ar"/>
              </w:rPr>
              <w:t xml:space="preserve">QB/T 4463-2025</w:t>
            </w:r>
            <w:r>
              <w:rPr>
                <w:rFonts w:hint="eastAsia" w:ascii="宋体" w:hAnsi="宋体" w:eastAsia="宋体" w:cs="宋体"/>
                <w:i w:val="0"/>
                <w:iCs w:val="0"/>
                <w:color w:val="auto"/>
                <w:sz w:val="20"/>
                <w:szCs w:val="20"/>
                <w:highlight w:val="none"/>
                <w:u w:val="none"/>
                <w:lang w:val="en-US" w:eastAsia="zh-CN" w:bidi="ar"/>
              </w:rPr>
              <w:t xml:space="preserve">《家具用封边条技术要求》；GB/T 24128-2018《塑料 塑料防霉剂的防霉效果评估》</w:t>
            </w:r>
            <w:r>
              <w:rPr>
                <w:rFonts w:hint="eastAsia" w:ascii="宋体" w:hAnsi="宋体" w:cs="宋体"/>
                <w:i w:val="0"/>
                <w:iCs w:val="0"/>
                <w:color w:val="auto"/>
                <w:sz w:val="20"/>
                <w:szCs w:val="20"/>
                <w:highlight w:val="none"/>
                <w:u w:val="none"/>
                <w:lang w:val="en-US" w:eastAsia="zh-CN" w:bidi="ar"/>
              </w:rPr>
              <w:t xml:space="preserve">；GB 18584-2024</w:t>
            </w:r>
            <w:r>
              <w:rPr>
                <w:rFonts w:hint="eastAsia" w:ascii="宋体" w:hAnsi="宋体" w:eastAsia="宋体" w:cs="宋体"/>
                <w:i w:val="0"/>
                <w:iCs w:val="0"/>
                <w:color w:val="auto"/>
                <w:sz w:val="20"/>
                <w:szCs w:val="20"/>
                <w:highlight w:val="none"/>
                <w:u w:val="none"/>
                <w:lang w:val="en-US" w:eastAsia="zh-CN" w:bidi="ar"/>
              </w:rPr>
              <w:t xml:space="preserve">《塑料家具中有害物质限量》标准；厚度≥1.8mm。压纹（压花）表面有统一的花式。耐开裂性1级，耐老化性无开裂，甲醛释放量≤0.5mg/L，防霉等级0级或1级，16种多环芳烃（PAH）总量≤5mg/kg。 </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热熔胶：选用</w:t>
            </w:r>
            <w:r>
              <w:rPr>
                <w:rFonts w:hint="eastAsia" w:ascii="宋体" w:hAnsi="宋体" w:cs="宋体"/>
                <w:i w:val="0"/>
                <w:iCs w:val="0"/>
                <w:color w:val="auto"/>
                <w:sz w:val="20"/>
                <w:szCs w:val="20"/>
                <w:highlight w:val="none"/>
                <w:u w:val="none"/>
                <w:lang w:val="en-US" w:eastAsia="zh-CN" w:bidi="ar"/>
              </w:rPr>
              <w:t xml:space="preserve">环保</w:t>
            </w:r>
            <w:r>
              <w:rPr>
                <w:rFonts w:hint="eastAsia" w:ascii="宋体" w:hAnsi="宋体" w:eastAsia="宋体" w:cs="宋体"/>
                <w:i w:val="0"/>
                <w:iCs w:val="0"/>
                <w:color w:val="auto"/>
                <w:sz w:val="20"/>
                <w:szCs w:val="20"/>
                <w:highlight w:val="none"/>
                <w:u w:val="none"/>
                <w:lang w:val="en-US" w:eastAsia="zh-CN" w:bidi="ar"/>
              </w:rPr>
              <w:t xml:space="preserve">热熔胶，依据GB18583-2008《室内装饰装修材料胶粘剂中有害物质限量》﹔HJ2541-2016《环境标志产品技术要求胶粘剂》标准；游离甲醛≤0.1g/kg，苯≤0.02g/kg，甲苯≤0.02g/kg，二甲苯≤0.02g/kg，总挥发性有机物≤5g/L，游离甲苯二异氰酸酯≤1g/kg。 </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五金配件：采用品牌五金配件，导轨依据GB/T 10125-2021《人造气氛腐蚀试验盐雾试验》；QB/T 3832- 1999《轻工产品金属镀层腐蚀试验结果的评价》； </w:t>
            </w:r>
            <w:r>
              <w:rPr>
                <w:rFonts w:hint="eastAsia" w:ascii="宋体" w:hAnsi="宋体" w:cs="宋体"/>
                <w:i w:val="0"/>
                <w:iCs w:val="0"/>
                <w:color w:val="auto"/>
                <w:sz w:val="20"/>
                <w:szCs w:val="20"/>
                <w:highlight w:val="none"/>
                <w:u w:val="none"/>
                <w:lang w:val="en-US" w:eastAsia="zh-CN" w:bidi="ar"/>
              </w:rPr>
              <w:t xml:space="preserve">GB/T 24170.1-2023</w:t>
            </w:r>
            <w:r>
              <w:rPr>
                <w:rFonts w:hint="eastAsia" w:ascii="宋体" w:hAnsi="宋体" w:eastAsia="宋体" w:cs="宋体"/>
                <w:i w:val="0"/>
                <w:iCs w:val="0"/>
                <w:color w:val="auto"/>
                <w:sz w:val="20"/>
                <w:szCs w:val="20"/>
                <w:highlight w:val="none"/>
                <w:u w:val="none"/>
                <w:lang w:val="en-US" w:eastAsia="zh-CN" w:bidi="ar"/>
              </w:rPr>
              <w:t xml:space="preserve">《表</w:t>
            </w:r>
            <w:r>
              <w:rPr>
                <w:rFonts w:hint="eastAsia" w:ascii="宋体" w:hAnsi="宋体" w:eastAsia="宋体" w:cs="宋体"/>
                <w:i w:val="0"/>
                <w:iCs w:val="0"/>
                <w:color w:val="auto"/>
                <w:sz w:val="20"/>
                <w:szCs w:val="20"/>
                <w:highlight w:val="none"/>
                <w:u w:val="none"/>
                <w:lang w:val="en-US" w:eastAsia="zh-CN" w:bidi="ar"/>
              </w:rPr>
              <w:t xml:space="preserve">面抗菌不锈钢第1部分:电化学法》； QB/T 2454-2013《家具五金抽屉导轨》检测标准；中性盐雾试验≥500h，镀层本身的耐腐蚀等级≥10级，镀层对基体的保护等级≥10级；乙酸盐雾试验≥250h，镀层本身的耐腐蚀等级≥10级，镀层对基体的保护等级≥10级；耐久性≥12万次检测合格，抗菌性能（抗菌率）≥99%。铰链依据QB/T 2189-2013《家具五金杯状暗铰链》；GB/T 10125 -2021《人造气氛腐蚀试验盐雾 试验》； QB/T 3832-1999 《轻工产品金属镀层腐蚀试验结果的评价》；</w:t>
            </w:r>
            <w:r>
              <w:rPr>
                <w:rFonts w:hint="eastAsia" w:ascii="宋体" w:hAnsi="宋体" w:cs="宋体"/>
                <w:i w:val="0"/>
                <w:iCs w:val="0"/>
                <w:color w:val="auto"/>
                <w:sz w:val="20"/>
                <w:szCs w:val="20"/>
                <w:highlight w:val="none"/>
                <w:u w:val="none"/>
                <w:lang w:val="en-US" w:eastAsia="zh-CN" w:bidi="ar"/>
              </w:rPr>
              <w:t xml:space="preserve">GB/T 24170.1-2023</w:t>
            </w:r>
            <w:r>
              <w:rPr>
                <w:rFonts w:hint="eastAsia" w:ascii="宋体" w:hAnsi="宋体" w:eastAsia="宋体" w:cs="宋体"/>
                <w:i w:val="0"/>
                <w:iCs w:val="0"/>
                <w:color w:val="auto"/>
                <w:sz w:val="20"/>
                <w:szCs w:val="20"/>
                <w:highlight w:val="none"/>
                <w:u w:val="none"/>
                <w:lang w:val="en-US" w:eastAsia="zh-CN" w:bidi="ar"/>
              </w:rPr>
              <w:t xml:space="preserve">《表面抗菌不锈钢第1部分:电化学法》检测标准；中性盐雾试验≥500h，镀层本身的耐腐蚀等级≥10级，镀层对基体的保护等级≥10级；乙酸盐雾试验≥250h，镀层本身的耐腐蚀等级≥10级，镀层对基体的保护等级≥10级；耐久性≥12万次检测合格，安装B型试验门时，下沉量不大于1.5mm，抗菌性能（抗菌率）≥99%。</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茶水柜：W800×D400×H850mm；1、饰面：采用木皮，依据</w:t>
            </w:r>
            <w:r>
              <w:rPr>
                <w:rFonts w:hint="eastAsia" w:ascii="宋体" w:hAnsi="宋体" w:cs="宋体"/>
                <w:i w:val="0"/>
                <w:iCs w:val="0"/>
                <w:color w:val="auto"/>
                <w:sz w:val="20"/>
                <w:szCs w:val="20"/>
                <w:highlight w:val="none"/>
                <w:u w:val="none"/>
                <w:lang w:val="en-US" w:eastAsia="zh-CN" w:bidi="ar"/>
              </w:rPr>
              <w:t xml:space="preserve">GB/T 35601-2024</w:t>
            </w:r>
            <w:r>
              <w:rPr>
                <w:rFonts w:hint="eastAsia" w:ascii="宋体" w:hAnsi="宋体" w:eastAsia="宋体" w:cs="宋体"/>
                <w:i w:val="0"/>
                <w:iCs w:val="0"/>
                <w:color w:val="auto"/>
                <w:sz w:val="20"/>
                <w:szCs w:val="20"/>
                <w:highlight w:val="none"/>
                <w:u w:val="none"/>
                <w:lang w:val="en-US" w:eastAsia="zh-CN" w:bidi="ar"/>
              </w:rPr>
              <w:t xml:space="preserve">《绿色产品评价人造板和木质地板》；</w:t>
            </w:r>
            <w:r>
              <w:rPr>
                <w:rFonts w:hint="eastAsia" w:ascii="宋体" w:hAnsi="宋体" w:cs="宋体"/>
                <w:i w:val="0"/>
                <w:iCs w:val="0"/>
                <w:color w:val="auto"/>
                <w:sz w:val="20"/>
                <w:szCs w:val="20"/>
                <w:highlight w:val="none"/>
                <w:u w:val="none"/>
                <w:lang w:val="en-US" w:eastAsia="zh-CN" w:bidi="ar"/>
              </w:rPr>
              <w:t xml:space="preserve"> GB 18584-2024</w:t>
            </w:r>
            <w:r>
              <w:rPr>
                <w:rFonts w:hint="eastAsia" w:ascii="宋体" w:hAnsi="宋体" w:eastAsia="宋体" w:cs="宋体"/>
                <w:i w:val="0"/>
                <w:iCs w:val="0"/>
                <w:color w:val="auto"/>
                <w:sz w:val="20"/>
                <w:szCs w:val="20"/>
                <w:highlight w:val="none"/>
                <w:u w:val="none"/>
                <w:lang w:val="en-US" w:eastAsia="zh-CN" w:bidi="ar"/>
              </w:rPr>
              <w:t xml:space="preserve">《室内装饰装修材料木家具中有害物质限量》；GB/T 13010-2020《木材工业用单板》；</w:t>
            </w:r>
            <w:r>
              <w:rPr>
                <w:rFonts w:hint="eastAsia" w:ascii="宋体" w:hAnsi="宋体" w:cs="宋体"/>
                <w:i w:val="0"/>
                <w:iCs w:val="0"/>
                <w:color w:val="auto"/>
                <w:sz w:val="20"/>
                <w:szCs w:val="20"/>
                <w:highlight w:val="none"/>
                <w:u w:val="none"/>
                <w:lang w:val="en-US" w:eastAsia="zh-CN" w:bidi="ar"/>
              </w:rPr>
              <w:t xml:space="preserve">GB/T 3324-2024</w:t>
            </w:r>
            <w:r>
              <w:rPr>
                <w:rFonts w:hint="eastAsia" w:ascii="宋体" w:hAnsi="宋体" w:eastAsia="宋体" w:cs="宋体"/>
                <w:i w:val="0"/>
                <w:iCs w:val="0"/>
                <w:color w:val="auto"/>
                <w:sz w:val="20"/>
                <w:szCs w:val="20"/>
                <w:highlight w:val="none"/>
                <w:u w:val="none"/>
                <w:lang w:val="en-US" w:eastAsia="zh-CN" w:bidi="ar"/>
              </w:rPr>
              <w:t xml:space="preserve">《木家具通用技术条件》标准；厚度≥0.6mm，总挥发性有机化合物≤20㎍/m³，甲醛释放量≤0.5mg/L，单板含水率3%～8%，无贯通裂缝、无虫蛀现象，无腐朽材。</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2、基材：采用不低于E0级高密度纤维板，依据GB/T 31765-2015《高密度纤维板》；GB/T 17657-2022《人造板及饰面人造板理化性能试验方法》；GB/T 39600-2021《人造板及其制品甲醛释放量分级》；GB 18580-2017《室内装饰装修材料人造板及其制品中甲醛释放限量》；</w:t>
            </w:r>
            <w:r>
              <w:rPr>
                <w:rFonts w:hint="eastAsia" w:ascii="宋体" w:hAnsi="宋体" w:cs="宋体"/>
                <w:i w:val="0"/>
                <w:iCs w:val="0"/>
                <w:color w:val="auto"/>
                <w:sz w:val="20"/>
                <w:szCs w:val="20"/>
                <w:highlight w:val="none"/>
                <w:u w:val="none"/>
                <w:lang w:val="en-US" w:eastAsia="zh-CN" w:bidi="ar"/>
              </w:rPr>
              <w:t xml:space="preserve">GB/T 35601-2024</w:t>
            </w:r>
            <w:r>
              <w:rPr>
                <w:rFonts w:hint="eastAsia" w:ascii="宋体" w:hAnsi="宋体" w:eastAsia="宋体" w:cs="宋体"/>
                <w:i w:val="0"/>
                <w:iCs w:val="0"/>
                <w:color w:val="auto"/>
                <w:sz w:val="20"/>
                <w:szCs w:val="20"/>
                <w:highlight w:val="none"/>
                <w:u w:val="none"/>
                <w:lang w:val="en-US" w:eastAsia="zh-CN" w:bidi="ar"/>
              </w:rPr>
              <w:t xml:space="preserve">《绿色产品评价人造板和木质地板》；JC/T 2039-2010《抗菌防霉木质装饰板》标准；无油污、斑点或异物，无边角缺损，内结合强度，表面结合强度均符合要求，密度≥0.85g/cm³，含水率3%～8%，弹性模量≥4000MPa，吸水厚度膨胀率≤3%，垂直板面握螺钉力板边≥1300N，垂直板面握螺钉力板面≥1500N，甲醛释放量≤0.03mg/m³，总挥发性有机化合物≤20㎍/m³，防霉菌等级0级或1级。</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3、封边：采用实木封边条，依据</w:t>
            </w:r>
            <w:r>
              <w:rPr>
                <w:rFonts w:hint="eastAsia" w:ascii="宋体" w:hAnsi="宋体" w:cs="宋体"/>
                <w:i w:val="0"/>
                <w:iCs w:val="0"/>
                <w:color w:val="auto"/>
                <w:sz w:val="20"/>
                <w:szCs w:val="20"/>
                <w:highlight w:val="none"/>
                <w:u w:val="none"/>
                <w:lang w:val="en-US" w:eastAsia="zh-CN" w:bidi="ar"/>
              </w:rPr>
              <w:t xml:space="preserve">QB/T 4463-2025</w:t>
            </w:r>
            <w:r>
              <w:rPr>
                <w:rFonts w:hint="eastAsia" w:ascii="宋体" w:hAnsi="宋体" w:eastAsia="宋体" w:cs="宋体"/>
                <w:i w:val="0"/>
                <w:iCs w:val="0"/>
                <w:color w:val="auto"/>
                <w:sz w:val="20"/>
                <w:szCs w:val="20"/>
                <w:highlight w:val="none"/>
                <w:u w:val="none"/>
                <w:lang w:val="en-US" w:eastAsia="zh-CN" w:bidi="ar"/>
              </w:rPr>
              <w:t xml:space="preserve">《家具用封边条技术要求》、QB/T 4371-2012《家具抗菌性能的评价》检测标准；厚度≥3mm，含水率8%～11%，甲醛释放量≤0.5mg/L，抗菌性能（抗细菌率）≥99.5%。</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4、油漆：采用环保油漆，依据GB 18581-2020《木器涂料中有害物质限量》；</w:t>
            </w:r>
            <w:r>
              <w:rPr>
                <w:rFonts w:hint="eastAsia" w:ascii="宋体" w:hAnsi="宋体" w:cs="宋体"/>
                <w:i w:val="0"/>
                <w:iCs w:val="0"/>
                <w:color w:val="auto"/>
                <w:sz w:val="20"/>
                <w:szCs w:val="20"/>
                <w:highlight w:val="none"/>
                <w:u w:val="none"/>
                <w:lang w:val="en-US" w:eastAsia="zh-CN" w:bidi="ar"/>
              </w:rPr>
              <w:t xml:space="preserve">GB/T 21866-2025</w:t>
            </w:r>
            <w:r>
              <w:rPr>
                <w:rFonts w:hint="eastAsia" w:ascii="宋体" w:hAnsi="宋体" w:eastAsia="宋体" w:cs="宋体"/>
                <w:i w:val="0"/>
                <w:iCs w:val="0"/>
                <w:color w:val="auto"/>
                <w:sz w:val="20"/>
                <w:szCs w:val="20"/>
                <w:highlight w:val="none"/>
                <w:u w:val="none"/>
                <w:lang w:val="en-US" w:eastAsia="zh-CN" w:bidi="ar"/>
              </w:rPr>
              <w:t xml:space="preserve">《抗菌涂料（漆膜）抗菌性测定法和抗菌效果》；</w:t>
            </w:r>
            <w:r>
              <w:rPr>
                <w:rFonts w:hint="eastAsia" w:ascii="宋体" w:hAnsi="宋体" w:cs="宋体"/>
                <w:i w:val="0"/>
                <w:iCs w:val="0"/>
                <w:color w:val="auto"/>
                <w:sz w:val="20"/>
                <w:szCs w:val="20"/>
                <w:highlight w:val="none"/>
                <w:u w:val="none"/>
                <w:lang w:val="en-US" w:eastAsia="zh-CN" w:bidi="ar"/>
              </w:rPr>
              <w:t xml:space="preserve">GB/T 6739-2020</w:t>
            </w:r>
            <w:r>
              <w:rPr>
                <w:rFonts w:hint="eastAsia" w:ascii="宋体" w:hAnsi="宋体" w:eastAsia="宋体" w:cs="宋体"/>
                <w:i w:val="0"/>
                <w:iCs w:val="0"/>
                <w:color w:val="auto"/>
                <w:sz w:val="20"/>
                <w:szCs w:val="20"/>
                <w:highlight w:val="none"/>
                <w:u w:val="none"/>
                <w:lang w:val="en-US" w:eastAsia="zh-CN" w:bidi="ar"/>
              </w:rPr>
              <w:t xml:space="preserve">《色漆和清漆铅笔法测定漆膜硬度》﹔GB/T 23997-2009《室内装饰装修用溶剂型聚氨酯木器涂料》；</w:t>
            </w:r>
            <w:r>
              <w:rPr>
                <w:rFonts w:hint="eastAsia" w:ascii="宋体" w:hAnsi="宋体" w:cs="宋体"/>
                <w:i w:val="0"/>
                <w:iCs w:val="0"/>
                <w:color w:val="auto"/>
                <w:sz w:val="20"/>
                <w:szCs w:val="20"/>
                <w:highlight w:val="none"/>
                <w:u w:val="none"/>
                <w:lang w:val="en-US" w:eastAsia="zh-CN" w:bidi="ar"/>
              </w:rPr>
              <w:t xml:space="preserve">HJ 2573-2016</w:t>
            </w:r>
            <w:r>
              <w:rPr>
                <w:rFonts w:hint="eastAsia" w:ascii="宋体" w:hAnsi="宋体" w:eastAsia="宋体" w:cs="宋体"/>
                <w:i w:val="0"/>
                <w:iCs w:val="0"/>
                <w:color w:val="auto"/>
                <w:sz w:val="20"/>
                <w:szCs w:val="20"/>
                <w:highlight w:val="none"/>
                <w:u w:val="none"/>
                <w:lang w:val="en-US" w:eastAsia="zh-CN" w:bidi="ar"/>
              </w:rPr>
              <w:t xml:space="preserve">《环境标志产品技术要求 室内装饰装修用溶剂型木器涂料》标准；VOC含量≤5g/L，总铅含量≤2mg/kg，镉含量≤2mg/kg，铬含量≤2mg/kg，汞含量≤2mg/kg，乙二醇醚及醚酯总和含量（限乙二醇甲醚、乙二醇甲醚醋酸酯、乙二醇乙醚、乙二醇乙醚醋酸酯、乙二醇二甲醚、乙二醇二乙醚、二乙二醇二甲醚、三乙二醇二甲醚)≤20mg/kg，苯含量≤0.1%，甲醛含量≤10mg/kg，甲苯与二甲苯（含乙苯）总和含量≤5%，多环芳烃总和含量≤1mg/kg，抗菌性能（抗细菌率）≥99.5%，附着力1级。</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5、水性胶粘剂：选用环保胶，依据GB 18583-2008《室内装饰装修材料胶粘剂中有害物质限量》；HJ 2541-2016《环境标志产品技术要求胶粘剂》标准；游离甲醛≤0.5g/kg，总挥发性有机物≤5g/L，卤代烃≤0.1g/kg。</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6、五金配件：采用品牌五金配件，导轨依据GB/T 10125-2021《人造气氛腐蚀试验盐雾试验》；QB/T 3832- 1999《轻工产品金属镀层腐蚀试验结果的评价》； </w:t>
            </w:r>
            <w:r>
              <w:rPr>
                <w:rFonts w:hint="eastAsia" w:ascii="宋体" w:hAnsi="宋体" w:cs="宋体"/>
                <w:i w:val="0"/>
                <w:iCs w:val="0"/>
                <w:color w:val="auto"/>
                <w:sz w:val="20"/>
                <w:szCs w:val="20"/>
                <w:highlight w:val="none"/>
                <w:u w:val="none"/>
                <w:lang w:val="en-US" w:eastAsia="zh-CN" w:bidi="ar"/>
              </w:rPr>
              <w:t xml:space="preserve">GB/T 24170.1-2023</w:t>
            </w:r>
            <w:r>
              <w:rPr>
                <w:rFonts w:hint="eastAsia" w:ascii="宋体" w:hAnsi="宋体" w:eastAsia="宋体" w:cs="宋体"/>
                <w:i w:val="0"/>
                <w:iCs w:val="0"/>
                <w:color w:val="auto"/>
                <w:sz w:val="20"/>
                <w:szCs w:val="20"/>
                <w:highlight w:val="none"/>
                <w:u w:val="none"/>
                <w:lang w:val="en-US" w:eastAsia="zh-CN" w:bidi="ar"/>
              </w:rPr>
              <w:t xml:space="preserve">《表</w:t>
            </w:r>
            <w:r>
              <w:rPr>
                <w:rFonts w:hint="eastAsia" w:ascii="宋体" w:hAnsi="宋体" w:eastAsia="宋体" w:cs="宋体"/>
                <w:i w:val="0"/>
                <w:iCs w:val="0"/>
                <w:color w:val="auto"/>
                <w:sz w:val="20"/>
                <w:szCs w:val="20"/>
                <w:highlight w:val="none"/>
                <w:u w:val="none"/>
                <w:lang w:val="en-US" w:eastAsia="zh-CN" w:bidi="ar"/>
              </w:rPr>
              <w:t xml:space="preserve">面抗菌不锈钢第1部分:电化学法》； QB/T 2454-2013《家具五金抽屉导轨》检测标准；中性盐雾试验≥500h，镀层本身的耐腐蚀等级≥10级，镀层对基体的保护等级≥10级；乙酸盐雾试验≥250h，镀层本身的耐腐蚀等级≥10级，镀层对基体的保护等级≥10级；耐久性≥12万次检测合格，抗菌性能（抗菌率）≥99%。铰链依据QB/T 2189-2013《家具五金杯状暗铰链》；GB/T 10125 -2021《人造气氛腐蚀试验盐雾 试验》； QB/T 3832-1999 《轻工产品金属镀层腐蚀试验结果的评价》；</w:t>
            </w:r>
            <w:r>
              <w:rPr>
                <w:rFonts w:hint="eastAsia" w:ascii="宋体" w:hAnsi="宋体" w:cs="宋体"/>
                <w:i w:val="0"/>
                <w:iCs w:val="0"/>
                <w:color w:val="auto"/>
                <w:sz w:val="20"/>
                <w:szCs w:val="20"/>
                <w:highlight w:val="none"/>
                <w:u w:val="none"/>
                <w:lang w:val="en-US" w:eastAsia="zh-CN" w:bidi="ar"/>
              </w:rPr>
              <w:t xml:space="preserve">GB/T 24170.1-2023</w:t>
            </w:r>
            <w:r>
              <w:rPr>
                <w:rFonts w:hint="eastAsia" w:ascii="宋体" w:hAnsi="宋体" w:eastAsia="宋体" w:cs="宋体"/>
                <w:i w:val="0"/>
                <w:iCs w:val="0"/>
                <w:color w:val="auto"/>
                <w:sz w:val="20"/>
                <w:szCs w:val="20"/>
                <w:highlight w:val="none"/>
                <w:u w:val="none"/>
                <w:lang w:val="en-US" w:eastAsia="zh-CN" w:bidi="ar"/>
              </w:rPr>
              <w:t xml:space="preserve">《表面抗菌不锈钢第1部分:电化学法》检测标准；中性盐雾试验≥500h，镀层本身的耐腐蚀等级≥10级，镀层对基体的保护等级≥10级；乙酸盐雾试验≥250h，镀层本身的耐腐蚀等级≥10级，镀层对基体的保护等级≥10级；耐久性≥12万次检测合格，安装B型试验门时，下沉量不大于1.5mm，抗菌性能（抗菌率）≥99%。</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保险柜：800×480×450mm,sss国标认证</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碎纸机：四级保密</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8张同碎</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铁皮柜：850*390*1800mm </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(1)采用鞍钢冷轧钢板具有抗腐蚀、抗冲击、抗老化、耐磨、经除油，除锈，酸洗，磷化，钝化等工序后模压成型；</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(2)静电喷涂，钢材使用马钢或者武钢，钢材经过酸洗磷化防锈去污处理，静电喷粉烤漆面；</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副园长室：</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班台：W1600×D780×H750mm  ，饰面：采用三聚氰胺浸渍胶膜纸，依据</w:t>
            </w:r>
            <w:r>
              <w:rPr>
                <w:rFonts w:hint="eastAsia" w:ascii="宋体" w:hAnsi="宋体" w:cs="宋体"/>
                <w:i w:val="0"/>
                <w:iCs w:val="0"/>
                <w:color w:val="auto"/>
                <w:sz w:val="20"/>
                <w:szCs w:val="20"/>
                <w:highlight w:val="none"/>
                <w:u w:val="none"/>
                <w:lang w:val="en-US" w:eastAsia="zh-CN" w:bidi="ar"/>
              </w:rPr>
              <w:t xml:space="preserve"> GB 18584-2024</w:t>
            </w:r>
            <w:r>
              <w:rPr>
                <w:rFonts w:hint="eastAsia" w:ascii="宋体" w:hAnsi="宋体" w:eastAsia="宋体" w:cs="宋体"/>
                <w:i w:val="0"/>
                <w:iCs w:val="0"/>
                <w:color w:val="auto"/>
                <w:sz w:val="20"/>
                <w:szCs w:val="20"/>
                <w:highlight w:val="none"/>
                <w:u w:val="none"/>
                <w:lang w:val="en-US" w:eastAsia="zh-CN" w:bidi="ar"/>
              </w:rPr>
              <w:t xml:space="preserve">《室内装饰装修材料木家具中有害物质限量》；LY/T 1831-2009《人造板饰面专用装饰纸》；</w:t>
            </w:r>
            <w:r>
              <w:rPr>
                <w:rFonts w:hint="eastAsia" w:ascii="宋体" w:hAnsi="宋体" w:cs="宋体"/>
                <w:i w:val="0"/>
                <w:iCs w:val="0"/>
                <w:color w:val="auto"/>
                <w:sz w:val="20"/>
                <w:szCs w:val="20"/>
                <w:highlight w:val="none"/>
                <w:u w:val="none"/>
                <w:lang w:val="en-US" w:eastAsia="zh-CN" w:bidi="ar"/>
              </w:rPr>
              <w:t xml:space="preserve">GB/T 35601-2024</w:t>
            </w:r>
            <w:r>
              <w:rPr>
                <w:rFonts w:hint="eastAsia" w:ascii="宋体" w:hAnsi="宋体" w:eastAsia="宋体" w:cs="宋体"/>
                <w:i w:val="0"/>
                <w:iCs w:val="0"/>
                <w:color w:val="auto"/>
                <w:sz w:val="20"/>
                <w:szCs w:val="20"/>
                <w:highlight w:val="none"/>
                <w:u w:val="none"/>
                <w:lang w:val="en-US" w:eastAsia="zh-CN" w:bidi="ar"/>
              </w:rPr>
              <w:t xml:space="preserve">《绿色产品评价 人造板和木质地板》标准；耐热性1级，苯≤5㎍/m³，挥发物含量5%-9%，甲醛释放量≤0.5mg/L。 </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基材：采用不低于E0级刨花板，依据GB/T 17657-2022《人造板及饰面人造板理化性能试验方法》；GB/T 39600-2021《人造板及其制品甲醛释放量分级》；GB 18580-2017《室内装饰装修材料人造板及其制品中甲醛释放限量》；</w:t>
            </w:r>
            <w:r>
              <w:rPr>
                <w:rFonts w:hint="eastAsia" w:ascii="宋体" w:hAnsi="宋体" w:cs="宋体"/>
                <w:i w:val="0"/>
                <w:iCs w:val="0"/>
                <w:color w:val="auto"/>
                <w:sz w:val="20"/>
                <w:szCs w:val="20"/>
                <w:highlight w:val="none"/>
                <w:u w:val="none"/>
                <w:lang w:val="en-US" w:eastAsia="zh-CN" w:bidi="ar"/>
              </w:rPr>
              <w:t xml:space="preserve">GB/T 35601-2024</w:t>
            </w:r>
            <w:r>
              <w:rPr>
                <w:rFonts w:hint="eastAsia" w:ascii="宋体" w:hAnsi="宋体" w:eastAsia="宋体" w:cs="宋体"/>
                <w:i w:val="0"/>
                <w:iCs w:val="0"/>
                <w:color w:val="auto"/>
                <w:sz w:val="20"/>
                <w:szCs w:val="20"/>
                <w:highlight w:val="none"/>
                <w:u w:val="none"/>
                <w:lang w:val="en-US" w:eastAsia="zh-CN" w:bidi="ar"/>
              </w:rPr>
              <w:t xml:space="preserve">《绿色产品评价人造板和木质地板》；QB/T 4371-2012《家具抗菌性能的评价》；GB 8624-2012《建筑材料及制品燃烧性能分级》；</w:t>
            </w:r>
            <w:r>
              <w:rPr>
                <w:rFonts w:hint="eastAsia" w:ascii="宋体" w:hAnsi="宋体" w:cs="宋体"/>
                <w:i w:val="0"/>
                <w:iCs w:val="0"/>
                <w:color w:val="auto"/>
                <w:sz w:val="20"/>
                <w:szCs w:val="20"/>
                <w:highlight w:val="none"/>
                <w:u w:val="none"/>
                <w:lang w:val="en-US" w:eastAsia="zh-CN" w:bidi="ar"/>
              </w:rPr>
              <w:t xml:space="preserve"> GB 18584-2024</w:t>
            </w:r>
            <w:r>
              <w:rPr>
                <w:rFonts w:hint="eastAsia" w:ascii="宋体" w:hAnsi="宋体" w:eastAsia="宋体" w:cs="宋体"/>
                <w:i w:val="0"/>
                <w:iCs w:val="0"/>
                <w:color w:val="auto"/>
                <w:sz w:val="20"/>
                <w:szCs w:val="20"/>
                <w:highlight w:val="none"/>
                <w:u w:val="none"/>
                <w:lang w:val="en-US" w:eastAsia="zh-CN" w:bidi="ar"/>
              </w:rPr>
              <w:t xml:space="preserve">《室内装饰装修材料木家具中有害物质限量》；GB/T 4897-2015《刨花板》；外观质量至少4项检测，含水率3%～8%，静曲强度≥15MPa，弹性模量≥2000MPa，内胶合强度≥0.55MPa，表面胶合强度≥1.5MPa，2h吸水厚度膨胀率≤3%，板边握螺钉力≥1400N，板面握螺钉力≥1600N，密度≥0.75g/cm³，甲醛释放量≤0.05mg/m³，总挥发性有机化合物≤20㎍/m³，防霉菌等级0级或1级，60s内无燃烧滴落物引燃滤纸现象。</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封边：采用</w:t>
            </w:r>
            <w:r>
              <w:rPr>
                <w:rFonts w:hint="eastAsia" w:ascii="宋体" w:hAnsi="宋体" w:cs="宋体"/>
                <w:i w:val="0"/>
                <w:iCs w:val="0"/>
                <w:color w:val="auto"/>
                <w:sz w:val="20"/>
                <w:szCs w:val="20"/>
                <w:highlight w:val="none"/>
                <w:u w:val="none"/>
                <w:lang w:val="en-US" w:eastAsia="zh-CN" w:bidi="ar"/>
              </w:rPr>
              <w:t xml:space="preserve">ABS</w:t>
            </w:r>
            <w:r>
              <w:rPr>
                <w:rFonts w:hint="eastAsia" w:ascii="宋体" w:hAnsi="宋体" w:eastAsia="宋体" w:cs="宋体"/>
                <w:i w:val="0"/>
                <w:iCs w:val="0"/>
                <w:color w:val="auto"/>
                <w:sz w:val="20"/>
                <w:szCs w:val="20"/>
                <w:highlight w:val="none"/>
                <w:u w:val="none"/>
                <w:lang w:val="en-US" w:eastAsia="zh-CN" w:bidi="ar"/>
              </w:rPr>
              <w:t xml:space="preserve">激光封边条，依据</w:t>
            </w:r>
            <w:r>
              <w:rPr>
                <w:rFonts w:hint="eastAsia" w:ascii="宋体" w:hAnsi="宋体" w:cs="宋体"/>
                <w:i w:val="0"/>
                <w:iCs w:val="0"/>
                <w:color w:val="auto"/>
                <w:sz w:val="20"/>
                <w:szCs w:val="20"/>
                <w:highlight w:val="none"/>
                <w:u w:val="none"/>
                <w:lang w:val="en-US" w:eastAsia="zh-CN" w:bidi="ar"/>
              </w:rPr>
              <w:t xml:space="preserve">QB/T 4463-2025</w:t>
            </w:r>
            <w:r>
              <w:rPr>
                <w:rFonts w:hint="eastAsia" w:ascii="宋体" w:hAnsi="宋体" w:eastAsia="宋体" w:cs="宋体"/>
                <w:i w:val="0"/>
                <w:iCs w:val="0"/>
                <w:color w:val="auto"/>
                <w:sz w:val="20"/>
                <w:szCs w:val="20"/>
                <w:highlight w:val="none"/>
                <w:u w:val="none"/>
                <w:lang w:val="en-US" w:eastAsia="zh-CN" w:bidi="ar"/>
              </w:rPr>
              <w:t xml:space="preserve">《家具用封边条技术要求》；GB/T 24128-2018《塑料 塑料防霉剂的防霉效果评估》</w:t>
            </w:r>
            <w:r>
              <w:rPr>
                <w:rFonts w:hint="eastAsia" w:ascii="宋体" w:hAnsi="宋体" w:cs="宋体"/>
                <w:i w:val="0"/>
                <w:iCs w:val="0"/>
                <w:color w:val="auto"/>
                <w:sz w:val="20"/>
                <w:szCs w:val="20"/>
                <w:highlight w:val="none"/>
                <w:u w:val="none"/>
                <w:lang w:val="en-US" w:eastAsia="zh-CN" w:bidi="ar"/>
              </w:rPr>
              <w:t xml:space="preserve">；GB 18584-2024</w:t>
            </w:r>
            <w:r>
              <w:rPr>
                <w:rFonts w:hint="eastAsia" w:ascii="宋体" w:hAnsi="宋体" w:eastAsia="宋体" w:cs="宋体"/>
                <w:i w:val="0"/>
                <w:iCs w:val="0"/>
                <w:color w:val="auto"/>
                <w:sz w:val="20"/>
                <w:szCs w:val="20"/>
                <w:highlight w:val="none"/>
                <w:u w:val="none"/>
                <w:lang w:val="en-US" w:eastAsia="zh-CN" w:bidi="ar"/>
              </w:rPr>
              <w:t xml:space="preserve">《塑料家具中有害物质限量》标准；厚度≥1.8mm。压纹（压花）表面有统一的花式。耐开裂性1级，耐老化性无开裂，甲醛释放量≤0.5mg/L，防霉等级0级或1级，16种多环芳烃（PAH）总量≤5mg/kg。 </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热熔胶：选用</w:t>
            </w:r>
            <w:r>
              <w:rPr>
                <w:rFonts w:hint="eastAsia" w:ascii="宋体" w:hAnsi="宋体" w:cs="宋体"/>
                <w:i w:val="0"/>
                <w:iCs w:val="0"/>
                <w:color w:val="auto"/>
                <w:sz w:val="20"/>
                <w:szCs w:val="20"/>
                <w:highlight w:val="none"/>
                <w:u w:val="none"/>
                <w:lang w:val="en-US" w:eastAsia="zh-CN" w:bidi="ar"/>
              </w:rPr>
              <w:t xml:space="preserve">环保</w:t>
            </w:r>
            <w:r>
              <w:rPr>
                <w:rFonts w:hint="eastAsia" w:ascii="宋体" w:hAnsi="宋体" w:eastAsia="宋体" w:cs="宋体"/>
                <w:i w:val="0"/>
                <w:iCs w:val="0"/>
                <w:color w:val="auto"/>
                <w:sz w:val="20"/>
                <w:szCs w:val="20"/>
                <w:highlight w:val="none"/>
                <w:u w:val="none"/>
                <w:lang w:val="en-US" w:eastAsia="zh-CN" w:bidi="ar"/>
              </w:rPr>
              <w:t xml:space="preserve">热熔胶，依据GB18583-2008《室内装饰装修材料胶粘剂中有害物质限量》﹔HJ2541-2016《环境标志产品技术要求胶粘剂》标准；游离甲醛≤0.1g/kg，苯≤0.02g/kg，甲苯≤0.02g/kg，二甲苯≤0.02g/kg，总挥发性有机物≤5g/L，游离甲苯二异氰酸酯≤1g/kg。 </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五金配件：采用品牌五金配件，导轨依据GB/T 10125-2021《人造气氛腐蚀试验盐雾试验》；QB/T 3832- 1999《轻工产品金属镀层腐蚀试验结果的评价》； </w:t>
            </w:r>
            <w:r>
              <w:rPr>
                <w:rFonts w:hint="eastAsia" w:ascii="宋体" w:hAnsi="宋体" w:cs="宋体"/>
                <w:i w:val="0"/>
                <w:iCs w:val="0"/>
                <w:color w:val="auto"/>
                <w:sz w:val="20"/>
                <w:szCs w:val="20"/>
                <w:highlight w:val="none"/>
                <w:u w:val="none"/>
                <w:lang w:val="en-US" w:eastAsia="zh-CN" w:bidi="ar"/>
              </w:rPr>
              <w:t xml:space="preserve">GB/T 24170.1-2023</w:t>
            </w:r>
            <w:r>
              <w:rPr>
                <w:rFonts w:hint="eastAsia" w:ascii="宋体" w:hAnsi="宋体" w:eastAsia="宋体" w:cs="宋体"/>
                <w:i w:val="0"/>
                <w:iCs w:val="0"/>
                <w:color w:val="auto"/>
                <w:sz w:val="20"/>
                <w:szCs w:val="20"/>
                <w:highlight w:val="none"/>
                <w:u w:val="none"/>
                <w:lang w:val="en-US" w:eastAsia="zh-CN" w:bidi="ar"/>
              </w:rPr>
              <w:t xml:space="preserve">《表</w:t>
            </w:r>
            <w:r>
              <w:rPr>
                <w:rFonts w:hint="eastAsia" w:ascii="宋体" w:hAnsi="宋体" w:eastAsia="宋体" w:cs="宋体"/>
                <w:i w:val="0"/>
                <w:iCs w:val="0"/>
                <w:color w:val="auto"/>
                <w:sz w:val="20"/>
                <w:szCs w:val="20"/>
                <w:highlight w:val="none"/>
                <w:u w:val="none"/>
                <w:lang w:val="en-US" w:eastAsia="zh-CN" w:bidi="ar"/>
              </w:rPr>
              <w:t xml:space="preserve">面抗菌不锈钢第1部分:电化学法》； QB/T 2454-2013《家具五金抽屉导轨》检测标准；中性盐雾试验≥500h，镀层本身的耐腐蚀等级≥10级，镀层对基体的保护等级≥10级；乙酸盐雾试验≥250h，镀层本身的耐腐蚀等级≥10级，镀层对基体的保护等级≥10级；耐久性≥12万次检测合格，抗菌性能（抗菌率）≥99%。铰链依据QB/T 2189-2013《家具五金杯状暗铰链》；GB/T 10125 -2021《人造气氛腐蚀试验盐雾 试验》； QB/T 3832-1999 《轻工产品金属镀层腐蚀试验结果的评价》；</w:t>
            </w:r>
            <w:r>
              <w:rPr>
                <w:rFonts w:hint="eastAsia" w:ascii="宋体" w:hAnsi="宋体" w:cs="宋体"/>
                <w:i w:val="0"/>
                <w:iCs w:val="0"/>
                <w:color w:val="auto"/>
                <w:sz w:val="20"/>
                <w:szCs w:val="20"/>
                <w:highlight w:val="none"/>
                <w:u w:val="none"/>
                <w:lang w:val="en-US" w:eastAsia="zh-CN" w:bidi="ar"/>
              </w:rPr>
              <w:t xml:space="preserve">GB/T 24170.1-2023</w:t>
            </w:r>
            <w:r>
              <w:rPr>
                <w:rFonts w:hint="eastAsia" w:ascii="宋体" w:hAnsi="宋体" w:eastAsia="宋体" w:cs="宋体"/>
                <w:i w:val="0"/>
                <w:iCs w:val="0"/>
                <w:color w:val="auto"/>
                <w:sz w:val="20"/>
                <w:szCs w:val="20"/>
                <w:highlight w:val="none"/>
                <w:u w:val="none"/>
                <w:lang w:val="en-US" w:eastAsia="zh-CN" w:bidi="ar"/>
              </w:rPr>
              <w:t xml:space="preserve">《表面抗菌不锈钢第1部分:电化学法》检测标准；中性盐雾试验≥500h，镀层本身的耐腐蚀等级≥10级，镀层对基体的保护等级≥10级；乙酸盐雾试验≥250h，镀层本身的耐腐蚀等级≥10级，镀层对基体的保护等级≥10级；耐久性≥12万次检测合格，安装B型试验门时，下沉量不大于1.5mm，抗菌性能（抗菌率）≥99%。</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办公椅：1.面料：选用</w:t>
            </w:r>
            <w:r>
              <w:rPr>
                <w:rFonts w:hint="eastAsia" w:ascii="宋体" w:hAnsi="宋体" w:cs="宋体"/>
                <w:i w:val="0"/>
                <w:iCs w:val="0"/>
                <w:color w:val="auto"/>
                <w:sz w:val="20"/>
                <w:szCs w:val="20"/>
                <w:highlight w:val="none"/>
                <w:u w:val="none"/>
                <w:lang w:val="en-US" w:eastAsia="zh-CN" w:bidi="ar"/>
              </w:rPr>
              <w:t xml:space="preserve">皮料</w:t>
            </w:r>
            <w:r>
              <w:rPr>
                <w:rFonts w:hint="eastAsia" w:ascii="宋体" w:hAnsi="宋体" w:eastAsia="宋体" w:cs="宋体"/>
                <w:i w:val="0"/>
                <w:iCs w:val="0"/>
                <w:color w:val="auto"/>
                <w:sz w:val="20"/>
                <w:szCs w:val="20"/>
                <w:highlight w:val="none"/>
                <w:u w:val="none"/>
                <w:lang w:val="en-US" w:eastAsia="zh-CN" w:bidi="ar"/>
              </w:rPr>
              <w:t xml:space="preserve">，厚度≥1.5mm，摩擦色牢度干擦500次≥4级，湿擦250次≥3/4级，涂层粘着牢度≥6.0N/10mm，耐折牢度（50000次）无裂纹，撕裂力≥80N，游离甲醛≤20mg/kg，挥发性有机化合物（VOC）≤10mg/kg，禁用偶氮染料≤5mg/kg，防霉菌性能不低于1级，符合GB/T 16799-2018《家具用皮革》、QB/T 4199-2011《皮革 防霉性能测试方法》标准。</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2.海绵：</w:t>
            </w:r>
            <w:r>
              <w:rPr>
                <w:rFonts w:hint="eastAsia" w:ascii="宋体" w:hAnsi="宋体" w:cs="宋体"/>
                <w:i w:val="0"/>
                <w:iCs w:val="0"/>
                <w:color w:val="auto"/>
                <w:sz w:val="20"/>
                <w:szCs w:val="20"/>
                <w:highlight w:val="none"/>
                <w:u w:val="none"/>
                <w:lang w:val="en-US" w:eastAsia="zh-CN" w:bidi="ar"/>
              </w:rPr>
              <w:t xml:space="preserve">采用阻燃高弹海绵</w:t>
            </w:r>
            <w:r>
              <w:rPr>
                <w:rFonts w:hint="eastAsia" w:ascii="宋体" w:hAnsi="宋体" w:eastAsia="宋体" w:cs="宋体"/>
                <w:i w:val="0"/>
                <w:iCs w:val="0"/>
                <w:color w:val="auto"/>
                <w:sz w:val="20"/>
                <w:szCs w:val="20"/>
                <w:highlight w:val="none"/>
                <w:u w:val="none"/>
                <w:lang w:val="en-US" w:eastAsia="zh-CN" w:bidi="ar"/>
              </w:rPr>
              <w:t xml:space="preserve">，用抽纱或丝绒覆面，表面有防腐化和防变型保护膜，回弹性高，耐用度高，防碎，防氧化，密度≥46kg/m3，回弹率≥47%，75%压缩永久变形≤5%，湿热老化后拉伸强度≥100KPa，干热老化后拉伸强度≥100KPa，甲醛释放量≤0.03mg/m2h，燃烧性能达B1级，抗疲劳力强，坐感舒适，符合</w:t>
            </w:r>
            <w:r>
              <w:rPr>
                <w:rFonts w:hint="eastAsia" w:ascii="宋体" w:hAnsi="宋体" w:cs="宋体"/>
                <w:i w:val="0"/>
                <w:iCs w:val="0"/>
                <w:color w:val="auto"/>
                <w:sz w:val="20"/>
                <w:szCs w:val="20"/>
                <w:highlight w:val="none"/>
                <w:u w:val="none"/>
                <w:lang w:val="en-US" w:eastAsia="zh-CN" w:bidi="ar"/>
              </w:rPr>
              <w:t xml:space="preserve">GB/T 10802-2023</w:t>
            </w:r>
            <w:r>
              <w:rPr>
                <w:rFonts w:hint="eastAsia" w:ascii="宋体" w:hAnsi="宋体" w:eastAsia="宋体" w:cs="宋体"/>
                <w:i w:val="0"/>
                <w:iCs w:val="0"/>
                <w:color w:val="auto"/>
                <w:sz w:val="20"/>
                <w:szCs w:val="20"/>
                <w:highlight w:val="none"/>
                <w:u w:val="none"/>
                <w:lang w:val="en-US" w:eastAsia="zh-CN" w:bidi="ar"/>
              </w:rPr>
              <w:t xml:space="preserve">《通用软质聚醚型氨酯泡沫塑料》、GB 8624-2012《建筑材料及制品燃烧性能分级》等标准。</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气压棒：升降轻便灵活，螺旋机构的升降配合良好，气动升降平稳、无漏气、无燥音，公称力Fa衰减量不大于5%，表面无剥落、返锈、毛刺，表面无烧焦、起泡、针孔、裂纹、花斑（不包括镀彩梓）和划痕，多功能底盘。</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4.脚架：钢制五星脚架。</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5.脚轮：采用增强尼龙万向脚轮，可溶性重金属可溶性铅（Pb）≤8mg/kg、可溶性汞(Hg)≤2mg/kg、可溶性铬(Cr)≤3mg/kg、可溶性镉(Cd)≤2mg/kg，移动杂音小，耐磨性大。</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书柜：W2400×D400×H2000mm，饰面：采用三聚氰胺浸渍胶膜纸，依据</w:t>
            </w:r>
            <w:r>
              <w:rPr>
                <w:rFonts w:hint="eastAsia" w:ascii="宋体" w:hAnsi="宋体" w:cs="宋体"/>
                <w:i w:val="0"/>
                <w:iCs w:val="0"/>
                <w:color w:val="auto"/>
                <w:sz w:val="20"/>
                <w:szCs w:val="20"/>
                <w:highlight w:val="none"/>
                <w:u w:val="none"/>
                <w:lang w:val="en-US" w:eastAsia="zh-CN" w:bidi="ar"/>
              </w:rPr>
              <w:t xml:space="preserve"> GB 18584-2024</w:t>
            </w:r>
            <w:r>
              <w:rPr>
                <w:rFonts w:hint="eastAsia" w:ascii="宋体" w:hAnsi="宋体" w:eastAsia="宋体" w:cs="宋体"/>
                <w:i w:val="0"/>
                <w:iCs w:val="0"/>
                <w:color w:val="auto"/>
                <w:sz w:val="20"/>
                <w:szCs w:val="20"/>
                <w:highlight w:val="none"/>
                <w:u w:val="none"/>
                <w:lang w:val="en-US" w:eastAsia="zh-CN" w:bidi="ar"/>
              </w:rPr>
              <w:t xml:space="preserve">《室内装饰装修材料木家具中有害物质限量》；LY/T 1831-2009《人造板饰面专用装饰纸》；</w:t>
            </w:r>
            <w:r>
              <w:rPr>
                <w:rFonts w:hint="eastAsia" w:ascii="宋体" w:hAnsi="宋体" w:cs="宋体"/>
                <w:i w:val="0"/>
                <w:iCs w:val="0"/>
                <w:color w:val="auto"/>
                <w:sz w:val="20"/>
                <w:szCs w:val="20"/>
                <w:highlight w:val="none"/>
                <w:u w:val="none"/>
                <w:lang w:val="en-US" w:eastAsia="zh-CN" w:bidi="ar"/>
              </w:rPr>
              <w:t xml:space="preserve">GB/T 35601-2024</w:t>
            </w:r>
            <w:r>
              <w:rPr>
                <w:rFonts w:hint="eastAsia" w:ascii="宋体" w:hAnsi="宋体" w:eastAsia="宋体" w:cs="宋体"/>
                <w:i w:val="0"/>
                <w:iCs w:val="0"/>
                <w:color w:val="auto"/>
                <w:sz w:val="20"/>
                <w:szCs w:val="20"/>
                <w:highlight w:val="none"/>
                <w:u w:val="none"/>
                <w:lang w:val="en-US" w:eastAsia="zh-CN" w:bidi="ar"/>
              </w:rPr>
              <w:t xml:space="preserve">《绿色产品评价 人造板和木质地板》标准；耐热性1级，苯≤5㎍/m³，挥发物含量5%-9%，甲醛释放量≤0.5mg/L。 </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基材：采用不低于E0级刨花板，依据GB/T 17657-2022《人造板及饰面人造板理化性能试验方法》；GB/T 39600-2021《人造板及其制品甲醛释放量分级》；GB 18580-2017《室内装饰装修材料人造板及其制品中甲醛释放限量》；</w:t>
            </w:r>
            <w:r>
              <w:rPr>
                <w:rFonts w:hint="eastAsia" w:ascii="宋体" w:hAnsi="宋体" w:cs="宋体"/>
                <w:i w:val="0"/>
                <w:iCs w:val="0"/>
                <w:color w:val="auto"/>
                <w:sz w:val="20"/>
                <w:szCs w:val="20"/>
                <w:highlight w:val="none"/>
                <w:u w:val="none"/>
                <w:lang w:val="en-US" w:eastAsia="zh-CN" w:bidi="ar"/>
              </w:rPr>
              <w:t xml:space="preserve">GB/T 35601-2024</w:t>
            </w:r>
            <w:r>
              <w:rPr>
                <w:rFonts w:hint="eastAsia" w:ascii="宋体" w:hAnsi="宋体" w:eastAsia="宋体" w:cs="宋体"/>
                <w:i w:val="0"/>
                <w:iCs w:val="0"/>
                <w:color w:val="auto"/>
                <w:sz w:val="20"/>
                <w:szCs w:val="20"/>
                <w:highlight w:val="none"/>
                <w:u w:val="none"/>
                <w:lang w:val="en-US" w:eastAsia="zh-CN" w:bidi="ar"/>
              </w:rPr>
              <w:t xml:space="preserve">《绿色产品评价人造板和木质地板》；QB/T 4371-2012《家具抗菌性能的评价》；GB 8624-2012《建筑材料及制品燃烧性能分级》；</w:t>
            </w:r>
            <w:r>
              <w:rPr>
                <w:rFonts w:hint="eastAsia" w:ascii="宋体" w:hAnsi="宋体" w:cs="宋体"/>
                <w:i w:val="0"/>
                <w:iCs w:val="0"/>
                <w:color w:val="auto"/>
                <w:sz w:val="20"/>
                <w:szCs w:val="20"/>
                <w:highlight w:val="none"/>
                <w:u w:val="none"/>
                <w:lang w:val="en-US" w:eastAsia="zh-CN" w:bidi="ar"/>
              </w:rPr>
              <w:t xml:space="preserve"> GB 18584-2024</w:t>
            </w:r>
            <w:r>
              <w:rPr>
                <w:rFonts w:hint="eastAsia" w:ascii="宋体" w:hAnsi="宋体" w:eastAsia="宋体" w:cs="宋体"/>
                <w:i w:val="0"/>
                <w:iCs w:val="0"/>
                <w:color w:val="auto"/>
                <w:sz w:val="20"/>
                <w:szCs w:val="20"/>
                <w:highlight w:val="none"/>
                <w:u w:val="none"/>
                <w:lang w:val="en-US" w:eastAsia="zh-CN" w:bidi="ar"/>
              </w:rPr>
              <w:t xml:space="preserve">《室内装饰装修材料木家具中有害物质限量》；GB/T 4897-2015《刨花板》；外观质量至少4项检测，含水率3%～8%，静曲强度≥15MPa，弹性模量≥2000MPa，内胶合强度≥0.55MPa，表面胶合强度≥1.5MPa，2h吸水厚度膨胀率≤3%，板边握螺钉力≥1400N，板面握螺钉力≥1600N，密度≥0.75g/cm³，甲醛释放量≤0.05mg/m³，总挥发性有机化合物≤20㎍/m³，防霉菌等级0级或1级，60s内无燃烧滴落物引燃滤纸现象。</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封边：采用</w:t>
            </w:r>
            <w:r>
              <w:rPr>
                <w:rFonts w:hint="eastAsia" w:ascii="宋体" w:hAnsi="宋体" w:cs="宋体"/>
                <w:i w:val="0"/>
                <w:iCs w:val="0"/>
                <w:color w:val="auto"/>
                <w:sz w:val="20"/>
                <w:szCs w:val="20"/>
                <w:highlight w:val="none"/>
                <w:u w:val="none"/>
                <w:lang w:val="en-US" w:eastAsia="zh-CN" w:bidi="ar"/>
              </w:rPr>
              <w:t xml:space="preserve">ABS</w:t>
            </w:r>
            <w:r>
              <w:rPr>
                <w:rFonts w:hint="eastAsia" w:ascii="宋体" w:hAnsi="宋体" w:eastAsia="宋体" w:cs="宋体"/>
                <w:i w:val="0"/>
                <w:iCs w:val="0"/>
                <w:color w:val="auto"/>
                <w:sz w:val="20"/>
                <w:szCs w:val="20"/>
                <w:highlight w:val="none"/>
                <w:u w:val="none"/>
                <w:lang w:val="en-US" w:eastAsia="zh-CN" w:bidi="ar"/>
              </w:rPr>
              <w:t xml:space="preserve">激光封边条，依据</w:t>
            </w:r>
            <w:r>
              <w:rPr>
                <w:rFonts w:hint="eastAsia" w:ascii="宋体" w:hAnsi="宋体" w:cs="宋体"/>
                <w:i w:val="0"/>
                <w:iCs w:val="0"/>
                <w:color w:val="auto"/>
                <w:sz w:val="20"/>
                <w:szCs w:val="20"/>
                <w:highlight w:val="none"/>
                <w:u w:val="none"/>
                <w:lang w:val="en-US" w:eastAsia="zh-CN" w:bidi="ar"/>
              </w:rPr>
              <w:t xml:space="preserve">QB/T 4463-2025</w:t>
            </w:r>
            <w:r>
              <w:rPr>
                <w:rFonts w:hint="eastAsia" w:ascii="宋体" w:hAnsi="宋体" w:eastAsia="宋体" w:cs="宋体"/>
                <w:i w:val="0"/>
                <w:iCs w:val="0"/>
                <w:color w:val="auto"/>
                <w:sz w:val="20"/>
                <w:szCs w:val="20"/>
                <w:highlight w:val="none"/>
                <w:u w:val="none"/>
                <w:lang w:val="en-US" w:eastAsia="zh-CN" w:bidi="ar"/>
              </w:rPr>
              <w:t xml:space="preserve">《家具用封边条技术要求》；GB/T 24128-2018《塑料 塑料防霉剂的防霉效果评估》</w:t>
            </w:r>
            <w:r>
              <w:rPr>
                <w:rFonts w:hint="eastAsia" w:ascii="宋体" w:hAnsi="宋体" w:cs="宋体"/>
                <w:i w:val="0"/>
                <w:iCs w:val="0"/>
                <w:color w:val="auto"/>
                <w:sz w:val="20"/>
                <w:szCs w:val="20"/>
                <w:highlight w:val="none"/>
                <w:u w:val="none"/>
                <w:lang w:val="en-US" w:eastAsia="zh-CN" w:bidi="ar"/>
              </w:rPr>
              <w:t xml:space="preserve">；GB 18584-2024</w:t>
            </w:r>
            <w:r>
              <w:rPr>
                <w:rFonts w:hint="eastAsia" w:ascii="宋体" w:hAnsi="宋体" w:eastAsia="宋体" w:cs="宋体"/>
                <w:i w:val="0"/>
                <w:iCs w:val="0"/>
                <w:color w:val="auto"/>
                <w:sz w:val="20"/>
                <w:szCs w:val="20"/>
                <w:highlight w:val="none"/>
                <w:u w:val="none"/>
                <w:lang w:val="en-US" w:eastAsia="zh-CN" w:bidi="ar"/>
              </w:rPr>
              <w:t xml:space="preserve">《塑料家具中有害物质限量》标准；厚度≥1.8mm。压纹（压花）表面有统一的花式。耐开裂性1级，耐老化性无开裂，甲醛释放量≤0.5mg/L，防霉等级0级或1级，16种多环芳烃（PAH）总量≤5mg/kg。 </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热熔胶：选用</w:t>
            </w:r>
            <w:r>
              <w:rPr>
                <w:rFonts w:hint="eastAsia" w:ascii="宋体" w:hAnsi="宋体" w:cs="宋体"/>
                <w:i w:val="0"/>
                <w:iCs w:val="0"/>
                <w:color w:val="auto"/>
                <w:sz w:val="20"/>
                <w:szCs w:val="20"/>
                <w:highlight w:val="none"/>
                <w:u w:val="none"/>
                <w:lang w:val="en-US" w:eastAsia="zh-CN" w:bidi="ar"/>
              </w:rPr>
              <w:t xml:space="preserve">环保</w:t>
            </w:r>
            <w:r>
              <w:rPr>
                <w:rFonts w:hint="eastAsia" w:ascii="宋体" w:hAnsi="宋体" w:eastAsia="宋体" w:cs="宋体"/>
                <w:i w:val="0"/>
                <w:iCs w:val="0"/>
                <w:color w:val="auto"/>
                <w:sz w:val="20"/>
                <w:szCs w:val="20"/>
                <w:highlight w:val="none"/>
                <w:u w:val="none"/>
                <w:lang w:val="en-US" w:eastAsia="zh-CN" w:bidi="ar"/>
              </w:rPr>
              <w:t xml:space="preserve">热熔胶，依据GB18583-2008《室内装饰装修材料胶粘剂中有害物质限量》﹔HJ2541-2016《环境标志产品技术要求胶粘剂》标准；游离甲醛≤0.1g/kg，苯≤0.02g/kg，甲苯≤0.02g/kg，二甲苯≤0.02g/kg，总挥发性有机物≤5g/L，游离甲苯二异氰酸酯≤1g/kg。 </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五金配件：采用品牌五金配件，导轨依据GB/T 10125-2021《人造气氛腐蚀试验盐雾试验》；QB/T 3832- 1999《轻工产品金属镀层腐蚀试验结果的评价》； </w:t>
            </w:r>
            <w:r>
              <w:rPr>
                <w:rFonts w:hint="eastAsia" w:ascii="宋体" w:hAnsi="宋体" w:cs="宋体"/>
                <w:i w:val="0"/>
                <w:iCs w:val="0"/>
                <w:color w:val="auto"/>
                <w:sz w:val="20"/>
                <w:szCs w:val="20"/>
                <w:highlight w:val="none"/>
                <w:u w:val="none"/>
                <w:lang w:val="en-US" w:eastAsia="zh-CN" w:bidi="ar"/>
              </w:rPr>
              <w:t xml:space="preserve">GB/T 24170.1-2023</w:t>
            </w:r>
            <w:r>
              <w:rPr>
                <w:rFonts w:hint="eastAsia" w:ascii="宋体" w:hAnsi="宋体" w:eastAsia="宋体" w:cs="宋体"/>
                <w:i w:val="0"/>
                <w:iCs w:val="0"/>
                <w:color w:val="auto"/>
                <w:sz w:val="20"/>
                <w:szCs w:val="20"/>
                <w:highlight w:val="none"/>
                <w:u w:val="none"/>
                <w:lang w:val="en-US" w:eastAsia="zh-CN" w:bidi="ar"/>
              </w:rPr>
              <w:t xml:space="preserve">《表</w:t>
            </w:r>
            <w:r>
              <w:rPr>
                <w:rFonts w:hint="eastAsia" w:ascii="宋体" w:hAnsi="宋体" w:eastAsia="宋体" w:cs="宋体"/>
                <w:i w:val="0"/>
                <w:iCs w:val="0"/>
                <w:color w:val="auto"/>
                <w:sz w:val="20"/>
                <w:szCs w:val="20"/>
                <w:highlight w:val="none"/>
                <w:u w:val="none"/>
                <w:lang w:val="en-US" w:eastAsia="zh-CN" w:bidi="ar"/>
              </w:rPr>
              <w:t xml:space="preserve">面抗菌不锈钢第1部分:电化学法》； QB/T 2454-2013《家具五金抽屉导轨》检测标准；中性盐雾试验≥500h，镀层本身的耐腐蚀等级≥10级，镀层对基体的保护等级≥10级；乙酸盐雾试验≥250h，镀层本身的耐腐蚀等级≥10级，镀层对基体的保护等级≥10级；耐久性≥12万次检测合格，抗菌性能（抗菌率）≥99%。铰链依据QB/T 2189-2013《家具五金杯状暗铰链》；GB/T 10125 -2021《人造气氛腐蚀试验盐雾 试验》； QB/T 3832-1999 《轻工产品金属镀层腐蚀试验结果的评价》；</w:t>
            </w:r>
            <w:r>
              <w:rPr>
                <w:rFonts w:hint="eastAsia" w:ascii="宋体" w:hAnsi="宋体" w:cs="宋体"/>
                <w:i w:val="0"/>
                <w:iCs w:val="0"/>
                <w:color w:val="auto"/>
                <w:sz w:val="20"/>
                <w:szCs w:val="20"/>
                <w:highlight w:val="none"/>
                <w:u w:val="none"/>
                <w:lang w:val="en-US" w:eastAsia="zh-CN" w:bidi="ar"/>
              </w:rPr>
              <w:t xml:space="preserve">GB/T 24170.1-2023</w:t>
            </w:r>
            <w:r>
              <w:rPr>
                <w:rFonts w:hint="eastAsia" w:ascii="宋体" w:hAnsi="宋体" w:eastAsia="宋体" w:cs="宋体"/>
                <w:i w:val="0"/>
                <w:iCs w:val="0"/>
                <w:color w:val="auto"/>
                <w:sz w:val="20"/>
                <w:szCs w:val="20"/>
                <w:highlight w:val="none"/>
                <w:u w:val="none"/>
                <w:lang w:val="en-US" w:eastAsia="zh-CN" w:bidi="ar"/>
              </w:rPr>
              <w:t xml:space="preserve">《表面抗菌不锈钢第1部分:电化学法》检测标准；中性盐雾试验≥500h，镀层本身的耐腐蚀等级≥10级，镀层对基体的保护等级≥10级；乙酸盐雾试验≥250h，镀层本身的耐腐蚀等级≥10级，镀层对基体的保护等级≥10级；耐久性≥12万次检测合格，安装B型试验门时，下沉量不大于1.5mm，抗菌性能（抗菌率）≥99%。</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302"/>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3+2人位沙发：面料：选用麻绒布，依据</w:t>
            </w:r>
            <w:r>
              <w:rPr>
                <w:rFonts w:hint="eastAsia" w:ascii="宋体" w:hAnsi="宋体" w:cs="宋体"/>
                <w:i w:val="0"/>
                <w:iCs w:val="0"/>
                <w:color w:val="auto"/>
                <w:sz w:val="20"/>
                <w:szCs w:val="20"/>
                <w:highlight w:val="none"/>
                <w:u w:val="none"/>
                <w:lang w:val="en-US" w:eastAsia="zh-CN" w:bidi="ar"/>
              </w:rPr>
              <w:t xml:space="preserve">GB 18401-2023</w:t>
            </w:r>
            <w:r>
              <w:rPr>
                <w:rFonts w:hint="eastAsia" w:ascii="宋体" w:hAnsi="宋体" w:eastAsia="宋体" w:cs="宋体"/>
                <w:i w:val="0"/>
                <w:iCs w:val="0"/>
                <w:color w:val="auto"/>
                <w:sz w:val="20"/>
                <w:szCs w:val="20"/>
                <w:highlight w:val="none"/>
                <w:u w:val="none"/>
                <w:lang w:val="en-US" w:eastAsia="zh-CN" w:bidi="ar"/>
              </w:rPr>
              <w:t xml:space="preserve">《国家纺织产品基本安全技术规范》；GB/T 31713-2015《抗菌纺织品安全性卫生要求》；GB/T 24346-2009《纺织品 防霉性能的评价》；</w:t>
            </w:r>
            <w:r>
              <w:rPr>
                <w:rFonts w:hint="eastAsia" w:ascii="宋体" w:hAnsi="宋体" w:cs="宋体"/>
                <w:i w:val="0"/>
                <w:iCs w:val="0"/>
                <w:color w:val="auto"/>
                <w:sz w:val="20"/>
                <w:szCs w:val="20"/>
                <w:highlight w:val="none"/>
                <w:u w:val="none"/>
                <w:lang w:val="en-US" w:eastAsia="zh-CN" w:bidi="ar"/>
              </w:rPr>
              <w:t xml:space="preserve">GB 17927-2024</w:t>
            </w:r>
            <w:r>
              <w:rPr>
                <w:rFonts w:hint="eastAsia" w:ascii="宋体" w:hAnsi="宋体" w:eastAsia="宋体" w:cs="宋体"/>
                <w:i w:val="0"/>
                <w:iCs w:val="0"/>
                <w:color w:val="auto"/>
                <w:sz w:val="20"/>
                <w:szCs w:val="20"/>
                <w:highlight w:val="none"/>
                <w:u w:val="none"/>
                <w:lang w:val="en-US" w:eastAsia="zh-CN" w:bidi="ar"/>
              </w:rPr>
              <w:t xml:space="preserve">《软体家具 床垫和沙发抗引燃特性的 评定第1部分:阴燃的香烟》；</w:t>
            </w:r>
            <w:r>
              <w:rPr>
                <w:rFonts w:hint="eastAsia" w:ascii="宋体" w:hAnsi="宋体" w:cs="宋体"/>
                <w:i w:val="0"/>
                <w:iCs w:val="0"/>
                <w:color w:val="auto"/>
                <w:sz w:val="20"/>
                <w:szCs w:val="20"/>
                <w:highlight w:val="none"/>
                <w:u w:val="none"/>
                <w:lang w:val="en-US" w:eastAsia="zh-CN" w:bidi="ar"/>
              </w:rPr>
              <w:t xml:space="preserve">GB/T 35607-2024</w:t>
            </w:r>
            <w:r>
              <w:rPr>
                <w:rFonts w:hint="eastAsia" w:ascii="宋体" w:hAnsi="宋体" w:eastAsia="宋体" w:cs="宋体"/>
                <w:i w:val="0"/>
                <w:iCs w:val="0"/>
                <w:color w:val="auto"/>
                <w:sz w:val="20"/>
                <w:szCs w:val="20"/>
                <w:highlight w:val="none"/>
                <w:u w:val="none"/>
                <w:lang w:val="en-US" w:eastAsia="zh-CN" w:bidi="ar"/>
              </w:rPr>
              <w:t xml:space="preserve">《绿色产品评价家具》；FZ/T 62011.3-2016《布艺类产品 第3部分:家具用纺织品》标准；耐水、耐酸汗渍、耐碱汗渍、耐干摩擦、耐唾液符合要求，甲醛含量≤20mg/kg，可分解致癌芳香胺染料未检出，抗菌性能（抑菌率）≥95%，抗引燃特性阻燃Ⅰ级，防霉等级0级或1级，产品有害物质（纺织品、皮革中五氯苯酚（PCP）≤ 0.5mg/kg。 </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海绵：</w:t>
            </w:r>
            <w:r>
              <w:rPr>
                <w:rFonts w:hint="eastAsia" w:ascii="宋体" w:hAnsi="宋体" w:cs="宋体"/>
                <w:i w:val="0"/>
                <w:iCs w:val="0"/>
                <w:color w:val="auto"/>
                <w:sz w:val="20"/>
                <w:szCs w:val="20"/>
                <w:highlight w:val="none"/>
                <w:u w:val="none"/>
                <w:lang w:val="en-US" w:eastAsia="zh-CN" w:bidi="ar"/>
              </w:rPr>
              <w:t xml:space="preserve">采用阻燃高弹海绵</w:t>
            </w:r>
            <w:r>
              <w:rPr>
                <w:rFonts w:hint="eastAsia" w:ascii="宋体" w:hAnsi="宋体" w:eastAsia="宋体" w:cs="宋体"/>
                <w:i w:val="0"/>
                <w:iCs w:val="0"/>
                <w:color w:val="auto"/>
                <w:sz w:val="20"/>
                <w:szCs w:val="20"/>
                <w:highlight w:val="none"/>
                <w:u w:val="none"/>
                <w:lang w:val="en-US" w:eastAsia="zh-CN" w:bidi="ar"/>
              </w:rPr>
              <w:t xml:space="preserve">，依据</w:t>
            </w:r>
            <w:r>
              <w:rPr>
                <w:rFonts w:hint="eastAsia" w:ascii="宋体" w:hAnsi="宋体" w:cs="宋体"/>
                <w:i w:val="0"/>
                <w:iCs w:val="0"/>
                <w:color w:val="auto"/>
                <w:sz w:val="20"/>
                <w:szCs w:val="20"/>
                <w:highlight w:val="none"/>
                <w:u w:val="none"/>
                <w:lang w:val="en-US" w:eastAsia="zh-CN" w:bidi="ar"/>
              </w:rPr>
              <w:t xml:space="preserve">GB/T 10802-2023</w:t>
            </w:r>
            <w:r>
              <w:rPr>
                <w:rFonts w:hint="eastAsia" w:ascii="宋体" w:hAnsi="宋体" w:eastAsia="宋体" w:cs="宋体"/>
                <w:i w:val="0"/>
                <w:iCs w:val="0"/>
                <w:color w:val="auto"/>
                <w:sz w:val="20"/>
                <w:szCs w:val="20"/>
                <w:highlight w:val="none"/>
                <w:u w:val="none"/>
                <w:lang w:val="en-US" w:eastAsia="zh-CN" w:bidi="ar"/>
              </w:rPr>
              <w:t xml:space="preserve">《通用软质聚醚型聚氨酯泡沫塑料》、QB/T 2280-2016《办公家具 办公椅》、GB/T 6343-2009《泡沫塑料及橡胶 表观密度的测定》、</w:t>
            </w:r>
            <w:r>
              <w:rPr>
                <w:rFonts w:hint="eastAsia" w:ascii="宋体" w:hAnsi="宋体" w:cs="宋体"/>
                <w:i w:val="0"/>
                <w:iCs w:val="0"/>
                <w:color w:val="auto"/>
                <w:sz w:val="20"/>
                <w:szCs w:val="20"/>
                <w:highlight w:val="none"/>
                <w:u w:val="none"/>
                <w:lang w:val="en-US" w:eastAsia="zh-CN" w:bidi="ar"/>
              </w:rPr>
              <w:t xml:space="preserve">GB 17927-2024</w:t>
            </w:r>
            <w:r>
              <w:rPr>
                <w:rFonts w:hint="eastAsia" w:ascii="宋体" w:hAnsi="宋体" w:eastAsia="宋体" w:cs="宋体"/>
                <w:i w:val="0"/>
                <w:iCs w:val="0"/>
                <w:color w:val="auto"/>
                <w:sz w:val="20"/>
                <w:szCs w:val="20"/>
                <w:highlight w:val="none"/>
                <w:u w:val="none"/>
                <w:lang w:val="en-US" w:eastAsia="zh-CN" w:bidi="ar"/>
              </w:rPr>
              <w:t xml:space="preserve">《软体家具 床垫</w:t>
            </w:r>
            <w:r>
              <w:rPr>
                <w:rFonts w:hint="eastAsia" w:ascii="宋体" w:hAnsi="宋体" w:eastAsia="宋体" w:cs="宋体"/>
                <w:i w:val="0"/>
                <w:iCs w:val="0"/>
                <w:color w:val="auto"/>
                <w:sz w:val="20"/>
                <w:szCs w:val="20"/>
                <w:highlight w:val="none"/>
                <w:u w:val="none"/>
                <w:lang w:val="en-US" w:eastAsia="zh-CN" w:bidi="ar"/>
              </w:rPr>
              <w:t xml:space="preserve">和沙发抗引燃特性的 评定第1部分：阴燃的香烟》、HJ 2547-2016《环境标志产品技术要求 家具》、QB/T 4371-2012《家具抗菌性能的评价》标准；长度、宽度极限偏差检测合格，厚度极限偏差检测合格，感官要求至少5项检测，物理力学性能（至少包含回弹率≥50%，拉伸强度≥150KPa，伸长率≥168%，撕裂强度≥4.5N/cm，干热老化后拉伸强度≥145KPa），密度≥50kg/m³，甲醛释放量≤0.03mg/m²h，TVOC≤0.05mg/m²h，抗引燃特性阻燃Ⅰ级，抗菌性能（抑菌率）≥95%。 </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绷带：依据</w:t>
            </w:r>
            <w:r>
              <w:rPr>
                <w:rFonts w:hint="eastAsia" w:ascii="宋体" w:hAnsi="宋体" w:cs="宋体"/>
                <w:i w:val="0"/>
                <w:iCs w:val="0"/>
                <w:color w:val="auto"/>
                <w:sz w:val="20"/>
                <w:szCs w:val="20"/>
                <w:highlight w:val="none"/>
                <w:u w:val="none"/>
                <w:lang w:val="en-US" w:eastAsia="zh-CN" w:bidi="ar"/>
              </w:rPr>
              <w:t xml:space="preserve">GB 18401-2023</w:t>
            </w:r>
            <w:r>
              <w:rPr>
                <w:rFonts w:hint="eastAsia" w:ascii="宋体" w:hAnsi="宋体" w:eastAsia="宋体" w:cs="宋体"/>
                <w:i w:val="0"/>
                <w:iCs w:val="0"/>
                <w:color w:val="auto"/>
                <w:sz w:val="20"/>
                <w:szCs w:val="20"/>
                <w:highlight w:val="none"/>
                <w:u w:val="none"/>
                <w:lang w:val="en-US" w:eastAsia="zh-CN" w:bidi="ar"/>
              </w:rPr>
              <w:t xml:space="preserve"> 《国家纺织产 品基本安全技术规范》；GB/T 31713-2015 《抗菌纺织品安全性卫生要求》；GB/T 20944. 2-2007《纺织品抗菌性能的评价 第2部分:吸收法》；</w:t>
            </w:r>
            <w:r>
              <w:rPr>
                <w:rFonts w:hint="eastAsia" w:ascii="宋体" w:hAnsi="宋体" w:cs="宋体"/>
                <w:i w:val="0"/>
                <w:iCs w:val="0"/>
                <w:color w:val="auto"/>
                <w:sz w:val="20"/>
                <w:szCs w:val="20"/>
                <w:highlight w:val="none"/>
                <w:u w:val="none"/>
                <w:lang w:val="en-US" w:eastAsia="zh-CN" w:bidi="ar"/>
              </w:rPr>
              <w:t xml:space="preserve">GB/T 35607-2024</w:t>
            </w:r>
            <w:r>
              <w:rPr>
                <w:rFonts w:hint="eastAsia" w:ascii="宋体" w:hAnsi="宋体" w:eastAsia="宋体" w:cs="宋体"/>
                <w:i w:val="0"/>
                <w:iCs w:val="0"/>
                <w:color w:val="auto"/>
                <w:sz w:val="20"/>
                <w:szCs w:val="20"/>
                <w:highlight w:val="none"/>
                <w:u w:val="none"/>
                <w:lang w:val="en-US" w:eastAsia="zh-CN" w:bidi="ar"/>
              </w:rPr>
              <w:t xml:space="preserve"> 《绿色产品评价家具》；HJ 2546-2016《环境标志产品技术要求纺织产品》检测标准；甲醛含量≤20mg/kg，可分解致癌芳香胺染料未检出，产品有害物质（纺织品、皮革中五氯苯酚（PCP）≤0.05mg/kg，PH值4.0～7.5，可萃取的重金属（砷、铅、钴、镍）未检出，抗菌性能（抑菌率）≥99%。</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蛇形弹簧：依据</w:t>
            </w:r>
            <w:r>
              <w:rPr>
                <w:rFonts w:hint="eastAsia" w:ascii="宋体" w:hAnsi="宋体" w:cs="宋体"/>
                <w:i w:val="0"/>
                <w:iCs w:val="0"/>
                <w:color w:val="auto"/>
                <w:sz w:val="20"/>
                <w:szCs w:val="20"/>
                <w:highlight w:val="none"/>
                <w:u w:val="none"/>
                <w:lang w:val="en-US" w:eastAsia="zh-CN" w:bidi="ar"/>
              </w:rPr>
              <w:t xml:space="preserve">GB/T 3325-2024</w:t>
            </w:r>
            <w:r>
              <w:rPr>
                <w:rFonts w:hint="eastAsia" w:ascii="宋体" w:hAnsi="宋体" w:eastAsia="宋体" w:cs="宋体"/>
                <w:i w:val="0"/>
                <w:iCs w:val="0"/>
                <w:color w:val="auto"/>
                <w:sz w:val="20"/>
                <w:szCs w:val="20"/>
                <w:highlight w:val="none"/>
                <w:u w:val="none"/>
                <w:lang w:val="en-US" w:eastAsia="zh-CN" w:bidi="ar"/>
              </w:rPr>
              <w:t xml:space="preserve">《金属家具通用技术条件》；GB/T 10125-2021《人造气氛腐蚀试验 盐雾试验》；QB/T 3832- 1999《轻工产品金属镀层腐蚀试验结果的评价》；QB/T 4371-2012《家具抗菌性能的评价》；GB/T 1741-2020 《漆膜耐霉菌性测定法》；</w:t>
            </w:r>
            <w:r>
              <w:rPr>
                <w:rFonts w:hint="eastAsia" w:ascii="宋体" w:hAnsi="宋体" w:cs="宋体"/>
                <w:i w:val="0"/>
                <w:iCs w:val="0"/>
                <w:color w:val="auto"/>
                <w:sz w:val="20"/>
                <w:szCs w:val="20"/>
                <w:highlight w:val="none"/>
                <w:u w:val="none"/>
                <w:lang w:val="en-US" w:eastAsia="zh-CN" w:bidi="ar"/>
              </w:rPr>
              <w:t xml:space="preserve">GB/T 35607-2024</w:t>
            </w:r>
            <w:r>
              <w:rPr>
                <w:rFonts w:hint="eastAsia" w:ascii="宋体" w:hAnsi="宋体" w:eastAsia="宋体" w:cs="宋体"/>
                <w:i w:val="0"/>
                <w:iCs w:val="0"/>
                <w:color w:val="auto"/>
                <w:sz w:val="20"/>
                <w:szCs w:val="20"/>
                <w:highlight w:val="none"/>
                <w:u w:val="none"/>
                <w:lang w:val="en-US" w:eastAsia="zh-CN" w:bidi="ar"/>
              </w:rPr>
              <w:t xml:space="preserve">《绿色产品评价 家具》标准；喷涂层无漏喷、锈蚀和脱色、掉色现象，乙酸盐雾试验≥220h，镀层本身的耐腐蚀等级≥10级，镀层对基体的保护等级≥10级；产品有害物质（铅、镉、汞、砷）未检出，抑菌率≥99%。</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框架：背底采用高频热压机加工成型多层弯曲木板，符合人体工程学。</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脚架：采用实木脚架。</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茶几：1200*600*450mm，饰面：采用三聚氰胺浸渍胶膜纸，依据</w:t>
            </w:r>
            <w:r>
              <w:rPr>
                <w:rFonts w:hint="eastAsia" w:ascii="宋体" w:hAnsi="宋体" w:cs="宋体"/>
                <w:i w:val="0"/>
                <w:iCs w:val="0"/>
                <w:color w:val="auto"/>
                <w:sz w:val="20"/>
                <w:szCs w:val="20"/>
                <w:highlight w:val="none"/>
                <w:u w:val="none"/>
                <w:lang w:val="en-US" w:eastAsia="zh-CN" w:bidi="ar"/>
              </w:rPr>
              <w:t xml:space="preserve"> GB 18584-2024</w:t>
            </w:r>
            <w:r>
              <w:rPr>
                <w:rFonts w:hint="eastAsia" w:ascii="宋体" w:hAnsi="宋体" w:eastAsia="宋体" w:cs="宋体"/>
                <w:i w:val="0"/>
                <w:iCs w:val="0"/>
                <w:color w:val="auto"/>
                <w:sz w:val="20"/>
                <w:szCs w:val="20"/>
                <w:highlight w:val="none"/>
                <w:u w:val="none"/>
                <w:lang w:val="en-US" w:eastAsia="zh-CN" w:bidi="ar"/>
              </w:rPr>
              <w:t xml:space="preserve">《室内装饰装修材料木家具中有害物质限量》；LY/T 1831-2009《人造板饰面专用装饰纸》；</w:t>
            </w:r>
            <w:r>
              <w:rPr>
                <w:rFonts w:hint="eastAsia" w:ascii="宋体" w:hAnsi="宋体" w:cs="宋体"/>
                <w:i w:val="0"/>
                <w:iCs w:val="0"/>
                <w:color w:val="auto"/>
                <w:sz w:val="20"/>
                <w:szCs w:val="20"/>
                <w:highlight w:val="none"/>
                <w:u w:val="none"/>
                <w:lang w:val="en-US" w:eastAsia="zh-CN" w:bidi="ar"/>
              </w:rPr>
              <w:t xml:space="preserve">GB/T 35601-2024</w:t>
            </w:r>
            <w:r>
              <w:rPr>
                <w:rFonts w:hint="eastAsia" w:ascii="宋体" w:hAnsi="宋体" w:eastAsia="宋体" w:cs="宋体"/>
                <w:i w:val="0"/>
                <w:iCs w:val="0"/>
                <w:color w:val="auto"/>
                <w:sz w:val="20"/>
                <w:szCs w:val="20"/>
                <w:highlight w:val="none"/>
                <w:u w:val="none"/>
                <w:lang w:val="en-US" w:eastAsia="zh-CN" w:bidi="ar"/>
              </w:rPr>
              <w:t xml:space="preserve">《绿色产品评价 人造板和木质地板》标准；耐热性1级，苯≤5㎍/m³，挥发物含量5%-9%，甲醛释放量≤0.5mg/L。 </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基材：采用不低于E0级刨花板，依据GB/T 17657-2022《人造板及饰面人造板理化性能试验方法》；GB/T 39600-2021《人造板及其制品甲醛释放量分级》；GB 18580-2017《室内装饰装修材料人造板及其制品中甲醛释放限量》；</w:t>
            </w:r>
            <w:r>
              <w:rPr>
                <w:rFonts w:hint="eastAsia" w:ascii="宋体" w:hAnsi="宋体" w:cs="宋体"/>
                <w:i w:val="0"/>
                <w:iCs w:val="0"/>
                <w:color w:val="auto"/>
                <w:sz w:val="20"/>
                <w:szCs w:val="20"/>
                <w:highlight w:val="none"/>
                <w:u w:val="none"/>
                <w:lang w:val="en-US" w:eastAsia="zh-CN" w:bidi="ar"/>
              </w:rPr>
              <w:t xml:space="preserve">GB/T 35601-2024</w:t>
            </w:r>
            <w:r>
              <w:rPr>
                <w:rFonts w:hint="eastAsia" w:ascii="宋体" w:hAnsi="宋体" w:eastAsia="宋体" w:cs="宋体"/>
                <w:i w:val="0"/>
                <w:iCs w:val="0"/>
                <w:color w:val="auto"/>
                <w:sz w:val="20"/>
                <w:szCs w:val="20"/>
                <w:highlight w:val="none"/>
                <w:u w:val="none"/>
                <w:lang w:val="en-US" w:eastAsia="zh-CN" w:bidi="ar"/>
              </w:rPr>
              <w:t xml:space="preserve">《绿色产品评价人造板和木质地板》；QB/T 4371-2012《家具抗菌性能的评价》；GB 8624-2012《建筑材料及制品燃烧性能分级》；</w:t>
            </w:r>
            <w:r>
              <w:rPr>
                <w:rFonts w:hint="eastAsia" w:ascii="宋体" w:hAnsi="宋体" w:cs="宋体"/>
                <w:i w:val="0"/>
                <w:iCs w:val="0"/>
                <w:color w:val="auto"/>
                <w:sz w:val="20"/>
                <w:szCs w:val="20"/>
                <w:highlight w:val="none"/>
                <w:u w:val="none"/>
                <w:lang w:val="en-US" w:eastAsia="zh-CN" w:bidi="ar"/>
              </w:rPr>
              <w:t xml:space="preserve"> GB 18584-2024</w:t>
            </w:r>
            <w:r>
              <w:rPr>
                <w:rFonts w:hint="eastAsia" w:ascii="宋体" w:hAnsi="宋体" w:eastAsia="宋体" w:cs="宋体"/>
                <w:i w:val="0"/>
                <w:iCs w:val="0"/>
                <w:color w:val="auto"/>
                <w:sz w:val="20"/>
                <w:szCs w:val="20"/>
                <w:highlight w:val="none"/>
                <w:u w:val="none"/>
                <w:lang w:val="en-US" w:eastAsia="zh-CN" w:bidi="ar"/>
              </w:rPr>
              <w:t xml:space="preserve">《室内装饰装修材料木家具中有害物质限量》；GB/T 4897-2015《刨花板》；外观质量至少4项检测，含水率3%～8%，静曲强度≥15MPa，弹性模量≥2000MPa，内胶合强度≥0.55MPa，表面胶合强度≥1.5MPa，2h吸水厚度膨胀率≤3%，板边握螺钉力≥1400N，板面握螺钉力≥1600N，密度≥0.75g/cm³，甲醛释放量≤0.05mg/m³，总挥发性有机化合物≤20㎍/m³，防霉菌等级0级或1级，60s内无燃烧滴落物引燃滤纸现象。</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封边：采用</w:t>
            </w:r>
            <w:r>
              <w:rPr>
                <w:rFonts w:hint="eastAsia" w:ascii="宋体" w:hAnsi="宋体" w:cs="宋体"/>
                <w:i w:val="0"/>
                <w:iCs w:val="0"/>
                <w:color w:val="auto"/>
                <w:sz w:val="20"/>
                <w:szCs w:val="20"/>
                <w:highlight w:val="none"/>
                <w:u w:val="none"/>
                <w:lang w:val="en-US" w:eastAsia="zh-CN" w:bidi="ar"/>
              </w:rPr>
              <w:t xml:space="preserve">ABS</w:t>
            </w:r>
            <w:r>
              <w:rPr>
                <w:rFonts w:hint="eastAsia" w:ascii="宋体" w:hAnsi="宋体" w:eastAsia="宋体" w:cs="宋体"/>
                <w:i w:val="0"/>
                <w:iCs w:val="0"/>
                <w:color w:val="auto"/>
                <w:sz w:val="20"/>
                <w:szCs w:val="20"/>
                <w:highlight w:val="none"/>
                <w:u w:val="none"/>
                <w:lang w:val="en-US" w:eastAsia="zh-CN" w:bidi="ar"/>
              </w:rPr>
              <w:t xml:space="preserve">激光封边条，依据</w:t>
            </w:r>
            <w:r>
              <w:rPr>
                <w:rFonts w:hint="eastAsia" w:ascii="宋体" w:hAnsi="宋体" w:cs="宋体"/>
                <w:i w:val="0"/>
                <w:iCs w:val="0"/>
                <w:color w:val="auto"/>
                <w:sz w:val="20"/>
                <w:szCs w:val="20"/>
                <w:highlight w:val="none"/>
                <w:u w:val="none"/>
                <w:lang w:val="en-US" w:eastAsia="zh-CN" w:bidi="ar"/>
              </w:rPr>
              <w:t xml:space="preserve">QB/T 4463-2025</w:t>
            </w:r>
            <w:r>
              <w:rPr>
                <w:rFonts w:hint="eastAsia" w:ascii="宋体" w:hAnsi="宋体" w:eastAsia="宋体" w:cs="宋体"/>
                <w:i w:val="0"/>
                <w:iCs w:val="0"/>
                <w:color w:val="auto"/>
                <w:sz w:val="20"/>
                <w:szCs w:val="20"/>
                <w:highlight w:val="none"/>
                <w:u w:val="none"/>
                <w:lang w:val="en-US" w:eastAsia="zh-CN" w:bidi="ar"/>
              </w:rPr>
              <w:t xml:space="preserve">《家具用封边条技术要求》；GB/T 24128-2018《塑料 塑料防霉剂的防霉效果评估》</w:t>
            </w:r>
            <w:r>
              <w:rPr>
                <w:rFonts w:hint="eastAsia" w:ascii="宋体" w:hAnsi="宋体" w:cs="宋体"/>
                <w:i w:val="0"/>
                <w:iCs w:val="0"/>
                <w:color w:val="auto"/>
                <w:sz w:val="20"/>
                <w:szCs w:val="20"/>
                <w:highlight w:val="none"/>
                <w:u w:val="none"/>
                <w:lang w:val="en-US" w:eastAsia="zh-CN" w:bidi="ar"/>
              </w:rPr>
              <w:t xml:space="preserve">；GB 18584-2024</w:t>
            </w:r>
            <w:r>
              <w:rPr>
                <w:rFonts w:hint="eastAsia" w:ascii="宋体" w:hAnsi="宋体" w:eastAsia="宋体" w:cs="宋体"/>
                <w:i w:val="0"/>
                <w:iCs w:val="0"/>
                <w:color w:val="auto"/>
                <w:sz w:val="20"/>
                <w:szCs w:val="20"/>
                <w:highlight w:val="none"/>
                <w:u w:val="none"/>
                <w:lang w:val="en-US" w:eastAsia="zh-CN" w:bidi="ar"/>
              </w:rPr>
              <w:t xml:space="preserve">《塑料家具中有害物质限量》标准；厚度≥1.8mm。压纹（压花）表面有统一的花式。耐开裂性1级，耐老化性无开裂，甲醛释放量≤0.5mg/L，防霉等级0级或1级，16种多环芳烃（PAH）总量≤5mg/kg。 </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热熔胶：选用</w:t>
            </w:r>
            <w:r>
              <w:rPr>
                <w:rFonts w:hint="eastAsia" w:ascii="宋体" w:hAnsi="宋体" w:cs="宋体"/>
                <w:i w:val="0"/>
                <w:iCs w:val="0"/>
                <w:color w:val="auto"/>
                <w:sz w:val="20"/>
                <w:szCs w:val="20"/>
                <w:highlight w:val="none"/>
                <w:u w:val="none"/>
                <w:lang w:val="en-US" w:eastAsia="zh-CN" w:bidi="ar"/>
              </w:rPr>
              <w:t xml:space="preserve">环保</w:t>
            </w:r>
            <w:r>
              <w:rPr>
                <w:rFonts w:hint="eastAsia" w:ascii="宋体" w:hAnsi="宋体" w:eastAsia="宋体" w:cs="宋体"/>
                <w:i w:val="0"/>
                <w:iCs w:val="0"/>
                <w:color w:val="auto"/>
                <w:sz w:val="20"/>
                <w:szCs w:val="20"/>
                <w:highlight w:val="none"/>
                <w:u w:val="none"/>
                <w:lang w:val="en-US" w:eastAsia="zh-CN" w:bidi="ar"/>
              </w:rPr>
              <w:t xml:space="preserve">热熔胶，依据GB18583-2008《室内装饰装修材料胶粘剂中有害物质限量》﹔HJ2541-2016《环境标志产品技术要求胶粘剂》标准；游离甲醛≤0.1g/kg，苯≤0.02g/kg，甲苯≤0.02g/kg，二甲苯≤0.02g/kg，总挥发性有机物≤5g/L，游离甲苯二异氰酸酯≤1g/kg。 </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五金配件：采用品牌五金配件，导轨依据GB/T 10125-2021《人造气氛腐蚀试验盐雾试验》；QB/T 3832- 1999《轻工产品金属镀层腐蚀试验结果的评价》； </w:t>
            </w:r>
            <w:r>
              <w:rPr>
                <w:rFonts w:hint="eastAsia" w:ascii="宋体" w:hAnsi="宋体" w:cs="宋体"/>
                <w:i w:val="0"/>
                <w:iCs w:val="0"/>
                <w:color w:val="auto"/>
                <w:sz w:val="20"/>
                <w:szCs w:val="20"/>
                <w:highlight w:val="none"/>
                <w:u w:val="none"/>
                <w:lang w:val="en-US" w:eastAsia="zh-CN" w:bidi="ar"/>
              </w:rPr>
              <w:t xml:space="preserve">GB/T 24170.1-2023</w:t>
            </w:r>
            <w:r>
              <w:rPr>
                <w:rFonts w:hint="eastAsia" w:ascii="宋体" w:hAnsi="宋体" w:eastAsia="宋体" w:cs="宋体"/>
                <w:i w:val="0"/>
                <w:iCs w:val="0"/>
                <w:color w:val="auto"/>
                <w:sz w:val="20"/>
                <w:szCs w:val="20"/>
                <w:highlight w:val="none"/>
                <w:u w:val="none"/>
                <w:lang w:val="en-US" w:eastAsia="zh-CN" w:bidi="ar"/>
              </w:rPr>
              <w:t xml:space="preserve">《表</w:t>
            </w:r>
            <w:r>
              <w:rPr>
                <w:rFonts w:hint="eastAsia" w:ascii="宋体" w:hAnsi="宋体" w:eastAsia="宋体" w:cs="宋体"/>
                <w:i w:val="0"/>
                <w:iCs w:val="0"/>
                <w:color w:val="auto"/>
                <w:sz w:val="20"/>
                <w:szCs w:val="20"/>
                <w:highlight w:val="none"/>
                <w:u w:val="none"/>
                <w:lang w:val="en-US" w:eastAsia="zh-CN" w:bidi="ar"/>
              </w:rPr>
              <w:t xml:space="preserve">面抗菌不锈钢第1部分:电化学法》； QB/T 2454-2013《家具五金抽屉导轨》检测标准；中性盐雾试验≥500h，镀层本身的耐腐蚀等级≥10级，镀层对基体的保护等级≥10级；乙酸盐雾试验≥250h，镀层本身的耐腐蚀等级≥10级，镀层对基体的保护等级≥10级；耐久性≥12万次检测合格，抗菌性能（抗菌率）≥99%。铰链依据QB/T 2189-2013《家具五金杯状暗铰链》；GB/T 10125 -2021《人造气氛腐蚀试验盐雾 试验》； QB/T 3832-1999 《轻工产品金属镀层腐蚀试验结果的评价》；</w:t>
            </w:r>
            <w:r>
              <w:rPr>
                <w:rFonts w:hint="eastAsia" w:ascii="宋体" w:hAnsi="宋体" w:cs="宋体"/>
                <w:i w:val="0"/>
                <w:iCs w:val="0"/>
                <w:color w:val="auto"/>
                <w:sz w:val="20"/>
                <w:szCs w:val="20"/>
                <w:highlight w:val="none"/>
                <w:u w:val="none"/>
                <w:lang w:val="en-US" w:eastAsia="zh-CN" w:bidi="ar"/>
              </w:rPr>
              <w:t xml:space="preserve">GB/T 24170.1-2023</w:t>
            </w:r>
            <w:r>
              <w:rPr>
                <w:rFonts w:hint="eastAsia" w:ascii="宋体" w:hAnsi="宋体" w:eastAsia="宋体" w:cs="宋体"/>
                <w:i w:val="0"/>
                <w:iCs w:val="0"/>
                <w:color w:val="auto"/>
                <w:sz w:val="20"/>
                <w:szCs w:val="20"/>
                <w:highlight w:val="none"/>
                <w:u w:val="none"/>
                <w:lang w:val="en-US" w:eastAsia="zh-CN" w:bidi="ar"/>
              </w:rPr>
              <w:t xml:space="preserve">《表面抗菌不锈钢第1部分:电化学法》检测标准；中性盐雾试验≥500h，镀层本身的耐腐蚀等级≥10级，镀层对基体的保护等级≥10级；乙酸盐雾试验≥250h，镀层本身的耐腐蚀等级≥10级，镀层对基体的保护等级≥10级；耐久性≥12万次检测合格，安装B型试验门时，下沉量不大于1.5mm，抗菌性能（抗菌率）≥99%。</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茶水台：W800×D400×H850mm，1、饰面：采用木皮，依据</w:t>
            </w:r>
            <w:r>
              <w:rPr>
                <w:rFonts w:hint="eastAsia" w:ascii="宋体" w:hAnsi="宋体" w:cs="宋体"/>
                <w:i w:val="0"/>
                <w:iCs w:val="0"/>
                <w:color w:val="auto"/>
                <w:sz w:val="20"/>
                <w:szCs w:val="20"/>
                <w:highlight w:val="none"/>
                <w:u w:val="none"/>
                <w:lang w:val="en-US" w:eastAsia="zh-CN" w:bidi="ar"/>
              </w:rPr>
              <w:t xml:space="preserve">GB/T 35601-2024</w:t>
            </w:r>
            <w:r>
              <w:rPr>
                <w:rFonts w:hint="eastAsia" w:ascii="宋体" w:hAnsi="宋体" w:eastAsia="宋体" w:cs="宋体"/>
                <w:i w:val="0"/>
                <w:iCs w:val="0"/>
                <w:color w:val="auto"/>
                <w:sz w:val="20"/>
                <w:szCs w:val="20"/>
                <w:highlight w:val="none"/>
                <w:u w:val="none"/>
                <w:lang w:val="en-US" w:eastAsia="zh-CN" w:bidi="ar"/>
              </w:rPr>
              <w:t xml:space="preserve">《绿色产品评价人造板和木质地板》；</w:t>
            </w:r>
            <w:r>
              <w:rPr>
                <w:rFonts w:hint="eastAsia" w:ascii="宋体" w:hAnsi="宋体" w:cs="宋体"/>
                <w:i w:val="0"/>
                <w:iCs w:val="0"/>
                <w:color w:val="auto"/>
                <w:sz w:val="20"/>
                <w:szCs w:val="20"/>
                <w:highlight w:val="none"/>
                <w:u w:val="none"/>
                <w:lang w:val="en-US" w:eastAsia="zh-CN" w:bidi="ar"/>
              </w:rPr>
              <w:t xml:space="preserve"> GB 18584-2024</w:t>
            </w:r>
            <w:r>
              <w:rPr>
                <w:rFonts w:hint="eastAsia" w:ascii="宋体" w:hAnsi="宋体" w:eastAsia="宋体" w:cs="宋体"/>
                <w:i w:val="0"/>
                <w:iCs w:val="0"/>
                <w:color w:val="auto"/>
                <w:sz w:val="20"/>
                <w:szCs w:val="20"/>
                <w:highlight w:val="none"/>
                <w:u w:val="none"/>
                <w:lang w:val="en-US" w:eastAsia="zh-CN" w:bidi="ar"/>
              </w:rPr>
              <w:t xml:space="preserve">《室内装饰装修材料木家具中有害物质限量》；GB/T 13010-2020《木材工业用单板》；</w:t>
            </w:r>
            <w:r>
              <w:rPr>
                <w:rFonts w:hint="eastAsia" w:ascii="宋体" w:hAnsi="宋体" w:cs="宋体"/>
                <w:i w:val="0"/>
                <w:iCs w:val="0"/>
                <w:color w:val="auto"/>
                <w:sz w:val="20"/>
                <w:szCs w:val="20"/>
                <w:highlight w:val="none"/>
                <w:u w:val="none"/>
                <w:lang w:val="en-US" w:eastAsia="zh-CN" w:bidi="ar"/>
              </w:rPr>
              <w:t xml:space="preserve">GB/T 3324-2024</w:t>
            </w:r>
            <w:r>
              <w:rPr>
                <w:rFonts w:hint="eastAsia" w:ascii="宋体" w:hAnsi="宋体" w:eastAsia="宋体" w:cs="宋体"/>
                <w:i w:val="0"/>
                <w:iCs w:val="0"/>
                <w:color w:val="auto"/>
                <w:sz w:val="20"/>
                <w:szCs w:val="20"/>
                <w:highlight w:val="none"/>
                <w:u w:val="none"/>
                <w:lang w:val="en-US" w:eastAsia="zh-CN" w:bidi="ar"/>
              </w:rPr>
              <w:t xml:space="preserve">《木家具通用技术条件》标准；厚度≥0.6mm，总挥发性有机化合物≤20㎍/m³，甲醛释放量≤0.5mg/L，单板含水率3%～8%，无贯通裂缝、无虫蛀现象，无腐朽材。</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2、基材：采用不低于E0级高密度纤维板，依据GB/T 31765-2015《高密度纤维板》；GB/T 17657-2022《人造板及饰面人造板理化性能试验方法》；GB/T 39600-2021《人造板及其制品甲醛释放量分级》；GB 18580-2017《室内装饰装修材料人造板及其制品中甲醛释放限量》；</w:t>
            </w:r>
            <w:r>
              <w:rPr>
                <w:rFonts w:hint="eastAsia" w:ascii="宋体" w:hAnsi="宋体" w:cs="宋体"/>
                <w:i w:val="0"/>
                <w:iCs w:val="0"/>
                <w:color w:val="auto"/>
                <w:sz w:val="20"/>
                <w:szCs w:val="20"/>
                <w:highlight w:val="none"/>
                <w:u w:val="none"/>
                <w:lang w:val="en-US" w:eastAsia="zh-CN" w:bidi="ar"/>
              </w:rPr>
              <w:t xml:space="preserve">GB/T 35601-2024</w:t>
            </w:r>
            <w:r>
              <w:rPr>
                <w:rFonts w:hint="eastAsia" w:ascii="宋体" w:hAnsi="宋体" w:eastAsia="宋体" w:cs="宋体"/>
                <w:i w:val="0"/>
                <w:iCs w:val="0"/>
                <w:color w:val="auto"/>
                <w:sz w:val="20"/>
                <w:szCs w:val="20"/>
                <w:highlight w:val="none"/>
                <w:u w:val="none"/>
                <w:lang w:val="en-US" w:eastAsia="zh-CN" w:bidi="ar"/>
              </w:rPr>
              <w:t xml:space="preserve">《绿色产品评价人造板和木质地板》；JC/T 2039-2010《抗菌防霉木质装饰板》标准；无油污、斑点或异物，无边角缺损，内结合强度，表面结合强度均符合要求，密度≥0.85g/cm³，含水率3%～8%，弹性模量≥4000MPa，吸水厚度膨胀率≤3%，垂直板面握螺钉力板边≥1300N，垂直板面握螺钉力板面≥1500N，甲醛释放量≤0.03mg/m³，总挥发性有机化合物≤20㎍/m³，防霉菌等级0级或1级。</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3、封边：采用实木封边条，依据</w:t>
            </w:r>
            <w:r>
              <w:rPr>
                <w:rFonts w:hint="eastAsia" w:ascii="宋体" w:hAnsi="宋体" w:cs="宋体"/>
                <w:i w:val="0"/>
                <w:iCs w:val="0"/>
                <w:color w:val="auto"/>
                <w:sz w:val="20"/>
                <w:szCs w:val="20"/>
                <w:highlight w:val="none"/>
                <w:u w:val="none"/>
                <w:lang w:val="en-US" w:eastAsia="zh-CN" w:bidi="ar"/>
              </w:rPr>
              <w:t xml:space="preserve">QB/T 4463-2025</w:t>
            </w:r>
            <w:r>
              <w:rPr>
                <w:rFonts w:hint="eastAsia" w:ascii="宋体" w:hAnsi="宋体" w:eastAsia="宋体" w:cs="宋体"/>
                <w:i w:val="0"/>
                <w:iCs w:val="0"/>
                <w:color w:val="auto"/>
                <w:sz w:val="20"/>
                <w:szCs w:val="20"/>
                <w:highlight w:val="none"/>
                <w:u w:val="none"/>
                <w:lang w:val="en-US" w:eastAsia="zh-CN" w:bidi="ar"/>
              </w:rPr>
              <w:t xml:space="preserve">《家具用封边条技术要求》、QB/T 4371-2012《家具抗菌性能的评价》检测标准；厚度≥3mm，含水率8%～11%，甲醛释放量≤0.5mg/L，抗菌性能（抗细菌率）≥99.5%。</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4、油漆：采用环保油漆，依据GB 18581-2020《木器涂料中有害物质限量》；</w:t>
            </w:r>
            <w:r>
              <w:rPr>
                <w:rFonts w:hint="eastAsia" w:ascii="宋体" w:hAnsi="宋体" w:cs="宋体"/>
                <w:i w:val="0"/>
                <w:iCs w:val="0"/>
                <w:color w:val="auto"/>
                <w:sz w:val="20"/>
                <w:szCs w:val="20"/>
                <w:highlight w:val="none"/>
                <w:u w:val="none"/>
                <w:lang w:val="en-US" w:eastAsia="zh-CN" w:bidi="ar"/>
              </w:rPr>
              <w:t xml:space="preserve">GB/T 21866-2025</w:t>
            </w:r>
            <w:r>
              <w:rPr>
                <w:rFonts w:hint="eastAsia" w:ascii="宋体" w:hAnsi="宋体" w:eastAsia="宋体" w:cs="宋体"/>
                <w:i w:val="0"/>
                <w:iCs w:val="0"/>
                <w:color w:val="auto"/>
                <w:sz w:val="20"/>
                <w:szCs w:val="20"/>
                <w:highlight w:val="none"/>
                <w:u w:val="none"/>
                <w:lang w:val="en-US" w:eastAsia="zh-CN" w:bidi="ar"/>
              </w:rPr>
              <w:t xml:space="preserve">《抗菌涂料（漆膜）抗菌性测定法和抗菌效果》；</w:t>
            </w:r>
            <w:r>
              <w:rPr>
                <w:rFonts w:hint="eastAsia" w:ascii="宋体" w:hAnsi="宋体" w:cs="宋体"/>
                <w:i w:val="0"/>
                <w:iCs w:val="0"/>
                <w:color w:val="auto"/>
                <w:sz w:val="20"/>
                <w:szCs w:val="20"/>
                <w:highlight w:val="none"/>
                <w:u w:val="none"/>
                <w:lang w:val="en-US" w:eastAsia="zh-CN" w:bidi="ar"/>
              </w:rPr>
              <w:t xml:space="preserve">GB/T 6739-2020</w:t>
            </w:r>
            <w:r>
              <w:rPr>
                <w:rFonts w:hint="eastAsia" w:ascii="宋体" w:hAnsi="宋体" w:eastAsia="宋体" w:cs="宋体"/>
                <w:i w:val="0"/>
                <w:iCs w:val="0"/>
                <w:color w:val="auto"/>
                <w:sz w:val="20"/>
                <w:szCs w:val="20"/>
                <w:highlight w:val="none"/>
                <w:u w:val="none"/>
                <w:lang w:val="en-US" w:eastAsia="zh-CN" w:bidi="ar"/>
              </w:rPr>
              <w:t xml:space="preserve">《色漆和清漆铅笔法测定漆膜硬度》﹔GB/T 23997-2009《室内装饰装修用溶剂型聚氨酯木器涂料》；</w:t>
            </w:r>
            <w:r>
              <w:rPr>
                <w:rFonts w:hint="eastAsia" w:ascii="宋体" w:hAnsi="宋体" w:cs="宋体"/>
                <w:i w:val="0"/>
                <w:iCs w:val="0"/>
                <w:color w:val="auto"/>
                <w:sz w:val="20"/>
                <w:szCs w:val="20"/>
                <w:highlight w:val="none"/>
                <w:u w:val="none"/>
                <w:lang w:val="en-US" w:eastAsia="zh-CN" w:bidi="ar"/>
              </w:rPr>
              <w:t xml:space="preserve">HJ 2573-2016</w:t>
            </w:r>
            <w:r>
              <w:rPr>
                <w:rFonts w:hint="eastAsia" w:ascii="宋体" w:hAnsi="宋体" w:eastAsia="宋体" w:cs="宋体"/>
                <w:i w:val="0"/>
                <w:iCs w:val="0"/>
                <w:color w:val="auto"/>
                <w:sz w:val="20"/>
                <w:szCs w:val="20"/>
                <w:highlight w:val="none"/>
                <w:u w:val="none"/>
                <w:lang w:val="en-US" w:eastAsia="zh-CN" w:bidi="ar"/>
              </w:rPr>
              <w:t xml:space="preserve">《环境标志产品技术要求 室内装饰装修用溶剂型木器涂料》标准；VOC含量≤5g/L，总铅含量≤2mg/kg，镉含量≤2mg/kg，铬含量≤2mg/kg，汞含量≤2mg/kg，乙二醇醚及醚酯总和含量（限乙二醇甲醚、乙二醇甲醚醋酸酯、乙二醇乙醚、乙二醇乙醚醋酸酯、乙二醇二甲醚、乙二醇二乙醚、二乙二醇二甲醚、三乙二醇二甲醚)≤20mg/kg，苯含量≤0.1%，甲醛含量≤10mg/kg，甲苯与二甲苯（含乙苯）总和含量≤5%，多环芳烃总和含量≤1mg/kg，抗菌性能（抗细菌率）≥99.5%，附着力1级。</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5、水性胶粘剂：选用环保胶，依据GB 18583-2008《室内装饰装修材料胶粘剂中有害物质限量》；HJ 2541-2016《环境标志产品技术要求胶粘剂》标准；游离甲醛≤0.5g/kg，总挥发性有机物≤5g/L，卤代烃≤0.1g/kg。</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6、五金配件：采用品牌五金配件，导轨依据GB/T 10125-2021《人造气氛腐蚀试验盐雾试验》；QB/T 3832- 1999《轻工产品金属镀层腐蚀试验结果的评价》； </w:t>
            </w:r>
            <w:r>
              <w:rPr>
                <w:rFonts w:hint="eastAsia" w:ascii="宋体" w:hAnsi="宋体" w:cs="宋体"/>
                <w:i w:val="0"/>
                <w:iCs w:val="0"/>
                <w:color w:val="auto"/>
                <w:sz w:val="20"/>
                <w:szCs w:val="20"/>
                <w:highlight w:val="none"/>
                <w:u w:val="none"/>
                <w:lang w:val="en-US" w:eastAsia="zh-CN" w:bidi="ar"/>
              </w:rPr>
              <w:t xml:space="preserve">GB/T 24170.1-2023</w:t>
            </w:r>
            <w:r>
              <w:rPr>
                <w:rFonts w:hint="eastAsia" w:ascii="宋体" w:hAnsi="宋体" w:eastAsia="宋体" w:cs="宋体"/>
                <w:i w:val="0"/>
                <w:iCs w:val="0"/>
                <w:color w:val="auto"/>
                <w:sz w:val="20"/>
                <w:szCs w:val="20"/>
                <w:highlight w:val="none"/>
                <w:u w:val="none"/>
                <w:lang w:val="en-US" w:eastAsia="zh-CN" w:bidi="ar"/>
              </w:rPr>
              <w:t xml:space="preserve">《表</w:t>
            </w:r>
            <w:r>
              <w:rPr>
                <w:rFonts w:hint="eastAsia" w:ascii="宋体" w:hAnsi="宋体" w:eastAsia="宋体" w:cs="宋体"/>
                <w:i w:val="0"/>
                <w:iCs w:val="0"/>
                <w:color w:val="auto"/>
                <w:sz w:val="20"/>
                <w:szCs w:val="20"/>
                <w:highlight w:val="none"/>
                <w:u w:val="none"/>
                <w:lang w:val="en-US" w:eastAsia="zh-CN" w:bidi="ar"/>
              </w:rPr>
              <w:t xml:space="preserve">面抗菌不锈钢第1部分:电化学法》； QB/T 2454-2013《家具五金抽屉导轨》检测标准；中性盐雾试验≥500h，镀层本身的耐腐蚀等级≥10级，镀层对基体的保护等级≥10级；乙酸盐雾试验≥250h，镀层本身的耐腐蚀等级≥10级，镀层对基体的保护等级≥10级；耐久性≥12万次检测合格，抗菌性能（抗菌率）≥99%。铰链依据QB/T 2189-2013《家具五金杯状暗铰链》；GB/T 10125 -2021《人造气氛腐蚀试验盐雾 试验》； QB/T 3832-1999 《轻工产品金属镀层腐蚀试验结果的评价》；</w:t>
            </w:r>
            <w:r>
              <w:rPr>
                <w:rFonts w:hint="eastAsia" w:ascii="宋体" w:hAnsi="宋体" w:cs="宋体"/>
                <w:i w:val="0"/>
                <w:iCs w:val="0"/>
                <w:color w:val="auto"/>
                <w:sz w:val="20"/>
                <w:szCs w:val="20"/>
                <w:highlight w:val="none"/>
                <w:u w:val="none"/>
                <w:lang w:val="en-US" w:eastAsia="zh-CN" w:bidi="ar"/>
              </w:rPr>
              <w:t xml:space="preserve">GB/T 24170.1-2023</w:t>
            </w:r>
            <w:r>
              <w:rPr>
                <w:rFonts w:hint="eastAsia" w:ascii="宋体" w:hAnsi="宋体" w:eastAsia="宋体" w:cs="宋体"/>
                <w:i w:val="0"/>
                <w:iCs w:val="0"/>
                <w:color w:val="auto"/>
                <w:sz w:val="20"/>
                <w:szCs w:val="20"/>
                <w:highlight w:val="none"/>
                <w:u w:val="none"/>
                <w:lang w:val="en-US" w:eastAsia="zh-CN" w:bidi="ar"/>
              </w:rPr>
              <w:t xml:space="preserve">《表面抗菌不锈钢第1部分:电化学法》检测标准；中性盐雾试验≥500h，镀层本身的耐腐蚀等级≥10级，镀层对基体的保护等级≥10级；乙酸盐雾试验≥250h，镀层本身的耐腐蚀等级≥10级，镀层对基体的保护等级≥10级；耐久性≥12万次检测合格，安装B型试验门时，下沉量不大于1.5mm，抗菌性能（抗菌率）≥99%。</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会议桌：W3500×1D400×H750mm，饰面：采用三聚氰胺浸渍胶膜纸，依据</w:t>
            </w:r>
            <w:r>
              <w:rPr>
                <w:rFonts w:hint="eastAsia" w:ascii="宋体" w:hAnsi="宋体" w:cs="宋体"/>
                <w:i w:val="0"/>
                <w:iCs w:val="0"/>
                <w:color w:val="auto"/>
                <w:sz w:val="20"/>
                <w:szCs w:val="20"/>
                <w:highlight w:val="none"/>
                <w:u w:val="none"/>
                <w:lang w:val="en-US" w:eastAsia="zh-CN" w:bidi="ar"/>
              </w:rPr>
              <w:t xml:space="preserve"> GB 18584-2024</w:t>
            </w:r>
            <w:r>
              <w:rPr>
                <w:rFonts w:hint="eastAsia" w:ascii="宋体" w:hAnsi="宋体" w:eastAsia="宋体" w:cs="宋体"/>
                <w:i w:val="0"/>
                <w:iCs w:val="0"/>
                <w:color w:val="auto"/>
                <w:sz w:val="20"/>
                <w:szCs w:val="20"/>
                <w:highlight w:val="none"/>
                <w:u w:val="none"/>
                <w:lang w:val="en-US" w:eastAsia="zh-CN" w:bidi="ar"/>
              </w:rPr>
              <w:t xml:space="preserve">《室内装饰装修材料木家具中有害物质限量》；LY/T 1831-2009《人造板饰面专用装饰纸》；</w:t>
            </w:r>
            <w:r>
              <w:rPr>
                <w:rFonts w:hint="eastAsia" w:ascii="宋体" w:hAnsi="宋体" w:cs="宋体"/>
                <w:i w:val="0"/>
                <w:iCs w:val="0"/>
                <w:color w:val="auto"/>
                <w:sz w:val="20"/>
                <w:szCs w:val="20"/>
                <w:highlight w:val="none"/>
                <w:u w:val="none"/>
                <w:lang w:val="en-US" w:eastAsia="zh-CN" w:bidi="ar"/>
              </w:rPr>
              <w:t xml:space="preserve">GB/T 35601-2024</w:t>
            </w:r>
            <w:r>
              <w:rPr>
                <w:rFonts w:hint="eastAsia" w:ascii="宋体" w:hAnsi="宋体" w:eastAsia="宋体" w:cs="宋体"/>
                <w:i w:val="0"/>
                <w:iCs w:val="0"/>
                <w:color w:val="auto"/>
                <w:sz w:val="20"/>
                <w:szCs w:val="20"/>
                <w:highlight w:val="none"/>
                <w:u w:val="none"/>
                <w:lang w:val="en-US" w:eastAsia="zh-CN" w:bidi="ar"/>
              </w:rPr>
              <w:t xml:space="preserve">《绿色产品评价 人造板和木质地板》标准；耐热性1级，苯≤5㎍/m³，挥发物含量5%-9%，甲醛释放量≤0.5mg/L。 </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基材：采用不低于E0级刨花板，依据GB/T 17657-2022《人造板及饰面人造板理化性能试验方法》；GB/T 39600-2021《人造板及其制品甲醛释放量分级》；GB 18580-2017《室内装饰装修材料人造板及其制品中甲醛释放限量》；</w:t>
            </w:r>
            <w:r>
              <w:rPr>
                <w:rFonts w:hint="eastAsia" w:ascii="宋体" w:hAnsi="宋体" w:cs="宋体"/>
                <w:i w:val="0"/>
                <w:iCs w:val="0"/>
                <w:color w:val="auto"/>
                <w:sz w:val="20"/>
                <w:szCs w:val="20"/>
                <w:highlight w:val="none"/>
                <w:u w:val="none"/>
                <w:lang w:val="en-US" w:eastAsia="zh-CN" w:bidi="ar"/>
              </w:rPr>
              <w:t xml:space="preserve">GB/T 35601-2024</w:t>
            </w:r>
            <w:r>
              <w:rPr>
                <w:rFonts w:hint="eastAsia" w:ascii="宋体" w:hAnsi="宋体" w:eastAsia="宋体" w:cs="宋体"/>
                <w:i w:val="0"/>
                <w:iCs w:val="0"/>
                <w:color w:val="auto"/>
                <w:sz w:val="20"/>
                <w:szCs w:val="20"/>
                <w:highlight w:val="none"/>
                <w:u w:val="none"/>
                <w:lang w:val="en-US" w:eastAsia="zh-CN" w:bidi="ar"/>
              </w:rPr>
              <w:t xml:space="preserve">《绿色产品评价人造板和木质地板》；QB/T 4371-2012《家具抗菌性能的评价》；GB 8624-2012《建筑材料及制品燃烧性能分级》；</w:t>
            </w:r>
            <w:r>
              <w:rPr>
                <w:rFonts w:hint="eastAsia" w:ascii="宋体" w:hAnsi="宋体" w:cs="宋体"/>
                <w:i w:val="0"/>
                <w:iCs w:val="0"/>
                <w:color w:val="auto"/>
                <w:sz w:val="20"/>
                <w:szCs w:val="20"/>
                <w:highlight w:val="none"/>
                <w:u w:val="none"/>
                <w:lang w:val="en-US" w:eastAsia="zh-CN" w:bidi="ar"/>
              </w:rPr>
              <w:t xml:space="preserve"> GB 18584-2024</w:t>
            </w:r>
            <w:r>
              <w:rPr>
                <w:rFonts w:hint="eastAsia" w:ascii="宋体" w:hAnsi="宋体" w:eastAsia="宋体" w:cs="宋体"/>
                <w:i w:val="0"/>
                <w:iCs w:val="0"/>
                <w:color w:val="auto"/>
                <w:sz w:val="20"/>
                <w:szCs w:val="20"/>
                <w:highlight w:val="none"/>
                <w:u w:val="none"/>
                <w:lang w:val="en-US" w:eastAsia="zh-CN" w:bidi="ar"/>
              </w:rPr>
              <w:t xml:space="preserve">《室内装饰装修材料木家具中有害物质限量》；GB/T 4897-2015《刨花板》；外观质量至少4项检测，含水率3%～8%，静曲强度≥15MPa，弹性模量≥2000MPa，内胶合强度≥0.55MPa，表面胶合强度≥1.5MPa，2h吸水厚度膨胀率≤3%，板边握螺钉力≥1400N，板面握螺钉力≥1600N，密度≥0.75g/cm³，甲醛释放量≤0.05mg/m³，总挥发性有机化合物≤20㎍/m³，防霉菌等级0级或1级，60s内无燃烧滴落物引燃滤纸现象。</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封边：采用</w:t>
            </w:r>
            <w:r>
              <w:rPr>
                <w:rFonts w:hint="eastAsia" w:ascii="宋体" w:hAnsi="宋体" w:cs="宋体"/>
                <w:i w:val="0"/>
                <w:iCs w:val="0"/>
                <w:color w:val="auto"/>
                <w:sz w:val="20"/>
                <w:szCs w:val="20"/>
                <w:highlight w:val="none"/>
                <w:u w:val="none"/>
                <w:lang w:val="en-US" w:eastAsia="zh-CN" w:bidi="ar"/>
              </w:rPr>
              <w:t xml:space="preserve">ABS</w:t>
            </w:r>
            <w:r>
              <w:rPr>
                <w:rFonts w:hint="eastAsia" w:ascii="宋体" w:hAnsi="宋体" w:eastAsia="宋体" w:cs="宋体"/>
                <w:i w:val="0"/>
                <w:iCs w:val="0"/>
                <w:color w:val="auto"/>
                <w:sz w:val="20"/>
                <w:szCs w:val="20"/>
                <w:highlight w:val="none"/>
                <w:u w:val="none"/>
                <w:lang w:val="en-US" w:eastAsia="zh-CN" w:bidi="ar"/>
              </w:rPr>
              <w:t xml:space="preserve">激光封边条，依据</w:t>
            </w:r>
            <w:r>
              <w:rPr>
                <w:rFonts w:hint="eastAsia" w:ascii="宋体" w:hAnsi="宋体" w:cs="宋体"/>
                <w:i w:val="0"/>
                <w:iCs w:val="0"/>
                <w:color w:val="auto"/>
                <w:sz w:val="20"/>
                <w:szCs w:val="20"/>
                <w:highlight w:val="none"/>
                <w:u w:val="none"/>
                <w:lang w:val="en-US" w:eastAsia="zh-CN" w:bidi="ar"/>
              </w:rPr>
              <w:t xml:space="preserve">QB/T 4463-2025</w:t>
            </w:r>
            <w:r>
              <w:rPr>
                <w:rFonts w:hint="eastAsia" w:ascii="宋体" w:hAnsi="宋体" w:eastAsia="宋体" w:cs="宋体"/>
                <w:i w:val="0"/>
                <w:iCs w:val="0"/>
                <w:color w:val="auto"/>
                <w:sz w:val="20"/>
                <w:szCs w:val="20"/>
                <w:highlight w:val="none"/>
                <w:u w:val="none"/>
                <w:lang w:val="en-US" w:eastAsia="zh-CN" w:bidi="ar"/>
              </w:rPr>
              <w:t xml:space="preserve">《家具用封边条技术要求》；GB/T 24128-2018《塑料 塑料防霉剂的防霉效果评估》</w:t>
            </w:r>
            <w:r>
              <w:rPr>
                <w:rFonts w:hint="eastAsia" w:ascii="宋体" w:hAnsi="宋体" w:cs="宋体"/>
                <w:i w:val="0"/>
                <w:iCs w:val="0"/>
                <w:color w:val="auto"/>
                <w:sz w:val="20"/>
                <w:szCs w:val="20"/>
                <w:highlight w:val="none"/>
                <w:u w:val="none"/>
                <w:lang w:val="en-US" w:eastAsia="zh-CN" w:bidi="ar"/>
              </w:rPr>
              <w:t xml:space="preserve">；GB 18584-2024</w:t>
            </w:r>
            <w:r>
              <w:rPr>
                <w:rFonts w:hint="eastAsia" w:ascii="宋体" w:hAnsi="宋体" w:eastAsia="宋体" w:cs="宋体"/>
                <w:i w:val="0"/>
                <w:iCs w:val="0"/>
                <w:color w:val="auto"/>
                <w:sz w:val="20"/>
                <w:szCs w:val="20"/>
                <w:highlight w:val="none"/>
                <w:u w:val="none"/>
                <w:lang w:val="en-US" w:eastAsia="zh-CN" w:bidi="ar"/>
              </w:rPr>
              <w:t xml:space="preserve">《塑料家具中有害物质限量》标准；厚度≥1.8mm。压纹（压花）表面有统一的花式。耐开裂性1级，耐老化性无开裂，甲醛释放量≤0.5mg/L，防霉等级0级或1级，16种多环芳烃（PAH）总量≤5mg/kg。 </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热熔胶：选用</w:t>
            </w:r>
            <w:r>
              <w:rPr>
                <w:rFonts w:hint="eastAsia" w:ascii="宋体" w:hAnsi="宋体" w:cs="宋体"/>
                <w:i w:val="0"/>
                <w:iCs w:val="0"/>
                <w:color w:val="auto"/>
                <w:sz w:val="20"/>
                <w:szCs w:val="20"/>
                <w:highlight w:val="none"/>
                <w:u w:val="none"/>
                <w:lang w:val="en-US" w:eastAsia="zh-CN" w:bidi="ar"/>
              </w:rPr>
              <w:t xml:space="preserve">环保</w:t>
            </w:r>
            <w:r>
              <w:rPr>
                <w:rFonts w:hint="eastAsia" w:ascii="宋体" w:hAnsi="宋体" w:eastAsia="宋体" w:cs="宋体"/>
                <w:i w:val="0"/>
                <w:iCs w:val="0"/>
                <w:color w:val="auto"/>
                <w:sz w:val="20"/>
                <w:szCs w:val="20"/>
                <w:highlight w:val="none"/>
                <w:u w:val="none"/>
                <w:lang w:val="en-US" w:eastAsia="zh-CN" w:bidi="ar"/>
              </w:rPr>
              <w:t xml:space="preserve">热熔胶，依据GB18583-2008《室内装饰装修材料胶粘剂中有害物质限量》﹔HJ2541-2016《环境标志产品技术要求胶粘剂》标准；游离甲醛≤0.1g/kg，苯≤0.02g/kg，甲苯≤0.02g/kg，二甲苯≤0.02g/kg，总挥发性有机物≤5g/L，游离甲苯二异氰酸酯≤1g/kg。 </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五金配件：采用品牌五金配件，导轨依据GB/T 10125-2021《人造气氛腐蚀试验盐雾试验》；QB/T 3832- 1999《轻工产品金属镀层腐蚀试验结果的评价》； </w:t>
            </w:r>
            <w:r>
              <w:rPr>
                <w:rFonts w:hint="eastAsia" w:ascii="宋体" w:hAnsi="宋体" w:cs="宋体"/>
                <w:i w:val="0"/>
                <w:iCs w:val="0"/>
                <w:color w:val="auto"/>
                <w:sz w:val="20"/>
                <w:szCs w:val="20"/>
                <w:highlight w:val="none"/>
                <w:u w:val="none"/>
                <w:lang w:val="en-US" w:eastAsia="zh-CN" w:bidi="ar"/>
              </w:rPr>
              <w:t xml:space="preserve">GB/T 24170.1-2023</w:t>
            </w:r>
            <w:r>
              <w:rPr>
                <w:rFonts w:hint="eastAsia" w:ascii="宋体" w:hAnsi="宋体" w:eastAsia="宋体" w:cs="宋体"/>
                <w:i w:val="0"/>
                <w:iCs w:val="0"/>
                <w:color w:val="auto"/>
                <w:sz w:val="20"/>
                <w:szCs w:val="20"/>
                <w:highlight w:val="none"/>
                <w:u w:val="none"/>
                <w:lang w:val="en-US" w:eastAsia="zh-CN" w:bidi="ar"/>
              </w:rPr>
              <w:t xml:space="preserve">《表</w:t>
            </w:r>
            <w:r>
              <w:rPr>
                <w:rFonts w:hint="eastAsia" w:ascii="宋体" w:hAnsi="宋体" w:eastAsia="宋体" w:cs="宋体"/>
                <w:i w:val="0"/>
                <w:iCs w:val="0"/>
                <w:color w:val="auto"/>
                <w:sz w:val="20"/>
                <w:szCs w:val="20"/>
                <w:highlight w:val="none"/>
                <w:u w:val="none"/>
                <w:lang w:val="en-US" w:eastAsia="zh-CN" w:bidi="ar"/>
              </w:rPr>
              <w:t xml:space="preserve">面抗菌不锈钢第1部分:电化学法》； QB/T 2454-2013《家具五金抽屉导轨》检测标准；中性盐雾试验≥500h，镀层本身的耐腐蚀等级≥10级，镀层对基体的保护等级≥10级；乙酸盐雾试验≥250h，镀层本身的耐腐蚀等级≥10级，镀层对基体的保护等级≥10级；耐久性≥12万次检测合格，抗菌性能（抗菌率）≥99%。铰链依据QB/T 2189-2013《家具五金杯状暗铰链》；GB/T 10125 -2021《人造气氛腐蚀试验盐雾 试验》； QB/T 3832-1999 《轻工产品金属镀层腐蚀试验结果的评价》；</w:t>
            </w:r>
            <w:r>
              <w:rPr>
                <w:rFonts w:hint="eastAsia" w:ascii="宋体" w:hAnsi="宋体" w:cs="宋体"/>
                <w:i w:val="0"/>
                <w:iCs w:val="0"/>
                <w:color w:val="auto"/>
                <w:sz w:val="20"/>
                <w:szCs w:val="20"/>
                <w:highlight w:val="none"/>
                <w:u w:val="none"/>
                <w:lang w:val="en-US" w:eastAsia="zh-CN" w:bidi="ar"/>
              </w:rPr>
              <w:t xml:space="preserve">GB/T 24170.1-2023</w:t>
            </w:r>
            <w:r>
              <w:rPr>
                <w:rFonts w:hint="eastAsia" w:ascii="宋体" w:hAnsi="宋体" w:eastAsia="宋体" w:cs="宋体"/>
                <w:i w:val="0"/>
                <w:iCs w:val="0"/>
                <w:color w:val="auto"/>
                <w:sz w:val="20"/>
                <w:szCs w:val="20"/>
                <w:highlight w:val="none"/>
                <w:u w:val="none"/>
                <w:lang w:val="en-US" w:eastAsia="zh-CN" w:bidi="ar"/>
              </w:rPr>
              <w:t xml:space="preserve">《表面抗菌不锈钢第1部分:电化学法》检测标准；中性盐雾试验≥500h，镀层本身的耐腐蚀等级≥10级，镀层对基体的保护等级≥10级；乙酸盐雾试验≥250h，镀层本身的耐腐蚀等级≥10级，镀层对基体的保护等级≥10级；耐久性≥12万次检测合格，安装B型试验门时，下沉量不大于1.5mm，抗菌性能（抗菌率）≥99%。</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会议椅：1、面料：</w:t>
            </w:r>
            <w:r>
              <w:rPr>
                <w:rFonts w:hint="eastAsia" w:ascii="宋体" w:hAnsi="宋体" w:cs="宋体"/>
                <w:i w:val="0"/>
                <w:iCs w:val="0"/>
                <w:color w:val="auto"/>
                <w:sz w:val="20"/>
                <w:szCs w:val="20"/>
                <w:highlight w:val="none"/>
                <w:u w:val="none"/>
                <w:lang w:val="en-US" w:eastAsia="zh-CN" w:bidi="ar"/>
              </w:rPr>
              <w:t xml:space="preserve">网布</w:t>
            </w:r>
            <w:r>
              <w:rPr>
                <w:rFonts w:hint="eastAsia" w:ascii="宋体" w:hAnsi="宋体" w:eastAsia="宋体" w:cs="宋体"/>
                <w:i w:val="0"/>
                <w:iCs w:val="0"/>
                <w:color w:val="auto"/>
                <w:sz w:val="20"/>
                <w:szCs w:val="20"/>
                <w:highlight w:val="none"/>
                <w:u w:val="none"/>
                <w:lang w:val="en-US" w:eastAsia="zh-CN" w:bidi="ar"/>
              </w:rPr>
              <w:t xml:space="preserve">，依据</w:t>
            </w:r>
            <w:r>
              <w:rPr>
                <w:rFonts w:hint="eastAsia" w:ascii="宋体" w:hAnsi="宋体" w:cs="宋体"/>
                <w:i w:val="0"/>
                <w:iCs w:val="0"/>
                <w:color w:val="auto"/>
                <w:sz w:val="20"/>
                <w:szCs w:val="20"/>
                <w:highlight w:val="none"/>
                <w:u w:val="none"/>
                <w:lang w:val="en-US" w:eastAsia="zh-CN" w:bidi="ar"/>
              </w:rPr>
              <w:t xml:space="preserve">GB 18401-2023</w:t>
            </w:r>
            <w:r>
              <w:rPr>
                <w:rFonts w:hint="eastAsia" w:ascii="宋体" w:hAnsi="宋体" w:eastAsia="宋体" w:cs="宋体"/>
                <w:i w:val="0"/>
                <w:iCs w:val="0"/>
                <w:color w:val="auto"/>
                <w:sz w:val="20"/>
                <w:szCs w:val="20"/>
                <w:highlight w:val="none"/>
                <w:u w:val="none"/>
                <w:lang w:val="en-US" w:eastAsia="zh-CN" w:bidi="ar"/>
              </w:rPr>
              <w:t xml:space="preserve">《国家纺织产品基本安全技术规范》；GB/T 31713-2015《抗菌纺织品安全性卫生要求》；GB/T 24346-2009《纺织品 防霉性能的评价》﹔</w:t>
            </w:r>
            <w:r>
              <w:rPr>
                <w:rFonts w:hint="eastAsia" w:ascii="宋体" w:hAnsi="宋体" w:cs="宋体"/>
                <w:i w:val="0"/>
                <w:iCs w:val="0"/>
                <w:color w:val="auto"/>
                <w:sz w:val="20"/>
                <w:szCs w:val="20"/>
                <w:highlight w:val="none"/>
                <w:u w:val="none"/>
                <w:lang w:val="en-US" w:eastAsia="zh-CN" w:bidi="ar"/>
              </w:rPr>
              <w:t xml:space="preserve">GB 17927-2024</w:t>
            </w:r>
            <w:r>
              <w:rPr>
                <w:rFonts w:hint="eastAsia" w:ascii="宋体" w:hAnsi="宋体" w:eastAsia="宋体" w:cs="宋体"/>
                <w:i w:val="0"/>
                <w:iCs w:val="0"/>
                <w:color w:val="auto"/>
                <w:sz w:val="20"/>
                <w:szCs w:val="20"/>
                <w:highlight w:val="none"/>
                <w:u w:val="none"/>
                <w:lang w:val="en-US" w:eastAsia="zh-CN" w:bidi="ar"/>
              </w:rPr>
              <w:t xml:space="preserve">《软体家具 床垫和沙发抗引燃特性的 评定第1部分:阴燃的香烟》﹔</w:t>
            </w:r>
            <w:r>
              <w:rPr>
                <w:rFonts w:hint="eastAsia" w:ascii="宋体" w:hAnsi="宋体" w:cs="宋体"/>
                <w:i w:val="0"/>
                <w:iCs w:val="0"/>
                <w:color w:val="auto"/>
                <w:sz w:val="20"/>
                <w:szCs w:val="20"/>
                <w:highlight w:val="none"/>
                <w:u w:val="none"/>
                <w:lang w:val="en-US" w:eastAsia="zh-CN" w:bidi="ar"/>
              </w:rPr>
              <w:t xml:space="preserve">GB/T 35607-2024</w:t>
            </w:r>
            <w:r>
              <w:rPr>
                <w:rFonts w:hint="eastAsia" w:ascii="宋体" w:hAnsi="宋体" w:eastAsia="宋体" w:cs="宋体"/>
                <w:i w:val="0"/>
                <w:iCs w:val="0"/>
                <w:color w:val="auto"/>
                <w:sz w:val="20"/>
                <w:szCs w:val="20"/>
                <w:highlight w:val="none"/>
                <w:u w:val="none"/>
                <w:lang w:val="en-US" w:eastAsia="zh-CN" w:bidi="ar"/>
              </w:rPr>
              <w:t xml:space="preserve">《绿色产品评价 家具》；FZ/T 62011.3-2016《布艺类产品 第3部分:家具用纺织品》标准；甲醛含量≤20mg/kg，可分解致癌芳香胺染料未检出，抗菌性能（抑菌率）≥99%，防霉等级0级或1级，产品有害物质（纺织品、皮革中五氯苯酚（PCP））≤0.5mg/kg，沾色-聚酯纤维≥4级。</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2、海绵：</w:t>
            </w:r>
            <w:r>
              <w:rPr>
                <w:rFonts w:hint="eastAsia" w:ascii="宋体" w:hAnsi="宋体" w:cs="宋体"/>
                <w:i w:val="0"/>
                <w:iCs w:val="0"/>
                <w:color w:val="auto"/>
                <w:sz w:val="20"/>
                <w:szCs w:val="20"/>
                <w:highlight w:val="none"/>
                <w:u w:val="none"/>
                <w:lang w:val="en-US" w:eastAsia="zh-CN" w:bidi="ar"/>
              </w:rPr>
              <w:t xml:space="preserve">采用阻燃高弹海绵</w:t>
            </w:r>
            <w:r>
              <w:rPr>
                <w:rFonts w:hint="eastAsia" w:ascii="宋体" w:hAnsi="宋体" w:eastAsia="宋体" w:cs="宋体"/>
                <w:i w:val="0"/>
                <w:iCs w:val="0"/>
                <w:color w:val="auto"/>
                <w:sz w:val="20"/>
                <w:szCs w:val="20"/>
                <w:highlight w:val="none"/>
                <w:u w:val="none"/>
                <w:lang w:val="en-US" w:eastAsia="zh-CN" w:bidi="ar"/>
              </w:rPr>
              <w:t xml:space="preserve">，依据QB/T 2280-2016《办公家具 办公椅》、GB/T 6343-2009《泡沫塑料及橡胶 表观密度的测定》、</w:t>
            </w:r>
            <w:r>
              <w:rPr>
                <w:rFonts w:hint="eastAsia" w:ascii="宋体" w:hAnsi="宋体" w:cs="宋体"/>
                <w:i w:val="0"/>
                <w:iCs w:val="0"/>
                <w:color w:val="auto"/>
                <w:sz w:val="20"/>
                <w:szCs w:val="20"/>
                <w:highlight w:val="none"/>
                <w:u w:val="none"/>
                <w:lang w:val="en-US" w:eastAsia="zh-CN" w:bidi="ar"/>
              </w:rPr>
              <w:t xml:space="preserve">GB 17927-2024</w:t>
            </w:r>
            <w:r>
              <w:rPr>
                <w:rFonts w:hint="eastAsia" w:ascii="宋体" w:hAnsi="宋体" w:eastAsia="宋体" w:cs="宋体"/>
                <w:i w:val="0"/>
                <w:iCs w:val="0"/>
                <w:color w:val="auto"/>
                <w:sz w:val="20"/>
                <w:szCs w:val="20"/>
                <w:highlight w:val="none"/>
                <w:u w:val="none"/>
                <w:lang w:val="en-US" w:eastAsia="zh-CN" w:bidi="ar"/>
              </w:rPr>
              <w:t xml:space="preserve">《软体家具 床</w:t>
            </w:r>
            <w:r>
              <w:rPr>
                <w:rFonts w:hint="eastAsia" w:ascii="宋体" w:hAnsi="宋体" w:eastAsia="宋体" w:cs="宋体"/>
                <w:i w:val="0"/>
                <w:iCs w:val="0"/>
                <w:color w:val="auto"/>
                <w:sz w:val="20"/>
                <w:szCs w:val="20"/>
                <w:highlight w:val="none"/>
                <w:u w:val="none"/>
                <w:lang w:val="en-US" w:eastAsia="zh-CN" w:bidi="ar"/>
              </w:rPr>
              <w:t xml:space="preserve">垫和沙发抗引燃特性的 评定第1部分：阴燃的香烟》、HJ 2547-2016《环境标志产品技术要求 家具》、QB/T 4371-2012《家具抗菌性能的评价》标准；长度、宽度极限偏差检测合格，厚度极限偏差检测合格，感官要求至少5项检测，物理力学性能（至少包含回弹率≥50%，拉伸强度≥150KPa，伸长率≥168%，撕裂强度≥4.5N/cm，干热老化后拉伸强度≥145KPa），密度≥50kg/m³，甲醛释放量≤0.03mg/m²h，TVOC≤0.05mg/m²h，抗引燃特性阻燃Ⅰ级，抗菌性能（抑菌率）≥95%。</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3、气压棒：依据</w:t>
            </w:r>
            <w:r>
              <w:rPr>
                <w:rFonts w:hint="eastAsia" w:ascii="宋体" w:hAnsi="宋体" w:cs="宋体"/>
                <w:i w:val="0"/>
                <w:iCs w:val="0"/>
                <w:color w:val="auto"/>
                <w:sz w:val="20"/>
                <w:szCs w:val="20"/>
                <w:highlight w:val="none"/>
                <w:u w:val="none"/>
                <w:lang w:val="en-US" w:eastAsia="zh-CN" w:bidi="ar"/>
              </w:rPr>
              <w:t xml:space="preserve">GB/T 29525-2023</w:t>
            </w:r>
            <w:r>
              <w:rPr>
                <w:rFonts w:hint="eastAsia" w:ascii="宋体" w:hAnsi="宋体" w:eastAsia="宋体" w:cs="宋体"/>
                <w:i w:val="0"/>
                <w:iCs w:val="0"/>
                <w:color w:val="auto"/>
                <w:sz w:val="20"/>
                <w:szCs w:val="20"/>
                <w:highlight w:val="none"/>
                <w:u w:val="none"/>
                <w:lang w:val="en-US" w:eastAsia="zh-CN" w:bidi="ar"/>
              </w:rPr>
              <w:t xml:space="preserve">《座椅升降气弹簧 技术条件》；QB/T 2280-2016《办公家具办公椅》标准；金属件镀层应无烧焦、起泡、针孔、裂纹、毛刺、花斑（不包括镀彩锌）和划痕。气弹簧的启动力应小于1.5F3，气弹簧锁定在任意位置，经72h常温储存后，活塞杆不应产生位移。气弹簧经-30℃和60℃高低温储存后，公称力Fa衰减量应不大于5%。行程100mm，公称力Fa的总衰减量应不大于5%。</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4、脚架：</w:t>
            </w:r>
            <w:r>
              <w:rPr>
                <w:rFonts w:hint="eastAsia" w:ascii="宋体" w:hAnsi="宋体" w:cs="宋体"/>
                <w:i w:val="0"/>
                <w:iCs w:val="0"/>
                <w:color w:val="auto"/>
                <w:sz w:val="20"/>
                <w:szCs w:val="20"/>
                <w:highlight w:val="none"/>
                <w:u w:val="none"/>
                <w:lang w:val="en-US" w:eastAsia="zh-CN" w:bidi="ar"/>
              </w:rPr>
              <w:t xml:space="preserve">尼龙</w:t>
            </w:r>
            <w:r>
              <w:rPr>
                <w:rFonts w:hint="eastAsia" w:ascii="宋体" w:hAnsi="宋体" w:eastAsia="宋体" w:cs="宋体"/>
                <w:i w:val="0"/>
                <w:iCs w:val="0"/>
                <w:color w:val="auto"/>
                <w:sz w:val="20"/>
                <w:szCs w:val="20"/>
                <w:highlight w:val="none"/>
                <w:u w:val="none"/>
                <w:lang w:val="en-US" w:eastAsia="zh-CN" w:bidi="ar"/>
              </w:rPr>
              <w:t xml:space="preserve">五星脚架。</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5、脚轮：依据QB/T 4765-2014《家具用脚轮》； </w:t>
            </w:r>
            <w:r>
              <w:rPr>
                <w:rFonts w:hint="eastAsia" w:ascii="宋体" w:hAnsi="宋体" w:cs="宋体"/>
                <w:i w:val="0"/>
                <w:iCs w:val="0"/>
                <w:color w:val="auto"/>
                <w:sz w:val="20"/>
                <w:szCs w:val="20"/>
                <w:highlight w:val="none"/>
                <w:u w:val="none"/>
                <w:lang w:val="en-US" w:eastAsia="zh-CN" w:bidi="ar"/>
              </w:rPr>
              <w:t xml:space="preserve">GB 18584-2024</w:t>
            </w:r>
            <w:r>
              <w:rPr>
                <w:rFonts w:hint="eastAsia" w:ascii="宋体" w:hAnsi="宋体" w:eastAsia="宋体" w:cs="宋体"/>
                <w:i w:val="0"/>
                <w:iCs w:val="0"/>
                <w:color w:val="auto"/>
                <w:sz w:val="20"/>
                <w:szCs w:val="20"/>
                <w:highlight w:val="none"/>
                <w:u w:val="none"/>
                <w:lang w:val="en-US" w:eastAsia="zh-CN" w:bidi="ar"/>
              </w:rPr>
              <w:t xml:space="preserve"> 《塑料家具中有害物质限量》；</w:t>
            </w:r>
            <w:r>
              <w:rPr>
                <w:rFonts w:hint="eastAsia" w:ascii="宋体" w:hAnsi="宋体" w:cs="宋体"/>
                <w:i w:val="0"/>
                <w:iCs w:val="0"/>
                <w:color w:val="auto"/>
                <w:sz w:val="20"/>
                <w:szCs w:val="20"/>
                <w:highlight w:val="none"/>
                <w:u w:val="none"/>
                <w:lang w:val="en-US" w:eastAsia="zh-CN" w:bidi="ar"/>
              </w:rPr>
              <w:t xml:space="preserve">GB/T 3325-2024</w:t>
            </w:r>
            <w:r>
              <w:rPr>
                <w:rFonts w:hint="eastAsia" w:ascii="宋体" w:hAnsi="宋体" w:eastAsia="宋体" w:cs="宋体"/>
                <w:i w:val="0"/>
                <w:iCs w:val="0"/>
                <w:color w:val="auto"/>
                <w:sz w:val="20"/>
                <w:szCs w:val="20"/>
                <w:highlight w:val="none"/>
                <w:u w:val="none"/>
                <w:lang w:val="en-US" w:eastAsia="zh-CN" w:bidi="ar"/>
              </w:rPr>
              <w:t xml:space="preserve">《金属家具通用技术条件》；GB/T 16422.3-2022《塑料 实验室光源暴露试验方法 第3部分:荧光紫外灯》；</w:t>
            </w:r>
            <w:r>
              <w:rPr>
                <w:rFonts w:hint="eastAsia" w:ascii="宋体" w:hAnsi="宋体" w:cs="宋体"/>
                <w:i w:val="0"/>
                <w:iCs w:val="0"/>
                <w:color w:val="auto"/>
                <w:sz w:val="20"/>
                <w:szCs w:val="20"/>
                <w:highlight w:val="none"/>
                <w:u w:val="none"/>
                <w:lang w:val="en-US" w:eastAsia="zh-CN" w:bidi="ar"/>
              </w:rPr>
              <w:t xml:space="preserve">GB/T 35607-2024</w:t>
            </w:r>
            <w:r>
              <w:rPr>
                <w:rFonts w:hint="eastAsia" w:ascii="宋体" w:hAnsi="宋体" w:eastAsia="宋体" w:cs="宋体"/>
                <w:i w:val="0"/>
                <w:iCs w:val="0"/>
                <w:color w:val="auto"/>
                <w:sz w:val="20"/>
                <w:szCs w:val="20"/>
                <w:highlight w:val="none"/>
                <w:u w:val="none"/>
                <w:lang w:val="en-US" w:eastAsia="zh-CN" w:bidi="ar"/>
              </w:rPr>
              <w:t xml:space="preserve">《绿色产品评价 家具》标准；脚轮的轮面光洁，无裂纹、伤痕、毛边等缺陷。抗冲击性、导电性、动载荷、滚动阻力检测合格，实验室光源暴露试验：荧光紫外灯4-5级。产品有害物质（铅、汞）≤1mg/kg。</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园长室：</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班台：W1600×D780×H750mm,饰面：采用三聚氰胺浸渍胶膜纸，依据</w:t>
            </w:r>
            <w:r>
              <w:rPr>
                <w:rFonts w:hint="eastAsia" w:ascii="宋体" w:hAnsi="宋体" w:cs="宋体"/>
                <w:i w:val="0"/>
                <w:iCs w:val="0"/>
                <w:color w:val="auto"/>
                <w:sz w:val="20"/>
                <w:szCs w:val="20"/>
                <w:highlight w:val="none"/>
                <w:u w:val="none"/>
                <w:lang w:val="en-US" w:eastAsia="zh-CN" w:bidi="ar"/>
              </w:rPr>
              <w:t xml:space="preserve"> GB 18584-2024</w:t>
            </w:r>
            <w:r>
              <w:rPr>
                <w:rFonts w:hint="eastAsia" w:ascii="宋体" w:hAnsi="宋体" w:eastAsia="宋体" w:cs="宋体"/>
                <w:i w:val="0"/>
                <w:iCs w:val="0"/>
                <w:color w:val="auto"/>
                <w:sz w:val="20"/>
                <w:szCs w:val="20"/>
                <w:highlight w:val="none"/>
                <w:u w:val="none"/>
                <w:lang w:val="en-US" w:eastAsia="zh-CN" w:bidi="ar"/>
              </w:rPr>
              <w:t xml:space="preserve">《室内装饰装修材料木家具中有害物质限量》；LY/T 1831-2009《人造板饰面专用装饰纸》；</w:t>
            </w:r>
            <w:r>
              <w:rPr>
                <w:rFonts w:hint="eastAsia" w:ascii="宋体" w:hAnsi="宋体" w:cs="宋体"/>
                <w:i w:val="0"/>
                <w:iCs w:val="0"/>
                <w:color w:val="auto"/>
                <w:sz w:val="20"/>
                <w:szCs w:val="20"/>
                <w:highlight w:val="none"/>
                <w:u w:val="none"/>
                <w:lang w:val="en-US" w:eastAsia="zh-CN" w:bidi="ar"/>
              </w:rPr>
              <w:t xml:space="preserve">GB/T 35601-2024</w:t>
            </w:r>
            <w:r>
              <w:rPr>
                <w:rFonts w:hint="eastAsia" w:ascii="宋体" w:hAnsi="宋体" w:eastAsia="宋体" w:cs="宋体"/>
                <w:i w:val="0"/>
                <w:iCs w:val="0"/>
                <w:color w:val="auto"/>
                <w:sz w:val="20"/>
                <w:szCs w:val="20"/>
                <w:highlight w:val="none"/>
                <w:u w:val="none"/>
                <w:lang w:val="en-US" w:eastAsia="zh-CN" w:bidi="ar"/>
              </w:rPr>
              <w:t xml:space="preserve">《绿色产品评价 人造板和木质地板》标准；耐热性1级，苯≤5㎍/m³，挥发物含量5%-9%，甲醛释放量≤0.5mg/L。 </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基材：采用不低于E0级刨花板，依据GB/T 17657-2022《人造板及饰面人造板理化性能试验方法》；GB/T 39600-2021《人造板及其制品甲醛释放量分级》；GB 18580-2017《室内装饰装修材料人造板及其制品中甲醛释放限量》；</w:t>
            </w:r>
            <w:r>
              <w:rPr>
                <w:rFonts w:hint="eastAsia" w:ascii="宋体" w:hAnsi="宋体" w:cs="宋体"/>
                <w:i w:val="0"/>
                <w:iCs w:val="0"/>
                <w:color w:val="auto"/>
                <w:sz w:val="20"/>
                <w:szCs w:val="20"/>
                <w:highlight w:val="none"/>
                <w:u w:val="none"/>
                <w:lang w:val="en-US" w:eastAsia="zh-CN" w:bidi="ar"/>
              </w:rPr>
              <w:t xml:space="preserve">GB/T 35601-2024</w:t>
            </w:r>
            <w:r>
              <w:rPr>
                <w:rFonts w:hint="eastAsia" w:ascii="宋体" w:hAnsi="宋体" w:eastAsia="宋体" w:cs="宋体"/>
                <w:i w:val="0"/>
                <w:iCs w:val="0"/>
                <w:color w:val="auto"/>
                <w:sz w:val="20"/>
                <w:szCs w:val="20"/>
                <w:highlight w:val="none"/>
                <w:u w:val="none"/>
                <w:lang w:val="en-US" w:eastAsia="zh-CN" w:bidi="ar"/>
              </w:rPr>
              <w:t xml:space="preserve">《绿色产品评价人造板和木质地板》；QB/T 4371-2012《家具抗菌性能的评价》；GB 8624-2012《建筑材料及制品燃烧性能分级》；</w:t>
            </w:r>
            <w:r>
              <w:rPr>
                <w:rFonts w:hint="eastAsia" w:ascii="宋体" w:hAnsi="宋体" w:cs="宋体"/>
                <w:i w:val="0"/>
                <w:iCs w:val="0"/>
                <w:color w:val="auto"/>
                <w:sz w:val="20"/>
                <w:szCs w:val="20"/>
                <w:highlight w:val="none"/>
                <w:u w:val="none"/>
                <w:lang w:val="en-US" w:eastAsia="zh-CN" w:bidi="ar"/>
              </w:rPr>
              <w:t xml:space="preserve"> GB 18584-2024</w:t>
            </w:r>
            <w:r>
              <w:rPr>
                <w:rFonts w:hint="eastAsia" w:ascii="宋体" w:hAnsi="宋体" w:eastAsia="宋体" w:cs="宋体"/>
                <w:i w:val="0"/>
                <w:iCs w:val="0"/>
                <w:color w:val="auto"/>
                <w:sz w:val="20"/>
                <w:szCs w:val="20"/>
                <w:highlight w:val="none"/>
                <w:u w:val="none"/>
                <w:lang w:val="en-US" w:eastAsia="zh-CN" w:bidi="ar"/>
              </w:rPr>
              <w:t xml:space="preserve">《室内装饰装修材料木家具中有害物质限量》；GB/T 4897-2015《刨花板》；外观质量至少4项检测，含水率3%～8%，静曲强度≥15MPa，弹性模量≥2000MPa，内胶合强度≥0.55MPa，表面胶合强度≥1.5MPa，2h吸水厚度膨胀率≤3%，板边握螺钉力≥1400N，板面握螺钉力≥1600N，密度≥0.75g/cm³，甲醛释放量≤0.05mg/m³，总挥发性有机化合物≤20㎍/m³，防霉菌等级0级或1级，60s内无燃烧滴落物引燃滤纸现象。</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封边：采用</w:t>
            </w:r>
            <w:r>
              <w:rPr>
                <w:rFonts w:hint="eastAsia" w:ascii="宋体" w:hAnsi="宋体" w:cs="宋体"/>
                <w:i w:val="0"/>
                <w:iCs w:val="0"/>
                <w:color w:val="auto"/>
                <w:sz w:val="20"/>
                <w:szCs w:val="20"/>
                <w:highlight w:val="none"/>
                <w:u w:val="none"/>
                <w:lang w:val="en-US" w:eastAsia="zh-CN" w:bidi="ar"/>
              </w:rPr>
              <w:t xml:space="preserve">ABS</w:t>
            </w:r>
            <w:r>
              <w:rPr>
                <w:rFonts w:hint="eastAsia" w:ascii="宋体" w:hAnsi="宋体" w:eastAsia="宋体" w:cs="宋体"/>
                <w:i w:val="0"/>
                <w:iCs w:val="0"/>
                <w:color w:val="auto"/>
                <w:sz w:val="20"/>
                <w:szCs w:val="20"/>
                <w:highlight w:val="none"/>
                <w:u w:val="none"/>
                <w:lang w:val="en-US" w:eastAsia="zh-CN" w:bidi="ar"/>
              </w:rPr>
              <w:t xml:space="preserve">激光封边条，依据</w:t>
            </w:r>
            <w:r>
              <w:rPr>
                <w:rFonts w:hint="eastAsia" w:ascii="宋体" w:hAnsi="宋体" w:cs="宋体"/>
                <w:i w:val="0"/>
                <w:iCs w:val="0"/>
                <w:color w:val="auto"/>
                <w:sz w:val="20"/>
                <w:szCs w:val="20"/>
                <w:highlight w:val="none"/>
                <w:u w:val="none"/>
                <w:lang w:val="en-US" w:eastAsia="zh-CN" w:bidi="ar"/>
              </w:rPr>
              <w:t xml:space="preserve">QB/T 4463-2025</w:t>
            </w:r>
            <w:r>
              <w:rPr>
                <w:rFonts w:hint="eastAsia" w:ascii="宋体" w:hAnsi="宋体" w:eastAsia="宋体" w:cs="宋体"/>
                <w:i w:val="0"/>
                <w:iCs w:val="0"/>
                <w:color w:val="auto"/>
                <w:sz w:val="20"/>
                <w:szCs w:val="20"/>
                <w:highlight w:val="none"/>
                <w:u w:val="none"/>
                <w:lang w:val="en-US" w:eastAsia="zh-CN" w:bidi="ar"/>
              </w:rPr>
              <w:t xml:space="preserve">《家具用封边条技术要求》；GB/T 24128-2018《塑料 塑料防霉剂的防霉效果评估》</w:t>
            </w:r>
            <w:r>
              <w:rPr>
                <w:rFonts w:hint="eastAsia" w:ascii="宋体" w:hAnsi="宋体" w:cs="宋体"/>
                <w:i w:val="0"/>
                <w:iCs w:val="0"/>
                <w:color w:val="auto"/>
                <w:sz w:val="20"/>
                <w:szCs w:val="20"/>
                <w:highlight w:val="none"/>
                <w:u w:val="none"/>
                <w:lang w:val="en-US" w:eastAsia="zh-CN" w:bidi="ar"/>
              </w:rPr>
              <w:t xml:space="preserve">；GB 18584-2024</w:t>
            </w:r>
            <w:r>
              <w:rPr>
                <w:rFonts w:hint="eastAsia" w:ascii="宋体" w:hAnsi="宋体" w:eastAsia="宋体" w:cs="宋体"/>
                <w:i w:val="0"/>
                <w:iCs w:val="0"/>
                <w:color w:val="auto"/>
                <w:sz w:val="20"/>
                <w:szCs w:val="20"/>
                <w:highlight w:val="none"/>
                <w:u w:val="none"/>
                <w:lang w:val="en-US" w:eastAsia="zh-CN" w:bidi="ar"/>
              </w:rPr>
              <w:t xml:space="preserve">《塑料家具中有害物质限量》标准；厚度≥1.8mm。压纹（压花）表面有统一的花式。耐开裂性1级，耐老化性无开裂，甲醛释放量≤0.5mg/L，防霉等级0级或1级，16种多环芳烃（PAH）总量≤5mg/kg。 </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热熔胶：选用</w:t>
            </w:r>
            <w:r>
              <w:rPr>
                <w:rFonts w:hint="eastAsia" w:ascii="宋体" w:hAnsi="宋体" w:cs="宋体"/>
                <w:i w:val="0"/>
                <w:iCs w:val="0"/>
                <w:color w:val="auto"/>
                <w:sz w:val="20"/>
                <w:szCs w:val="20"/>
                <w:highlight w:val="none"/>
                <w:u w:val="none"/>
                <w:lang w:val="en-US" w:eastAsia="zh-CN" w:bidi="ar"/>
              </w:rPr>
              <w:t xml:space="preserve">环保</w:t>
            </w:r>
            <w:r>
              <w:rPr>
                <w:rFonts w:hint="eastAsia" w:ascii="宋体" w:hAnsi="宋体" w:eastAsia="宋体" w:cs="宋体"/>
                <w:i w:val="0"/>
                <w:iCs w:val="0"/>
                <w:color w:val="auto"/>
                <w:sz w:val="20"/>
                <w:szCs w:val="20"/>
                <w:highlight w:val="none"/>
                <w:u w:val="none"/>
                <w:lang w:val="en-US" w:eastAsia="zh-CN" w:bidi="ar"/>
              </w:rPr>
              <w:t xml:space="preserve">热熔胶，依据GB18583-2008《室内装饰装修材料胶粘剂中有害物质限量》﹔HJ2541-2016《环境标志产品技术要求胶粘剂》标准；游离甲醛≤0.1g/kg，苯≤0.02g/kg，甲苯≤0.02g/kg，二甲苯≤0.02g/kg，总挥发性有机物≤5g/L，游离甲苯二异氰酸酯≤1g/kg。 </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五金配件：采用品牌五金配件，导轨依据GB/T 10125-2021《人造气氛腐蚀试验盐雾试验》；QB/T 3832- 1999《轻工产品金属镀层腐蚀试验结果的评价》； </w:t>
            </w:r>
            <w:r>
              <w:rPr>
                <w:rFonts w:hint="eastAsia" w:ascii="宋体" w:hAnsi="宋体" w:cs="宋体"/>
                <w:i w:val="0"/>
                <w:iCs w:val="0"/>
                <w:color w:val="auto"/>
                <w:sz w:val="20"/>
                <w:szCs w:val="20"/>
                <w:highlight w:val="none"/>
                <w:u w:val="none"/>
                <w:lang w:val="en-US" w:eastAsia="zh-CN" w:bidi="ar"/>
              </w:rPr>
              <w:t xml:space="preserve">GB/T 24170.1-2023</w:t>
            </w:r>
            <w:r>
              <w:rPr>
                <w:rFonts w:hint="eastAsia" w:ascii="宋体" w:hAnsi="宋体" w:eastAsia="宋体" w:cs="宋体"/>
                <w:i w:val="0"/>
                <w:iCs w:val="0"/>
                <w:color w:val="auto"/>
                <w:sz w:val="20"/>
                <w:szCs w:val="20"/>
                <w:highlight w:val="none"/>
                <w:u w:val="none"/>
                <w:lang w:val="en-US" w:eastAsia="zh-CN" w:bidi="ar"/>
              </w:rPr>
              <w:t xml:space="preserve">《表</w:t>
            </w:r>
            <w:r>
              <w:rPr>
                <w:rFonts w:hint="eastAsia" w:ascii="宋体" w:hAnsi="宋体" w:eastAsia="宋体" w:cs="宋体"/>
                <w:i w:val="0"/>
                <w:iCs w:val="0"/>
                <w:color w:val="auto"/>
                <w:sz w:val="20"/>
                <w:szCs w:val="20"/>
                <w:highlight w:val="none"/>
                <w:u w:val="none"/>
                <w:lang w:val="en-US" w:eastAsia="zh-CN" w:bidi="ar"/>
              </w:rPr>
              <w:t xml:space="preserve">面抗菌不锈钢第1部分:电化学法》； QB/T 2454-2013《家具五金抽屉导轨》检测标准；中性盐雾试验≥500h，镀层本身的耐腐蚀等级≥10级，镀层对基体的保护等级≥10级；乙酸盐雾试验≥250h，镀层本身的耐腐蚀等级≥10级，镀层对基体的保护等级≥10级；耐久性≥12万次检测合格，抗菌性能（抗菌率）≥99%。铰链依据QB/T 2189-2013《家具五金杯状暗铰链》；GB/T 10125 -2021《人造气氛腐蚀试验盐雾 试验》； QB/T 3832-1999 《轻工产品金属镀层腐蚀试验结果的评价》；</w:t>
            </w:r>
            <w:r>
              <w:rPr>
                <w:rFonts w:hint="eastAsia" w:ascii="宋体" w:hAnsi="宋体" w:cs="宋体"/>
                <w:i w:val="0"/>
                <w:iCs w:val="0"/>
                <w:color w:val="auto"/>
                <w:sz w:val="20"/>
                <w:szCs w:val="20"/>
                <w:highlight w:val="none"/>
                <w:u w:val="none"/>
                <w:lang w:val="en-US" w:eastAsia="zh-CN" w:bidi="ar"/>
              </w:rPr>
              <w:t xml:space="preserve">GB/T 24170.1-2023</w:t>
            </w:r>
            <w:r>
              <w:rPr>
                <w:rFonts w:hint="eastAsia" w:ascii="宋体" w:hAnsi="宋体" w:eastAsia="宋体" w:cs="宋体"/>
                <w:i w:val="0"/>
                <w:iCs w:val="0"/>
                <w:color w:val="auto"/>
                <w:sz w:val="20"/>
                <w:szCs w:val="20"/>
                <w:highlight w:val="none"/>
                <w:u w:val="none"/>
                <w:lang w:val="en-US" w:eastAsia="zh-CN" w:bidi="ar"/>
              </w:rPr>
              <w:t xml:space="preserve">《表面抗菌不锈钢第1部分:电化学法》检测标准；中性盐雾试验≥500h，镀层本身的耐腐蚀等级≥10级，镀层对基体的保护等级≥10级；乙酸盐雾试验≥250h，镀层本身的耐腐蚀等级≥10级，镀层对基体的保护等级≥10级；耐久性≥12万次检测合格，安装B型试验门时，下沉量不大于1.5mm，抗菌性能（抗菌率）≥99%。</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班椅：1.面料：选用</w:t>
            </w:r>
            <w:r>
              <w:rPr>
                <w:rFonts w:hint="eastAsia" w:ascii="宋体" w:hAnsi="宋体" w:cs="宋体"/>
                <w:i w:val="0"/>
                <w:iCs w:val="0"/>
                <w:color w:val="auto"/>
                <w:sz w:val="20"/>
                <w:szCs w:val="20"/>
                <w:highlight w:val="none"/>
                <w:u w:val="none"/>
                <w:lang w:val="en-US" w:eastAsia="zh-CN" w:bidi="ar"/>
              </w:rPr>
              <w:t xml:space="preserve">皮料</w:t>
            </w:r>
            <w:r>
              <w:rPr>
                <w:rFonts w:hint="eastAsia" w:ascii="宋体" w:hAnsi="宋体" w:eastAsia="宋体" w:cs="宋体"/>
                <w:i w:val="0"/>
                <w:iCs w:val="0"/>
                <w:color w:val="auto"/>
                <w:sz w:val="20"/>
                <w:szCs w:val="20"/>
                <w:highlight w:val="none"/>
                <w:u w:val="none"/>
                <w:lang w:val="en-US" w:eastAsia="zh-CN" w:bidi="ar"/>
              </w:rPr>
              <w:t xml:space="preserve">，厚度≥1.5mm，摩擦色牢度干擦500次≥4级，湿擦250次≥3/4级，涂层粘着牢度≥6.0N/10mm，耐折牢度（50000次）无裂纹，撕裂力≥80N，游离甲醛≤20mg/kg，挥发性有机化合物（VOC）≤10mg/kg，禁用偶氮染料≤5mg/kg，防霉菌性能不低于1级，符合GB/T 16799-2018《家具用皮革》、QB/T 4199-2011《皮革 防霉性能测试方法》标准。</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2.海绵：</w:t>
            </w:r>
            <w:r>
              <w:rPr>
                <w:rFonts w:hint="eastAsia" w:ascii="宋体" w:hAnsi="宋体" w:cs="宋体"/>
                <w:i w:val="0"/>
                <w:iCs w:val="0"/>
                <w:color w:val="auto"/>
                <w:sz w:val="20"/>
                <w:szCs w:val="20"/>
                <w:highlight w:val="none"/>
                <w:u w:val="none"/>
                <w:lang w:val="en-US" w:eastAsia="zh-CN" w:bidi="ar"/>
              </w:rPr>
              <w:t xml:space="preserve">采用阻燃高弹海绵</w:t>
            </w:r>
            <w:r>
              <w:rPr>
                <w:rFonts w:hint="eastAsia" w:ascii="宋体" w:hAnsi="宋体" w:eastAsia="宋体" w:cs="宋体"/>
                <w:i w:val="0"/>
                <w:iCs w:val="0"/>
                <w:color w:val="auto"/>
                <w:sz w:val="20"/>
                <w:szCs w:val="20"/>
                <w:highlight w:val="none"/>
                <w:u w:val="none"/>
                <w:lang w:val="en-US" w:eastAsia="zh-CN" w:bidi="ar"/>
              </w:rPr>
              <w:t xml:space="preserve">，用抽纱或丝绒覆面，表面有防腐化和防变型保护膜，回弹性高，耐用度高，防碎，防氧化，密度≥46kg/m3，回弹率≥47%，75%压缩永久变形≤5%，湿热老化后拉伸强度≥100KPa，干热老化后拉伸强度≥100KPa，甲醛释放量≤0.03mg/m2h，燃烧性能达B1级，抗疲劳力强，坐感舒适，符合</w:t>
            </w:r>
            <w:r>
              <w:rPr>
                <w:rFonts w:hint="eastAsia" w:ascii="宋体" w:hAnsi="宋体" w:cs="宋体"/>
                <w:i w:val="0"/>
                <w:iCs w:val="0"/>
                <w:color w:val="auto"/>
                <w:sz w:val="20"/>
                <w:szCs w:val="20"/>
                <w:highlight w:val="none"/>
                <w:u w:val="none"/>
                <w:lang w:val="en-US" w:eastAsia="zh-CN" w:bidi="ar"/>
              </w:rPr>
              <w:t xml:space="preserve">GB/T 10802-2023</w:t>
            </w:r>
            <w:r>
              <w:rPr>
                <w:rFonts w:hint="eastAsia" w:ascii="宋体" w:hAnsi="宋体" w:eastAsia="宋体" w:cs="宋体"/>
                <w:i w:val="0"/>
                <w:iCs w:val="0"/>
                <w:color w:val="auto"/>
                <w:sz w:val="20"/>
                <w:szCs w:val="20"/>
                <w:highlight w:val="none"/>
                <w:u w:val="none"/>
                <w:lang w:val="en-US" w:eastAsia="zh-CN" w:bidi="ar"/>
              </w:rPr>
              <w:t xml:space="preserve">《通用软质聚醚型氨酯泡沫塑料》、GB 8624-2012《建筑材料及制品燃烧性能分级》等标准。</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气压棒：升降轻便灵活，螺旋机构的升降配合良好，气动升降平稳、无漏气、无燥音，公称力Fa衰减量不大于5%，表面无剥落、返锈、毛刺，表面无烧焦、起泡、针孔、裂纹、花斑（不包括镀彩梓）和划痕，多功能底盘。</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4.脚架：钢制五星脚架。</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5.脚轮：采用增强尼龙万向脚轮，可溶性重金属可溶性铅（Pb）≤8mg/kg、可溶性汞(Hg)≤2mg/kg、可溶性铬(Cr)≤3mg/kg、可溶性镉(Cd)≤2mg/kg，移动杂音小，耐磨性大。</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4+2人位沙发：面料：采用≥2.0mm厚牛皮，依据GB/T 16799-2018《家具用皮革》；QB/T 4199-2011《皮革 防霉性能测试方法》； </w:t>
            </w:r>
            <w:r>
              <w:rPr>
                <w:rFonts w:hint="eastAsia" w:ascii="宋体" w:hAnsi="宋体" w:cs="宋体"/>
                <w:i w:val="0"/>
                <w:iCs w:val="0"/>
                <w:color w:val="auto"/>
                <w:sz w:val="20"/>
                <w:szCs w:val="20"/>
                <w:highlight w:val="none"/>
                <w:u w:val="none"/>
                <w:lang w:val="en-US" w:eastAsia="zh-CN" w:bidi="ar"/>
              </w:rPr>
              <w:t xml:space="preserve">GB/T 35607-2024</w:t>
            </w:r>
            <w:r>
              <w:rPr>
                <w:rFonts w:hint="eastAsia" w:ascii="宋体" w:hAnsi="宋体" w:eastAsia="宋体" w:cs="宋体"/>
                <w:i w:val="0"/>
                <w:iCs w:val="0"/>
                <w:color w:val="auto"/>
                <w:sz w:val="20"/>
                <w:szCs w:val="20"/>
                <w:highlight w:val="none"/>
                <w:u w:val="none"/>
                <w:lang w:val="en-US" w:eastAsia="zh-CN" w:bidi="ar"/>
              </w:rPr>
              <w:t xml:space="preserve">《绿色产品评价 家具》； </w:t>
            </w:r>
            <w:r>
              <w:rPr>
                <w:rFonts w:hint="eastAsia" w:ascii="宋体" w:hAnsi="宋体" w:cs="宋体"/>
                <w:i w:val="0"/>
                <w:iCs w:val="0"/>
                <w:color w:val="auto"/>
                <w:sz w:val="20"/>
                <w:szCs w:val="20"/>
                <w:highlight w:val="none"/>
                <w:u w:val="none"/>
                <w:lang w:val="en-US" w:eastAsia="zh-CN" w:bidi="ar"/>
              </w:rPr>
              <w:t xml:space="preserve">GB 17927-2024</w:t>
            </w:r>
            <w:r>
              <w:rPr>
                <w:rFonts w:hint="eastAsia" w:ascii="宋体" w:hAnsi="宋体" w:eastAsia="宋体" w:cs="宋体"/>
                <w:i w:val="0"/>
                <w:iCs w:val="0"/>
                <w:color w:val="auto"/>
                <w:sz w:val="20"/>
                <w:szCs w:val="20"/>
                <w:highlight w:val="none"/>
                <w:u w:val="none"/>
                <w:lang w:val="en-US" w:eastAsia="zh-CN" w:bidi="ar"/>
              </w:rPr>
              <w:t xml:space="preserve">《软体家具 床垫和沙发抗引燃特性的 评定第1部分:阴燃的香烟》； HJ 507-2009《环境标志产品技术要求 皮革和合成革》标准；涂层粘着牢度≥10N/10mm，耐光性≥5级，耐折牢度50000次无裂纹，撕裂力≥100N，挥发性有机物（VOC）≤10mg/kg，禁用偶氮染料未检出；游离甲醛≤20mg/kg，皮革防霉性能：防霉等级0级或1级，抗引燃特性阻燃Ⅰ级。</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海绵：</w:t>
            </w:r>
            <w:r>
              <w:rPr>
                <w:rFonts w:hint="eastAsia" w:ascii="宋体" w:hAnsi="宋体" w:cs="宋体"/>
                <w:i w:val="0"/>
                <w:iCs w:val="0"/>
                <w:color w:val="auto"/>
                <w:sz w:val="20"/>
                <w:szCs w:val="20"/>
                <w:highlight w:val="none"/>
                <w:u w:val="none"/>
                <w:lang w:val="en-US" w:eastAsia="zh-CN" w:bidi="ar"/>
              </w:rPr>
              <w:t xml:space="preserve">采用阻燃高弹海绵</w:t>
            </w:r>
            <w:r>
              <w:rPr>
                <w:rFonts w:hint="eastAsia" w:ascii="宋体" w:hAnsi="宋体" w:eastAsia="宋体" w:cs="宋体"/>
                <w:i w:val="0"/>
                <w:iCs w:val="0"/>
                <w:color w:val="auto"/>
                <w:sz w:val="20"/>
                <w:szCs w:val="20"/>
                <w:highlight w:val="none"/>
                <w:u w:val="none"/>
                <w:lang w:val="en-US" w:eastAsia="zh-CN" w:bidi="ar"/>
              </w:rPr>
              <w:t xml:space="preserve">，依据</w:t>
            </w:r>
            <w:r>
              <w:rPr>
                <w:rFonts w:hint="eastAsia" w:ascii="宋体" w:hAnsi="宋体" w:cs="宋体"/>
                <w:i w:val="0"/>
                <w:iCs w:val="0"/>
                <w:color w:val="auto"/>
                <w:sz w:val="20"/>
                <w:szCs w:val="20"/>
                <w:highlight w:val="none"/>
                <w:u w:val="none"/>
                <w:lang w:val="en-US" w:eastAsia="zh-CN" w:bidi="ar"/>
              </w:rPr>
              <w:t xml:space="preserve">GB/T 10802-2023</w:t>
            </w:r>
            <w:r>
              <w:rPr>
                <w:rFonts w:hint="eastAsia" w:ascii="宋体" w:hAnsi="宋体" w:eastAsia="宋体" w:cs="宋体"/>
                <w:i w:val="0"/>
                <w:iCs w:val="0"/>
                <w:color w:val="auto"/>
                <w:sz w:val="20"/>
                <w:szCs w:val="20"/>
                <w:highlight w:val="none"/>
                <w:u w:val="none"/>
                <w:lang w:val="en-US" w:eastAsia="zh-CN" w:bidi="ar"/>
              </w:rPr>
              <w:t xml:space="preserve">《通用软质聚醚型聚氨酯泡沫塑料》、QB/T 2280-2016《办公家具 办公椅》、GB/T 6343-2009《泡沫塑料及橡胶 表观密度的测定》、</w:t>
            </w:r>
            <w:r>
              <w:rPr>
                <w:rFonts w:hint="eastAsia" w:ascii="宋体" w:hAnsi="宋体" w:cs="宋体"/>
                <w:i w:val="0"/>
                <w:iCs w:val="0"/>
                <w:color w:val="auto"/>
                <w:sz w:val="20"/>
                <w:szCs w:val="20"/>
                <w:highlight w:val="none"/>
                <w:u w:val="none"/>
                <w:lang w:val="en-US" w:eastAsia="zh-CN" w:bidi="ar"/>
              </w:rPr>
              <w:t xml:space="preserve">GB 17927-2024</w:t>
            </w:r>
            <w:r>
              <w:rPr>
                <w:rFonts w:hint="eastAsia" w:ascii="宋体" w:hAnsi="宋体" w:eastAsia="宋体" w:cs="宋体"/>
                <w:i w:val="0"/>
                <w:iCs w:val="0"/>
                <w:color w:val="auto"/>
                <w:sz w:val="20"/>
                <w:szCs w:val="20"/>
                <w:highlight w:val="none"/>
                <w:u w:val="none"/>
                <w:lang w:val="en-US" w:eastAsia="zh-CN" w:bidi="ar"/>
              </w:rPr>
              <w:t xml:space="preserve">《软体家具 床</w:t>
            </w:r>
            <w:r>
              <w:rPr>
                <w:rFonts w:hint="eastAsia" w:ascii="宋体" w:hAnsi="宋体" w:eastAsia="宋体" w:cs="宋体"/>
                <w:i w:val="0"/>
                <w:iCs w:val="0"/>
                <w:color w:val="auto"/>
                <w:sz w:val="20"/>
                <w:szCs w:val="20"/>
                <w:highlight w:val="none"/>
                <w:u w:val="none"/>
                <w:lang w:val="en-US" w:eastAsia="zh-CN" w:bidi="ar"/>
              </w:rPr>
              <w:t xml:space="preserve">垫和沙发抗引燃特性的 评定第1部分：阴燃的香烟》、HJ 2547-2016《环境标志产品技术要求 家具》、QB/T 4371-2012《家具抗菌性能的评价》标准；长度、宽度极限偏差检测合格，厚度极限偏差检测合格，感官要求至少5项检测，物理力学性能（至少包含回弹率≥50%，拉伸强度≥150KPa，伸长率≥168%，撕裂强度≥4.5N/cm，干热老化后拉伸强度≥145KPa），密度≥50kg/m³，甲醛释放量≤0.03mg/m²h，TVOC≤0.05mg/m²h，抗引燃特性阻燃Ⅰ级，抗菌性能（抑菌率）≥95%。</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框架：采用实木框架，依据GB/T 1927.4-2021《无疵小试样本材物理力学性质试验方法 第4部分：含水率测定》﹔</w:t>
            </w:r>
            <w:r>
              <w:rPr>
                <w:rFonts w:hint="eastAsia" w:ascii="宋体" w:hAnsi="宋体" w:cs="宋体"/>
                <w:i w:val="0"/>
                <w:iCs w:val="0"/>
                <w:color w:val="auto"/>
                <w:sz w:val="20"/>
                <w:szCs w:val="20"/>
                <w:highlight w:val="none"/>
                <w:u w:val="none"/>
                <w:lang w:val="en-US" w:eastAsia="zh-CN" w:bidi="ar"/>
              </w:rPr>
              <w:t xml:space="preserve"> GB 18584-2024</w:t>
            </w:r>
            <w:r>
              <w:rPr>
                <w:rFonts w:hint="eastAsia" w:ascii="宋体" w:hAnsi="宋体" w:eastAsia="宋体" w:cs="宋体"/>
                <w:i w:val="0"/>
                <w:iCs w:val="0"/>
                <w:color w:val="auto"/>
                <w:sz w:val="20"/>
                <w:szCs w:val="20"/>
                <w:highlight w:val="none"/>
                <w:u w:val="none"/>
                <w:lang w:val="en-US" w:eastAsia="zh-CN" w:bidi="ar"/>
              </w:rPr>
              <w:t xml:space="preserve">《室内装饰装修材料木家具中有害物质限量》； GB/T 1927.5-2021《无疵小试样木材物理力学性质试验方法 第5部分:密度测定》﹔</w:t>
            </w:r>
            <w:r>
              <w:rPr>
                <w:rFonts w:hint="eastAsia" w:ascii="宋体" w:hAnsi="宋体" w:cs="宋体"/>
                <w:i w:val="0"/>
                <w:iCs w:val="0"/>
                <w:color w:val="auto"/>
                <w:sz w:val="20"/>
                <w:szCs w:val="20"/>
                <w:highlight w:val="none"/>
                <w:u w:val="none"/>
                <w:lang w:val="en-US" w:eastAsia="zh-CN" w:bidi="ar"/>
              </w:rPr>
              <w:t xml:space="preserve">GB/T 35601-2024</w:t>
            </w:r>
            <w:r>
              <w:rPr>
                <w:rFonts w:hint="eastAsia" w:ascii="宋体" w:hAnsi="宋体" w:eastAsia="宋体" w:cs="宋体"/>
                <w:i w:val="0"/>
                <w:iCs w:val="0"/>
                <w:color w:val="auto"/>
                <w:sz w:val="20"/>
                <w:szCs w:val="20"/>
                <w:highlight w:val="none"/>
                <w:u w:val="none"/>
                <w:lang w:val="en-US" w:eastAsia="zh-CN" w:bidi="ar"/>
              </w:rPr>
              <w:t xml:space="preserve"> 《绿色产品评价 人造板和木质地板》；GB/T 1927.9-2021《无疵小试样木材物理力学性质试验方法 第9部分:抗弯强度测定》；JC/T 2039-2010 《抗菌防霉木质装饰板》标准；木材含水率3%～10%，甲醛释放量≤0.5mg/L，总挥发性有机化合物≤20㎍/m³，气干密度≥0.68g/cm³，抗弯强度≥80MPa，防霉菌等级0级或1级。</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绷带：依据</w:t>
            </w:r>
            <w:r>
              <w:rPr>
                <w:rFonts w:hint="eastAsia" w:ascii="宋体" w:hAnsi="宋体" w:cs="宋体"/>
                <w:i w:val="0"/>
                <w:iCs w:val="0"/>
                <w:color w:val="auto"/>
                <w:sz w:val="20"/>
                <w:szCs w:val="20"/>
                <w:highlight w:val="none"/>
                <w:u w:val="none"/>
                <w:lang w:val="en-US" w:eastAsia="zh-CN" w:bidi="ar"/>
              </w:rPr>
              <w:t xml:space="preserve">GB 18401-2023</w:t>
            </w:r>
            <w:r>
              <w:rPr>
                <w:rFonts w:hint="eastAsia" w:ascii="宋体" w:hAnsi="宋体" w:eastAsia="宋体" w:cs="宋体"/>
                <w:i w:val="0"/>
                <w:iCs w:val="0"/>
                <w:color w:val="auto"/>
                <w:sz w:val="20"/>
                <w:szCs w:val="20"/>
                <w:highlight w:val="none"/>
                <w:u w:val="none"/>
                <w:lang w:val="en-US" w:eastAsia="zh-CN" w:bidi="ar"/>
              </w:rPr>
              <w:t xml:space="preserve"> 《国家纺织产 品基本安全技术规范》；GB/T 31713-2015 《抗菌纺织品安全性卫生要求》；GB/T 20944. 2-2007《纺织品抗菌性能的评价 第2部分:吸收法》；</w:t>
            </w:r>
            <w:r>
              <w:rPr>
                <w:rFonts w:hint="eastAsia" w:ascii="宋体" w:hAnsi="宋体" w:cs="宋体"/>
                <w:i w:val="0"/>
                <w:iCs w:val="0"/>
                <w:color w:val="auto"/>
                <w:sz w:val="20"/>
                <w:szCs w:val="20"/>
                <w:highlight w:val="none"/>
                <w:u w:val="none"/>
                <w:lang w:val="en-US" w:eastAsia="zh-CN" w:bidi="ar"/>
              </w:rPr>
              <w:t xml:space="preserve">GB/T 35607-2024</w:t>
            </w:r>
            <w:r>
              <w:rPr>
                <w:rFonts w:hint="eastAsia" w:ascii="宋体" w:hAnsi="宋体" w:eastAsia="宋体" w:cs="宋体"/>
                <w:i w:val="0"/>
                <w:iCs w:val="0"/>
                <w:color w:val="auto"/>
                <w:sz w:val="20"/>
                <w:szCs w:val="20"/>
                <w:highlight w:val="none"/>
                <w:u w:val="none"/>
                <w:lang w:val="en-US" w:eastAsia="zh-CN" w:bidi="ar"/>
              </w:rPr>
              <w:t xml:space="preserve"> 《绿色产品评价家具》；HJ 2546-2016《环境标志产品技术要求纺织产品》检测标准；甲醛含量≤20mg/kg，可分解致癌芳香胺染料未检出，产品有害物质（纺织品、皮革中五氯苯酚（PCP）≤0.05mg/kg，PH值4.0～7.5，可萃取的重金属（砷、铅、钴、镍）未检出，抗菌性能（抑菌率）≥99%。</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蛇形弹簧：依据</w:t>
            </w:r>
            <w:r>
              <w:rPr>
                <w:rFonts w:hint="eastAsia" w:ascii="宋体" w:hAnsi="宋体" w:cs="宋体"/>
                <w:i w:val="0"/>
                <w:iCs w:val="0"/>
                <w:color w:val="auto"/>
                <w:sz w:val="20"/>
                <w:szCs w:val="20"/>
                <w:highlight w:val="none"/>
                <w:u w:val="none"/>
                <w:lang w:val="en-US" w:eastAsia="zh-CN" w:bidi="ar"/>
              </w:rPr>
              <w:t xml:space="preserve">GB/T 3325-2024</w:t>
            </w:r>
            <w:r>
              <w:rPr>
                <w:rFonts w:hint="eastAsia" w:ascii="宋体" w:hAnsi="宋体" w:eastAsia="宋体" w:cs="宋体"/>
                <w:i w:val="0"/>
                <w:iCs w:val="0"/>
                <w:color w:val="auto"/>
                <w:sz w:val="20"/>
                <w:szCs w:val="20"/>
                <w:highlight w:val="none"/>
                <w:u w:val="none"/>
                <w:lang w:val="en-US" w:eastAsia="zh-CN" w:bidi="ar"/>
              </w:rPr>
              <w:t xml:space="preserve">《金属家具通用技术条件》；GB/T 10125-2021《人造气氛腐蚀试验 盐雾试验》；QB/T 3832- 1999《轻工产品金属镀层腐蚀试验结果的评价》；QB/T 4371-2012《家具抗菌性能的评价》；GB/T 1741-2020 《漆膜耐霉菌性测定法》；</w:t>
            </w:r>
            <w:r>
              <w:rPr>
                <w:rFonts w:hint="eastAsia" w:ascii="宋体" w:hAnsi="宋体" w:cs="宋体"/>
                <w:i w:val="0"/>
                <w:iCs w:val="0"/>
                <w:color w:val="auto"/>
                <w:sz w:val="20"/>
                <w:szCs w:val="20"/>
                <w:highlight w:val="none"/>
                <w:u w:val="none"/>
                <w:lang w:val="en-US" w:eastAsia="zh-CN" w:bidi="ar"/>
              </w:rPr>
              <w:t xml:space="preserve">GB/T 35607-2024</w:t>
            </w:r>
            <w:r>
              <w:rPr>
                <w:rFonts w:hint="eastAsia" w:ascii="宋体" w:hAnsi="宋体" w:eastAsia="宋体" w:cs="宋体"/>
                <w:i w:val="0"/>
                <w:iCs w:val="0"/>
                <w:color w:val="auto"/>
                <w:sz w:val="20"/>
                <w:szCs w:val="20"/>
                <w:highlight w:val="none"/>
                <w:u w:val="none"/>
                <w:lang w:val="en-US" w:eastAsia="zh-CN" w:bidi="ar"/>
              </w:rPr>
              <w:t xml:space="preserve">《绿色产品评价 家具》标准；喷涂层无漏喷、锈蚀和脱色、掉色现象，乙酸盐雾试验≥220h，镀层本身的耐腐蚀等级≥10级，镀层对基体的保护等级≥10级；产品有害物质（铅、镉、汞、砷）未检出，抑菌率≥99%。</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脚架：采用喷涂金属脚架，经酸洗磷化等处理，表面喷涂工艺，符合人体工程学。</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角几：600*600*450mm；饰面：采用三聚氰胺浸渍胶膜纸，依据</w:t>
            </w:r>
            <w:r>
              <w:rPr>
                <w:rFonts w:hint="eastAsia" w:ascii="宋体" w:hAnsi="宋体" w:cs="宋体"/>
                <w:i w:val="0"/>
                <w:iCs w:val="0"/>
                <w:color w:val="auto"/>
                <w:sz w:val="20"/>
                <w:szCs w:val="20"/>
                <w:highlight w:val="none"/>
                <w:u w:val="none"/>
                <w:lang w:val="en-US" w:eastAsia="zh-CN" w:bidi="ar"/>
              </w:rPr>
              <w:t xml:space="preserve"> GB 18584-2024</w:t>
            </w:r>
            <w:r>
              <w:rPr>
                <w:rFonts w:hint="eastAsia" w:ascii="宋体" w:hAnsi="宋体" w:eastAsia="宋体" w:cs="宋体"/>
                <w:i w:val="0"/>
                <w:iCs w:val="0"/>
                <w:color w:val="auto"/>
                <w:sz w:val="20"/>
                <w:szCs w:val="20"/>
                <w:highlight w:val="none"/>
                <w:u w:val="none"/>
                <w:lang w:val="en-US" w:eastAsia="zh-CN" w:bidi="ar"/>
              </w:rPr>
              <w:t xml:space="preserve">《室内装饰装修材料木家具中有害物质限量》；LY/T 1831-2009《人造板饰面专用装饰纸》；</w:t>
            </w:r>
            <w:r>
              <w:rPr>
                <w:rFonts w:hint="eastAsia" w:ascii="宋体" w:hAnsi="宋体" w:cs="宋体"/>
                <w:i w:val="0"/>
                <w:iCs w:val="0"/>
                <w:color w:val="auto"/>
                <w:sz w:val="20"/>
                <w:szCs w:val="20"/>
                <w:highlight w:val="none"/>
                <w:u w:val="none"/>
                <w:lang w:val="en-US" w:eastAsia="zh-CN" w:bidi="ar"/>
              </w:rPr>
              <w:t xml:space="preserve">GB/T 35601-2024</w:t>
            </w:r>
            <w:r>
              <w:rPr>
                <w:rFonts w:hint="eastAsia" w:ascii="宋体" w:hAnsi="宋体" w:eastAsia="宋体" w:cs="宋体"/>
                <w:i w:val="0"/>
                <w:iCs w:val="0"/>
                <w:color w:val="auto"/>
                <w:sz w:val="20"/>
                <w:szCs w:val="20"/>
                <w:highlight w:val="none"/>
                <w:u w:val="none"/>
                <w:lang w:val="en-US" w:eastAsia="zh-CN" w:bidi="ar"/>
              </w:rPr>
              <w:t xml:space="preserve">《绿色产品评价 人造板和木质地板》标准；耐热性1级，苯≤5㎍/m³，挥发物含量5%-9%，甲醛释放量≤0.5mg/L。 </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基材：采用不低于E0级刨花板，依据GB/T 17657-2022《人造板及饰面人造板理化性能试验方法》；GB/T 39600-2021《人造板及其制品甲醛释放量分级》；GB 18580-2017《室内装饰装修材料人造板及其制品中甲醛释放限量》；</w:t>
            </w:r>
            <w:r>
              <w:rPr>
                <w:rFonts w:hint="eastAsia" w:ascii="宋体" w:hAnsi="宋体" w:cs="宋体"/>
                <w:i w:val="0"/>
                <w:iCs w:val="0"/>
                <w:color w:val="auto"/>
                <w:sz w:val="20"/>
                <w:szCs w:val="20"/>
                <w:highlight w:val="none"/>
                <w:u w:val="none"/>
                <w:lang w:val="en-US" w:eastAsia="zh-CN" w:bidi="ar"/>
              </w:rPr>
              <w:t xml:space="preserve">GB/T 35601-2024</w:t>
            </w:r>
            <w:r>
              <w:rPr>
                <w:rFonts w:hint="eastAsia" w:ascii="宋体" w:hAnsi="宋体" w:eastAsia="宋体" w:cs="宋体"/>
                <w:i w:val="0"/>
                <w:iCs w:val="0"/>
                <w:color w:val="auto"/>
                <w:sz w:val="20"/>
                <w:szCs w:val="20"/>
                <w:highlight w:val="none"/>
                <w:u w:val="none"/>
                <w:lang w:val="en-US" w:eastAsia="zh-CN" w:bidi="ar"/>
              </w:rPr>
              <w:t xml:space="preserve">《绿色产品评价人造板和木质地板》；QB/T 4371-2012《家具抗菌性能的评价》；GB 8624-2012《建筑材料及制品燃烧性能分级》；</w:t>
            </w:r>
            <w:r>
              <w:rPr>
                <w:rFonts w:hint="eastAsia" w:ascii="宋体" w:hAnsi="宋体" w:cs="宋体"/>
                <w:i w:val="0"/>
                <w:iCs w:val="0"/>
                <w:color w:val="auto"/>
                <w:sz w:val="20"/>
                <w:szCs w:val="20"/>
                <w:highlight w:val="none"/>
                <w:u w:val="none"/>
                <w:lang w:val="en-US" w:eastAsia="zh-CN" w:bidi="ar"/>
              </w:rPr>
              <w:t xml:space="preserve"> GB 18584-2024</w:t>
            </w:r>
            <w:r>
              <w:rPr>
                <w:rFonts w:hint="eastAsia" w:ascii="宋体" w:hAnsi="宋体" w:eastAsia="宋体" w:cs="宋体"/>
                <w:i w:val="0"/>
                <w:iCs w:val="0"/>
                <w:color w:val="auto"/>
                <w:sz w:val="20"/>
                <w:szCs w:val="20"/>
                <w:highlight w:val="none"/>
                <w:u w:val="none"/>
                <w:lang w:val="en-US" w:eastAsia="zh-CN" w:bidi="ar"/>
              </w:rPr>
              <w:t xml:space="preserve">《室内装饰装修材料木家具中有害物质限量》；GB/T 4897-2015《刨花板》；外观质量至少4项检测，含水率3%～8%，静曲强度≥15MPa，弹性模量≥2000MPa，内胶合强度≥0.55MPa，表面胶合强度≥1.5MPa，2h吸水厚度膨胀率≤3%，板边握螺钉力≥1400N，板面握螺钉力≥1600N，密度≥0.75g/cm³，甲醛释放量≤0.05mg/m³，总挥发性有机化合物≤20㎍/m³，防霉菌等级0级或1级，60s内无燃烧滴落物引燃滤纸现象。</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封边：采用</w:t>
            </w:r>
            <w:r>
              <w:rPr>
                <w:rFonts w:hint="eastAsia" w:ascii="宋体" w:hAnsi="宋体" w:cs="宋体"/>
                <w:i w:val="0"/>
                <w:iCs w:val="0"/>
                <w:color w:val="auto"/>
                <w:sz w:val="20"/>
                <w:szCs w:val="20"/>
                <w:highlight w:val="none"/>
                <w:u w:val="none"/>
                <w:lang w:val="en-US" w:eastAsia="zh-CN" w:bidi="ar"/>
              </w:rPr>
              <w:t xml:space="preserve">ABS</w:t>
            </w:r>
            <w:r>
              <w:rPr>
                <w:rFonts w:hint="eastAsia" w:ascii="宋体" w:hAnsi="宋体" w:eastAsia="宋体" w:cs="宋体"/>
                <w:i w:val="0"/>
                <w:iCs w:val="0"/>
                <w:color w:val="auto"/>
                <w:sz w:val="20"/>
                <w:szCs w:val="20"/>
                <w:highlight w:val="none"/>
                <w:u w:val="none"/>
                <w:lang w:val="en-US" w:eastAsia="zh-CN" w:bidi="ar"/>
              </w:rPr>
              <w:t xml:space="preserve">激光封边条，依据</w:t>
            </w:r>
            <w:r>
              <w:rPr>
                <w:rFonts w:hint="eastAsia" w:ascii="宋体" w:hAnsi="宋体" w:cs="宋体"/>
                <w:i w:val="0"/>
                <w:iCs w:val="0"/>
                <w:color w:val="auto"/>
                <w:sz w:val="20"/>
                <w:szCs w:val="20"/>
                <w:highlight w:val="none"/>
                <w:u w:val="none"/>
                <w:lang w:val="en-US" w:eastAsia="zh-CN" w:bidi="ar"/>
              </w:rPr>
              <w:t xml:space="preserve">QB/T 4463-2025</w:t>
            </w:r>
            <w:r>
              <w:rPr>
                <w:rFonts w:hint="eastAsia" w:ascii="宋体" w:hAnsi="宋体" w:eastAsia="宋体" w:cs="宋体"/>
                <w:i w:val="0"/>
                <w:iCs w:val="0"/>
                <w:color w:val="auto"/>
                <w:sz w:val="20"/>
                <w:szCs w:val="20"/>
                <w:highlight w:val="none"/>
                <w:u w:val="none"/>
                <w:lang w:val="en-US" w:eastAsia="zh-CN" w:bidi="ar"/>
              </w:rPr>
              <w:t xml:space="preserve">《家具用封边条技术要求》；GB/T 24128-2018《塑料 塑料防霉剂的防霉效果评估》</w:t>
            </w:r>
            <w:r>
              <w:rPr>
                <w:rFonts w:hint="eastAsia" w:ascii="宋体" w:hAnsi="宋体" w:cs="宋体"/>
                <w:i w:val="0"/>
                <w:iCs w:val="0"/>
                <w:color w:val="auto"/>
                <w:sz w:val="20"/>
                <w:szCs w:val="20"/>
                <w:highlight w:val="none"/>
                <w:u w:val="none"/>
                <w:lang w:val="en-US" w:eastAsia="zh-CN" w:bidi="ar"/>
              </w:rPr>
              <w:t xml:space="preserve">；GB 18584-2024</w:t>
            </w:r>
            <w:r>
              <w:rPr>
                <w:rFonts w:hint="eastAsia" w:ascii="宋体" w:hAnsi="宋体" w:eastAsia="宋体" w:cs="宋体"/>
                <w:i w:val="0"/>
                <w:iCs w:val="0"/>
                <w:color w:val="auto"/>
                <w:sz w:val="20"/>
                <w:szCs w:val="20"/>
                <w:highlight w:val="none"/>
                <w:u w:val="none"/>
                <w:lang w:val="en-US" w:eastAsia="zh-CN" w:bidi="ar"/>
              </w:rPr>
              <w:t xml:space="preserve">《塑料家具中有害物质限量》标准；厚度≥1.8mm。压纹（压花）表面有统一的花式。耐开裂性1级，耐老化性无开裂，甲醛释放量≤0.5mg/L，防霉等级0级或1级，16种多环芳烃（PAH）总量≤5mg/kg。 </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热熔胶：选用</w:t>
            </w:r>
            <w:r>
              <w:rPr>
                <w:rFonts w:hint="eastAsia" w:ascii="宋体" w:hAnsi="宋体" w:cs="宋体"/>
                <w:i w:val="0"/>
                <w:iCs w:val="0"/>
                <w:color w:val="auto"/>
                <w:sz w:val="20"/>
                <w:szCs w:val="20"/>
                <w:highlight w:val="none"/>
                <w:u w:val="none"/>
                <w:lang w:val="en-US" w:eastAsia="zh-CN" w:bidi="ar"/>
              </w:rPr>
              <w:t xml:space="preserve">环保</w:t>
            </w:r>
            <w:r>
              <w:rPr>
                <w:rFonts w:hint="eastAsia" w:ascii="宋体" w:hAnsi="宋体" w:eastAsia="宋体" w:cs="宋体"/>
                <w:i w:val="0"/>
                <w:iCs w:val="0"/>
                <w:color w:val="auto"/>
                <w:sz w:val="20"/>
                <w:szCs w:val="20"/>
                <w:highlight w:val="none"/>
                <w:u w:val="none"/>
                <w:lang w:val="en-US" w:eastAsia="zh-CN" w:bidi="ar"/>
              </w:rPr>
              <w:t xml:space="preserve">热熔胶，依据GB18583-2008《室内装饰装修材料胶粘剂中有害物质限量》﹔HJ2541-2016《环境标志产品技术要求胶粘剂》标准；游离甲醛≤0.1g/kg，苯≤0.02g/kg，甲苯≤0.02g/kg，二甲苯≤0.02g/kg，总挥发性有机物≤5g/L，游离甲苯二异氰酸酯≤1g/kg。 </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五金配件：采用品牌五金配件，导轨依据GB/T 10125-2021《人造气氛腐蚀试验盐雾试验》；QB/T 3832- 1999《轻工产品金属镀层腐蚀试验结果的评价》； </w:t>
            </w:r>
            <w:r>
              <w:rPr>
                <w:rFonts w:hint="eastAsia" w:ascii="宋体" w:hAnsi="宋体" w:cs="宋体"/>
                <w:i w:val="0"/>
                <w:iCs w:val="0"/>
                <w:color w:val="auto"/>
                <w:sz w:val="20"/>
                <w:szCs w:val="20"/>
                <w:highlight w:val="none"/>
                <w:u w:val="none"/>
                <w:lang w:val="en-US" w:eastAsia="zh-CN" w:bidi="ar"/>
              </w:rPr>
              <w:t xml:space="preserve">GB/T 24170.1-2023</w:t>
            </w:r>
            <w:r>
              <w:rPr>
                <w:rFonts w:hint="eastAsia" w:ascii="宋体" w:hAnsi="宋体" w:eastAsia="宋体" w:cs="宋体"/>
                <w:i w:val="0"/>
                <w:iCs w:val="0"/>
                <w:color w:val="auto"/>
                <w:sz w:val="20"/>
                <w:szCs w:val="20"/>
                <w:highlight w:val="none"/>
                <w:u w:val="none"/>
                <w:lang w:val="en-US" w:eastAsia="zh-CN" w:bidi="ar"/>
              </w:rPr>
              <w:t xml:space="preserve">《表</w:t>
            </w:r>
            <w:r>
              <w:rPr>
                <w:rFonts w:hint="eastAsia" w:ascii="宋体" w:hAnsi="宋体" w:eastAsia="宋体" w:cs="宋体"/>
                <w:i w:val="0"/>
                <w:iCs w:val="0"/>
                <w:color w:val="auto"/>
                <w:sz w:val="20"/>
                <w:szCs w:val="20"/>
                <w:highlight w:val="none"/>
                <w:u w:val="none"/>
                <w:lang w:val="en-US" w:eastAsia="zh-CN" w:bidi="ar"/>
              </w:rPr>
              <w:t xml:space="preserve">面抗菌不锈钢第1部分:电化学法》； QB/T 2454-2013《家具五金抽屉导轨》检测标准；中性盐雾试验≥500h，镀层本身的耐腐蚀等级≥10级，镀层对基体的保护等级≥10级；乙酸盐雾试验≥250h，镀层本身的耐腐蚀等级≥10级，镀层对基体的保护等级≥10级；耐久性≥12万次检测合格，抗菌性能（抗菌率）≥99%。铰链依据QB/T 2189-2013《家具五金杯状暗铰链》；GB/T 10125 -2021《人造气氛腐蚀试验盐雾 试验》； QB/T 3832-1999 《轻工产品金属镀层腐蚀试验结果的评价》；</w:t>
            </w:r>
            <w:r>
              <w:rPr>
                <w:rFonts w:hint="eastAsia" w:ascii="宋体" w:hAnsi="宋体" w:cs="宋体"/>
                <w:i w:val="0"/>
                <w:iCs w:val="0"/>
                <w:color w:val="auto"/>
                <w:sz w:val="20"/>
                <w:szCs w:val="20"/>
                <w:highlight w:val="none"/>
                <w:u w:val="none"/>
                <w:lang w:val="en-US" w:eastAsia="zh-CN" w:bidi="ar"/>
              </w:rPr>
              <w:t xml:space="preserve">GB/T 24170.1-2023</w:t>
            </w:r>
            <w:r>
              <w:rPr>
                <w:rFonts w:hint="eastAsia" w:ascii="宋体" w:hAnsi="宋体" w:eastAsia="宋体" w:cs="宋体"/>
                <w:i w:val="0"/>
                <w:iCs w:val="0"/>
                <w:color w:val="auto"/>
                <w:sz w:val="20"/>
                <w:szCs w:val="20"/>
                <w:highlight w:val="none"/>
                <w:u w:val="none"/>
                <w:lang w:val="en-US" w:eastAsia="zh-CN" w:bidi="ar"/>
              </w:rPr>
              <w:t xml:space="preserve">《表面抗菌不锈钢第1部分:电化学法》检测标准；中性盐雾试验≥500h，镀层本身的耐腐蚀等级≥10级，镀层对基体的保护等级≥10级；乙酸盐雾试验≥250h，镀层本身的耐腐蚀等级≥10级，镀层对基体的保护等级≥10级；耐久性≥12万次检测合格，安装B型试验门时，下沉量不大于1.5mm，抗菌性能（抗菌率）≥99%。</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茶几：1200*1200*450mm；饰面：采用三聚氰胺浸渍胶膜纸，依据</w:t>
            </w:r>
            <w:r>
              <w:rPr>
                <w:rFonts w:hint="eastAsia" w:ascii="宋体" w:hAnsi="宋体" w:cs="宋体"/>
                <w:i w:val="0"/>
                <w:iCs w:val="0"/>
                <w:color w:val="auto"/>
                <w:sz w:val="20"/>
                <w:szCs w:val="20"/>
                <w:highlight w:val="none"/>
                <w:u w:val="none"/>
                <w:lang w:val="en-US" w:eastAsia="zh-CN" w:bidi="ar"/>
              </w:rPr>
              <w:t xml:space="preserve"> GB 18584-2024</w:t>
            </w:r>
            <w:r>
              <w:rPr>
                <w:rFonts w:hint="eastAsia" w:ascii="宋体" w:hAnsi="宋体" w:eastAsia="宋体" w:cs="宋体"/>
                <w:i w:val="0"/>
                <w:iCs w:val="0"/>
                <w:color w:val="auto"/>
                <w:sz w:val="20"/>
                <w:szCs w:val="20"/>
                <w:highlight w:val="none"/>
                <w:u w:val="none"/>
                <w:lang w:val="en-US" w:eastAsia="zh-CN" w:bidi="ar"/>
              </w:rPr>
              <w:t xml:space="preserve">《室内装饰装修材料木家具中有害物质限量》；LY/T 1831-2009《人造板饰面专用装饰纸》；</w:t>
            </w:r>
            <w:r>
              <w:rPr>
                <w:rFonts w:hint="eastAsia" w:ascii="宋体" w:hAnsi="宋体" w:cs="宋体"/>
                <w:i w:val="0"/>
                <w:iCs w:val="0"/>
                <w:color w:val="auto"/>
                <w:sz w:val="20"/>
                <w:szCs w:val="20"/>
                <w:highlight w:val="none"/>
                <w:u w:val="none"/>
                <w:lang w:val="en-US" w:eastAsia="zh-CN" w:bidi="ar"/>
              </w:rPr>
              <w:t xml:space="preserve">GB/T 35601-2024</w:t>
            </w:r>
            <w:r>
              <w:rPr>
                <w:rFonts w:hint="eastAsia" w:ascii="宋体" w:hAnsi="宋体" w:eastAsia="宋体" w:cs="宋体"/>
                <w:i w:val="0"/>
                <w:iCs w:val="0"/>
                <w:color w:val="auto"/>
                <w:sz w:val="20"/>
                <w:szCs w:val="20"/>
                <w:highlight w:val="none"/>
                <w:u w:val="none"/>
                <w:lang w:val="en-US" w:eastAsia="zh-CN" w:bidi="ar"/>
              </w:rPr>
              <w:t xml:space="preserve">《绿色产品评价 人造板和木质地板》标准；耐热性1级，苯≤5㎍/m³，挥发物含量5%-9%，甲醛释放量≤0.5mg/L。 </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基材：采用不低于E0级刨花板，依据GB/T 17657-2022《人造板及饰面人造板理化性能试验方法》；GB/T 39600-2021《人造板及其制品甲醛释放量分级》；GB 18580-2017《室内装饰装修材料人造板及其制品中甲醛释放限量》；</w:t>
            </w:r>
            <w:r>
              <w:rPr>
                <w:rFonts w:hint="eastAsia" w:ascii="宋体" w:hAnsi="宋体" w:cs="宋体"/>
                <w:i w:val="0"/>
                <w:iCs w:val="0"/>
                <w:color w:val="auto"/>
                <w:sz w:val="20"/>
                <w:szCs w:val="20"/>
                <w:highlight w:val="none"/>
                <w:u w:val="none"/>
                <w:lang w:val="en-US" w:eastAsia="zh-CN" w:bidi="ar"/>
              </w:rPr>
              <w:t xml:space="preserve">GB/T 35601-2024</w:t>
            </w:r>
            <w:r>
              <w:rPr>
                <w:rFonts w:hint="eastAsia" w:ascii="宋体" w:hAnsi="宋体" w:eastAsia="宋体" w:cs="宋体"/>
                <w:i w:val="0"/>
                <w:iCs w:val="0"/>
                <w:color w:val="auto"/>
                <w:sz w:val="20"/>
                <w:szCs w:val="20"/>
                <w:highlight w:val="none"/>
                <w:u w:val="none"/>
                <w:lang w:val="en-US" w:eastAsia="zh-CN" w:bidi="ar"/>
              </w:rPr>
              <w:t xml:space="preserve">《绿色产品评价人造板和木质地板》；QB/T 4371-2012《家具抗菌性能的评价》；GB 8624-2012《建筑材料及制品燃烧性能分级》；</w:t>
            </w:r>
            <w:r>
              <w:rPr>
                <w:rFonts w:hint="eastAsia" w:ascii="宋体" w:hAnsi="宋体" w:cs="宋体"/>
                <w:i w:val="0"/>
                <w:iCs w:val="0"/>
                <w:color w:val="auto"/>
                <w:sz w:val="20"/>
                <w:szCs w:val="20"/>
                <w:highlight w:val="none"/>
                <w:u w:val="none"/>
                <w:lang w:val="en-US" w:eastAsia="zh-CN" w:bidi="ar"/>
              </w:rPr>
              <w:t xml:space="preserve"> GB 18584-2024</w:t>
            </w:r>
            <w:r>
              <w:rPr>
                <w:rFonts w:hint="eastAsia" w:ascii="宋体" w:hAnsi="宋体" w:eastAsia="宋体" w:cs="宋体"/>
                <w:i w:val="0"/>
                <w:iCs w:val="0"/>
                <w:color w:val="auto"/>
                <w:sz w:val="20"/>
                <w:szCs w:val="20"/>
                <w:highlight w:val="none"/>
                <w:u w:val="none"/>
                <w:lang w:val="en-US" w:eastAsia="zh-CN" w:bidi="ar"/>
              </w:rPr>
              <w:t xml:space="preserve">《室内装饰装修材料木家具中有害物质限量》；GB/T 4897-2015《刨花板》；外观质量至少4项检测，含水率3%～8%，静曲强度≥15MPa，弹性模量≥2000MPa，内胶合强度≥0.55MPa，表面胶合强度≥1.5MPa，2h吸水厚度膨胀率≤3%，板边握螺钉力≥1400N，板面握螺钉力≥1600N，密度≥0.75g/cm³，甲醛释放量≤0.05mg/m³，总挥发性有机化合物≤20㎍/m³，防霉菌等级0级或1级，60s内无燃烧滴落物引燃滤纸现象。</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封边：采用</w:t>
            </w:r>
            <w:r>
              <w:rPr>
                <w:rFonts w:hint="eastAsia" w:ascii="宋体" w:hAnsi="宋体" w:cs="宋体"/>
                <w:i w:val="0"/>
                <w:iCs w:val="0"/>
                <w:color w:val="auto"/>
                <w:sz w:val="20"/>
                <w:szCs w:val="20"/>
                <w:highlight w:val="none"/>
                <w:u w:val="none"/>
                <w:lang w:val="en-US" w:eastAsia="zh-CN" w:bidi="ar"/>
              </w:rPr>
              <w:t xml:space="preserve">ABS</w:t>
            </w:r>
            <w:r>
              <w:rPr>
                <w:rFonts w:hint="eastAsia" w:ascii="宋体" w:hAnsi="宋体" w:eastAsia="宋体" w:cs="宋体"/>
                <w:i w:val="0"/>
                <w:iCs w:val="0"/>
                <w:color w:val="auto"/>
                <w:sz w:val="20"/>
                <w:szCs w:val="20"/>
                <w:highlight w:val="none"/>
                <w:u w:val="none"/>
                <w:lang w:val="en-US" w:eastAsia="zh-CN" w:bidi="ar"/>
              </w:rPr>
              <w:t xml:space="preserve">激光封边条，依据</w:t>
            </w:r>
            <w:r>
              <w:rPr>
                <w:rFonts w:hint="eastAsia" w:ascii="宋体" w:hAnsi="宋体" w:cs="宋体"/>
                <w:i w:val="0"/>
                <w:iCs w:val="0"/>
                <w:color w:val="auto"/>
                <w:sz w:val="20"/>
                <w:szCs w:val="20"/>
                <w:highlight w:val="none"/>
                <w:u w:val="none"/>
                <w:lang w:val="en-US" w:eastAsia="zh-CN" w:bidi="ar"/>
              </w:rPr>
              <w:t xml:space="preserve">QB/T 4463-2025</w:t>
            </w:r>
            <w:r>
              <w:rPr>
                <w:rFonts w:hint="eastAsia" w:ascii="宋体" w:hAnsi="宋体" w:eastAsia="宋体" w:cs="宋体"/>
                <w:i w:val="0"/>
                <w:iCs w:val="0"/>
                <w:color w:val="auto"/>
                <w:sz w:val="20"/>
                <w:szCs w:val="20"/>
                <w:highlight w:val="none"/>
                <w:u w:val="none"/>
                <w:lang w:val="en-US" w:eastAsia="zh-CN" w:bidi="ar"/>
              </w:rPr>
              <w:t xml:space="preserve">《家具用封边条技术要求》；GB/T 24128-2018《塑料 塑料防霉剂的防霉效果评估》</w:t>
            </w:r>
            <w:r>
              <w:rPr>
                <w:rFonts w:hint="eastAsia" w:ascii="宋体" w:hAnsi="宋体" w:cs="宋体"/>
                <w:i w:val="0"/>
                <w:iCs w:val="0"/>
                <w:color w:val="auto"/>
                <w:sz w:val="20"/>
                <w:szCs w:val="20"/>
                <w:highlight w:val="none"/>
                <w:u w:val="none"/>
                <w:lang w:val="en-US" w:eastAsia="zh-CN" w:bidi="ar"/>
              </w:rPr>
              <w:t xml:space="preserve">；GB 18584-2024</w:t>
            </w:r>
            <w:r>
              <w:rPr>
                <w:rFonts w:hint="eastAsia" w:ascii="宋体" w:hAnsi="宋体" w:eastAsia="宋体" w:cs="宋体"/>
                <w:i w:val="0"/>
                <w:iCs w:val="0"/>
                <w:color w:val="auto"/>
                <w:sz w:val="20"/>
                <w:szCs w:val="20"/>
                <w:highlight w:val="none"/>
                <w:u w:val="none"/>
                <w:lang w:val="en-US" w:eastAsia="zh-CN" w:bidi="ar"/>
              </w:rPr>
              <w:t xml:space="preserve">《塑料家具中有害物质限量》标准；厚度≥1.8mm。压纹（压花）表面有统一的花式。耐开裂性1级，耐老化性无开裂，甲醛释放量≤0.5mg/L，防霉等级0级或1级，16种多环芳烃（PAH）总量≤5mg/kg。 </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热熔胶：选用</w:t>
            </w:r>
            <w:r>
              <w:rPr>
                <w:rFonts w:hint="eastAsia" w:ascii="宋体" w:hAnsi="宋体" w:cs="宋体"/>
                <w:i w:val="0"/>
                <w:iCs w:val="0"/>
                <w:color w:val="auto"/>
                <w:sz w:val="20"/>
                <w:szCs w:val="20"/>
                <w:highlight w:val="none"/>
                <w:u w:val="none"/>
                <w:lang w:val="en-US" w:eastAsia="zh-CN" w:bidi="ar"/>
              </w:rPr>
              <w:t xml:space="preserve">环保</w:t>
            </w:r>
            <w:r>
              <w:rPr>
                <w:rFonts w:hint="eastAsia" w:ascii="宋体" w:hAnsi="宋体" w:eastAsia="宋体" w:cs="宋体"/>
                <w:i w:val="0"/>
                <w:iCs w:val="0"/>
                <w:color w:val="auto"/>
                <w:sz w:val="20"/>
                <w:szCs w:val="20"/>
                <w:highlight w:val="none"/>
                <w:u w:val="none"/>
                <w:lang w:val="en-US" w:eastAsia="zh-CN" w:bidi="ar"/>
              </w:rPr>
              <w:t xml:space="preserve">热熔胶，依据GB18583-2008《室内装饰装修材料胶粘剂中有害物质限量》﹔HJ2541-2016《环境标志产品技术要求胶粘剂》标准；游离甲醛≤0.1g/kg，苯≤0.02g/kg，甲苯≤0.02g/kg，二甲苯≤0.02g/kg，总挥发性有机物≤5g/L，游离甲苯二异氰酸酯≤1g/kg。 </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五金配件：采用品牌五金配件，导轨依据GB/T 10125-2021《人造气氛腐蚀试验盐雾试验》；QB/T 3832- 1999《轻工产品金属镀层腐蚀试验结果的评价》； </w:t>
            </w:r>
            <w:r>
              <w:rPr>
                <w:rFonts w:hint="eastAsia" w:ascii="宋体" w:hAnsi="宋体" w:cs="宋体"/>
                <w:i w:val="0"/>
                <w:iCs w:val="0"/>
                <w:color w:val="auto"/>
                <w:sz w:val="20"/>
                <w:szCs w:val="20"/>
                <w:highlight w:val="none"/>
                <w:u w:val="none"/>
                <w:lang w:val="en-US" w:eastAsia="zh-CN" w:bidi="ar"/>
              </w:rPr>
              <w:t xml:space="preserve">GB/T 24170.1-2023</w:t>
            </w:r>
            <w:r>
              <w:rPr>
                <w:rFonts w:hint="eastAsia" w:ascii="宋体" w:hAnsi="宋体" w:eastAsia="宋体" w:cs="宋体"/>
                <w:i w:val="0"/>
                <w:iCs w:val="0"/>
                <w:color w:val="auto"/>
                <w:sz w:val="20"/>
                <w:szCs w:val="20"/>
                <w:highlight w:val="none"/>
                <w:u w:val="none"/>
                <w:lang w:val="en-US" w:eastAsia="zh-CN" w:bidi="ar"/>
              </w:rPr>
              <w:t xml:space="preserve">《表</w:t>
            </w:r>
            <w:r>
              <w:rPr>
                <w:rFonts w:hint="eastAsia" w:ascii="宋体" w:hAnsi="宋体" w:eastAsia="宋体" w:cs="宋体"/>
                <w:i w:val="0"/>
                <w:iCs w:val="0"/>
                <w:color w:val="auto"/>
                <w:sz w:val="20"/>
                <w:szCs w:val="20"/>
                <w:highlight w:val="none"/>
                <w:u w:val="none"/>
                <w:lang w:val="en-US" w:eastAsia="zh-CN" w:bidi="ar"/>
              </w:rPr>
              <w:t xml:space="preserve">面抗菌不锈钢第1部分:电化学法》； QB/T 2454-2013《家具五金抽屉导轨》检测标准；中性盐雾试验≥500h，镀层本身的耐腐蚀等级≥10级，镀层对基体的保护等级≥10级；乙酸盐雾试验≥250h，镀层本身的耐腐蚀等级≥10级，镀层对基体的保护等级≥10级；耐久性≥12万次检测合格，抗菌性能（抗菌率）≥99%。铰链依据QB/T 2189-2013《家具五金杯状暗铰链》；GB/T 10125 -2021《人造气氛腐蚀试验盐雾 试验》； QB/T 3832-1999 《轻工产品金属镀层腐蚀试验结果的评价》；</w:t>
            </w:r>
            <w:r>
              <w:rPr>
                <w:rFonts w:hint="eastAsia" w:ascii="宋体" w:hAnsi="宋体" w:cs="宋体"/>
                <w:i w:val="0"/>
                <w:iCs w:val="0"/>
                <w:color w:val="auto"/>
                <w:sz w:val="20"/>
                <w:szCs w:val="20"/>
                <w:highlight w:val="none"/>
                <w:u w:val="none"/>
                <w:lang w:val="en-US" w:eastAsia="zh-CN" w:bidi="ar"/>
              </w:rPr>
              <w:t xml:space="preserve">GB/T 24170.1-2023</w:t>
            </w:r>
            <w:r>
              <w:rPr>
                <w:rFonts w:hint="eastAsia" w:ascii="宋体" w:hAnsi="宋体" w:eastAsia="宋体" w:cs="宋体"/>
                <w:i w:val="0"/>
                <w:iCs w:val="0"/>
                <w:color w:val="auto"/>
                <w:sz w:val="20"/>
                <w:szCs w:val="20"/>
                <w:highlight w:val="none"/>
                <w:u w:val="none"/>
                <w:lang w:val="en-US" w:eastAsia="zh-CN" w:bidi="ar"/>
              </w:rPr>
              <w:t xml:space="preserve">《表面抗菌不锈钢第1部分:电化学法》检测标准；中性盐雾试验≥500h，镀层本身的耐腐蚀等级≥10级，镀层对基体的保护等级≥10级；乙酸盐雾试验≥250h，镀层本身的耐腐蚀等级≥10级，镀层对基体的保护等级≥10级；耐久性≥12万次检测合格，安装B型试验门时，下沉量不大于1.5mm，抗菌性能（抗菌率）≥99%。</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书柜（按场地尺寸提供）：4000*2700*400mm；饰面：采用三聚氰胺浸渍胶膜纸，依据</w:t>
            </w:r>
            <w:r>
              <w:rPr>
                <w:rFonts w:hint="eastAsia" w:ascii="宋体" w:hAnsi="宋体" w:cs="宋体"/>
                <w:i w:val="0"/>
                <w:iCs w:val="0"/>
                <w:color w:val="auto"/>
                <w:sz w:val="20"/>
                <w:szCs w:val="20"/>
                <w:highlight w:val="none"/>
                <w:u w:val="none"/>
                <w:lang w:val="en-US" w:eastAsia="zh-CN" w:bidi="ar"/>
              </w:rPr>
              <w:t xml:space="preserve"> GB 18584-2024</w:t>
            </w:r>
            <w:r>
              <w:rPr>
                <w:rFonts w:hint="eastAsia" w:ascii="宋体" w:hAnsi="宋体" w:eastAsia="宋体" w:cs="宋体"/>
                <w:i w:val="0"/>
                <w:iCs w:val="0"/>
                <w:color w:val="auto"/>
                <w:sz w:val="20"/>
                <w:szCs w:val="20"/>
                <w:highlight w:val="none"/>
                <w:u w:val="none"/>
                <w:lang w:val="en-US" w:eastAsia="zh-CN" w:bidi="ar"/>
              </w:rPr>
              <w:t xml:space="preserve">《室内装饰装修材料木家具中有害物质限量》；LY/T 1831-2009《人造板饰面专用装饰纸》；</w:t>
            </w:r>
            <w:r>
              <w:rPr>
                <w:rFonts w:hint="eastAsia" w:ascii="宋体" w:hAnsi="宋体" w:cs="宋体"/>
                <w:i w:val="0"/>
                <w:iCs w:val="0"/>
                <w:color w:val="auto"/>
                <w:sz w:val="20"/>
                <w:szCs w:val="20"/>
                <w:highlight w:val="none"/>
                <w:u w:val="none"/>
                <w:lang w:val="en-US" w:eastAsia="zh-CN" w:bidi="ar"/>
              </w:rPr>
              <w:t xml:space="preserve">GB/T 35601-2024</w:t>
            </w:r>
            <w:r>
              <w:rPr>
                <w:rFonts w:hint="eastAsia" w:ascii="宋体" w:hAnsi="宋体" w:eastAsia="宋体" w:cs="宋体"/>
                <w:i w:val="0"/>
                <w:iCs w:val="0"/>
                <w:color w:val="auto"/>
                <w:sz w:val="20"/>
                <w:szCs w:val="20"/>
                <w:highlight w:val="none"/>
                <w:u w:val="none"/>
                <w:lang w:val="en-US" w:eastAsia="zh-CN" w:bidi="ar"/>
              </w:rPr>
              <w:t xml:space="preserve">《绿色产品评价 人造板和木质地板》标准；耐热性1级，苯≤5㎍/m³，挥发物含量5%-9%，甲醛释放量≤0.5mg/L。 </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基材：采用不低于E0级刨花板，依据GB/T 17657-2022《人造板及饰面人造板理化性能试验方法》；GB/T 39600-2021《人造板及其制品甲醛释放量分级》；GB 18580-2017《室内装饰装修材料人造板及其制品中甲醛释放限量》；</w:t>
            </w:r>
            <w:r>
              <w:rPr>
                <w:rFonts w:hint="eastAsia" w:ascii="宋体" w:hAnsi="宋体" w:cs="宋体"/>
                <w:i w:val="0"/>
                <w:iCs w:val="0"/>
                <w:color w:val="auto"/>
                <w:sz w:val="20"/>
                <w:szCs w:val="20"/>
                <w:highlight w:val="none"/>
                <w:u w:val="none"/>
                <w:lang w:val="en-US" w:eastAsia="zh-CN" w:bidi="ar"/>
              </w:rPr>
              <w:t xml:space="preserve">GB/T 35601-2024</w:t>
            </w:r>
            <w:r>
              <w:rPr>
                <w:rFonts w:hint="eastAsia" w:ascii="宋体" w:hAnsi="宋体" w:eastAsia="宋体" w:cs="宋体"/>
                <w:i w:val="0"/>
                <w:iCs w:val="0"/>
                <w:color w:val="auto"/>
                <w:sz w:val="20"/>
                <w:szCs w:val="20"/>
                <w:highlight w:val="none"/>
                <w:u w:val="none"/>
                <w:lang w:val="en-US" w:eastAsia="zh-CN" w:bidi="ar"/>
              </w:rPr>
              <w:t xml:space="preserve">《绿色产品评价人造板和木质地板》；QB/T 4371-2012《家具抗菌性能的评价》；GB 8624-2012《建筑材料及制品燃烧性能分级》；</w:t>
            </w:r>
            <w:r>
              <w:rPr>
                <w:rFonts w:hint="eastAsia" w:ascii="宋体" w:hAnsi="宋体" w:cs="宋体"/>
                <w:i w:val="0"/>
                <w:iCs w:val="0"/>
                <w:color w:val="auto"/>
                <w:sz w:val="20"/>
                <w:szCs w:val="20"/>
                <w:highlight w:val="none"/>
                <w:u w:val="none"/>
                <w:lang w:val="en-US" w:eastAsia="zh-CN" w:bidi="ar"/>
              </w:rPr>
              <w:t xml:space="preserve"> GB 18584-2024</w:t>
            </w:r>
            <w:r>
              <w:rPr>
                <w:rFonts w:hint="eastAsia" w:ascii="宋体" w:hAnsi="宋体" w:eastAsia="宋体" w:cs="宋体"/>
                <w:i w:val="0"/>
                <w:iCs w:val="0"/>
                <w:color w:val="auto"/>
                <w:sz w:val="20"/>
                <w:szCs w:val="20"/>
                <w:highlight w:val="none"/>
                <w:u w:val="none"/>
                <w:lang w:val="en-US" w:eastAsia="zh-CN" w:bidi="ar"/>
              </w:rPr>
              <w:t xml:space="preserve">《室内装饰装修材料木家具中有害物质限量》；GB/T 4897-2015《刨花板》；外观质量至少4项检测，含水率3%～8%，静曲强度≥15MPa，弹性模量≥2000MPa，内胶合强度≥0.55MPa，表面胶合强度≥1.5MPa，2h吸水厚度膨胀率≤3%，板边握螺钉力≥1400N，板面握螺钉力≥1600N，密度≥0.75g/cm³，甲醛释放量≤0.05mg/m³，总挥发性有机化合物≤20㎍/m³，防霉菌等级0级或1级，60s内无燃烧滴落物引燃滤纸现象。</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封边：采用</w:t>
            </w:r>
            <w:r>
              <w:rPr>
                <w:rFonts w:hint="eastAsia" w:ascii="宋体" w:hAnsi="宋体" w:cs="宋体"/>
                <w:i w:val="0"/>
                <w:iCs w:val="0"/>
                <w:color w:val="auto"/>
                <w:sz w:val="20"/>
                <w:szCs w:val="20"/>
                <w:highlight w:val="none"/>
                <w:u w:val="none"/>
                <w:lang w:val="en-US" w:eastAsia="zh-CN" w:bidi="ar"/>
              </w:rPr>
              <w:t xml:space="preserve">ABS</w:t>
            </w:r>
            <w:r>
              <w:rPr>
                <w:rFonts w:hint="eastAsia" w:ascii="宋体" w:hAnsi="宋体" w:eastAsia="宋体" w:cs="宋体"/>
                <w:i w:val="0"/>
                <w:iCs w:val="0"/>
                <w:color w:val="auto"/>
                <w:sz w:val="20"/>
                <w:szCs w:val="20"/>
                <w:highlight w:val="none"/>
                <w:u w:val="none"/>
                <w:lang w:val="en-US" w:eastAsia="zh-CN" w:bidi="ar"/>
              </w:rPr>
              <w:t xml:space="preserve">激光封边条，依据</w:t>
            </w:r>
            <w:r>
              <w:rPr>
                <w:rFonts w:hint="eastAsia" w:ascii="宋体" w:hAnsi="宋体" w:cs="宋体"/>
                <w:i w:val="0"/>
                <w:iCs w:val="0"/>
                <w:color w:val="auto"/>
                <w:sz w:val="20"/>
                <w:szCs w:val="20"/>
                <w:highlight w:val="none"/>
                <w:u w:val="none"/>
                <w:lang w:val="en-US" w:eastAsia="zh-CN" w:bidi="ar"/>
              </w:rPr>
              <w:t xml:space="preserve">QB/T 4463-2025</w:t>
            </w:r>
            <w:r>
              <w:rPr>
                <w:rFonts w:hint="eastAsia" w:ascii="宋体" w:hAnsi="宋体" w:eastAsia="宋体" w:cs="宋体"/>
                <w:i w:val="0"/>
                <w:iCs w:val="0"/>
                <w:color w:val="auto"/>
                <w:sz w:val="20"/>
                <w:szCs w:val="20"/>
                <w:highlight w:val="none"/>
                <w:u w:val="none"/>
                <w:lang w:val="en-US" w:eastAsia="zh-CN" w:bidi="ar"/>
              </w:rPr>
              <w:t xml:space="preserve">《家具用封边条技术要求》；GB/T 24128-2018《塑料 塑料防霉剂的防霉效果评估》</w:t>
            </w:r>
            <w:r>
              <w:rPr>
                <w:rFonts w:hint="eastAsia" w:ascii="宋体" w:hAnsi="宋体" w:cs="宋体"/>
                <w:i w:val="0"/>
                <w:iCs w:val="0"/>
                <w:color w:val="auto"/>
                <w:sz w:val="20"/>
                <w:szCs w:val="20"/>
                <w:highlight w:val="none"/>
                <w:u w:val="none"/>
                <w:lang w:val="en-US" w:eastAsia="zh-CN" w:bidi="ar"/>
              </w:rPr>
              <w:t xml:space="preserve">；GB 18584-2024</w:t>
            </w:r>
            <w:r>
              <w:rPr>
                <w:rFonts w:hint="eastAsia" w:ascii="宋体" w:hAnsi="宋体" w:eastAsia="宋体" w:cs="宋体"/>
                <w:i w:val="0"/>
                <w:iCs w:val="0"/>
                <w:color w:val="auto"/>
                <w:sz w:val="20"/>
                <w:szCs w:val="20"/>
                <w:highlight w:val="none"/>
                <w:u w:val="none"/>
                <w:lang w:val="en-US" w:eastAsia="zh-CN" w:bidi="ar"/>
              </w:rPr>
              <w:t xml:space="preserve">《塑料家具中有害物质限量》标准；厚度≥1.8mm。压纹（压花）表面有统一的花式。耐开裂性1级，耐老化性无开裂，甲醛释放量≤0.5mg/L，防霉等级0级或1级，16种多环芳烃（PAH）总量≤5mg/kg。 </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热熔胶：选用</w:t>
            </w:r>
            <w:r>
              <w:rPr>
                <w:rFonts w:hint="eastAsia" w:ascii="宋体" w:hAnsi="宋体" w:cs="宋体"/>
                <w:i w:val="0"/>
                <w:iCs w:val="0"/>
                <w:color w:val="auto"/>
                <w:sz w:val="20"/>
                <w:szCs w:val="20"/>
                <w:highlight w:val="none"/>
                <w:u w:val="none"/>
                <w:lang w:val="en-US" w:eastAsia="zh-CN" w:bidi="ar"/>
              </w:rPr>
              <w:t xml:space="preserve">环保</w:t>
            </w:r>
            <w:r>
              <w:rPr>
                <w:rFonts w:hint="eastAsia" w:ascii="宋体" w:hAnsi="宋体" w:eastAsia="宋体" w:cs="宋体"/>
                <w:i w:val="0"/>
                <w:iCs w:val="0"/>
                <w:color w:val="auto"/>
                <w:sz w:val="20"/>
                <w:szCs w:val="20"/>
                <w:highlight w:val="none"/>
                <w:u w:val="none"/>
                <w:lang w:val="en-US" w:eastAsia="zh-CN" w:bidi="ar"/>
              </w:rPr>
              <w:t xml:space="preserve">热熔胶，依据GB18583-2008《室内装饰装修材料胶粘剂中有害物质限量》﹔HJ2541-2016《环境标志产品技术要求胶粘剂》标准；游离甲醛≤0.1g/kg，苯≤0.02g/kg，甲苯≤0.02g/kg，二甲苯≤0.02g/kg，总挥发性有机物≤5g/L，游离甲苯二异氰酸酯≤1g/kg。 </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五金配件：采用品牌五金配件，导轨依据GB/T 10125-2021《人造气氛腐蚀试验盐雾试验》；QB/T 3832- 1999《轻工产品金属镀层腐蚀试验结果的评价》； </w:t>
            </w:r>
            <w:r>
              <w:rPr>
                <w:rFonts w:hint="eastAsia" w:ascii="宋体" w:hAnsi="宋体" w:cs="宋体"/>
                <w:i w:val="0"/>
                <w:iCs w:val="0"/>
                <w:color w:val="auto"/>
                <w:sz w:val="20"/>
                <w:szCs w:val="20"/>
                <w:highlight w:val="none"/>
                <w:u w:val="none"/>
                <w:lang w:val="en-US" w:eastAsia="zh-CN" w:bidi="ar"/>
              </w:rPr>
              <w:t xml:space="preserve">GB/T 24170.1-2023</w:t>
            </w:r>
            <w:r>
              <w:rPr>
                <w:rFonts w:hint="eastAsia" w:ascii="宋体" w:hAnsi="宋体" w:eastAsia="宋体" w:cs="宋体"/>
                <w:i w:val="0"/>
                <w:iCs w:val="0"/>
                <w:color w:val="auto"/>
                <w:sz w:val="20"/>
                <w:szCs w:val="20"/>
                <w:highlight w:val="none"/>
                <w:u w:val="none"/>
                <w:lang w:val="en-US" w:eastAsia="zh-CN" w:bidi="ar"/>
              </w:rPr>
              <w:t xml:space="preserve">《表</w:t>
            </w:r>
            <w:r>
              <w:rPr>
                <w:rFonts w:hint="eastAsia" w:ascii="宋体" w:hAnsi="宋体" w:eastAsia="宋体" w:cs="宋体"/>
                <w:i w:val="0"/>
                <w:iCs w:val="0"/>
                <w:color w:val="auto"/>
                <w:sz w:val="20"/>
                <w:szCs w:val="20"/>
                <w:highlight w:val="none"/>
                <w:u w:val="none"/>
                <w:lang w:val="en-US" w:eastAsia="zh-CN" w:bidi="ar"/>
              </w:rPr>
              <w:t xml:space="preserve">面抗菌不锈钢第1部分:电化学法》； QB/T 2454-2013《家具五金抽屉导轨》检测标准；中性盐雾试验≥500h，镀层本身的耐腐蚀等级≥10级，镀层对基体的保护等级≥10级；乙酸盐雾试验≥250h，镀层本身的耐腐蚀等级≥10级，镀层对基体的保护等级≥10级；耐久性≥12万次检测合格，抗菌性能（抗菌率）≥99%。铰链依据QB/T 2189-2013《家具五金杯状暗铰链》；GB/T 10125 -2021《人造气氛腐蚀试验盐雾 试验》； QB/T 3832-1999 《轻工产品金属镀层腐蚀试验结果的评价》；</w:t>
            </w:r>
            <w:r>
              <w:rPr>
                <w:rFonts w:hint="eastAsia" w:ascii="宋体" w:hAnsi="宋体" w:cs="宋体"/>
                <w:i w:val="0"/>
                <w:iCs w:val="0"/>
                <w:color w:val="auto"/>
                <w:sz w:val="20"/>
                <w:szCs w:val="20"/>
                <w:highlight w:val="none"/>
                <w:u w:val="none"/>
                <w:lang w:val="en-US" w:eastAsia="zh-CN" w:bidi="ar"/>
              </w:rPr>
              <w:t xml:space="preserve">GB/T 24170.1-2023</w:t>
            </w:r>
            <w:r>
              <w:rPr>
                <w:rFonts w:hint="eastAsia" w:ascii="宋体" w:hAnsi="宋体" w:eastAsia="宋体" w:cs="宋体"/>
                <w:i w:val="0"/>
                <w:iCs w:val="0"/>
                <w:color w:val="auto"/>
                <w:sz w:val="20"/>
                <w:szCs w:val="20"/>
                <w:highlight w:val="none"/>
                <w:u w:val="none"/>
                <w:lang w:val="en-US" w:eastAsia="zh-CN" w:bidi="ar"/>
              </w:rPr>
              <w:t xml:space="preserve">《表面抗菌不锈钢第1部分:电化学法》检测标准；中性盐雾试验≥500h，镀层本身的耐腐蚀等级≥10级，镀层对基体的保护等级≥10级；乙酸盐雾试验≥250h，镀层本身的耐腐蚀等级≥10级，镀层对基体的保护等级≥10级；耐久性≥12万次检测合格，安装B型试验门时，下沉量不大于1.5mm，抗菌性能（抗菌率）≥99%。</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茶水台：W800×D400×H850mm；1、饰面：采用木皮，依据</w:t>
            </w:r>
            <w:r>
              <w:rPr>
                <w:rFonts w:hint="eastAsia" w:ascii="宋体" w:hAnsi="宋体" w:cs="宋体"/>
                <w:i w:val="0"/>
                <w:iCs w:val="0"/>
                <w:color w:val="auto"/>
                <w:sz w:val="20"/>
                <w:szCs w:val="20"/>
                <w:highlight w:val="none"/>
                <w:u w:val="none"/>
                <w:lang w:val="en-US" w:eastAsia="zh-CN" w:bidi="ar"/>
              </w:rPr>
              <w:t xml:space="preserve">GB/T 35601-2024</w:t>
            </w:r>
            <w:r>
              <w:rPr>
                <w:rFonts w:hint="eastAsia" w:ascii="宋体" w:hAnsi="宋体" w:eastAsia="宋体" w:cs="宋体"/>
                <w:i w:val="0"/>
                <w:iCs w:val="0"/>
                <w:color w:val="auto"/>
                <w:sz w:val="20"/>
                <w:szCs w:val="20"/>
                <w:highlight w:val="none"/>
                <w:u w:val="none"/>
                <w:lang w:val="en-US" w:eastAsia="zh-CN" w:bidi="ar"/>
              </w:rPr>
              <w:t xml:space="preserve">《绿色产品评价人造板和木质地板》；</w:t>
            </w:r>
            <w:r>
              <w:rPr>
                <w:rFonts w:hint="eastAsia" w:ascii="宋体" w:hAnsi="宋体" w:cs="宋体"/>
                <w:i w:val="0"/>
                <w:iCs w:val="0"/>
                <w:color w:val="auto"/>
                <w:sz w:val="20"/>
                <w:szCs w:val="20"/>
                <w:highlight w:val="none"/>
                <w:u w:val="none"/>
                <w:lang w:val="en-US" w:eastAsia="zh-CN" w:bidi="ar"/>
              </w:rPr>
              <w:t xml:space="preserve"> GB 18584-2024</w:t>
            </w:r>
            <w:r>
              <w:rPr>
                <w:rFonts w:hint="eastAsia" w:ascii="宋体" w:hAnsi="宋体" w:eastAsia="宋体" w:cs="宋体"/>
                <w:i w:val="0"/>
                <w:iCs w:val="0"/>
                <w:color w:val="auto"/>
                <w:sz w:val="20"/>
                <w:szCs w:val="20"/>
                <w:highlight w:val="none"/>
                <w:u w:val="none"/>
                <w:lang w:val="en-US" w:eastAsia="zh-CN" w:bidi="ar"/>
              </w:rPr>
              <w:t xml:space="preserve">《室内装饰装修材料木家具中有害物质限量》；GB/T 13010-2020《木材工业用单板》；</w:t>
            </w:r>
            <w:r>
              <w:rPr>
                <w:rFonts w:hint="eastAsia" w:ascii="宋体" w:hAnsi="宋体" w:cs="宋体"/>
                <w:i w:val="0"/>
                <w:iCs w:val="0"/>
                <w:color w:val="auto"/>
                <w:sz w:val="20"/>
                <w:szCs w:val="20"/>
                <w:highlight w:val="none"/>
                <w:u w:val="none"/>
                <w:lang w:val="en-US" w:eastAsia="zh-CN" w:bidi="ar"/>
              </w:rPr>
              <w:t xml:space="preserve">GB/T 3324-2024</w:t>
            </w:r>
            <w:r>
              <w:rPr>
                <w:rFonts w:hint="eastAsia" w:ascii="宋体" w:hAnsi="宋体" w:eastAsia="宋体" w:cs="宋体"/>
                <w:i w:val="0"/>
                <w:iCs w:val="0"/>
                <w:color w:val="auto"/>
                <w:sz w:val="20"/>
                <w:szCs w:val="20"/>
                <w:highlight w:val="none"/>
                <w:u w:val="none"/>
                <w:lang w:val="en-US" w:eastAsia="zh-CN" w:bidi="ar"/>
              </w:rPr>
              <w:t xml:space="preserve">《木家具通用技术条件》标准；厚度≥0.6mm，总挥发性有机化合物≤20㎍/m³，甲醛释放量≤0.5mg/L，单板含水率3%～8%，无贯通裂缝、无虫蛀现象，无腐朽材。</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2、基材：采用不低于E0级高密度纤维板，依据GB/T 31765-2015《高密度纤维板》；GB/T 17657-2022《人造板及饰面人造板理化性能试验方法》；GB/T 39600-2021《人造板及其制品甲醛释放量分级》；GB 18580-2017《室内装饰装修材料人造板及其制品中甲醛释放限量》；</w:t>
            </w:r>
            <w:r>
              <w:rPr>
                <w:rFonts w:hint="eastAsia" w:ascii="宋体" w:hAnsi="宋体" w:cs="宋体"/>
                <w:i w:val="0"/>
                <w:iCs w:val="0"/>
                <w:color w:val="auto"/>
                <w:sz w:val="20"/>
                <w:szCs w:val="20"/>
                <w:highlight w:val="none"/>
                <w:u w:val="none"/>
                <w:lang w:val="en-US" w:eastAsia="zh-CN" w:bidi="ar"/>
              </w:rPr>
              <w:t xml:space="preserve">GB/T 35601-2024</w:t>
            </w:r>
            <w:r>
              <w:rPr>
                <w:rFonts w:hint="eastAsia" w:ascii="宋体" w:hAnsi="宋体" w:eastAsia="宋体" w:cs="宋体"/>
                <w:i w:val="0"/>
                <w:iCs w:val="0"/>
                <w:color w:val="auto"/>
                <w:sz w:val="20"/>
                <w:szCs w:val="20"/>
                <w:highlight w:val="none"/>
                <w:u w:val="none"/>
                <w:lang w:val="en-US" w:eastAsia="zh-CN" w:bidi="ar"/>
              </w:rPr>
              <w:t xml:space="preserve">《绿色产品评价人造板和木质地板》；JC/T 2039-2010《抗菌防霉木质装饰板》标准；无油污、斑点或异物，无边角缺损，内结合强度，表面结合强度均符合要求，密度≥0.85g/cm³，含水率3%～8%，弹性模量≥4000MPa，吸水厚度膨胀率≤3%，垂直板面握螺钉力板边≥1300N，垂直板面握螺钉力板面≥1500N，甲醛释放量≤0.03mg/m³，总挥发性有机化合物≤20㎍/m³，防霉菌等级0级或1级。</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3、封边：采用实木封边条，依据</w:t>
            </w:r>
            <w:r>
              <w:rPr>
                <w:rFonts w:hint="eastAsia" w:ascii="宋体" w:hAnsi="宋体" w:cs="宋体"/>
                <w:i w:val="0"/>
                <w:iCs w:val="0"/>
                <w:color w:val="auto"/>
                <w:sz w:val="20"/>
                <w:szCs w:val="20"/>
                <w:highlight w:val="none"/>
                <w:u w:val="none"/>
                <w:lang w:val="en-US" w:eastAsia="zh-CN" w:bidi="ar"/>
              </w:rPr>
              <w:t xml:space="preserve">QB/T 4463-2025</w:t>
            </w:r>
            <w:r>
              <w:rPr>
                <w:rFonts w:hint="eastAsia" w:ascii="宋体" w:hAnsi="宋体" w:eastAsia="宋体" w:cs="宋体"/>
                <w:i w:val="0"/>
                <w:iCs w:val="0"/>
                <w:color w:val="auto"/>
                <w:sz w:val="20"/>
                <w:szCs w:val="20"/>
                <w:highlight w:val="none"/>
                <w:u w:val="none"/>
                <w:lang w:val="en-US" w:eastAsia="zh-CN" w:bidi="ar"/>
              </w:rPr>
              <w:t xml:space="preserve">《家具用封边条技术要求》、QB/T 4371-2012《家具抗菌性能的评价》检测标准；厚度≥3mm，含水率8%～11%，甲醛释放量≤0.5mg/L，抗菌性能（抗细菌率）≥99.5%。</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4、油漆：采用环保油漆，依据GB 18581-2020《木器涂料中有害物质限量》；</w:t>
            </w:r>
            <w:r>
              <w:rPr>
                <w:rFonts w:hint="eastAsia" w:ascii="宋体" w:hAnsi="宋体" w:cs="宋体"/>
                <w:i w:val="0"/>
                <w:iCs w:val="0"/>
                <w:color w:val="auto"/>
                <w:sz w:val="20"/>
                <w:szCs w:val="20"/>
                <w:highlight w:val="none"/>
                <w:u w:val="none"/>
                <w:lang w:val="en-US" w:eastAsia="zh-CN" w:bidi="ar"/>
              </w:rPr>
              <w:t xml:space="preserve">GB/T 21866-2025</w:t>
            </w:r>
            <w:r>
              <w:rPr>
                <w:rFonts w:hint="eastAsia" w:ascii="宋体" w:hAnsi="宋体" w:eastAsia="宋体" w:cs="宋体"/>
                <w:i w:val="0"/>
                <w:iCs w:val="0"/>
                <w:color w:val="auto"/>
                <w:sz w:val="20"/>
                <w:szCs w:val="20"/>
                <w:highlight w:val="none"/>
                <w:u w:val="none"/>
                <w:lang w:val="en-US" w:eastAsia="zh-CN" w:bidi="ar"/>
              </w:rPr>
              <w:t xml:space="preserve">《抗菌涂料（漆膜）抗菌性测定法和抗菌效果》；</w:t>
            </w:r>
            <w:r>
              <w:rPr>
                <w:rFonts w:hint="eastAsia" w:ascii="宋体" w:hAnsi="宋体" w:cs="宋体"/>
                <w:i w:val="0"/>
                <w:iCs w:val="0"/>
                <w:color w:val="auto"/>
                <w:sz w:val="20"/>
                <w:szCs w:val="20"/>
                <w:highlight w:val="none"/>
                <w:u w:val="none"/>
                <w:lang w:val="en-US" w:eastAsia="zh-CN" w:bidi="ar"/>
              </w:rPr>
              <w:t xml:space="preserve">GB/T 6739-2020</w:t>
            </w:r>
            <w:r>
              <w:rPr>
                <w:rFonts w:hint="eastAsia" w:ascii="宋体" w:hAnsi="宋体" w:eastAsia="宋体" w:cs="宋体"/>
                <w:i w:val="0"/>
                <w:iCs w:val="0"/>
                <w:color w:val="auto"/>
                <w:sz w:val="20"/>
                <w:szCs w:val="20"/>
                <w:highlight w:val="none"/>
                <w:u w:val="none"/>
                <w:lang w:val="en-US" w:eastAsia="zh-CN" w:bidi="ar"/>
              </w:rPr>
              <w:t xml:space="preserve">《色漆和清漆铅笔法测定漆膜硬度》﹔GB/T 23997-2009《室内装饰装修用溶剂型聚氨酯木器涂料》；</w:t>
            </w:r>
            <w:r>
              <w:rPr>
                <w:rFonts w:hint="eastAsia" w:ascii="宋体" w:hAnsi="宋体" w:cs="宋体"/>
                <w:i w:val="0"/>
                <w:iCs w:val="0"/>
                <w:color w:val="auto"/>
                <w:sz w:val="20"/>
                <w:szCs w:val="20"/>
                <w:highlight w:val="none"/>
                <w:u w:val="none"/>
                <w:lang w:val="en-US" w:eastAsia="zh-CN" w:bidi="ar"/>
              </w:rPr>
              <w:t xml:space="preserve">HJ 2573-2016</w:t>
            </w:r>
            <w:r>
              <w:rPr>
                <w:rFonts w:hint="eastAsia" w:ascii="宋体" w:hAnsi="宋体" w:eastAsia="宋体" w:cs="宋体"/>
                <w:i w:val="0"/>
                <w:iCs w:val="0"/>
                <w:color w:val="auto"/>
                <w:sz w:val="20"/>
                <w:szCs w:val="20"/>
                <w:highlight w:val="none"/>
                <w:u w:val="none"/>
                <w:lang w:val="en-US" w:eastAsia="zh-CN" w:bidi="ar"/>
              </w:rPr>
              <w:t xml:space="preserve">《环境标志产品技术要求 室内装饰装修用溶剂型木器涂料》标准；VOC含量≤5g/L，总铅含量≤2mg/kg，镉含量≤2mg/kg，铬含量≤2mg/kg，汞含量≤2mg/kg，乙二醇醚及醚酯总和含量（限乙二醇甲醚、乙二醇甲醚醋酸酯、乙二醇乙醚、乙二醇乙醚醋酸酯、乙二醇二甲醚、乙二醇二乙醚、二乙二醇二甲醚、三乙二醇二甲醚)≤20mg/kg，苯含量≤0.1%，甲醛含量≤10mg/kg，甲苯与二甲苯（含乙苯）总和含量≤5%，多环芳烃总和含量≤1mg/kg，抗菌性能（抗细菌率）≥99.5%，附着力1级。</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5、水性胶粘剂：选用环保胶，依据GB 18583-2008《室内装饰装修材料胶粘剂中有害物质限量》；HJ 2541-2016《环境标志产品技术要求胶粘剂》标准；游离甲醛≤0.5g/kg，总挥发性有机物≤5g/L，卤代烃≤0.1g/kg。</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6、五金配件：采用品牌五金配件，导轨依据GB/T 10125-2021《人造气氛腐蚀试验盐雾试验》；QB/T 3832- 1999《轻工产品金属镀层腐蚀试验结果的评价》； </w:t>
            </w:r>
            <w:r>
              <w:rPr>
                <w:rFonts w:hint="eastAsia" w:ascii="宋体" w:hAnsi="宋体" w:cs="宋体"/>
                <w:i w:val="0"/>
                <w:iCs w:val="0"/>
                <w:color w:val="auto"/>
                <w:sz w:val="20"/>
                <w:szCs w:val="20"/>
                <w:highlight w:val="none"/>
                <w:u w:val="none"/>
                <w:lang w:val="en-US" w:eastAsia="zh-CN" w:bidi="ar"/>
              </w:rPr>
              <w:t xml:space="preserve">GB/T 24170.1-2023</w:t>
            </w:r>
            <w:r>
              <w:rPr>
                <w:rFonts w:hint="eastAsia" w:ascii="宋体" w:hAnsi="宋体" w:eastAsia="宋体" w:cs="宋体"/>
                <w:i w:val="0"/>
                <w:iCs w:val="0"/>
                <w:color w:val="auto"/>
                <w:sz w:val="20"/>
                <w:szCs w:val="20"/>
                <w:highlight w:val="none"/>
                <w:u w:val="none"/>
                <w:lang w:val="en-US" w:eastAsia="zh-CN" w:bidi="ar"/>
              </w:rPr>
              <w:t xml:space="preserve">《表</w:t>
            </w:r>
            <w:r>
              <w:rPr>
                <w:rFonts w:hint="eastAsia" w:ascii="宋体" w:hAnsi="宋体" w:eastAsia="宋体" w:cs="宋体"/>
                <w:i w:val="0"/>
                <w:iCs w:val="0"/>
                <w:color w:val="auto"/>
                <w:sz w:val="20"/>
                <w:szCs w:val="20"/>
                <w:highlight w:val="none"/>
                <w:u w:val="none"/>
                <w:lang w:val="en-US" w:eastAsia="zh-CN" w:bidi="ar"/>
              </w:rPr>
              <w:t xml:space="preserve">面抗菌不锈钢第1部分:电化学法》； QB/T 2454-2013《家具五金抽屉导轨》检测标准；中性盐雾试验≥500h，镀层本身的耐腐蚀等级≥10级，镀层对基体的保护等级≥10级；乙酸盐雾试验≥250h，镀层本身的耐腐蚀等级≥10级，镀层对基体的保护等级≥10级；耐久性≥12万次检测合格，抗菌性能（抗菌率）≥99%。铰链依据QB/T 2189-2013《家具五金杯状暗铰链》；GB/T 10125 -2021《人造气氛腐蚀试验盐雾 试验》； QB/T 3832-1999 《轻工产品金属镀层腐蚀试验结果的评价》；</w:t>
            </w:r>
            <w:r>
              <w:rPr>
                <w:rFonts w:hint="eastAsia" w:ascii="宋体" w:hAnsi="宋体" w:cs="宋体"/>
                <w:i w:val="0"/>
                <w:iCs w:val="0"/>
                <w:color w:val="auto"/>
                <w:sz w:val="20"/>
                <w:szCs w:val="20"/>
                <w:highlight w:val="none"/>
                <w:u w:val="none"/>
                <w:lang w:val="en-US" w:eastAsia="zh-CN" w:bidi="ar"/>
              </w:rPr>
              <w:t xml:space="preserve">GB/T 24170.1-2023</w:t>
            </w:r>
            <w:r>
              <w:rPr>
                <w:rFonts w:hint="eastAsia" w:ascii="宋体" w:hAnsi="宋体" w:eastAsia="宋体" w:cs="宋体"/>
                <w:i w:val="0"/>
                <w:iCs w:val="0"/>
                <w:color w:val="auto"/>
                <w:sz w:val="20"/>
                <w:szCs w:val="20"/>
                <w:highlight w:val="none"/>
                <w:u w:val="none"/>
                <w:lang w:val="en-US" w:eastAsia="zh-CN" w:bidi="ar"/>
              </w:rPr>
              <w:t xml:space="preserve">《表面抗菌不锈钢第1部分:电化学法》检测标准；中性盐雾试验≥500h，镀层本身的耐腐蚀等级≥10级，镀层对基体的保护等级≥10级；乙酸盐雾试验≥250h，镀层本身的耐腐蚀等级≥10级，镀层对基体的保护等级≥10级；耐久性≥12万次检测合格，安装B型试验门时，下沉量不大于1.5mm，抗菌性能（抗菌率）≥99%。</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大会议室：</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演讲台：1、饰面：采用木皮，依据</w:t>
            </w:r>
            <w:r>
              <w:rPr>
                <w:rFonts w:hint="eastAsia" w:ascii="宋体" w:hAnsi="宋体" w:cs="宋体"/>
                <w:i w:val="0"/>
                <w:iCs w:val="0"/>
                <w:color w:val="auto"/>
                <w:sz w:val="20"/>
                <w:szCs w:val="20"/>
                <w:highlight w:val="none"/>
                <w:u w:val="none"/>
                <w:lang w:val="en-US" w:eastAsia="zh-CN" w:bidi="ar"/>
              </w:rPr>
              <w:t xml:space="preserve">GB/T 35601-2024</w:t>
            </w:r>
            <w:r>
              <w:rPr>
                <w:rFonts w:hint="eastAsia" w:ascii="宋体" w:hAnsi="宋体" w:eastAsia="宋体" w:cs="宋体"/>
                <w:i w:val="0"/>
                <w:iCs w:val="0"/>
                <w:color w:val="auto"/>
                <w:sz w:val="20"/>
                <w:szCs w:val="20"/>
                <w:highlight w:val="none"/>
                <w:u w:val="none"/>
                <w:lang w:val="en-US" w:eastAsia="zh-CN" w:bidi="ar"/>
              </w:rPr>
              <w:t xml:space="preserve">《绿色产品评价人造板和木质地板》；</w:t>
            </w:r>
            <w:r>
              <w:rPr>
                <w:rFonts w:hint="eastAsia" w:ascii="宋体" w:hAnsi="宋体" w:cs="宋体"/>
                <w:i w:val="0"/>
                <w:iCs w:val="0"/>
                <w:color w:val="auto"/>
                <w:sz w:val="20"/>
                <w:szCs w:val="20"/>
                <w:highlight w:val="none"/>
                <w:u w:val="none"/>
                <w:lang w:val="en-US" w:eastAsia="zh-CN" w:bidi="ar"/>
              </w:rPr>
              <w:t xml:space="preserve"> GB 18584-2024</w:t>
            </w:r>
            <w:r>
              <w:rPr>
                <w:rFonts w:hint="eastAsia" w:ascii="宋体" w:hAnsi="宋体" w:eastAsia="宋体" w:cs="宋体"/>
                <w:i w:val="0"/>
                <w:iCs w:val="0"/>
                <w:color w:val="auto"/>
                <w:sz w:val="20"/>
                <w:szCs w:val="20"/>
                <w:highlight w:val="none"/>
                <w:u w:val="none"/>
                <w:lang w:val="en-US" w:eastAsia="zh-CN" w:bidi="ar"/>
              </w:rPr>
              <w:t xml:space="preserve">《室内装饰装修材料木家具中有害物质限量》；GB/T 13010-2020《木材工业用单板》；</w:t>
            </w:r>
            <w:r>
              <w:rPr>
                <w:rFonts w:hint="eastAsia" w:ascii="宋体" w:hAnsi="宋体" w:cs="宋体"/>
                <w:i w:val="0"/>
                <w:iCs w:val="0"/>
                <w:color w:val="auto"/>
                <w:sz w:val="20"/>
                <w:szCs w:val="20"/>
                <w:highlight w:val="none"/>
                <w:u w:val="none"/>
                <w:lang w:val="en-US" w:eastAsia="zh-CN" w:bidi="ar"/>
              </w:rPr>
              <w:t xml:space="preserve">GB/T 3324-2024</w:t>
            </w:r>
            <w:r>
              <w:rPr>
                <w:rFonts w:hint="eastAsia" w:ascii="宋体" w:hAnsi="宋体" w:eastAsia="宋体" w:cs="宋体"/>
                <w:i w:val="0"/>
                <w:iCs w:val="0"/>
                <w:color w:val="auto"/>
                <w:sz w:val="20"/>
                <w:szCs w:val="20"/>
                <w:highlight w:val="none"/>
                <w:u w:val="none"/>
                <w:lang w:val="en-US" w:eastAsia="zh-CN" w:bidi="ar"/>
              </w:rPr>
              <w:t xml:space="preserve">《木家具通用技术条件》标准；厚度≥0.6mm，总挥发性有机化合物≤20㎍/m³，甲醛释放量≤0.5mg/L，单板含水率3%～8%，无贯通裂缝、无虫蛀现象，无腐朽材。</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2、基材：采用不低于E0级高密度纤维板，依据GB/T 31765-2015《高密度纤维板》；GB/T 17657-2022《人造板及饰面人造板理化性能试验方法》；GB/T 39600-2021《人造板及其制品甲醛释放量分级》；GB 18580-2017《室内装饰装修材料人造板及其制品中甲醛释放限量》；</w:t>
            </w:r>
            <w:r>
              <w:rPr>
                <w:rFonts w:hint="eastAsia" w:ascii="宋体" w:hAnsi="宋体" w:cs="宋体"/>
                <w:i w:val="0"/>
                <w:iCs w:val="0"/>
                <w:color w:val="auto"/>
                <w:sz w:val="20"/>
                <w:szCs w:val="20"/>
                <w:highlight w:val="none"/>
                <w:u w:val="none"/>
                <w:lang w:val="en-US" w:eastAsia="zh-CN" w:bidi="ar"/>
              </w:rPr>
              <w:t xml:space="preserve">GB/T 35601-2024</w:t>
            </w:r>
            <w:r>
              <w:rPr>
                <w:rFonts w:hint="eastAsia" w:ascii="宋体" w:hAnsi="宋体" w:eastAsia="宋体" w:cs="宋体"/>
                <w:i w:val="0"/>
                <w:iCs w:val="0"/>
                <w:color w:val="auto"/>
                <w:sz w:val="20"/>
                <w:szCs w:val="20"/>
                <w:highlight w:val="none"/>
                <w:u w:val="none"/>
                <w:lang w:val="en-US" w:eastAsia="zh-CN" w:bidi="ar"/>
              </w:rPr>
              <w:t xml:space="preserve">《绿色产品评价人造板和木质地板》；JC/T 2039-2010《抗菌防霉木质装饰板》标准；无油污、斑点或异物，无边角缺损，内结合强度，表面结合强度均符合要求，密度≥0.85g/cm³，含水率3%～8%，弹性模量≥4000MPa，吸水厚度膨胀率≤3%，垂直板面握螺钉力板边≥1300N，垂直板面握螺钉力板面≥1500N，甲醛释放量≤0.03mg/m³，总挥发性有机化合物≤20㎍/m³，防霉菌等级0级或1级。</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3、封边：采用实木封边条，依据</w:t>
            </w:r>
            <w:r>
              <w:rPr>
                <w:rFonts w:hint="eastAsia" w:ascii="宋体" w:hAnsi="宋体" w:cs="宋体"/>
                <w:i w:val="0"/>
                <w:iCs w:val="0"/>
                <w:color w:val="auto"/>
                <w:sz w:val="20"/>
                <w:szCs w:val="20"/>
                <w:highlight w:val="none"/>
                <w:u w:val="none"/>
                <w:lang w:val="en-US" w:eastAsia="zh-CN" w:bidi="ar"/>
              </w:rPr>
              <w:t xml:space="preserve">QB/T 4463-2025</w:t>
            </w:r>
            <w:r>
              <w:rPr>
                <w:rFonts w:hint="eastAsia" w:ascii="宋体" w:hAnsi="宋体" w:eastAsia="宋体" w:cs="宋体"/>
                <w:i w:val="0"/>
                <w:iCs w:val="0"/>
                <w:color w:val="auto"/>
                <w:sz w:val="20"/>
                <w:szCs w:val="20"/>
                <w:highlight w:val="none"/>
                <w:u w:val="none"/>
                <w:lang w:val="en-US" w:eastAsia="zh-CN" w:bidi="ar"/>
              </w:rPr>
              <w:t xml:space="preserve">《家具用封边条技术要求》、QB/T 4371-2012《家具抗菌性能的评价》检测标准；厚度≥3mm，含水率8%～11%，甲醛释放量≤0.5mg/L，抗菌性能（抗细菌率）≥99.5%。</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4、油漆：采用环保油漆，依据GB 18581-2020《木器涂料中有害物质限量》；</w:t>
            </w:r>
            <w:r>
              <w:rPr>
                <w:rFonts w:hint="eastAsia" w:ascii="宋体" w:hAnsi="宋体" w:cs="宋体"/>
                <w:i w:val="0"/>
                <w:iCs w:val="0"/>
                <w:color w:val="auto"/>
                <w:sz w:val="20"/>
                <w:szCs w:val="20"/>
                <w:highlight w:val="none"/>
                <w:u w:val="none"/>
                <w:lang w:val="en-US" w:eastAsia="zh-CN" w:bidi="ar"/>
              </w:rPr>
              <w:t xml:space="preserve">GB/T 21866-2025</w:t>
            </w:r>
            <w:r>
              <w:rPr>
                <w:rFonts w:hint="eastAsia" w:ascii="宋体" w:hAnsi="宋体" w:eastAsia="宋体" w:cs="宋体"/>
                <w:i w:val="0"/>
                <w:iCs w:val="0"/>
                <w:color w:val="auto"/>
                <w:sz w:val="20"/>
                <w:szCs w:val="20"/>
                <w:highlight w:val="none"/>
                <w:u w:val="none"/>
                <w:lang w:val="en-US" w:eastAsia="zh-CN" w:bidi="ar"/>
              </w:rPr>
              <w:t xml:space="preserve">《抗菌涂料（漆膜）抗菌性测定法和抗菌效果》；</w:t>
            </w:r>
            <w:r>
              <w:rPr>
                <w:rFonts w:hint="eastAsia" w:ascii="宋体" w:hAnsi="宋体" w:cs="宋体"/>
                <w:i w:val="0"/>
                <w:iCs w:val="0"/>
                <w:color w:val="auto"/>
                <w:sz w:val="20"/>
                <w:szCs w:val="20"/>
                <w:highlight w:val="none"/>
                <w:u w:val="none"/>
                <w:lang w:val="en-US" w:eastAsia="zh-CN" w:bidi="ar"/>
              </w:rPr>
              <w:t xml:space="preserve">GB/T 6739-2020</w:t>
            </w:r>
            <w:r>
              <w:rPr>
                <w:rFonts w:hint="eastAsia" w:ascii="宋体" w:hAnsi="宋体" w:eastAsia="宋体" w:cs="宋体"/>
                <w:i w:val="0"/>
                <w:iCs w:val="0"/>
                <w:color w:val="auto"/>
                <w:sz w:val="20"/>
                <w:szCs w:val="20"/>
                <w:highlight w:val="none"/>
                <w:u w:val="none"/>
                <w:lang w:val="en-US" w:eastAsia="zh-CN" w:bidi="ar"/>
              </w:rPr>
              <w:t xml:space="preserve">《色漆和清漆铅笔法测定漆膜硬度》﹔GB/T 23997-2009《室内装饰装修用溶剂型聚氨酯木器涂料》；</w:t>
            </w:r>
            <w:r>
              <w:rPr>
                <w:rFonts w:hint="eastAsia" w:ascii="宋体" w:hAnsi="宋体" w:cs="宋体"/>
                <w:i w:val="0"/>
                <w:iCs w:val="0"/>
                <w:color w:val="auto"/>
                <w:sz w:val="20"/>
                <w:szCs w:val="20"/>
                <w:highlight w:val="none"/>
                <w:u w:val="none"/>
                <w:lang w:val="en-US" w:eastAsia="zh-CN" w:bidi="ar"/>
              </w:rPr>
              <w:t xml:space="preserve">HJ 2573-2016</w:t>
            </w:r>
            <w:r>
              <w:rPr>
                <w:rFonts w:hint="eastAsia" w:ascii="宋体" w:hAnsi="宋体" w:eastAsia="宋体" w:cs="宋体"/>
                <w:i w:val="0"/>
                <w:iCs w:val="0"/>
                <w:color w:val="auto"/>
                <w:sz w:val="20"/>
                <w:szCs w:val="20"/>
                <w:highlight w:val="none"/>
                <w:u w:val="none"/>
                <w:lang w:val="en-US" w:eastAsia="zh-CN" w:bidi="ar"/>
              </w:rPr>
              <w:t xml:space="preserve">《环境标志产品技术要求 室内装饰装修用溶剂型木器涂料》标准；VOC含量≤5g/L，总铅含量≤2mg/kg，镉含量≤2mg/kg，铬含量≤2mg/kg，汞含量≤2mg/kg，乙二醇醚及醚酯总和含量（限乙二醇甲醚、乙二醇甲醚醋酸酯、乙二醇乙醚、乙二醇乙醚醋酸酯、乙二醇二甲醚、乙二醇二乙醚、二乙二醇二甲醚、三乙二醇二甲醚)≤20mg/kg，苯含量≤0.1%，甲醛含量≤10mg/kg，甲苯与二甲苯（含乙苯）总和含量≤5%，多环芳烃总和含量≤1mg/kg，抗菌性能（抗细菌率）≥99.5%，附着力1级。</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5、水性胶粘剂：选用环保胶，依据GB 18583-2008《室内装饰装修材料胶粘剂中有害物质限量》；HJ 2541-2016《环境标志产品技术要求胶粘剂》标准；游离甲醛≤0.5g/kg，总挥发性有机物≤5g/L，卤代烃≤0.1g/kg。</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6、五金配件：采用品牌五金配件，导轨依据GB/T 10125-2021《人造气氛腐蚀试验盐雾试验》；QB/T 3832- 1999《轻工产品金属镀层腐蚀试验结果的评价》； </w:t>
            </w:r>
            <w:r>
              <w:rPr>
                <w:rFonts w:hint="eastAsia" w:ascii="宋体" w:hAnsi="宋体" w:cs="宋体"/>
                <w:i w:val="0"/>
                <w:iCs w:val="0"/>
                <w:color w:val="auto"/>
                <w:sz w:val="20"/>
                <w:szCs w:val="20"/>
                <w:highlight w:val="none"/>
                <w:u w:val="none"/>
                <w:lang w:val="en-US" w:eastAsia="zh-CN" w:bidi="ar"/>
              </w:rPr>
              <w:t xml:space="preserve">GB/T 24170.1-2023</w:t>
            </w:r>
            <w:r>
              <w:rPr>
                <w:rFonts w:hint="eastAsia" w:ascii="宋体" w:hAnsi="宋体" w:eastAsia="宋体" w:cs="宋体"/>
                <w:i w:val="0"/>
                <w:iCs w:val="0"/>
                <w:color w:val="auto"/>
                <w:sz w:val="20"/>
                <w:szCs w:val="20"/>
                <w:highlight w:val="none"/>
                <w:u w:val="none"/>
                <w:lang w:val="en-US" w:eastAsia="zh-CN" w:bidi="ar"/>
              </w:rPr>
              <w:t xml:space="preserve">《表</w:t>
            </w:r>
            <w:r>
              <w:rPr>
                <w:rFonts w:hint="eastAsia" w:ascii="宋体" w:hAnsi="宋体" w:eastAsia="宋体" w:cs="宋体"/>
                <w:i w:val="0"/>
                <w:iCs w:val="0"/>
                <w:color w:val="auto"/>
                <w:sz w:val="20"/>
                <w:szCs w:val="20"/>
                <w:highlight w:val="none"/>
                <w:u w:val="none"/>
                <w:lang w:val="en-US" w:eastAsia="zh-CN" w:bidi="ar"/>
              </w:rPr>
              <w:t xml:space="preserve">面抗菌不锈钢第1部分:电化学法》； QB/T 2454-2013《家具五金抽屉导轨》检测标准；中性盐雾试验≥500h，镀层本身的耐腐蚀等级≥10级，镀层对基体的保护等级≥10级；乙酸盐雾试验≥250h，镀层本身的耐腐蚀等级≥10级，镀层对基体的保护等级≥10级；耐久性≥12万次检测合格，抗菌性能（抗菌率）≥99%。铰链依据QB/T 2189-2013《家具五金杯状暗铰链》；GB/T 10125 -2021《人造气氛腐蚀试验盐雾 试验》； QB/T 3832-1999 《轻工产品金属镀层腐蚀试验结果的评价》；</w:t>
            </w:r>
            <w:r>
              <w:rPr>
                <w:rFonts w:hint="eastAsia" w:ascii="宋体" w:hAnsi="宋体" w:cs="宋体"/>
                <w:i w:val="0"/>
                <w:iCs w:val="0"/>
                <w:color w:val="auto"/>
                <w:sz w:val="20"/>
                <w:szCs w:val="20"/>
                <w:highlight w:val="none"/>
                <w:u w:val="none"/>
                <w:lang w:val="en-US" w:eastAsia="zh-CN" w:bidi="ar"/>
              </w:rPr>
              <w:t xml:space="preserve">GB/T 24170.1-2023</w:t>
            </w:r>
            <w:r>
              <w:rPr>
                <w:rFonts w:hint="eastAsia" w:ascii="宋体" w:hAnsi="宋体" w:eastAsia="宋体" w:cs="宋体"/>
                <w:i w:val="0"/>
                <w:iCs w:val="0"/>
                <w:color w:val="auto"/>
                <w:sz w:val="20"/>
                <w:szCs w:val="20"/>
                <w:highlight w:val="none"/>
                <w:u w:val="none"/>
                <w:lang w:val="en-US" w:eastAsia="zh-CN" w:bidi="ar"/>
              </w:rPr>
              <w:t xml:space="preserve">《表面抗菌不锈钢第1部分:电化学法》检测标准；中性盐雾试验≥500h，镀层本身的耐腐蚀等级≥10级，镀层对基体的保护等级≥10级；乙酸盐雾试验≥250h，镀层本身的耐腐蚀等级≥10级，镀层对基体的保护等级≥10级；耐久性≥12万次检测合格，安装B型试验门时，下沉量不大于1.5mm，抗菌性能（抗菌率）≥99%。</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会议桌：W8000×D2600×H750mm,饰面：采用三聚氰胺浸渍胶膜纸，依据</w:t>
            </w:r>
            <w:r>
              <w:rPr>
                <w:rFonts w:hint="eastAsia" w:ascii="宋体" w:hAnsi="宋体" w:cs="宋体"/>
                <w:i w:val="0"/>
                <w:iCs w:val="0"/>
                <w:color w:val="auto"/>
                <w:sz w:val="20"/>
                <w:szCs w:val="20"/>
                <w:highlight w:val="none"/>
                <w:u w:val="none"/>
                <w:lang w:val="en-US" w:eastAsia="zh-CN" w:bidi="ar"/>
              </w:rPr>
              <w:t xml:space="preserve"> GB 18584-2024</w:t>
            </w:r>
            <w:r>
              <w:rPr>
                <w:rFonts w:hint="eastAsia" w:ascii="宋体" w:hAnsi="宋体" w:eastAsia="宋体" w:cs="宋体"/>
                <w:i w:val="0"/>
                <w:iCs w:val="0"/>
                <w:color w:val="auto"/>
                <w:sz w:val="20"/>
                <w:szCs w:val="20"/>
                <w:highlight w:val="none"/>
                <w:u w:val="none"/>
                <w:lang w:val="en-US" w:eastAsia="zh-CN" w:bidi="ar"/>
              </w:rPr>
              <w:t xml:space="preserve">《室内装饰装修材料木家具中有害物质限量》；LY/T 1831-2009《人造板饰面专用装饰纸》；</w:t>
            </w:r>
            <w:r>
              <w:rPr>
                <w:rFonts w:hint="eastAsia" w:ascii="宋体" w:hAnsi="宋体" w:cs="宋体"/>
                <w:i w:val="0"/>
                <w:iCs w:val="0"/>
                <w:color w:val="auto"/>
                <w:sz w:val="20"/>
                <w:szCs w:val="20"/>
                <w:highlight w:val="none"/>
                <w:u w:val="none"/>
                <w:lang w:val="en-US" w:eastAsia="zh-CN" w:bidi="ar"/>
              </w:rPr>
              <w:t xml:space="preserve">GB/T 35601-2024</w:t>
            </w:r>
            <w:r>
              <w:rPr>
                <w:rFonts w:hint="eastAsia" w:ascii="宋体" w:hAnsi="宋体" w:eastAsia="宋体" w:cs="宋体"/>
                <w:i w:val="0"/>
                <w:iCs w:val="0"/>
                <w:color w:val="auto"/>
                <w:sz w:val="20"/>
                <w:szCs w:val="20"/>
                <w:highlight w:val="none"/>
                <w:u w:val="none"/>
                <w:lang w:val="en-US" w:eastAsia="zh-CN" w:bidi="ar"/>
              </w:rPr>
              <w:t xml:space="preserve">《绿色产品评价 人造板和木质地板》标准；耐热性1级，苯≤5㎍/m³，挥发物含量5%-9%，甲醛释放量≤0.5mg/L。 </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基材：采用不低于E0级刨花板，依据GB/T 17657-2022《人造板及饰面人造板理化性能试验方法》；GB/T 39600-2021《人造板及其制品甲醛释放量分级》；GB 18580-2017《室内装饰装修材料人造板及其制品中甲醛释放限量》；</w:t>
            </w:r>
            <w:r>
              <w:rPr>
                <w:rFonts w:hint="eastAsia" w:ascii="宋体" w:hAnsi="宋体" w:cs="宋体"/>
                <w:i w:val="0"/>
                <w:iCs w:val="0"/>
                <w:color w:val="auto"/>
                <w:sz w:val="20"/>
                <w:szCs w:val="20"/>
                <w:highlight w:val="none"/>
                <w:u w:val="none"/>
                <w:lang w:val="en-US" w:eastAsia="zh-CN" w:bidi="ar"/>
              </w:rPr>
              <w:t xml:space="preserve">GB/T 35601-2024</w:t>
            </w:r>
            <w:r>
              <w:rPr>
                <w:rFonts w:hint="eastAsia" w:ascii="宋体" w:hAnsi="宋体" w:eastAsia="宋体" w:cs="宋体"/>
                <w:i w:val="0"/>
                <w:iCs w:val="0"/>
                <w:color w:val="auto"/>
                <w:sz w:val="20"/>
                <w:szCs w:val="20"/>
                <w:highlight w:val="none"/>
                <w:u w:val="none"/>
                <w:lang w:val="en-US" w:eastAsia="zh-CN" w:bidi="ar"/>
              </w:rPr>
              <w:t xml:space="preserve">《绿色产品评价人造板和木质地板》；QB/T 4371-2012《家具抗菌性能的评价》；GB 8624-2012《建筑材料及制品燃烧性能分级》；</w:t>
            </w:r>
            <w:r>
              <w:rPr>
                <w:rFonts w:hint="eastAsia" w:ascii="宋体" w:hAnsi="宋体" w:cs="宋体"/>
                <w:i w:val="0"/>
                <w:iCs w:val="0"/>
                <w:color w:val="auto"/>
                <w:sz w:val="20"/>
                <w:szCs w:val="20"/>
                <w:highlight w:val="none"/>
                <w:u w:val="none"/>
                <w:lang w:val="en-US" w:eastAsia="zh-CN" w:bidi="ar"/>
              </w:rPr>
              <w:t xml:space="preserve"> GB 18584-2024</w:t>
            </w:r>
            <w:r>
              <w:rPr>
                <w:rFonts w:hint="eastAsia" w:ascii="宋体" w:hAnsi="宋体" w:eastAsia="宋体" w:cs="宋体"/>
                <w:i w:val="0"/>
                <w:iCs w:val="0"/>
                <w:color w:val="auto"/>
                <w:sz w:val="20"/>
                <w:szCs w:val="20"/>
                <w:highlight w:val="none"/>
                <w:u w:val="none"/>
                <w:lang w:val="en-US" w:eastAsia="zh-CN" w:bidi="ar"/>
              </w:rPr>
              <w:t xml:space="preserve">《室内装饰装修材料木家具中有害物质限量》；GB/T 4897-2015《刨花板》；外观质量至少4项检测，含水率3%～8%，静曲强度≥15MPa，弹性模量≥2000MPa，内胶合强度≥0.55MPa，表面胶合强度≥1.5MPa，2h吸水厚度膨胀率≤3%，板边握螺钉力≥1400N，板面握螺钉力≥1600N，密度≥0.75g/cm³，甲醛释放量≤0.05mg/m³，总挥发性有机化合物≤20㎍/m³，防霉菌等级0级或1级，60s内无燃烧滴落物引燃滤纸现象。</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封边：采用</w:t>
            </w:r>
            <w:r>
              <w:rPr>
                <w:rFonts w:hint="eastAsia" w:ascii="宋体" w:hAnsi="宋体" w:cs="宋体"/>
                <w:i w:val="0"/>
                <w:iCs w:val="0"/>
                <w:color w:val="auto"/>
                <w:sz w:val="20"/>
                <w:szCs w:val="20"/>
                <w:highlight w:val="none"/>
                <w:u w:val="none"/>
                <w:lang w:val="en-US" w:eastAsia="zh-CN" w:bidi="ar"/>
              </w:rPr>
              <w:t xml:space="preserve">ABS</w:t>
            </w:r>
            <w:r>
              <w:rPr>
                <w:rFonts w:hint="eastAsia" w:ascii="宋体" w:hAnsi="宋体" w:eastAsia="宋体" w:cs="宋体"/>
                <w:i w:val="0"/>
                <w:iCs w:val="0"/>
                <w:color w:val="auto"/>
                <w:sz w:val="20"/>
                <w:szCs w:val="20"/>
                <w:highlight w:val="none"/>
                <w:u w:val="none"/>
                <w:lang w:val="en-US" w:eastAsia="zh-CN" w:bidi="ar"/>
              </w:rPr>
              <w:t xml:space="preserve">激光封边条，依据</w:t>
            </w:r>
            <w:r>
              <w:rPr>
                <w:rFonts w:hint="eastAsia" w:ascii="宋体" w:hAnsi="宋体" w:cs="宋体"/>
                <w:i w:val="0"/>
                <w:iCs w:val="0"/>
                <w:color w:val="auto"/>
                <w:sz w:val="20"/>
                <w:szCs w:val="20"/>
                <w:highlight w:val="none"/>
                <w:u w:val="none"/>
                <w:lang w:val="en-US" w:eastAsia="zh-CN" w:bidi="ar"/>
              </w:rPr>
              <w:t xml:space="preserve">QB/T 4463-2025</w:t>
            </w:r>
            <w:r>
              <w:rPr>
                <w:rFonts w:hint="eastAsia" w:ascii="宋体" w:hAnsi="宋体" w:eastAsia="宋体" w:cs="宋体"/>
                <w:i w:val="0"/>
                <w:iCs w:val="0"/>
                <w:color w:val="auto"/>
                <w:sz w:val="20"/>
                <w:szCs w:val="20"/>
                <w:highlight w:val="none"/>
                <w:u w:val="none"/>
                <w:lang w:val="en-US" w:eastAsia="zh-CN" w:bidi="ar"/>
              </w:rPr>
              <w:t xml:space="preserve">《家具用封边条技术要求》；GB/T 24128-2018《塑料 塑料防霉剂的防霉效果评估》</w:t>
            </w:r>
            <w:r>
              <w:rPr>
                <w:rFonts w:hint="eastAsia" w:ascii="宋体" w:hAnsi="宋体" w:cs="宋体"/>
                <w:i w:val="0"/>
                <w:iCs w:val="0"/>
                <w:color w:val="auto"/>
                <w:sz w:val="20"/>
                <w:szCs w:val="20"/>
                <w:highlight w:val="none"/>
                <w:u w:val="none"/>
                <w:lang w:val="en-US" w:eastAsia="zh-CN" w:bidi="ar"/>
              </w:rPr>
              <w:t xml:space="preserve">；GB 18584-2024</w:t>
            </w:r>
            <w:r>
              <w:rPr>
                <w:rFonts w:hint="eastAsia" w:ascii="宋体" w:hAnsi="宋体" w:eastAsia="宋体" w:cs="宋体"/>
                <w:i w:val="0"/>
                <w:iCs w:val="0"/>
                <w:color w:val="auto"/>
                <w:sz w:val="20"/>
                <w:szCs w:val="20"/>
                <w:highlight w:val="none"/>
                <w:u w:val="none"/>
                <w:lang w:val="en-US" w:eastAsia="zh-CN" w:bidi="ar"/>
              </w:rPr>
              <w:t xml:space="preserve">《塑料家具中有害物质限量》标准；厚度≥1.8mm。压纹（压花）表面有统一的花式。耐开裂性1级，耐老化性无开裂，甲醛释放量≤0.5mg/L，防霉等级0级或1级，16种多环芳烃（PAH）总量≤5mg/kg。 </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热熔胶：选用</w:t>
            </w:r>
            <w:r>
              <w:rPr>
                <w:rFonts w:hint="eastAsia" w:ascii="宋体" w:hAnsi="宋体" w:cs="宋体"/>
                <w:i w:val="0"/>
                <w:iCs w:val="0"/>
                <w:color w:val="auto"/>
                <w:sz w:val="20"/>
                <w:szCs w:val="20"/>
                <w:highlight w:val="none"/>
                <w:u w:val="none"/>
                <w:lang w:val="en-US" w:eastAsia="zh-CN" w:bidi="ar"/>
              </w:rPr>
              <w:t xml:space="preserve">环保</w:t>
            </w:r>
            <w:r>
              <w:rPr>
                <w:rFonts w:hint="eastAsia" w:ascii="宋体" w:hAnsi="宋体" w:eastAsia="宋体" w:cs="宋体"/>
                <w:i w:val="0"/>
                <w:iCs w:val="0"/>
                <w:color w:val="auto"/>
                <w:sz w:val="20"/>
                <w:szCs w:val="20"/>
                <w:highlight w:val="none"/>
                <w:u w:val="none"/>
                <w:lang w:val="en-US" w:eastAsia="zh-CN" w:bidi="ar"/>
              </w:rPr>
              <w:t xml:space="preserve">热熔胶，依据GB18583-2008《室内装饰装修材料胶粘剂中有害物质限量》﹔HJ2541-2016《环境标志产品技术要求胶粘剂》标准；游离甲醛≤0.1g/kg，苯≤0.02g/kg，甲苯≤0.02g/kg，二甲苯≤0.02g/kg，总挥发性有机物≤5g/L，游离甲苯二异氰酸酯≤1g/kg。 </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五金配件：采用品牌五金配件，导轨依据GB/T 10125-2021《人造气氛腐蚀试验盐雾试验》；QB/T 3832- 1999《轻工产品金属镀层腐蚀试验结果的评价》； </w:t>
            </w:r>
            <w:r>
              <w:rPr>
                <w:rFonts w:hint="eastAsia" w:ascii="宋体" w:hAnsi="宋体" w:cs="宋体"/>
                <w:i w:val="0"/>
                <w:iCs w:val="0"/>
                <w:color w:val="auto"/>
                <w:sz w:val="20"/>
                <w:szCs w:val="20"/>
                <w:highlight w:val="none"/>
                <w:u w:val="none"/>
                <w:lang w:val="en-US" w:eastAsia="zh-CN" w:bidi="ar"/>
              </w:rPr>
              <w:t xml:space="preserve">GB/T 24170.1-2023</w:t>
            </w:r>
            <w:r>
              <w:rPr>
                <w:rFonts w:hint="eastAsia" w:ascii="宋体" w:hAnsi="宋体" w:eastAsia="宋体" w:cs="宋体"/>
                <w:i w:val="0"/>
                <w:iCs w:val="0"/>
                <w:color w:val="auto"/>
                <w:sz w:val="20"/>
                <w:szCs w:val="20"/>
                <w:highlight w:val="none"/>
                <w:u w:val="none"/>
                <w:lang w:val="en-US" w:eastAsia="zh-CN" w:bidi="ar"/>
              </w:rPr>
              <w:t xml:space="preserve">《表</w:t>
            </w:r>
            <w:r>
              <w:rPr>
                <w:rFonts w:hint="eastAsia" w:ascii="宋体" w:hAnsi="宋体" w:eastAsia="宋体" w:cs="宋体"/>
                <w:i w:val="0"/>
                <w:iCs w:val="0"/>
                <w:color w:val="auto"/>
                <w:sz w:val="20"/>
                <w:szCs w:val="20"/>
                <w:highlight w:val="none"/>
                <w:u w:val="none"/>
                <w:lang w:val="en-US" w:eastAsia="zh-CN" w:bidi="ar"/>
              </w:rPr>
              <w:t xml:space="preserve">面抗菌不锈钢第1部分:电化学法》； QB/T 2454-2013《家具五金抽屉导轨》检测标准；中性盐雾试验≥500h，镀层本身的耐腐蚀等级≥10级，镀层对基体的保护等级≥10级；乙酸盐雾试验≥250h，镀层本身的耐腐蚀等级≥10级，镀层对基体的保护等级≥10级；耐久性≥12万次检测合格，抗菌性能（抗菌率）≥99%。铰链依据QB/T 2189-2013《家具五金杯状暗铰链》；GB/T 10125 -2021《人造气氛腐蚀试验盐雾 试验》； QB/T 3832-1999 《轻工产品金属镀层腐蚀试验结果的评价》；</w:t>
            </w:r>
            <w:r>
              <w:rPr>
                <w:rFonts w:hint="eastAsia" w:ascii="宋体" w:hAnsi="宋体" w:cs="宋体"/>
                <w:i w:val="0"/>
                <w:iCs w:val="0"/>
                <w:color w:val="auto"/>
                <w:sz w:val="20"/>
                <w:szCs w:val="20"/>
                <w:highlight w:val="none"/>
                <w:u w:val="none"/>
                <w:lang w:val="en-US" w:eastAsia="zh-CN" w:bidi="ar"/>
              </w:rPr>
              <w:t xml:space="preserve">GB/T 24170.1-2023</w:t>
            </w:r>
            <w:r>
              <w:rPr>
                <w:rFonts w:hint="eastAsia" w:ascii="宋体" w:hAnsi="宋体" w:eastAsia="宋体" w:cs="宋体"/>
                <w:i w:val="0"/>
                <w:iCs w:val="0"/>
                <w:color w:val="auto"/>
                <w:sz w:val="20"/>
                <w:szCs w:val="20"/>
                <w:highlight w:val="none"/>
                <w:u w:val="none"/>
                <w:lang w:val="en-US" w:eastAsia="zh-CN" w:bidi="ar"/>
              </w:rPr>
              <w:t xml:space="preserve">《表面抗菌不锈钢第1部分:电化学法》检测标准；中性盐雾试验≥500h，镀层本身的耐腐蚀等级≥10级，镀层对基体的保护等级≥10级；乙酸盐雾试验≥250h，镀层本身的耐腐蚀等级≥10级，镀层对基体的保护等级≥10级；耐久性≥12万次检测合格，安装B型试验门时，下沉量不大于1.5mm，抗菌性能（抗菌率）≥99%。</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会议椅：1、面料：</w:t>
            </w:r>
            <w:r>
              <w:rPr>
                <w:rFonts w:hint="eastAsia" w:ascii="宋体" w:hAnsi="宋体" w:cs="宋体"/>
                <w:i w:val="0"/>
                <w:iCs w:val="0"/>
                <w:color w:val="auto"/>
                <w:sz w:val="20"/>
                <w:szCs w:val="20"/>
                <w:highlight w:val="none"/>
                <w:u w:val="none"/>
                <w:lang w:val="en-US" w:eastAsia="zh-CN" w:bidi="ar"/>
              </w:rPr>
              <w:t xml:space="preserve">网布</w:t>
            </w:r>
            <w:r>
              <w:rPr>
                <w:rFonts w:hint="eastAsia" w:ascii="宋体" w:hAnsi="宋体" w:eastAsia="宋体" w:cs="宋体"/>
                <w:i w:val="0"/>
                <w:iCs w:val="0"/>
                <w:color w:val="auto"/>
                <w:sz w:val="20"/>
                <w:szCs w:val="20"/>
                <w:highlight w:val="none"/>
                <w:u w:val="none"/>
                <w:lang w:val="en-US" w:eastAsia="zh-CN" w:bidi="ar"/>
              </w:rPr>
              <w:t xml:space="preserve">，依据</w:t>
            </w:r>
            <w:r>
              <w:rPr>
                <w:rFonts w:hint="eastAsia" w:ascii="宋体" w:hAnsi="宋体" w:cs="宋体"/>
                <w:i w:val="0"/>
                <w:iCs w:val="0"/>
                <w:color w:val="auto"/>
                <w:sz w:val="20"/>
                <w:szCs w:val="20"/>
                <w:highlight w:val="none"/>
                <w:u w:val="none"/>
                <w:lang w:val="en-US" w:eastAsia="zh-CN" w:bidi="ar"/>
              </w:rPr>
              <w:t xml:space="preserve">GB 18401-2023</w:t>
            </w:r>
            <w:r>
              <w:rPr>
                <w:rFonts w:hint="eastAsia" w:ascii="宋体" w:hAnsi="宋体" w:eastAsia="宋体" w:cs="宋体"/>
                <w:i w:val="0"/>
                <w:iCs w:val="0"/>
                <w:color w:val="auto"/>
                <w:sz w:val="20"/>
                <w:szCs w:val="20"/>
                <w:highlight w:val="none"/>
                <w:u w:val="none"/>
                <w:lang w:val="en-US" w:eastAsia="zh-CN" w:bidi="ar"/>
              </w:rPr>
              <w:t xml:space="preserve">《国家纺织产品基本安全技术规范》；GB/T 31713-2015《抗菌纺织品安全性卫生要求》；GB/T 24346-2009《纺织品 防霉性能的评价》﹔</w:t>
            </w:r>
            <w:r>
              <w:rPr>
                <w:rFonts w:hint="eastAsia" w:ascii="宋体" w:hAnsi="宋体" w:cs="宋体"/>
                <w:i w:val="0"/>
                <w:iCs w:val="0"/>
                <w:color w:val="auto"/>
                <w:sz w:val="20"/>
                <w:szCs w:val="20"/>
                <w:highlight w:val="none"/>
                <w:u w:val="none"/>
                <w:lang w:val="en-US" w:eastAsia="zh-CN" w:bidi="ar"/>
              </w:rPr>
              <w:t xml:space="preserve">GB 17927-2024</w:t>
            </w:r>
            <w:r>
              <w:rPr>
                <w:rFonts w:hint="eastAsia" w:ascii="宋体" w:hAnsi="宋体" w:eastAsia="宋体" w:cs="宋体"/>
                <w:i w:val="0"/>
                <w:iCs w:val="0"/>
                <w:color w:val="auto"/>
                <w:sz w:val="20"/>
                <w:szCs w:val="20"/>
                <w:highlight w:val="none"/>
                <w:u w:val="none"/>
                <w:lang w:val="en-US" w:eastAsia="zh-CN" w:bidi="ar"/>
              </w:rPr>
              <w:t xml:space="preserve">《软体家具 床垫和沙发抗引燃特性的 评定第1部分:阴燃的香烟》﹔</w:t>
            </w:r>
            <w:r>
              <w:rPr>
                <w:rFonts w:hint="eastAsia" w:ascii="宋体" w:hAnsi="宋体" w:cs="宋体"/>
                <w:i w:val="0"/>
                <w:iCs w:val="0"/>
                <w:color w:val="auto"/>
                <w:sz w:val="20"/>
                <w:szCs w:val="20"/>
                <w:highlight w:val="none"/>
                <w:u w:val="none"/>
                <w:lang w:val="en-US" w:eastAsia="zh-CN" w:bidi="ar"/>
              </w:rPr>
              <w:t xml:space="preserve">GB/T 35607-2024</w:t>
            </w:r>
            <w:r>
              <w:rPr>
                <w:rFonts w:hint="eastAsia" w:ascii="宋体" w:hAnsi="宋体" w:eastAsia="宋体" w:cs="宋体"/>
                <w:i w:val="0"/>
                <w:iCs w:val="0"/>
                <w:color w:val="auto"/>
                <w:sz w:val="20"/>
                <w:szCs w:val="20"/>
                <w:highlight w:val="none"/>
                <w:u w:val="none"/>
                <w:lang w:val="en-US" w:eastAsia="zh-CN" w:bidi="ar"/>
              </w:rPr>
              <w:t xml:space="preserve">《绿色产品评价 家具》；FZ/T 62011.3-2016《布艺类产品 第3部分:家具用纺织品》标准；甲醛含量≤20mg/kg，可分解致癌芳香胺染料未检出，抗菌性能（抑菌率）≥99%，防霉等级0级或1级，产品有害物质（纺织品、皮革中五氯苯酚（PCP））≤0.5mg/kg，沾色-聚酯纤维≥4级。</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2、海绵：</w:t>
            </w:r>
            <w:r>
              <w:rPr>
                <w:rFonts w:hint="eastAsia" w:ascii="宋体" w:hAnsi="宋体" w:cs="宋体"/>
                <w:i w:val="0"/>
                <w:iCs w:val="0"/>
                <w:color w:val="auto"/>
                <w:sz w:val="20"/>
                <w:szCs w:val="20"/>
                <w:highlight w:val="none"/>
                <w:u w:val="none"/>
                <w:lang w:val="en-US" w:eastAsia="zh-CN" w:bidi="ar"/>
              </w:rPr>
              <w:t xml:space="preserve">采用阻燃高弹海绵</w:t>
            </w:r>
            <w:r>
              <w:rPr>
                <w:rFonts w:hint="eastAsia" w:ascii="宋体" w:hAnsi="宋体" w:eastAsia="宋体" w:cs="宋体"/>
                <w:i w:val="0"/>
                <w:iCs w:val="0"/>
                <w:color w:val="auto"/>
                <w:sz w:val="20"/>
                <w:szCs w:val="20"/>
                <w:highlight w:val="none"/>
                <w:u w:val="none"/>
                <w:lang w:val="en-US" w:eastAsia="zh-CN" w:bidi="ar"/>
              </w:rPr>
              <w:t xml:space="preserve">，依据QB/T 2280-2016《办公家具 办公椅》、GB/T 6343-2009《泡沫塑料及橡胶 表观密度的测定》、</w:t>
            </w:r>
            <w:r>
              <w:rPr>
                <w:rFonts w:hint="eastAsia" w:ascii="宋体" w:hAnsi="宋体" w:cs="宋体"/>
                <w:i w:val="0"/>
                <w:iCs w:val="0"/>
                <w:color w:val="auto"/>
                <w:sz w:val="20"/>
                <w:szCs w:val="20"/>
                <w:highlight w:val="none"/>
                <w:u w:val="none"/>
                <w:lang w:val="en-US" w:eastAsia="zh-CN" w:bidi="ar"/>
              </w:rPr>
              <w:t xml:space="preserve">GB 17927-2024</w:t>
            </w:r>
            <w:r>
              <w:rPr>
                <w:rFonts w:hint="eastAsia" w:ascii="宋体" w:hAnsi="宋体" w:eastAsia="宋体" w:cs="宋体"/>
                <w:i w:val="0"/>
                <w:iCs w:val="0"/>
                <w:color w:val="auto"/>
                <w:sz w:val="20"/>
                <w:szCs w:val="20"/>
                <w:highlight w:val="none"/>
                <w:u w:val="none"/>
                <w:lang w:val="en-US" w:eastAsia="zh-CN" w:bidi="ar"/>
              </w:rPr>
              <w:t xml:space="preserve">《软体家具 床</w:t>
            </w:r>
            <w:r>
              <w:rPr>
                <w:rFonts w:hint="eastAsia" w:ascii="宋体" w:hAnsi="宋体" w:eastAsia="宋体" w:cs="宋体"/>
                <w:i w:val="0"/>
                <w:iCs w:val="0"/>
                <w:color w:val="auto"/>
                <w:sz w:val="20"/>
                <w:szCs w:val="20"/>
                <w:highlight w:val="none"/>
                <w:u w:val="none"/>
                <w:lang w:val="en-US" w:eastAsia="zh-CN" w:bidi="ar"/>
              </w:rPr>
              <w:t xml:space="preserve">垫和沙发抗引燃特性的 评定第1部分：阴燃的香烟》、HJ 2547-2016《环境标志产品技术要求 家具》、QB/T 4371-2012《家具抗菌性能的评价》标准；长度、宽度极限偏差检测合格，厚度极限偏差检测合格，感官要求至少5项检测，物理力学性能（至少包含回弹率≥50%，拉伸强度≥150KPa，伸长率≥168%，撕裂强度≥4.5N/cm，干热老化后拉伸强度≥145KPa），密度≥50kg/m³，甲醛释放量≤0.03mg/m²h，TVOC≤0.05mg/m²h，抗引燃特性阻燃Ⅰ级，抗菌性能（抑菌率）≥95%。</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3、气压棒：依据</w:t>
            </w:r>
            <w:r>
              <w:rPr>
                <w:rFonts w:hint="eastAsia" w:ascii="宋体" w:hAnsi="宋体" w:cs="宋体"/>
                <w:i w:val="0"/>
                <w:iCs w:val="0"/>
                <w:color w:val="auto"/>
                <w:sz w:val="20"/>
                <w:szCs w:val="20"/>
                <w:highlight w:val="none"/>
                <w:u w:val="none"/>
                <w:lang w:val="en-US" w:eastAsia="zh-CN" w:bidi="ar"/>
              </w:rPr>
              <w:t xml:space="preserve">GB/T 29525-2023</w:t>
            </w:r>
            <w:r>
              <w:rPr>
                <w:rFonts w:hint="eastAsia" w:ascii="宋体" w:hAnsi="宋体" w:eastAsia="宋体" w:cs="宋体"/>
                <w:i w:val="0"/>
                <w:iCs w:val="0"/>
                <w:color w:val="auto"/>
                <w:sz w:val="20"/>
                <w:szCs w:val="20"/>
                <w:highlight w:val="none"/>
                <w:u w:val="none"/>
                <w:lang w:val="en-US" w:eastAsia="zh-CN" w:bidi="ar"/>
              </w:rPr>
              <w:t xml:space="preserve">《座椅升降气弹簧 技术条件》；QB/T 2280-2016《办公家具办公椅》标准；金属件镀层应无烧焦、起泡、针孔、裂纹、毛刺、花斑（不包括镀彩锌）和划痕。气弹簧的启动力应小于1.5F3，气弹簧锁定在任意位置，经72h常温储存后，活塞杆不应产生位移。气弹簧经-30℃和60℃高低温储存后，公称力Fa衰减量应不大于5%。行程100mm，公称力Fa的总衰减量应不大于5%。</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4、脚架：</w:t>
            </w:r>
            <w:r>
              <w:rPr>
                <w:rFonts w:hint="eastAsia" w:ascii="宋体" w:hAnsi="宋体" w:cs="宋体"/>
                <w:i w:val="0"/>
                <w:iCs w:val="0"/>
                <w:color w:val="auto"/>
                <w:sz w:val="20"/>
                <w:szCs w:val="20"/>
                <w:highlight w:val="none"/>
                <w:u w:val="none"/>
                <w:lang w:val="en-US" w:eastAsia="zh-CN" w:bidi="ar"/>
              </w:rPr>
              <w:t xml:space="preserve">尼龙</w:t>
            </w:r>
            <w:r>
              <w:rPr>
                <w:rFonts w:hint="eastAsia" w:ascii="宋体" w:hAnsi="宋体" w:eastAsia="宋体" w:cs="宋体"/>
                <w:i w:val="0"/>
                <w:iCs w:val="0"/>
                <w:color w:val="auto"/>
                <w:sz w:val="20"/>
                <w:szCs w:val="20"/>
                <w:highlight w:val="none"/>
                <w:u w:val="none"/>
                <w:lang w:val="en-US" w:eastAsia="zh-CN" w:bidi="ar"/>
              </w:rPr>
              <w:t xml:space="preserve">五星脚架。</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5、脚轮：依据QB/T 4765-2014《家具用脚轮》； </w:t>
            </w:r>
            <w:r>
              <w:rPr>
                <w:rFonts w:hint="eastAsia" w:ascii="宋体" w:hAnsi="宋体" w:cs="宋体"/>
                <w:i w:val="0"/>
                <w:iCs w:val="0"/>
                <w:color w:val="auto"/>
                <w:sz w:val="20"/>
                <w:szCs w:val="20"/>
                <w:highlight w:val="none"/>
                <w:u w:val="none"/>
                <w:lang w:val="en-US" w:eastAsia="zh-CN" w:bidi="ar"/>
              </w:rPr>
              <w:t xml:space="preserve">GB 18584-2024</w:t>
            </w:r>
            <w:r>
              <w:rPr>
                <w:rFonts w:hint="eastAsia" w:ascii="宋体" w:hAnsi="宋体" w:eastAsia="宋体" w:cs="宋体"/>
                <w:i w:val="0"/>
                <w:iCs w:val="0"/>
                <w:color w:val="auto"/>
                <w:sz w:val="20"/>
                <w:szCs w:val="20"/>
                <w:highlight w:val="none"/>
                <w:u w:val="none"/>
                <w:lang w:val="en-US" w:eastAsia="zh-CN" w:bidi="ar"/>
              </w:rPr>
              <w:t xml:space="preserve"> 《塑料家具中有害物质限量》；</w:t>
            </w:r>
            <w:r>
              <w:rPr>
                <w:rFonts w:hint="eastAsia" w:ascii="宋体" w:hAnsi="宋体" w:cs="宋体"/>
                <w:i w:val="0"/>
                <w:iCs w:val="0"/>
                <w:color w:val="auto"/>
                <w:sz w:val="20"/>
                <w:szCs w:val="20"/>
                <w:highlight w:val="none"/>
                <w:u w:val="none"/>
                <w:lang w:val="en-US" w:eastAsia="zh-CN" w:bidi="ar"/>
              </w:rPr>
              <w:t xml:space="preserve">GB/T 3325-2024</w:t>
            </w:r>
            <w:r>
              <w:rPr>
                <w:rFonts w:hint="eastAsia" w:ascii="宋体" w:hAnsi="宋体" w:eastAsia="宋体" w:cs="宋体"/>
                <w:i w:val="0"/>
                <w:iCs w:val="0"/>
                <w:color w:val="auto"/>
                <w:sz w:val="20"/>
                <w:szCs w:val="20"/>
                <w:highlight w:val="none"/>
                <w:u w:val="none"/>
                <w:lang w:val="en-US" w:eastAsia="zh-CN" w:bidi="ar"/>
              </w:rPr>
              <w:t xml:space="preserve">《金属家具通用技术条件》；GB/T 16422.3-2022《塑料 实验室光源暴露试验方法 第3部分:荧光紫外灯》；</w:t>
            </w:r>
            <w:r>
              <w:rPr>
                <w:rFonts w:hint="eastAsia" w:ascii="宋体" w:hAnsi="宋体" w:cs="宋体"/>
                <w:i w:val="0"/>
                <w:iCs w:val="0"/>
                <w:color w:val="auto"/>
                <w:sz w:val="20"/>
                <w:szCs w:val="20"/>
                <w:highlight w:val="none"/>
                <w:u w:val="none"/>
                <w:lang w:val="en-US" w:eastAsia="zh-CN" w:bidi="ar"/>
              </w:rPr>
              <w:t xml:space="preserve">GB/T 35607-2024</w:t>
            </w:r>
            <w:r>
              <w:rPr>
                <w:rFonts w:hint="eastAsia" w:ascii="宋体" w:hAnsi="宋体" w:eastAsia="宋体" w:cs="宋体"/>
                <w:i w:val="0"/>
                <w:iCs w:val="0"/>
                <w:color w:val="auto"/>
                <w:sz w:val="20"/>
                <w:szCs w:val="20"/>
                <w:highlight w:val="none"/>
                <w:u w:val="none"/>
                <w:lang w:val="en-US" w:eastAsia="zh-CN" w:bidi="ar"/>
              </w:rPr>
              <w:t xml:space="preserve">《绿色产品评价 家具》标准；脚轮的轮面光洁，无裂纹、伤痕、毛边等缺陷。抗冲击性、导电性、动载荷、滚动阻力检测合格，实验室光源暴露试验：荧光紫外灯4-5级。产品有害物质（铅、汞）≤1mg/kg。</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茶水柜：1、饰面：采用木皮，依据</w:t>
            </w:r>
            <w:r>
              <w:rPr>
                <w:rFonts w:hint="eastAsia" w:ascii="宋体" w:hAnsi="宋体" w:cs="宋体"/>
                <w:i w:val="0"/>
                <w:iCs w:val="0"/>
                <w:color w:val="auto"/>
                <w:sz w:val="20"/>
                <w:szCs w:val="20"/>
                <w:highlight w:val="none"/>
                <w:u w:val="none"/>
                <w:lang w:val="en-US" w:eastAsia="zh-CN" w:bidi="ar"/>
              </w:rPr>
              <w:t xml:space="preserve">GB/T 35601-2024</w:t>
            </w:r>
            <w:r>
              <w:rPr>
                <w:rFonts w:hint="eastAsia" w:ascii="宋体" w:hAnsi="宋体" w:eastAsia="宋体" w:cs="宋体"/>
                <w:i w:val="0"/>
                <w:iCs w:val="0"/>
                <w:color w:val="auto"/>
                <w:sz w:val="20"/>
                <w:szCs w:val="20"/>
                <w:highlight w:val="none"/>
                <w:u w:val="none"/>
                <w:lang w:val="en-US" w:eastAsia="zh-CN" w:bidi="ar"/>
              </w:rPr>
              <w:t xml:space="preserve">《绿色产品评价人造板和《木质地板》；</w:t>
            </w:r>
            <w:r>
              <w:rPr>
                <w:rFonts w:hint="eastAsia" w:ascii="宋体" w:hAnsi="宋体" w:cs="宋体"/>
                <w:i w:val="0"/>
                <w:iCs w:val="0"/>
                <w:color w:val="auto"/>
                <w:sz w:val="20"/>
                <w:szCs w:val="20"/>
                <w:highlight w:val="none"/>
                <w:u w:val="none"/>
                <w:lang w:val="en-US" w:eastAsia="zh-CN" w:bidi="ar"/>
              </w:rPr>
              <w:t xml:space="preserve"> GB 18584-2024</w:t>
            </w:r>
            <w:r>
              <w:rPr>
                <w:rFonts w:hint="eastAsia" w:ascii="宋体" w:hAnsi="宋体" w:eastAsia="宋体" w:cs="宋体"/>
                <w:i w:val="0"/>
                <w:iCs w:val="0"/>
                <w:color w:val="auto"/>
                <w:sz w:val="20"/>
                <w:szCs w:val="20"/>
                <w:highlight w:val="none"/>
                <w:u w:val="none"/>
                <w:lang w:val="en-US" w:eastAsia="zh-CN" w:bidi="ar"/>
              </w:rPr>
              <w:t xml:space="preserve">《室内装饰装修材料木家具中有害物质限量》；GB/T 13010-2020《木材工业用单板》；</w:t>
            </w:r>
            <w:r>
              <w:rPr>
                <w:rFonts w:hint="eastAsia" w:ascii="宋体" w:hAnsi="宋体" w:cs="宋体"/>
                <w:i w:val="0"/>
                <w:iCs w:val="0"/>
                <w:color w:val="auto"/>
                <w:sz w:val="20"/>
                <w:szCs w:val="20"/>
                <w:highlight w:val="none"/>
                <w:u w:val="none"/>
                <w:lang w:val="en-US" w:eastAsia="zh-CN" w:bidi="ar"/>
              </w:rPr>
              <w:t xml:space="preserve">GB/T 3324-2024</w:t>
            </w:r>
            <w:r>
              <w:rPr>
                <w:rFonts w:hint="eastAsia" w:ascii="宋体" w:hAnsi="宋体" w:eastAsia="宋体" w:cs="宋体"/>
                <w:i w:val="0"/>
                <w:iCs w:val="0"/>
                <w:color w:val="auto"/>
                <w:sz w:val="20"/>
                <w:szCs w:val="20"/>
                <w:highlight w:val="none"/>
                <w:u w:val="none"/>
                <w:lang w:val="en-US" w:eastAsia="zh-CN" w:bidi="ar"/>
              </w:rPr>
              <w:t xml:space="preserve">《木家具通用技术条件》标准；厚度≥0.6mm，总挥发性有机化合物≤20㎍/m³，甲醛释放量≤0.5mg/L，单板含水率3%～8%，无贯通裂缝、无虫蛀现象，无腐朽材。</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2、基材：采用不低于E0级高密度纤维板，依据GB/T 31765-2015《高密度纤维板》；GB/T 17657-2022《人造板及饰面人造板理化性能试验方法》；GB/T 39600-2021《人造板及其制品甲醛释放量分级》；GB 18580-2017《室内装饰装修材料人造板及其制品中甲醛释放限量》；</w:t>
            </w:r>
            <w:r>
              <w:rPr>
                <w:rFonts w:hint="eastAsia" w:ascii="宋体" w:hAnsi="宋体" w:cs="宋体"/>
                <w:i w:val="0"/>
                <w:iCs w:val="0"/>
                <w:color w:val="auto"/>
                <w:sz w:val="20"/>
                <w:szCs w:val="20"/>
                <w:highlight w:val="none"/>
                <w:u w:val="none"/>
                <w:lang w:val="en-US" w:eastAsia="zh-CN" w:bidi="ar"/>
              </w:rPr>
              <w:t xml:space="preserve">GB/T 35601-2024</w:t>
            </w:r>
            <w:r>
              <w:rPr>
                <w:rFonts w:hint="eastAsia" w:ascii="宋体" w:hAnsi="宋体" w:eastAsia="宋体" w:cs="宋体"/>
                <w:i w:val="0"/>
                <w:iCs w:val="0"/>
                <w:color w:val="auto"/>
                <w:sz w:val="20"/>
                <w:szCs w:val="20"/>
                <w:highlight w:val="none"/>
                <w:u w:val="none"/>
                <w:lang w:val="en-US" w:eastAsia="zh-CN" w:bidi="ar"/>
              </w:rPr>
              <w:t xml:space="preserve">《绿色产品评价人造板和木质地板》；JC/T 2039-2010《抗菌防霉木质装饰板》标准；无油污、斑点或异物，无边角缺损，内结合强度，表面结合强度均符合要求，密度≥0.85g/cm³，含水率3%～8%，弹性模量≥4000MPa，吸水厚度膨胀率≤3%，垂直板面握螺钉力板边≥1300N，垂直板面握螺钉力板面≥1500N，甲醛释放量≤0.03mg/m³，总挥发性有机化合物≤20㎍/m³，防霉菌等级0级或1级。</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3、封边：采用实木封边条，依据</w:t>
            </w:r>
            <w:r>
              <w:rPr>
                <w:rFonts w:hint="eastAsia" w:ascii="宋体" w:hAnsi="宋体" w:cs="宋体"/>
                <w:i w:val="0"/>
                <w:iCs w:val="0"/>
                <w:color w:val="auto"/>
                <w:sz w:val="20"/>
                <w:szCs w:val="20"/>
                <w:highlight w:val="none"/>
                <w:u w:val="none"/>
                <w:lang w:val="en-US" w:eastAsia="zh-CN" w:bidi="ar"/>
              </w:rPr>
              <w:t xml:space="preserve">QB/T 4463-2025</w:t>
            </w:r>
            <w:r>
              <w:rPr>
                <w:rFonts w:hint="eastAsia" w:ascii="宋体" w:hAnsi="宋体" w:eastAsia="宋体" w:cs="宋体"/>
                <w:i w:val="0"/>
                <w:iCs w:val="0"/>
                <w:color w:val="auto"/>
                <w:sz w:val="20"/>
                <w:szCs w:val="20"/>
                <w:highlight w:val="none"/>
                <w:u w:val="none"/>
                <w:lang w:val="en-US" w:eastAsia="zh-CN" w:bidi="ar"/>
              </w:rPr>
              <w:t xml:space="preserve">《家具用封边条技术要求》、QB/T 4371-2012《家具抗菌性能的评价》检测标准；厚度≥3mm，含水率8%～11%，甲醛释放量≤0.5mg/L，抗菌性能（抗细菌率）≥99.5%。</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4、油漆：采用环保油漆，依据GB 18581-2020《木器涂料中有害物质限量》；</w:t>
            </w:r>
            <w:r>
              <w:rPr>
                <w:rFonts w:hint="eastAsia" w:ascii="宋体" w:hAnsi="宋体" w:cs="宋体"/>
                <w:i w:val="0"/>
                <w:iCs w:val="0"/>
                <w:color w:val="auto"/>
                <w:sz w:val="20"/>
                <w:szCs w:val="20"/>
                <w:highlight w:val="none"/>
                <w:u w:val="none"/>
                <w:lang w:val="en-US" w:eastAsia="zh-CN" w:bidi="ar"/>
              </w:rPr>
              <w:t xml:space="preserve">GB/T 21866-2025</w:t>
            </w:r>
            <w:r>
              <w:rPr>
                <w:rFonts w:hint="eastAsia" w:ascii="宋体" w:hAnsi="宋体" w:eastAsia="宋体" w:cs="宋体"/>
                <w:i w:val="0"/>
                <w:iCs w:val="0"/>
                <w:color w:val="auto"/>
                <w:sz w:val="20"/>
                <w:szCs w:val="20"/>
                <w:highlight w:val="none"/>
                <w:u w:val="none"/>
                <w:lang w:val="en-US" w:eastAsia="zh-CN" w:bidi="ar"/>
              </w:rPr>
              <w:t xml:space="preserve">《抗菌涂料（漆膜）抗菌性测定法和抗菌效果》；</w:t>
            </w:r>
            <w:r>
              <w:rPr>
                <w:rFonts w:hint="eastAsia" w:ascii="宋体" w:hAnsi="宋体" w:cs="宋体"/>
                <w:i w:val="0"/>
                <w:iCs w:val="0"/>
                <w:color w:val="auto"/>
                <w:sz w:val="20"/>
                <w:szCs w:val="20"/>
                <w:highlight w:val="none"/>
                <w:u w:val="none"/>
                <w:lang w:val="en-US" w:eastAsia="zh-CN" w:bidi="ar"/>
              </w:rPr>
              <w:t xml:space="preserve">GB/T 6739-2020</w:t>
            </w:r>
            <w:r>
              <w:rPr>
                <w:rFonts w:hint="eastAsia" w:ascii="宋体" w:hAnsi="宋体" w:eastAsia="宋体" w:cs="宋体"/>
                <w:i w:val="0"/>
                <w:iCs w:val="0"/>
                <w:color w:val="auto"/>
                <w:sz w:val="20"/>
                <w:szCs w:val="20"/>
                <w:highlight w:val="none"/>
                <w:u w:val="none"/>
                <w:lang w:val="en-US" w:eastAsia="zh-CN" w:bidi="ar"/>
              </w:rPr>
              <w:t xml:space="preserve">《色漆和清漆铅笔法测定漆膜硬度》﹔GB/T 23997-2009《室内装饰装修用溶剂型聚氨酯木器涂料》；</w:t>
            </w:r>
            <w:r>
              <w:rPr>
                <w:rFonts w:hint="eastAsia" w:ascii="宋体" w:hAnsi="宋体" w:cs="宋体"/>
                <w:i w:val="0"/>
                <w:iCs w:val="0"/>
                <w:color w:val="auto"/>
                <w:sz w:val="20"/>
                <w:szCs w:val="20"/>
                <w:highlight w:val="none"/>
                <w:u w:val="none"/>
                <w:lang w:val="en-US" w:eastAsia="zh-CN" w:bidi="ar"/>
              </w:rPr>
              <w:t xml:space="preserve">HJ 2573-2016</w:t>
            </w:r>
            <w:r>
              <w:rPr>
                <w:rFonts w:hint="eastAsia" w:ascii="宋体" w:hAnsi="宋体" w:eastAsia="宋体" w:cs="宋体"/>
                <w:i w:val="0"/>
                <w:iCs w:val="0"/>
                <w:color w:val="auto"/>
                <w:sz w:val="20"/>
                <w:szCs w:val="20"/>
                <w:highlight w:val="none"/>
                <w:u w:val="none"/>
                <w:lang w:val="en-US" w:eastAsia="zh-CN" w:bidi="ar"/>
              </w:rPr>
              <w:t xml:space="preserve">《环境标志产品技术要求 室内装饰装修用溶剂型木器涂料》标准；VOC含量≤5g/L，总铅含量≤2mg/kg，镉含量≤2mg/kg，铬含量≤2mg/kg，汞含量≤2mg/kg，乙二醇醚及醚酯总和含量（限乙二醇甲醚、乙二醇甲醚醋酸酯、乙二醇乙醚、乙二醇乙醚醋酸酯、乙二醇二甲醚、乙二醇二乙醚、二乙二醇二甲醚、三乙二醇二甲醚)≤20mg/kg，苯含量≤0.1%，甲醛含量≤10mg/kg，甲苯与二甲苯（含乙苯）总和含量≤5%，多环芳烃总和含量≤1mg/kg，抗菌性能（抗细菌率）≥99.5%，附着力1级。</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5、水性胶粘剂：选用环保胶，依据GB 18583-2008《室内装饰装修材料胶粘剂中有害物质限量》；HJ 2541-2016《环境标志产品技术要求胶粘剂》标准；游离甲醛≤0.5g/kg，总挥发性有机物≤5g/L，卤代烃≤0.1g/kg。</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6、五金配件：采用品牌五金配件，导轨依据GB/T 10125-2021《人造气氛腐蚀试验盐雾试验》；QB/T 3832- 1999《轻工产品金属镀层腐蚀试验结果的评价》； </w:t>
            </w:r>
            <w:r>
              <w:rPr>
                <w:rFonts w:hint="eastAsia" w:ascii="宋体" w:hAnsi="宋体" w:cs="宋体"/>
                <w:i w:val="0"/>
                <w:iCs w:val="0"/>
                <w:color w:val="auto"/>
                <w:sz w:val="20"/>
                <w:szCs w:val="20"/>
                <w:highlight w:val="none"/>
                <w:u w:val="none"/>
                <w:lang w:val="en-US" w:eastAsia="zh-CN" w:bidi="ar"/>
              </w:rPr>
              <w:t xml:space="preserve">GB/T 24170.1-2023</w:t>
            </w:r>
            <w:r>
              <w:rPr>
                <w:rFonts w:hint="eastAsia" w:ascii="宋体" w:hAnsi="宋体" w:eastAsia="宋体" w:cs="宋体"/>
                <w:i w:val="0"/>
                <w:iCs w:val="0"/>
                <w:color w:val="auto"/>
                <w:sz w:val="20"/>
                <w:szCs w:val="20"/>
                <w:highlight w:val="none"/>
                <w:u w:val="none"/>
                <w:lang w:val="en-US" w:eastAsia="zh-CN" w:bidi="ar"/>
              </w:rPr>
              <w:t xml:space="preserve">《表</w:t>
            </w:r>
            <w:r>
              <w:rPr>
                <w:rFonts w:hint="eastAsia" w:ascii="宋体" w:hAnsi="宋体" w:eastAsia="宋体" w:cs="宋体"/>
                <w:i w:val="0"/>
                <w:iCs w:val="0"/>
                <w:color w:val="auto"/>
                <w:sz w:val="20"/>
                <w:szCs w:val="20"/>
                <w:highlight w:val="none"/>
                <w:u w:val="none"/>
                <w:lang w:val="en-US" w:eastAsia="zh-CN" w:bidi="ar"/>
              </w:rPr>
              <w:t xml:space="preserve">面抗菌不锈钢第1部分:电化学法》； QB/T 2454-2013《家具五金抽屉导轨》检测标准；中性盐雾试验≥500h，镀层本身的耐腐蚀等级≥10级，镀层对基体的保护等级≥10级；乙酸盐雾试验≥250h，镀层本身的耐腐蚀等级≥10级，镀层对基体的保护等级≥10级；耐久性≥12万次检测合格，抗菌性能（抗菌率）≥99%。铰链依据QB/T 2189-2013《家具五金杯状暗铰链》；GB/T 10125 -2021《人造气氛腐蚀试验盐雾 试验》； QB/T 3832-1999 《轻工产品金属镀层腐蚀试验结果的评价》；</w:t>
            </w:r>
            <w:r>
              <w:rPr>
                <w:rFonts w:hint="eastAsia" w:ascii="宋体" w:hAnsi="宋体" w:cs="宋体"/>
                <w:i w:val="0"/>
                <w:iCs w:val="0"/>
                <w:color w:val="auto"/>
                <w:sz w:val="20"/>
                <w:szCs w:val="20"/>
                <w:highlight w:val="none"/>
                <w:u w:val="none"/>
                <w:lang w:val="en-US" w:eastAsia="zh-CN" w:bidi="ar"/>
              </w:rPr>
              <w:t xml:space="preserve">GB/T 24170.1-2023</w:t>
            </w:r>
            <w:r>
              <w:rPr>
                <w:rFonts w:hint="eastAsia" w:ascii="宋体" w:hAnsi="宋体" w:eastAsia="宋体" w:cs="宋体"/>
                <w:i w:val="0"/>
                <w:iCs w:val="0"/>
                <w:color w:val="auto"/>
                <w:sz w:val="20"/>
                <w:szCs w:val="20"/>
                <w:highlight w:val="none"/>
                <w:u w:val="none"/>
                <w:lang w:val="en-US" w:eastAsia="zh-CN" w:bidi="ar"/>
              </w:rPr>
              <w:t xml:space="preserve">《表面抗菌不锈钢第1部分:电化学法》检测标准；中性盐雾试验≥500h，镀层本身的耐腐蚀等级≥10级，镀层对基体的保护等级≥10级；乙酸盐雾试验≥250h，镀层本身的耐腐蚀等级≥10级，镀层对基体的保护等级≥10级；耐久性≥12万次检测合格，安装B型试验门时，下沉量不大于1.5mm，抗菌性能（抗菌率）≥99%。</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书柜（按场地尺寸提供）：W2400×D400×H2000mm，饰面：采用三聚氰胺浸渍胶膜纸，依据</w:t>
            </w:r>
            <w:r>
              <w:rPr>
                <w:rFonts w:hint="eastAsia" w:ascii="宋体" w:hAnsi="宋体" w:cs="宋体"/>
                <w:i w:val="0"/>
                <w:iCs w:val="0"/>
                <w:color w:val="auto"/>
                <w:sz w:val="20"/>
                <w:szCs w:val="20"/>
                <w:highlight w:val="none"/>
                <w:u w:val="none"/>
                <w:lang w:val="en-US" w:eastAsia="zh-CN" w:bidi="ar"/>
              </w:rPr>
              <w:t xml:space="preserve"> GB 18584-2024</w:t>
            </w:r>
            <w:r>
              <w:rPr>
                <w:rFonts w:hint="eastAsia" w:ascii="宋体" w:hAnsi="宋体" w:eastAsia="宋体" w:cs="宋体"/>
                <w:i w:val="0"/>
                <w:iCs w:val="0"/>
                <w:color w:val="auto"/>
                <w:sz w:val="20"/>
                <w:szCs w:val="20"/>
                <w:highlight w:val="none"/>
                <w:u w:val="none"/>
                <w:lang w:val="en-US" w:eastAsia="zh-CN" w:bidi="ar"/>
              </w:rPr>
              <w:t xml:space="preserve">《室内装饰装修材料木家具中有害物质限量》；LY/T 1831-2009《人造板饰面专用装饰纸》；</w:t>
            </w:r>
            <w:r>
              <w:rPr>
                <w:rFonts w:hint="eastAsia" w:ascii="宋体" w:hAnsi="宋体" w:cs="宋体"/>
                <w:i w:val="0"/>
                <w:iCs w:val="0"/>
                <w:color w:val="auto"/>
                <w:sz w:val="20"/>
                <w:szCs w:val="20"/>
                <w:highlight w:val="none"/>
                <w:u w:val="none"/>
                <w:lang w:val="en-US" w:eastAsia="zh-CN" w:bidi="ar"/>
              </w:rPr>
              <w:t xml:space="preserve">GB/T 35601-2024</w:t>
            </w:r>
            <w:r>
              <w:rPr>
                <w:rFonts w:hint="eastAsia" w:ascii="宋体" w:hAnsi="宋体" w:eastAsia="宋体" w:cs="宋体"/>
                <w:i w:val="0"/>
                <w:iCs w:val="0"/>
                <w:color w:val="auto"/>
                <w:sz w:val="20"/>
                <w:szCs w:val="20"/>
                <w:highlight w:val="none"/>
                <w:u w:val="none"/>
                <w:lang w:val="en-US" w:eastAsia="zh-CN" w:bidi="ar"/>
              </w:rPr>
              <w:t xml:space="preserve">《绿色产品评价 人造板和木质地板》标准；耐热性1级，苯≤5㎍/m³，挥发物含量5%-9%，甲醛释放量≤0.5mg/L。 </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基材：采用不低于E0级刨花板，依据GB/T 17657-2022《人造板及饰面人造板理化性能试验方法》；GB/T 39600-2021《人造板及其制品甲醛释放量分级》；GB 18580-2017《室内装饰装修材料人造板及其制品中甲醛释放限量》；</w:t>
            </w:r>
            <w:r>
              <w:rPr>
                <w:rFonts w:hint="eastAsia" w:ascii="宋体" w:hAnsi="宋体" w:cs="宋体"/>
                <w:i w:val="0"/>
                <w:iCs w:val="0"/>
                <w:color w:val="auto"/>
                <w:sz w:val="20"/>
                <w:szCs w:val="20"/>
                <w:highlight w:val="none"/>
                <w:u w:val="none"/>
                <w:lang w:val="en-US" w:eastAsia="zh-CN" w:bidi="ar"/>
              </w:rPr>
              <w:t xml:space="preserve">GB/T 35601-2024</w:t>
            </w:r>
            <w:r>
              <w:rPr>
                <w:rFonts w:hint="eastAsia" w:ascii="宋体" w:hAnsi="宋体" w:eastAsia="宋体" w:cs="宋体"/>
                <w:i w:val="0"/>
                <w:iCs w:val="0"/>
                <w:color w:val="auto"/>
                <w:sz w:val="20"/>
                <w:szCs w:val="20"/>
                <w:highlight w:val="none"/>
                <w:u w:val="none"/>
                <w:lang w:val="en-US" w:eastAsia="zh-CN" w:bidi="ar"/>
              </w:rPr>
              <w:t xml:space="preserve">《绿色产品评价人造板和木质地板》；QB/T 4371-2012《家具抗菌性能的评价》；GB 8624-2012《建筑材料及制品燃烧性能分级》；</w:t>
            </w:r>
            <w:r>
              <w:rPr>
                <w:rFonts w:hint="eastAsia" w:ascii="宋体" w:hAnsi="宋体" w:cs="宋体"/>
                <w:i w:val="0"/>
                <w:iCs w:val="0"/>
                <w:color w:val="auto"/>
                <w:sz w:val="20"/>
                <w:szCs w:val="20"/>
                <w:highlight w:val="none"/>
                <w:u w:val="none"/>
                <w:lang w:val="en-US" w:eastAsia="zh-CN" w:bidi="ar"/>
              </w:rPr>
              <w:t xml:space="preserve"> GB 18584-2024</w:t>
            </w:r>
            <w:r>
              <w:rPr>
                <w:rFonts w:hint="eastAsia" w:ascii="宋体" w:hAnsi="宋体" w:eastAsia="宋体" w:cs="宋体"/>
                <w:i w:val="0"/>
                <w:iCs w:val="0"/>
                <w:color w:val="auto"/>
                <w:sz w:val="20"/>
                <w:szCs w:val="20"/>
                <w:highlight w:val="none"/>
                <w:u w:val="none"/>
                <w:lang w:val="en-US" w:eastAsia="zh-CN" w:bidi="ar"/>
              </w:rPr>
              <w:t xml:space="preserve">《室内装饰装修材料木家具中有害物质限量》；GB/T 4897-2015《刨花板》；外观质量至少4项检测，含水率3%～8%，静曲强度≥15MPa，弹性模量≥2000MPa，内胶合强度≥0.55MPa，表面胶合强度≥1.5MPa，2h吸水厚度膨胀率≤3%，板边握螺钉力≥1400N，板面握螺钉力≥1600N，密度≥0.75g/cm³，甲醛释放量≤0.05mg/m³，总挥发性有机化合物≤20㎍/m³，防霉菌等级0级或1级，60s内无燃烧滴落物引燃滤纸现象。</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封边：采用</w:t>
            </w:r>
            <w:r>
              <w:rPr>
                <w:rFonts w:hint="eastAsia" w:ascii="宋体" w:hAnsi="宋体" w:cs="宋体"/>
                <w:i w:val="0"/>
                <w:iCs w:val="0"/>
                <w:color w:val="auto"/>
                <w:sz w:val="20"/>
                <w:szCs w:val="20"/>
                <w:highlight w:val="none"/>
                <w:u w:val="none"/>
                <w:lang w:val="en-US" w:eastAsia="zh-CN" w:bidi="ar"/>
              </w:rPr>
              <w:t xml:space="preserve">ABS</w:t>
            </w:r>
            <w:r>
              <w:rPr>
                <w:rFonts w:hint="eastAsia" w:ascii="宋体" w:hAnsi="宋体" w:eastAsia="宋体" w:cs="宋体"/>
                <w:i w:val="0"/>
                <w:iCs w:val="0"/>
                <w:color w:val="auto"/>
                <w:sz w:val="20"/>
                <w:szCs w:val="20"/>
                <w:highlight w:val="none"/>
                <w:u w:val="none"/>
                <w:lang w:val="en-US" w:eastAsia="zh-CN" w:bidi="ar"/>
              </w:rPr>
              <w:t xml:space="preserve">激光封边条，依据</w:t>
            </w:r>
            <w:r>
              <w:rPr>
                <w:rFonts w:hint="eastAsia" w:ascii="宋体" w:hAnsi="宋体" w:cs="宋体"/>
                <w:i w:val="0"/>
                <w:iCs w:val="0"/>
                <w:color w:val="auto"/>
                <w:sz w:val="20"/>
                <w:szCs w:val="20"/>
                <w:highlight w:val="none"/>
                <w:u w:val="none"/>
                <w:lang w:val="en-US" w:eastAsia="zh-CN" w:bidi="ar"/>
              </w:rPr>
              <w:t xml:space="preserve">QB/T 4463-2025</w:t>
            </w:r>
            <w:r>
              <w:rPr>
                <w:rFonts w:hint="eastAsia" w:ascii="宋体" w:hAnsi="宋体" w:eastAsia="宋体" w:cs="宋体"/>
                <w:i w:val="0"/>
                <w:iCs w:val="0"/>
                <w:color w:val="auto"/>
                <w:sz w:val="20"/>
                <w:szCs w:val="20"/>
                <w:highlight w:val="none"/>
                <w:u w:val="none"/>
                <w:lang w:val="en-US" w:eastAsia="zh-CN" w:bidi="ar"/>
              </w:rPr>
              <w:t xml:space="preserve">《家具用封边条技术要求》；GB/T 24128-2018《塑料 塑料防霉剂的防霉效果评估》</w:t>
            </w:r>
            <w:r>
              <w:rPr>
                <w:rFonts w:hint="eastAsia" w:ascii="宋体" w:hAnsi="宋体" w:cs="宋体"/>
                <w:i w:val="0"/>
                <w:iCs w:val="0"/>
                <w:color w:val="auto"/>
                <w:sz w:val="20"/>
                <w:szCs w:val="20"/>
                <w:highlight w:val="none"/>
                <w:u w:val="none"/>
                <w:lang w:val="en-US" w:eastAsia="zh-CN" w:bidi="ar"/>
              </w:rPr>
              <w:t xml:space="preserve">；GB 18584-2024</w:t>
            </w:r>
            <w:r>
              <w:rPr>
                <w:rFonts w:hint="eastAsia" w:ascii="宋体" w:hAnsi="宋体" w:eastAsia="宋体" w:cs="宋体"/>
                <w:i w:val="0"/>
                <w:iCs w:val="0"/>
                <w:color w:val="auto"/>
                <w:sz w:val="20"/>
                <w:szCs w:val="20"/>
                <w:highlight w:val="none"/>
                <w:u w:val="none"/>
                <w:lang w:val="en-US" w:eastAsia="zh-CN" w:bidi="ar"/>
              </w:rPr>
              <w:t xml:space="preserve">《塑料家具中有害物质限量》标准；厚度≥1.8mm。压纹（压花）表面有统一的花式。耐开裂性1级，耐老化性无开裂，甲醛释放量≤0.5mg/L，防霉等级0级或1级，16种多环芳烃（PAH）总量≤5mg/kg。 </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热熔胶：选用</w:t>
            </w:r>
            <w:r>
              <w:rPr>
                <w:rFonts w:hint="eastAsia" w:ascii="宋体" w:hAnsi="宋体" w:cs="宋体"/>
                <w:i w:val="0"/>
                <w:iCs w:val="0"/>
                <w:color w:val="auto"/>
                <w:sz w:val="20"/>
                <w:szCs w:val="20"/>
                <w:highlight w:val="none"/>
                <w:u w:val="none"/>
                <w:lang w:val="en-US" w:eastAsia="zh-CN" w:bidi="ar"/>
              </w:rPr>
              <w:t xml:space="preserve">环保</w:t>
            </w:r>
            <w:r>
              <w:rPr>
                <w:rFonts w:hint="eastAsia" w:ascii="宋体" w:hAnsi="宋体" w:eastAsia="宋体" w:cs="宋体"/>
                <w:i w:val="0"/>
                <w:iCs w:val="0"/>
                <w:color w:val="auto"/>
                <w:sz w:val="20"/>
                <w:szCs w:val="20"/>
                <w:highlight w:val="none"/>
                <w:u w:val="none"/>
                <w:lang w:val="en-US" w:eastAsia="zh-CN" w:bidi="ar"/>
              </w:rPr>
              <w:t xml:space="preserve">热熔胶，依据GB18583-2008《室内装饰装修材料胶粘剂中有害物质限量》﹔HJ2541-2016《环境标志产品技术要求胶粘剂》标准；游离甲醛≤0.1g/kg，苯≤0.02g/kg，甲苯≤0.02g/kg，二甲苯≤0.02g/kg，总挥发性有机物≤5g/L，游离甲苯二异氰酸酯≤1g/kg。 </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五金配件：采用品牌五金配件，导轨依据GB/T 10125-2021《人造气氛腐蚀试验盐雾试验》；QB/T 3832- 1999《轻工产品金属镀层腐蚀试验结果的评价》； </w:t>
            </w:r>
            <w:r>
              <w:rPr>
                <w:rFonts w:hint="eastAsia" w:ascii="宋体" w:hAnsi="宋体" w:cs="宋体"/>
                <w:i w:val="0"/>
                <w:iCs w:val="0"/>
                <w:color w:val="auto"/>
                <w:sz w:val="20"/>
                <w:szCs w:val="20"/>
                <w:highlight w:val="none"/>
                <w:u w:val="none"/>
                <w:lang w:val="en-US" w:eastAsia="zh-CN" w:bidi="ar"/>
              </w:rPr>
              <w:t xml:space="preserve">GB/T 24170.1-2023</w:t>
            </w:r>
            <w:r>
              <w:rPr>
                <w:rFonts w:hint="eastAsia" w:ascii="宋体" w:hAnsi="宋体" w:eastAsia="宋体" w:cs="宋体"/>
                <w:i w:val="0"/>
                <w:iCs w:val="0"/>
                <w:color w:val="auto"/>
                <w:sz w:val="20"/>
                <w:szCs w:val="20"/>
                <w:highlight w:val="none"/>
                <w:u w:val="none"/>
                <w:lang w:val="en-US" w:eastAsia="zh-CN" w:bidi="ar"/>
              </w:rPr>
              <w:t xml:space="preserve">《表</w:t>
            </w:r>
            <w:r>
              <w:rPr>
                <w:rFonts w:hint="eastAsia" w:ascii="宋体" w:hAnsi="宋体" w:eastAsia="宋体" w:cs="宋体"/>
                <w:i w:val="0"/>
                <w:iCs w:val="0"/>
                <w:color w:val="auto"/>
                <w:sz w:val="20"/>
                <w:szCs w:val="20"/>
                <w:highlight w:val="none"/>
                <w:u w:val="none"/>
                <w:lang w:val="en-US" w:eastAsia="zh-CN" w:bidi="ar"/>
              </w:rPr>
              <w:t xml:space="preserve">面抗菌不锈钢第1部分:电化学法》； QB/T 2454-2013《家具五金抽屉导轨》检测标准；中性盐雾试验≥500h，镀层本身的耐腐蚀等级≥10级，镀层对基体的保护等级≥10级；乙酸盐雾试验≥250h，镀层本身的耐腐蚀等级≥10级，镀层对基体的保护等级≥10级；耐久性≥12万次检测合格，抗菌性能（抗菌率）≥99%。铰链依据QB/T 2189-2013《家具五金杯状暗铰链》；GB/T 10125 -2021《人造气氛腐蚀试验盐雾 试验》； QB/T 3832-1999 《轻工产品金属镀层腐蚀试验结果的评价》；</w:t>
            </w:r>
            <w:r>
              <w:rPr>
                <w:rFonts w:hint="eastAsia" w:ascii="宋体" w:hAnsi="宋体" w:cs="宋体"/>
                <w:i w:val="0"/>
                <w:iCs w:val="0"/>
                <w:color w:val="auto"/>
                <w:sz w:val="20"/>
                <w:szCs w:val="20"/>
                <w:highlight w:val="none"/>
                <w:u w:val="none"/>
                <w:lang w:val="en-US" w:eastAsia="zh-CN" w:bidi="ar"/>
              </w:rPr>
              <w:t xml:space="preserve">GB/T 24170.1-2023</w:t>
            </w:r>
            <w:r>
              <w:rPr>
                <w:rFonts w:hint="eastAsia" w:ascii="宋体" w:hAnsi="宋体" w:eastAsia="宋体" w:cs="宋体"/>
                <w:i w:val="0"/>
                <w:iCs w:val="0"/>
                <w:color w:val="auto"/>
                <w:sz w:val="20"/>
                <w:szCs w:val="20"/>
                <w:highlight w:val="none"/>
                <w:u w:val="none"/>
                <w:lang w:val="en-US" w:eastAsia="zh-CN" w:bidi="ar"/>
              </w:rPr>
              <w:t xml:space="preserve">《表面抗菌不锈钢第1部分:电化学法》检测标准；中性盐雾试验≥500h，镀层本身的耐腐蚀等级≥10级，镀层对基体的保护等级≥10级；乙酸盐雾试验≥250h，镀层本身的耐腐蚀等级≥10级，镀层对基体的保护等级≥10级；耐久性≥12万次检测合格，安装B型试验门时，下沉量不大于1.5mm，抗菌性能（抗菌率）≥99%。</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722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cs="宋体"/>
                <w:i w:val="0"/>
                <w:iCs w:val="0"/>
                <w:color w:val="auto"/>
                <w:sz w:val="20"/>
                <w:szCs w:val="20"/>
                <w:highlight w:val="none"/>
                <w:u w:val="none"/>
                <w:lang w:val="en-US" w:eastAsia="zh-CN" w:bidi="ar"/>
              </w:rPr>
              <w:t xml:space="preserve">会议投屏系统</w:t>
            </w:r>
            <w:r>
              <w:rPr>
                <w:rFonts w:hint="eastAsia" w:ascii="宋体" w:hAnsi="宋体" w:eastAsia="宋体" w:cs="宋体"/>
                <w:i w:val="0"/>
                <w:iCs w:val="0"/>
                <w:color w:val="auto"/>
                <w:sz w:val="20"/>
                <w:szCs w:val="20"/>
                <w:highlight w:val="none"/>
                <w:u w:val="none"/>
                <w:lang w:val="en-US" w:eastAsia="zh-CN" w:bidi="ar"/>
              </w:rPr>
              <w:t xml:space="preserve">：</w:t>
            </w:r>
            <w:r/>
          </w:p>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1. 传输延迟≤90ms，帧率达到20fps-30fps</w:t>
            </w:r>
            <w:r/>
          </w:p>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2. 可以仅对一个窗口进行无线投屏，其他窗口内容不做展示，保证数据的隐私</w:t>
            </w:r>
            <w:r/>
          </w:p>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cs="宋体"/>
                <w:i w:val="0"/>
                <w:iCs w:val="0"/>
                <w:color w:val="auto"/>
                <w:sz w:val="20"/>
                <w:szCs w:val="20"/>
                <w:highlight w:val="none"/>
                <w:u w:val="none"/>
                <w:lang w:val="en-US" w:eastAsia="zh-CN" w:bidi="ar"/>
              </w:rPr>
              <w:t xml:space="preserve">3</w:t>
            </w:r>
            <w:r>
              <w:rPr>
                <w:rFonts w:hint="eastAsia" w:ascii="宋体" w:hAnsi="宋体" w:eastAsia="宋体" w:cs="宋体"/>
                <w:i w:val="0"/>
                <w:iCs w:val="0"/>
                <w:color w:val="auto"/>
                <w:sz w:val="20"/>
                <w:szCs w:val="20"/>
                <w:highlight w:val="none"/>
                <w:u w:val="none"/>
                <w:lang w:val="en-US" w:eastAsia="zh-CN" w:bidi="ar"/>
              </w:rPr>
              <w:t xml:space="preserve">. 传屏之后，在屏幕上部中间部分显示工具栏，可以进行基本的操作（具体包括触摸回传控制，勿扰模式，暂停投屏等）</w:t>
            </w:r>
            <w:r/>
          </w:p>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cs="宋体"/>
                <w:i w:val="0"/>
                <w:iCs w:val="0"/>
                <w:color w:val="auto"/>
                <w:sz w:val="20"/>
                <w:szCs w:val="20"/>
                <w:highlight w:val="none"/>
                <w:u w:val="none"/>
                <w:lang w:val="en-US" w:eastAsia="zh-CN" w:bidi="ar"/>
              </w:rPr>
              <w:t xml:space="preserve">4</w:t>
            </w:r>
            <w:r>
              <w:rPr>
                <w:rFonts w:hint="eastAsia" w:ascii="宋体" w:hAnsi="宋体" w:eastAsia="宋体" w:cs="宋体"/>
                <w:i w:val="0"/>
                <w:iCs w:val="0"/>
                <w:color w:val="auto"/>
                <w:sz w:val="20"/>
                <w:szCs w:val="20"/>
                <w:highlight w:val="none"/>
                <w:u w:val="none"/>
                <w:lang w:val="en-US" w:eastAsia="zh-CN" w:bidi="ar"/>
              </w:rPr>
              <w:t xml:space="preserve">. 传屏开启勿扰模式之后，不允许其他人在进行传屏，沉浸模式，避免在使用过程中，用户经常被其他人传屏顶替掉，造成使用中断</w:t>
            </w:r>
            <w:r/>
          </w:p>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cs="宋体"/>
                <w:i w:val="0"/>
                <w:iCs w:val="0"/>
                <w:color w:val="auto"/>
                <w:sz w:val="20"/>
                <w:szCs w:val="20"/>
                <w:highlight w:val="none"/>
                <w:u w:val="none"/>
                <w:lang w:val="en-US" w:eastAsia="zh-CN" w:bidi="ar"/>
              </w:rPr>
              <w:t xml:space="preserve">5</w:t>
            </w:r>
            <w:r>
              <w:rPr>
                <w:rFonts w:hint="eastAsia" w:ascii="宋体" w:hAnsi="宋体" w:eastAsia="宋体" w:cs="宋体"/>
                <w:i w:val="0"/>
                <w:iCs w:val="0"/>
                <w:color w:val="auto"/>
                <w:sz w:val="20"/>
                <w:szCs w:val="20"/>
                <w:highlight w:val="none"/>
                <w:u w:val="none"/>
                <w:lang w:val="en-US" w:eastAsia="zh-CN" w:bidi="ar"/>
              </w:rPr>
              <w:t xml:space="preserve">. 可通过传屏工具栏暂停投屏功能进行画面冻结暂停，投屏电脑可自主进行其他操作，不影响整机的冻结画面内容显示</w:t>
            </w:r>
            <w:r/>
          </w:p>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cs="宋体"/>
                <w:i w:val="0"/>
                <w:iCs w:val="0"/>
                <w:color w:val="auto"/>
                <w:sz w:val="20"/>
                <w:szCs w:val="20"/>
                <w:highlight w:val="none"/>
                <w:u w:val="none"/>
                <w:lang w:val="en-US" w:eastAsia="zh-CN" w:bidi="ar"/>
              </w:rPr>
              <w:t xml:space="preserve">6</w:t>
            </w:r>
            <w:r>
              <w:rPr>
                <w:rFonts w:hint="eastAsia" w:ascii="宋体" w:hAnsi="宋体" w:eastAsia="宋体" w:cs="宋体"/>
                <w:i w:val="0"/>
                <w:iCs w:val="0"/>
                <w:color w:val="auto"/>
                <w:sz w:val="20"/>
                <w:szCs w:val="20"/>
                <w:highlight w:val="none"/>
                <w:u w:val="none"/>
                <w:lang w:val="en-US" w:eastAsia="zh-CN" w:bidi="ar"/>
              </w:rPr>
              <w:t xml:space="preserve">. 可通过软件可自动发现近场可投屏的会议设备，选择即可投屏，无需手动配对。</w:t>
            </w:r>
            <w:r/>
          </w:p>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cs="宋体"/>
                <w:i w:val="0"/>
                <w:iCs w:val="0"/>
                <w:color w:val="auto"/>
                <w:sz w:val="20"/>
                <w:szCs w:val="20"/>
                <w:highlight w:val="none"/>
                <w:u w:val="none"/>
                <w:lang w:val="en-US" w:eastAsia="zh-CN" w:bidi="ar"/>
              </w:rPr>
              <w:t xml:space="preserve">7</w:t>
            </w:r>
            <w:r>
              <w:rPr>
                <w:rFonts w:hint="eastAsia" w:ascii="宋体" w:hAnsi="宋体" w:eastAsia="宋体" w:cs="宋体"/>
                <w:i w:val="0"/>
                <w:iCs w:val="0"/>
                <w:color w:val="auto"/>
                <w:sz w:val="20"/>
                <w:szCs w:val="20"/>
                <w:highlight w:val="none"/>
                <w:u w:val="none"/>
                <w:lang w:val="en-US" w:eastAsia="zh-CN" w:bidi="ar"/>
              </w:rPr>
              <w:t xml:space="preserve">.支持投屏记忆功能，单台设备关联代码后，自动发现并关联同网段下其他设备。</w:t>
            </w:r>
            <w:r/>
          </w:p>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cs="宋体"/>
                <w:i w:val="0"/>
                <w:iCs w:val="0"/>
                <w:color w:val="auto"/>
                <w:sz w:val="20"/>
                <w:szCs w:val="20"/>
                <w:highlight w:val="none"/>
                <w:u w:val="none"/>
                <w:lang w:val="en-US" w:eastAsia="zh-CN" w:bidi="ar"/>
              </w:rPr>
              <w:t xml:space="preserve">8</w:t>
            </w:r>
            <w:r>
              <w:rPr>
                <w:rFonts w:hint="eastAsia" w:ascii="宋体" w:hAnsi="宋体" w:eastAsia="宋体" w:cs="宋体"/>
                <w:i w:val="0"/>
                <w:iCs w:val="0"/>
                <w:color w:val="auto"/>
                <w:sz w:val="20"/>
                <w:szCs w:val="20"/>
                <w:highlight w:val="none"/>
                <w:u w:val="none"/>
                <w:lang w:val="en-US" w:eastAsia="zh-CN" w:bidi="ar"/>
              </w:rPr>
              <w:t xml:space="preserve">.支持检测系统盘占用空间较大的文件，并支持将大文件一键迁移到其他盘符，从而释放系统盘空间占用，提升设备运行速度。</w:t>
            </w:r>
            <w:r/>
          </w:p>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cs="宋体"/>
                <w:i w:val="0"/>
                <w:iCs w:val="0"/>
                <w:color w:val="auto"/>
                <w:sz w:val="20"/>
                <w:szCs w:val="20"/>
                <w:highlight w:val="none"/>
                <w:u w:val="none"/>
                <w:lang w:val="en-US" w:eastAsia="zh-CN" w:bidi="ar"/>
              </w:rPr>
              <w:t xml:space="preserve">9</w:t>
            </w:r>
            <w:r>
              <w:rPr>
                <w:rFonts w:hint="eastAsia" w:ascii="宋体" w:hAnsi="宋体" w:eastAsia="宋体" w:cs="宋体"/>
                <w:i w:val="0"/>
                <w:iCs w:val="0"/>
                <w:color w:val="auto"/>
                <w:sz w:val="20"/>
                <w:szCs w:val="20"/>
                <w:highlight w:val="none"/>
                <w:u w:val="none"/>
                <w:lang w:val="en-US" w:eastAsia="zh-CN" w:bidi="ar"/>
              </w:rPr>
              <w:t xml:space="preserve">.支持终端安全检测与响应</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对</w:t>
            </w:r>
            <w:r>
              <w:rPr>
                <w:rFonts w:hint="eastAsia" w:ascii="宋体" w:hAnsi="宋体" w:cs="宋体"/>
                <w:i w:val="0"/>
                <w:iCs w:val="0"/>
                <w:color w:val="auto"/>
                <w:sz w:val="20"/>
                <w:szCs w:val="20"/>
                <w:highlight w:val="none"/>
                <w:u w:val="none"/>
                <w:lang w:val="en-US" w:eastAsia="zh-CN" w:bidi="ar"/>
              </w:rPr>
              <w:t xml:space="preserve">本机、</w:t>
            </w:r>
            <w:r>
              <w:rPr>
                <w:rFonts w:hint="eastAsia" w:ascii="宋体" w:hAnsi="宋体" w:eastAsia="宋体" w:cs="宋体"/>
                <w:i w:val="0"/>
                <w:iCs w:val="0"/>
                <w:color w:val="auto"/>
                <w:sz w:val="20"/>
                <w:szCs w:val="20"/>
                <w:highlight w:val="none"/>
                <w:u w:val="none"/>
                <w:lang w:val="en-US" w:eastAsia="zh-CN" w:bidi="ar"/>
              </w:rPr>
              <w:t xml:space="preserve">外接设备进行病毒检查，针对病毒文件进行杀毒处理，实时查找病毒</w:t>
            </w:r>
            <w:r>
              <w:rPr>
                <w:rFonts w:hint="eastAsia" w:ascii="宋体" w:hAnsi="宋体" w:cs="宋体"/>
                <w:i w:val="0"/>
                <w:iCs w:val="0"/>
                <w:color w:val="auto"/>
                <w:sz w:val="20"/>
                <w:szCs w:val="20"/>
                <w:highlight w:val="none"/>
                <w:u w:val="none"/>
                <w:lang w:val="en-US" w:eastAsia="zh-CN" w:bidi="ar"/>
              </w:rPr>
              <w:t xml:space="preserve">木马威胁</w:t>
            </w:r>
            <w:r>
              <w:rPr>
                <w:rFonts w:hint="eastAsia" w:ascii="宋体" w:hAnsi="宋体" w:eastAsia="宋体" w:cs="宋体"/>
                <w:i w:val="0"/>
                <w:iCs w:val="0"/>
                <w:color w:val="auto"/>
                <w:sz w:val="20"/>
                <w:szCs w:val="20"/>
                <w:highlight w:val="none"/>
                <w:u w:val="none"/>
                <w:lang w:val="en-US" w:eastAsia="zh-CN" w:bidi="ar"/>
              </w:rPr>
              <w:t xml:space="preserve">，发现威胁马上自动清理阻断，还能追溯病毒来源，确保设备安全</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并支持恢复或删除近7日查杀的病毒文件。</w:t>
            </w:r>
            <w:r/>
          </w:p>
          <w:p>
            <w:pPr>
              <w:pStyle w:val="851"/>
              <w:rPr>
                <w:rFonts w:hint="default"/>
                <w:highlight w:val="none"/>
                <w:lang w:val="en-US"/>
              </w:rPr>
            </w:pPr>
            <w:r>
              <w:rPr>
                <w:rFonts w:hint="eastAsia" w:ascii="宋体" w:hAnsi="宋体" w:cs="宋体"/>
                <w:i w:val="0"/>
                <w:iCs w:val="0"/>
                <w:color w:val="auto"/>
                <w:sz w:val="20"/>
                <w:szCs w:val="20"/>
                <w:highlight w:val="none"/>
                <w:u w:val="none"/>
                <w:lang w:val="en-US" w:eastAsia="zh-CN" w:bidi="ar"/>
              </w:rPr>
              <w:t xml:space="preserve">10.可智能识别画面中色情、恐怖、暴力、游戏等违规内容与风险元素，支持自定义告警提示语。系统监测到违规画面时即刻触发预警，同时支持按设备、画面分类检索、回看历史违规记录。</w:t>
            </w:r>
            <w:r/>
          </w:p>
        </w:tc>
        <w:tc>
          <w:tcPr>
            <w:tcW w:w="2145" w:type="dxa"/>
            <w:vAlign w:val="center"/>
            <w:textDirection w:val="lrTb"/>
            <w:noWrap w:val="false"/>
          </w:tcPr>
          <w:p>
            <w:pPr>
              <w:numPr>
                <w:ilvl w:val="0"/>
                <w:numId w:val="0"/>
              </w:numPr>
              <w:ind w:left="0" w:firstLine="0"/>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会议音箱：功能特点：</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1.采用1只6.5寸低音喇叭单元和1只1.4寸压缩驱动高音单元；</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2.采用洒点喷漆，单元</w:t>
            </w:r>
            <w:r>
              <w:rPr>
                <w:rFonts w:hint="eastAsia" w:ascii="宋体" w:hAnsi="宋体" w:cs="宋体"/>
                <w:i w:val="0"/>
                <w:iCs w:val="0"/>
                <w:color w:val="auto"/>
                <w:sz w:val="20"/>
                <w:szCs w:val="20"/>
                <w:highlight w:val="none"/>
                <w:u w:val="none"/>
                <w:lang w:val="en-US" w:eastAsia="zh-CN" w:bidi="ar"/>
              </w:rPr>
              <w:t xml:space="preserve">喇叭</w:t>
            </w:r>
            <w:r>
              <w:rPr>
                <w:rFonts w:hint="eastAsia" w:ascii="宋体" w:hAnsi="宋体" w:eastAsia="宋体" w:cs="宋体"/>
                <w:i w:val="0"/>
                <w:iCs w:val="0"/>
                <w:color w:val="auto"/>
                <w:sz w:val="20"/>
                <w:szCs w:val="20"/>
                <w:highlight w:val="none"/>
                <w:u w:val="none"/>
                <w:lang w:val="en-US" w:eastAsia="zh-CN" w:bidi="ar"/>
              </w:rPr>
              <w:t xml:space="preserve">声音清晰；</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3.多边形斜面箱体，正面透声网孔；</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4.二分频设计；</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产品参数：</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1.阻抗：8Ω</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2.频响：80Hz-19KHz</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3.额定功率：120W</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4.峰值功率：480W</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5.灵敏度（1W/1m）：90dB</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6.最大声压级：118dB</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7.覆盖角度：(H)80°(V)50°</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8.高音：1.4"高音*1</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9.低音：6.5"低音*1</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音箱壁挂支架：音箱壁挂支架</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专业功放：功能特点：</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设备采用1U机箱设计，具有体积小、重量轻等特点；</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产品参数：</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1.输出功率：立体声功率8Ω：200W*2，立体声功率4Ω：300W*2</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2.音频输入输出：2路XLR卡侬母接口、2路XLR卡侬公接口</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3.输出接口：2路欧姆接口/接线柱</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4.网口：2路网口</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5.转换速率：40V/μs</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5.信噪比：＞80dB</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6.阻尼系数：＞350@8Ω</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7.频率响应：20Hz-20KHz</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8.总谐失真：＜0.01%</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9.输入阻抗：10KΩ非平衡、20KΩ平衡</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10.供电：AC200-240V、50/60Hz</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前级音频处理器：</w:t>
            </w:r>
            <w:r/>
          </w:p>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1.处理器≥4核，主频≥2.0GHz。</w:t>
            </w:r>
            <w:r/>
          </w:p>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2.后面板具有≥4路线路音频凤凰端子平衡输入接口（具有48V幻象供电）、≥4路线路音频凤凰端子平衡输出接口、≥1个拨码开关、≥1个RJ45接口、≥1个RS232接口、≥1个RS485接口、≥8个可编程GPIO控制接口、≥1个接地柱；前面板具有≥2.0英寸 IPS 真彩显示屏、≥1个编码旋钮、≥1个USB存储设备接口。</w:t>
            </w:r>
            <w:r/>
          </w:p>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cs="宋体"/>
                <w:i w:val="0"/>
                <w:iCs w:val="0"/>
                <w:color w:val="auto"/>
                <w:sz w:val="20"/>
                <w:szCs w:val="20"/>
                <w:highlight w:val="none"/>
                <w:u w:val="none"/>
                <w:lang w:val="en-US" w:eastAsia="zh-CN" w:bidi="ar"/>
              </w:rPr>
              <w:t xml:space="preserve">3</w:t>
            </w:r>
            <w:r>
              <w:rPr>
                <w:rFonts w:hint="eastAsia" w:ascii="宋体" w:hAnsi="宋体" w:eastAsia="宋体" w:cs="宋体"/>
                <w:i w:val="0"/>
                <w:iCs w:val="0"/>
                <w:color w:val="auto"/>
                <w:sz w:val="20"/>
                <w:szCs w:val="20"/>
                <w:highlight w:val="none"/>
                <w:u w:val="none"/>
                <w:lang w:val="en-US" w:eastAsia="zh-CN" w:bidi="ar"/>
              </w:rPr>
              <w:t xml:space="preserve">.具有矩阵增益调节功能，每个输入通道参与混音的增益可调，增益调节范围等同或优于-72dB到12dB。</w:t>
            </w:r>
            <w:r/>
          </w:p>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cs="宋体"/>
                <w:i w:val="0"/>
                <w:iCs w:val="0"/>
                <w:color w:val="auto"/>
                <w:sz w:val="20"/>
                <w:szCs w:val="20"/>
                <w:highlight w:val="none"/>
                <w:u w:val="none"/>
                <w:lang w:val="en-US" w:eastAsia="zh-CN" w:bidi="ar"/>
              </w:rPr>
              <w:t xml:space="preserve">4</w:t>
            </w:r>
            <w:r>
              <w:rPr>
                <w:rFonts w:hint="eastAsia" w:ascii="宋体" w:hAnsi="宋体" w:eastAsia="宋体" w:cs="宋体"/>
                <w:i w:val="0"/>
                <w:iCs w:val="0"/>
                <w:color w:val="auto"/>
                <w:sz w:val="20"/>
                <w:szCs w:val="20"/>
                <w:highlight w:val="none"/>
                <w:u w:val="none"/>
                <w:lang w:val="en-US" w:eastAsia="zh-CN" w:bidi="ar"/>
              </w:rPr>
              <w:t xml:space="preserve">.音频处理器具有跨平台软件，可运行于windows操作系统或</w:t>
            </w:r>
            <w:r>
              <w:rPr>
                <w:rFonts w:hint="eastAsia" w:ascii="宋体" w:hAnsi="宋体" w:cs="宋体"/>
                <w:i w:val="0"/>
                <w:iCs w:val="0"/>
                <w:color w:val="auto"/>
                <w:sz w:val="20"/>
                <w:szCs w:val="20"/>
                <w:highlight w:val="none"/>
                <w:u w:val="none"/>
                <w:lang w:val="en-US" w:eastAsia="zh-CN" w:bidi="ar"/>
              </w:rPr>
              <w:t xml:space="preserve">其他</w:t>
            </w:r>
            <w:r>
              <w:rPr>
                <w:rFonts w:hint="eastAsia" w:ascii="宋体" w:hAnsi="宋体" w:eastAsia="宋体" w:cs="宋体"/>
                <w:i w:val="0"/>
                <w:iCs w:val="0"/>
                <w:color w:val="auto"/>
                <w:sz w:val="20"/>
                <w:szCs w:val="20"/>
                <w:highlight w:val="none"/>
                <w:u w:val="none"/>
                <w:lang w:val="en-US" w:eastAsia="zh-CN" w:bidi="ar"/>
              </w:rPr>
              <w:t xml:space="preserve">国产操作系统</w:t>
            </w:r>
            <w:r>
              <w:rPr>
                <w:rFonts w:hint="eastAsia" w:ascii="宋体" w:hAnsi="宋体" w:cs="宋体"/>
                <w:i w:val="0"/>
                <w:iCs w:val="0"/>
                <w:color w:val="auto"/>
                <w:sz w:val="20"/>
                <w:szCs w:val="20"/>
                <w:highlight w:val="none"/>
                <w:u w:val="none"/>
                <w:lang w:val="en-US" w:eastAsia="zh-CN" w:bidi="ar"/>
              </w:rPr>
              <w:t xml:space="preserve">。</w:t>
            </w:r>
            <w:r/>
          </w:p>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cs="宋体"/>
                <w:i w:val="0"/>
                <w:iCs w:val="0"/>
                <w:color w:val="auto"/>
                <w:sz w:val="20"/>
                <w:szCs w:val="20"/>
                <w:highlight w:val="none"/>
                <w:u w:val="none"/>
                <w:lang w:val="en-US" w:eastAsia="zh-CN" w:bidi="ar"/>
              </w:rPr>
              <w:t xml:space="preserve">5</w:t>
            </w:r>
            <w:r>
              <w:rPr>
                <w:rFonts w:hint="eastAsia" w:ascii="宋体" w:hAnsi="宋体" w:eastAsia="宋体" w:cs="宋体"/>
                <w:i w:val="0"/>
                <w:iCs w:val="0"/>
                <w:color w:val="auto"/>
                <w:sz w:val="20"/>
                <w:szCs w:val="20"/>
                <w:highlight w:val="none"/>
                <w:u w:val="none"/>
                <w:lang w:val="en-US" w:eastAsia="zh-CN" w:bidi="ar"/>
              </w:rPr>
              <w:t xml:space="preserve">.音频处理器软件可融入会议音频综合管理平台实现音频设备统一管理，平台可扫描数字会议主机、音频处理器、混音器、抑制器、功放类产品在线情况，同款产品多台在线设备也可扫描，并显示设备硬件名称、硬件IP地址、在线、离线状态信息；具备一键上传配置信息至云端或保存本地进行备份和一键还原配置信息功能。</w:t>
            </w:r>
            <w:r/>
          </w:p>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6.依托智能算法实现噪声抑制，针对不同应用场景设置不少于四档语音降噪档位，可有效降低并消除语言扩声系统内的非人声类噪声信号，充分保障语音传输的清晰度与可懂度（降噪能力不低于 40dB）。</w:t>
            </w:r>
            <w:r/>
          </w:p>
        </w:tc>
        <w:tc>
          <w:tcPr>
            <w:tcW w:w="2145" w:type="dxa"/>
            <w:vAlign w:val="center"/>
            <w:textDirection w:val="lrTb"/>
            <w:noWrap w:val="false"/>
          </w:tcPr>
          <w:p>
            <w:pPr>
              <w:numPr>
                <w:ilvl w:val="0"/>
                <w:numId w:val="0"/>
              </w:numPr>
              <w:jc w:val="left"/>
              <w:keepLines w:val="0"/>
              <w:keepNext w:val="0"/>
              <w:widowControl/>
              <w:rPr>
                <w:rFonts w:hint="default" w:ascii="宋体" w:hAnsi="宋体" w:eastAsia="宋体" w:cs="宋体"/>
                <w:i w:val="0"/>
                <w:iCs w:val="0"/>
                <w:color w:val="auto"/>
                <w:sz w:val="20"/>
                <w:szCs w:val="20"/>
                <w:highlight w:val="none"/>
                <w:lang w:val="en-US" w:eastAsia="zh-CN" w:bidi="ar"/>
              </w:rPr>
              <w:suppressLineNumbers w:val="0"/>
            </w:pPr>
            <w:r>
              <w:rPr>
                <w:rFonts w:hint="default"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default"/>
                <w:highlight w:val="none"/>
                <w:lang w:val="en-US"/>
              </w:rPr>
              <w:suppressLineNumbers w:val="0"/>
            </w:pPr>
            <w:r>
              <w:rPr>
                <w:rFonts w:hint="eastAsia" w:ascii="宋体" w:hAnsi="宋体" w:eastAsia="宋体" w:cs="宋体"/>
                <w:i w:val="0"/>
                <w:iCs w:val="0"/>
                <w:color w:val="auto"/>
                <w:sz w:val="20"/>
                <w:szCs w:val="20"/>
                <w:highlight w:val="none"/>
                <w:u w:val="none"/>
                <w:lang w:val="en-US" w:eastAsia="zh-CN" w:bidi="ar"/>
              </w:rPr>
              <w:t xml:space="preserve">音频控制系统：软件具备智能音箱管理功能：</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1、具有音箱终端管理、播放任务管理、音箱权限管理等管理功能，为各语音采集提供</w:t>
            </w:r>
            <w:r>
              <w:rPr>
                <w:rFonts w:hint="eastAsia" w:ascii="宋体" w:hAnsi="宋体" w:cs="宋体"/>
                <w:i w:val="0"/>
                <w:iCs w:val="0"/>
                <w:color w:val="auto"/>
                <w:sz w:val="20"/>
                <w:szCs w:val="20"/>
                <w:highlight w:val="none"/>
                <w:u w:val="none"/>
                <w:lang w:val="en-US" w:eastAsia="zh-CN" w:bidi="ar"/>
              </w:rPr>
              <w:t xml:space="preserve">数据</w:t>
            </w:r>
            <w:r>
              <w:rPr>
                <w:rFonts w:hint="eastAsia" w:ascii="宋体" w:hAnsi="宋体" w:eastAsia="宋体" w:cs="宋体"/>
                <w:i w:val="0"/>
                <w:iCs w:val="0"/>
                <w:color w:val="auto"/>
                <w:sz w:val="20"/>
                <w:szCs w:val="20"/>
                <w:highlight w:val="none"/>
                <w:u w:val="none"/>
                <w:lang w:val="en-US" w:eastAsia="zh-CN" w:bidi="ar"/>
              </w:rPr>
              <w:t xml:space="preserve">接口服务；</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2、提供系统运行编程功能；</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3、实时监测系统中各个音箱的运行状态；</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4、能根据用户密码权限的方式远程登陆主机，并对主机进行有效管理；</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5、能通过软件对系统中的设备进行控制；</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6、支持TTS文本转语音功能，支持中文和英文；</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cs="宋体"/>
                <w:i w:val="0"/>
                <w:iCs w:val="0"/>
                <w:color w:val="auto"/>
                <w:sz w:val="20"/>
                <w:szCs w:val="20"/>
                <w:highlight w:val="none"/>
                <w:u w:val="none"/>
                <w:lang w:val="en-US" w:eastAsia="zh-CN" w:bidi="ar"/>
              </w:rPr>
              <w:t xml:space="preserve">7、平台集成全数字会议系统软件模块、反馈抑制器软件模块、数字音频处理器软件模块、数字专业功放软件模块、音箱处理器软件模块，各模块打开呈现在状态栏窗口，可快速管理和调用，并具备自动检测音频处理器、反馈抑制器、数字功放、音箱处理器设备硬件版本、软件版本功能；检测到有新版本时提供更新提示，可对硬件进行升级。</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真分集UHF段一拖四无线会议（长咪杆）：1.基于数字U段的传输技术，采用国产主控芯片，传输距离≥80米，接收机具有≥4路平衡输出、≥1路非平衡混音输出；具有混响、均衡、智能静音、音频加密、功率调节功能。</w:t>
            </w:r>
            <w:r/>
          </w:p>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2.具有≥1台接收主机、≥4台桌面式鹅颈咪杆发射机；频率范围等同或优于470MHz-510MHz、540MHz-590MHz、640MHz-690MHz、807MHz-830MHz四个频段使用。</w:t>
            </w:r>
            <w:r/>
          </w:p>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cs="宋体"/>
                <w:i w:val="0"/>
                <w:iCs w:val="0"/>
                <w:color w:val="auto"/>
                <w:sz w:val="20"/>
                <w:szCs w:val="20"/>
                <w:highlight w:val="none"/>
                <w:u w:val="none"/>
                <w:lang w:val="en-US" w:eastAsia="zh-CN" w:bidi="ar"/>
              </w:rPr>
              <w:t xml:space="preserve">3</w:t>
            </w:r>
            <w:r>
              <w:rPr>
                <w:rFonts w:hint="eastAsia" w:ascii="宋体" w:hAnsi="宋体" w:eastAsia="宋体" w:cs="宋体"/>
                <w:i w:val="0"/>
                <w:iCs w:val="0"/>
                <w:color w:val="auto"/>
                <w:sz w:val="20"/>
                <w:szCs w:val="20"/>
                <w:highlight w:val="none"/>
                <w:u w:val="none"/>
                <w:lang w:val="en-US" w:eastAsia="zh-CN" w:bidi="ar"/>
              </w:rPr>
              <w:t xml:space="preserve">.具有多档位混响调节功能，混响效果≥15625个，效果占比、回响延时、混响幅度调节，三种音效各具有≥25档调节方式。</w:t>
            </w:r>
            <w:r/>
          </w:p>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cs="宋体"/>
                <w:i w:val="0"/>
                <w:iCs w:val="0"/>
                <w:color w:val="auto"/>
                <w:sz w:val="20"/>
                <w:szCs w:val="20"/>
                <w:highlight w:val="none"/>
                <w:u w:val="none"/>
                <w:lang w:val="en-US" w:eastAsia="zh-CN" w:bidi="ar"/>
              </w:rPr>
              <w:t xml:space="preserve">4</w:t>
            </w:r>
            <w:r>
              <w:rPr>
                <w:rFonts w:hint="eastAsia" w:ascii="宋体" w:hAnsi="宋体" w:eastAsia="宋体" w:cs="宋体"/>
                <w:i w:val="0"/>
                <w:iCs w:val="0"/>
                <w:color w:val="auto"/>
                <w:sz w:val="20"/>
                <w:szCs w:val="20"/>
                <w:highlight w:val="none"/>
                <w:u w:val="none"/>
                <w:lang w:val="en-US" w:eastAsia="zh-CN" w:bidi="ar"/>
              </w:rPr>
              <w:t xml:space="preserve">.具有多频段均衡调节功能，均衡调节≥2197种，麦克风均衡器调节功能，具有高、中、低音三种调节档位，每种效果支持≥13档调节。</w:t>
            </w:r>
            <w:r/>
          </w:p>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cs="宋体"/>
                <w:i w:val="0"/>
                <w:iCs w:val="0"/>
                <w:color w:val="auto"/>
                <w:sz w:val="20"/>
                <w:szCs w:val="20"/>
                <w:highlight w:val="none"/>
                <w:u w:val="none"/>
                <w:lang w:val="en-US" w:eastAsia="zh-CN" w:bidi="ar"/>
              </w:rPr>
              <w:t xml:space="preserve">5</w:t>
            </w:r>
            <w:r>
              <w:rPr>
                <w:rFonts w:hint="eastAsia" w:ascii="宋体" w:hAnsi="宋体" w:eastAsia="宋体" w:cs="宋体"/>
                <w:i w:val="0"/>
                <w:iCs w:val="0"/>
                <w:color w:val="auto"/>
                <w:sz w:val="20"/>
                <w:szCs w:val="20"/>
                <w:highlight w:val="none"/>
                <w:u w:val="none"/>
                <w:lang w:val="en-US" w:eastAsia="zh-CN" w:bidi="ar"/>
              </w:rPr>
              <w:t xml:space="preserve">.具有ID码防串扰功能，采用32位唯一ID码，用于接收和发射配对，收发ID码必须相同才能对码，能够有效防止相同频率的信号相互串台。</w:t>
            </w:r>
            <w:r/>
          </w:p>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cs="宋体"/>
                <w:i w:val="0"/>
                <w:iCs w:val="0"/>
                <w:color w:val="auto"/>
                <w:sz w:val="20"/>
                <w:szCs w:val="20"/>
                <w:highlight w:val="none"/>
                <w:u w:val="none"/>
                <w:lang w:val="en-US" w:eastAsia="zh-CN" w:bidi="ar"/>
              </w:rPr>
              <w:t xml:space="preserve">6</w:t>
            </w:r>
            <w:r>
              <w:rPr>
                <w:rFonts w:hint="eastAsia" w:ascii="宋体" w:hAnsi="宋体" w:eastAsia="宋体" w:cs="宋体"/>
                <w:i w:val="0"/>
                <w:iCs w:val="0"/>
                <w:color w:val="auto"/>
                <w:sz w:val="20"/>
                <w:szCs w:val="20"/>
                <w:highlight w:val="none"/>
                <w:u w:val="none"/>
                <w:lang w:val="en-US" w:eastAsia="zh-CN" w:bidi="ar"/>
              </w:rPr>
              <w:t xml:space="preserve">.接收机具有≥4个2.2英寸的TFT-LCD显示屏；发射机具有≥0.96英寸LCD显示屏，能够显示频率信息、音频加密状态、功率挡位、静音状态、电量格数信息。</w:t>
            </w:r>
            <w:r/>
          </w:p>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7</w:t>
            </w:r>
            <w:r>
              <w:rPr>
                <w:rFonts w:hint="eastAsia" w:ascii="宋体" w:hAnsi="宋体" w:eastAsia="宋体" w:cs="宋体"/>
                <w:i w:val="0"/>
                <w:iCs w:val="0"/>
                <w:color w:val="auto"/>
                <w:sz w:val="20"/>
                <w:szCs w:val="20"/>
                <w:highlight w:val="none"/>
                <w:u w:val="none"/>
                <w:lang w:val="en-US" w:eastAsia="zh-CN" w:bidi="ar"/>
              </w:rPr>
              <w:t xml:space="preserve">.桌面式发射机配置≥1颗锂电池，使用时长≥15小时；设备电池孔位≥4个，支持拓展电池数量，通过拓展连续使用时长≥60小时。</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default" w:ascii="宋体" w:hAnsi="宋体" w:eastAsia="宋体" w:cs="宋体"/>
                <w:i w:val="0"/>
                <w:iCs w:val="0"/>
                <w:color w:val="auto"/>
                <w:sz w:val="20"/>
                <w:szCs w:val="20"/>
                <w:highlight w:val="none"/>
                <w:u w:val="none"/>
                <w:lang w:val="en-US" w:eastAsia="zh-CN"/>
              </w:rPr>
            </w:pPr>
            <w:r>
              <w:rPr>
                <w:rFonts w:hint="eastAsia" w:ascii="宋体" w:hAnsi="宋体" w:cs="宋体"/>
                <w:i w:val="0"/>
                <w:iCs w:val="0"/>
                <w:color w:val="auto"/>
                <w:sz w:val="20"/>
                <w:szCs w:val="20"/>
                <w:highlight w:val="none"/>
                <w:u w:val="none"/>
                <w:lang w:val="en-US" w:eastAsia="zh-CN"/>
              </w:rPr>
              <w:t xml:space="preserve">#1</w:t>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cs="宋体"/>
                <w:i w:val="0"/>
                <w:iCs w:val="0"/>
                <w:color w:val="auto"/>
                <w:sz w:val="20"/>
                <w:szCs w:val="20"/>
                <w:highlight w:val="none"/>
                <w:u w:val="none"/>
                <w:lang w:val="en-US" w:eastAsia="zh-CN" w:bidi="ar"/>
              </w:rPr>
              <w:t xml:space="preserve">8.</w:t>
            </w:r>
            <w:r>
              <w:rPr>
                <w:rFonts w:hint="eastAsia" w:ascii="宋体" w:hAnsi="宋体" w:eastAsia="宋体" w:cs="宋体"/>
                <w:i w:val="0"/>
                <w:iCs w:val="0"/>
                <w:color w:val="auto"/>
                <w:sz w:val="20"/>
                <w:szCs w:val="20"/>
                <w:highlight w:val="none"/>
                <w:u w:val="none"/>
                <w:lang w:val="en-US" w:eastAsia="zh-CN" w:bidi="ar"/>
              </w:rPr>
              <w:t xml:space="preserve">前面板配备不少于 4 块 LCD 显示屏、不少于 4 个编码调节旋钮</w:t>
            </w:r>
            <w:r>
              <w:rPr>
                <w:rFonts w:hint="eastAsia" w:ascii="宋体" w:hAnsi="宋体" w:eastAsia="宋体" w:cs="宋体"/>
                <w:i w:val="0"/>
                <w:iCs w:val="0"/>
                <w:color w:val="auto"/>
                <w:sz w:val="20"/>
                <w:szCs w:val="20"/>
                <w:highlight w:val="none"/>
                <w:u w:val="none"/>
                <w:lang w:val="en-US" w:eastAsia="zh-CN" w:bidi="ar"/>
              </w:rPr>
              <w:t xml:space="preserve">、不少于 4 个实体频率扫描按键、不少于 4 个实体红外对频按键、不少于 1 个电源开关按键，以及不少于 1 个集成红外发射管与对频状态指示功能的二合一指示灯；后面板配备不少于 1 个 LINE-OUT 输出接口、不少于 4 个 XLR-OUT 输出接口、不少于 4 个 BNC 接口、不少于 1 个 DC 供电接口。桌面式发射机配备不少于 1 个 TYPE-C 充电接口、不少于 1 个 3.5mm 耳麦输入接口、不少于 1 块 LCD 显示屏、不少于 1 个电源开关按键、不少于 1 个触摸式麦克风开关按键。</w:t>
            </w:r>
            <w:r/>
          </w:p>
        </w:tc>
        <w:tc>
          <w:tcPr>
            <w:tcW w:w="2145"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cs="宋体"/>
                <w:i w:val="0"/>
                <w:iCs w:val="0"/>
                <w:color w:val="auto"/>
                <w:sz w:val="20"/>
                <w:szCs w:val="20"/>
                <w:highlight w:val="none"/>
                <w:u w:val="none"/>
                <w:lang w:val="en-US" w:eastAsia="zh-CN" w:bidi="ar"/>
              </w:rPr>
              <w:t xml:space="preserve">投标时</w:t>
            </w:r>
            <w:r>
              <w:rPr>
                <w:rFonts w:hint="eastAsia" w:ascii="宋体" w:hAnsi="宋体" w:eastAsia="宋体" w:cs="宋体"/>
                <w:i w:val="0"/>
                <w:iCs w:val="0"/>
                <w:color w:val="auto"/>
                <w:sz w:val="20"/>
                <w:szCs w:val="20"/>
                <w:highlight w:val="none"/>
                <w:u w:val="none"/>
                <w:lang w:val="en-US" w:eastAsia="zh-CN" w:bidi="ar"/>
              </w:rPr>
              <w:t xml:space="preserve">提供</w:t>
            </w:r>
            <w:r>
              <w:rPr>
                <w:rFonts w:hint="eastAsia" w:ascii="宋体" w:hAnsi="宋体" w:cs="宋体"/>
                <w:i w:val="0"/>
                <w:iCs w:val="0"/>
                <w:color w:val="auto"/>
                <w:sz w:val="20"/>
                <w:szCs w:val="20"/>
                <w:highlight w:val="none"/>
                <w:u w:val="none"/>
                <w:lang w:val="en-US" w:eastAsia="zh-CN" w:bidi="ar"/>
              </w:rPr>
              <w:t xml:space="preserve">实物</w:t>
            </w:r>
            <w:r>
              <w:rPr>
                <w:rFonts w:hint="eastAsia" w:ascii="宋体" w:hAnsi="宋体" w:eastAsia="宋体" w:cs="宋体"/>
                <w:i w:val="0"/>
                <w:iCs w:val="0"/>
                <w:color w:val="auto"/>
                <w:sz w:val="20"/>
                <w:szCs w:val="20"/>
                <w:highlight w:val="none"/>
                <w:u w:val="none"/>
                <w:lang w:val="en-US" w:eastAsia="zh-CN" w:bidi="ar"/>
              </w:rPr>
              <w:t xml:space="preserve">设备图佐证</w:t>
            </w:r>
            <w:r/>
          </w:p>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DSP数字4进1出反馈抑制器：</w:t>
            </w:r>
            <w:r/>
          </w:p>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cs="宋体"/>
                <w:i w:val="0"/>
                <w:iCs w:val="0"/>
                <w:color w:val="auto"/>
                <w:sz w:val="20"/>
                <w:szCs w:val="20"/>
                <w:highlight w:val="none"/>
                <w:u w:val="none"/>
                <w:lang w:val="en-US" w:eastAsia="zh-CN" w:bidi="ar"/>
              </w:rPr>
              <w:t xml:space="preserve">1</w:t>
            </w:r>
            <w:r>
              <w:rPr>
                <w:rFonts w:hint="eastAsia" w:ascii="宋体" w:hAnsi="宋体" w:eastAsia="宋体" w:cs="宋体"/>
                <w:i w:val="0"/>
                <w:iCs w:val="0"/>
                <w:color w:val="auto"/>
                <w:sz w:val="20"/>
                <w:szCs w:val="20"/>
                <w:highlight w:val="none"/>
                <w:u w:val="none"/>
                <w:lang w:val="en-US" w:eastAsia="zh-CN" w:bidi="ar"/>
              </w:rPr>
              <w:t xml:space="preserve">.支持声学校正按钮，按下可以预测声反馈回路。提供≥高/中/低三档输入电平调节。</w:t>
            </w:r>
            <w:r/>
          </w:p>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cs="宋体"/>
                <w:i w:val="0"/>
                <w:iCs w:val="0"/>
                <w:color w:val="auto"/>
                <w:sz w:val="20"/>
                <w:szCs w:val="20"/>
                <w:highlight w:val="none"/>
                <w:u w:val="none"/>
                <w:lang w:val="en-US" w:eastAsia="zh-CN" w:bidi="ar"/>
              </w:rPr>
              <w:t xml:space="preserve">2</w:t>
            </w:r>
            <w:r>
              <w:rPr>
                <w:rFonts w:hint="eastAsia" w:ascii="宋体" w:hAnsi="宋体" w:eastAsia="宋体" w:cs="宋体"/>
                <w:i w:val="0"/>
                <w:iCs w:val="0"/>
                <w:color w:val="auto"/>
                <w:sz w:val="20"/>
                <w:szCs w:val="20"/>
                <w:highlight w:val="none"/>
                <w:u w:val="none"/>
                <w:lang w:val="en-US" w:eastAsia="zh-CN" w:bidi="ar"/>
              </w:rPr>
              <w:t xml:space="preserve">.具有≥2个独立通道，每通道均支持等同或宽于0-99级数字音量调节及静音开关功能。</w:t>
            </w:r>
            <w:r/>
          </w:p>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cs="宋体"/>
                <w:i w:val="0"/>
                <w:iCs w:val="0"/>
                <w:color w:val="auto"/>
                <w:sz w:val="20"/>
                <w:szCs w:val="20"/>
                <w:highlight w:val="none"/>
                <w:u w:val="none"/>
                <w:lang w:val="en-US" w:eastAsia="zh-CN" w:bidi="ar"/>
              </w:rPr>
              <w:t xml:space="preserve">3</w:t>
            </w:r>
            <w:r>
              <w:rPr>
                <w:rFonts w:hint="eastAsia" w:ascii="宋体" w:hAnsi="宋体" w:eastAsia="宋体" w:cs="宋体"/>
                <w:i w:val="0"/>
                <w:iCs w:val="0"/>
                <w:color w:val="auto"/>
                <w:sz w:val="20"/>
                <w:szCs w:val="20"/>
                <w:highlight w:val="none"/>
                <w:u w:val="none"/>
                <w:lang w:val="en-US" w:eastAsia="zh-CN" w:bidi="ar"/>
              </w:rPr>
              <w:t xml:space="preserve">.基于啸叫检测门限更新法，具有移频+陷波反馈抑制功能，可以使用≥48个可编程陷波点。</w:t>
            </w:r>
            <w:r/>
          </w:p>
          <w:p>
            <w:pPr>
              <w:pStyle w:val="851"/>
              <w:rPr>
                <w:rFonts w:hint="eastAsia"/>
                <w:highlight w:val="none"/>
              </w:rPr>
            </w:pPr>
            <w:r>
              <w:rPr>
                <w:rFonts w:hint="eastAsia" w:ascii="宋体" w:hAnsi="宋体" w:cs="宋体"/>
                <w:i w:val="0"/>
                <w:iCs w:val="0"/>
                <w:color w:val="auto"/>
                <w:sz w:val="20"/>
                <w:szCs w:val="20"/>
                <w:highlight w:val="none"/>
                <w:u w:val="none"/>
                <w:lang w:val="en-US" w:eastAsia="zh-CN" w:bidi="ar"/>
              </w:rPr>
              <w:t xml:space="preserve">4.</w:t>
            </w:r>
            <w:r>
              <w:rPr>
                <w:rFonts w:hint="eastAsia" w:ascii="宋体" w:hAnsi="宋体" w:eastAsia="宋体" w:cs="宋体"/>
                <w:i w:val="0"/>
                <w:iCs w:val="0"/>
                <w:color w:val="auto"/>
                <w:sz w:val="20"/>
                <w:szCs w:val="20"/>
                <w:highlight w:val="none"/>
                <w:u w:val="none"/>
                <w:lang w:val="en-US" w:eastAsia="zh-CN" w:bidi="ar"/>
              </w:rPr>
              <w:t xml:space="preserve">处理器主频≥1.3GHz；搭载≥2 路独立反馈抑制通道，单通道均支持 AFC 自适应反馈抑制，传声增益提升≥6dB，可独立处理不同声源（主讲 / 观众席拾音），规避多麦场景交叉啸叫。</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电源时序器：功能特点：</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1.8通道电源口顺序开启逆序关闭,每路输出带指示灯；</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2.具有1路短路触发接口，可以通过短接信号控制开关；</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产品参数：</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1.额定输出电压：交流220V，50Hz</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2.可控制电源：8路</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3.每路动作延时时间：1秒</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4.单路最大承受无功功率：2200W</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5.最大承受无功总功率:6000W</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配电柜：1、配电柜输入电压为交流单相220V+7%，工频50HZ，功率不低于5KW，输出电压：220V+10%，安装方式：壁挂式；</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机柜：22U</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大报告厅：</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座椅：1.面料：选用麻绒布，耐酸汗渍变色、沾色不低于3-4级,无异味，甲醛含量≤20mg/kg，可分解致癌芳香胺染料未检出，防霉性能不低于1级，符合</w:t>
            </w:r>
            <w:r>
              <w:rPr>
                <w:rFonts w:hint="eastAsia" w:ascii="宋体" w:hAnsi="宋体" w:cs="宋体"/>
                <w:i w:val="0"/>
                <w:iCs w:val="0"/>
                <w:color w:val="auto"/>
                <w:sz w:val="20"/>
                <w:szCs w:val="20"/>
                <w:highlight w:val="none"/>
                <w:u w:val="none"/>
                <w:lang w:val="en-US" w:eastAsia="zh-CN" w:bidi="ar"/>
              </w:rPr>
              <w:t xml:space="preserve">GB 18401-2023</w:t>
            </w:r>
            <w:r>
              <w:rPr>
                <w:rFonts w:hint="eastAsia" w:ascii="宋体" w:hAnsi="宋体" w:eastAsia="宋体" w:cs="宋体"/>
                <w:i w:val="0"/>
                <w:iCs w:val="0"/>
                <w:color w:val="auto"/>
                <w:sz w:val="20"/>
                <w:szCs w:val="20"/>
                <w:highlight w:val="none"/>
                <w:u w:val="none"/>
                <w:lang w:val="en-US" w:eastAsia="zh-CN" w:bidi="ar"/>
              </w:rPr>
              <w:t xml:space="preserve">《国家纺织产品基本安全技术规范》、GB/T 24346-2009《纺织品 防霉性能的评价》标准。 </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座、背外壳：高密度曲木板材经高温压一次成型。</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2.海绵：</w:t>
            </w:r>
            <w:r>
              <w:rPr>
                <w:rFonts w:hint="eastAsia" w:ascii="宋体" w:hAnsi="宋体" w:cs="宋体"/>
                <w:i w:val="0"/>
                <w:iCs w:val="0"/>
                <w:color w:val="auto"/>
                <w:sz w:val="20"/>
                <w:szCs w:val="20"/>
                <w:highlight w:val="none"/>
                <w:u w:val="none"/>
                <w:lang w:val="en-US" w:eastAsia="zh-CN" w:bidi="ar"/>
              </w:rPr>
              <w:t xml:space="preserve">海绵：采用高弹海绵，用抽纱或丝绒覆面，表面有防腐化和防变型保护膜，回弹性高，耐用度高，防碎，防氧化，密度≥46kg/m3，回弹率≥45%，75%压缩永久变形≤5%，湿热老化后拉伸强度≥100KPa，干热老化后拉伸强度≥100KPa，符合GB/T 10802-2023《通用软质聚醚型氨酯泡沫塑料》。</w:t>
            </w:r>
            <w:r/>
          </w:p>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3.扶手架及站脚：采用3.0mm钢板焊制，表面经酸洗、磷化、防腐、防锈、静电喷塑等化学处理，外贴布面装饰板，加粗横管确保受压之下不产生变形，安心放心。</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4.扶手盖：原木扶手外涂环保油漆，经过五底三面油漆工序，木纹纹理清晰，色泽均匀、光滑耐用；挥发性有机化合物（VOC）含量≤50g/L，可溶性重金属含量 可溶性铅（Pb）≤8mg/kg、可溶性镉(Cd)≤2mg/kg、可溶性铬(Cr)≤3mg/kg、可溶性汞(Hg)≤2mg/kg，多环芳烃总和含量≤10mg/kg，漆膜硬度3H,符合GB 18581-2020《木器涂料中有害物质限量》、</w:t>
            </w:r>
            <w:r>
              <w:rPr>
                <w:rFonts w:hint="eastAsia" w:ascii="宋体" w:hAnsi="宋体" w:cs="宋体"/>
                <w:i w:val="0"/>
                <w:iCs w:val="0"/>
                <w:color w:val="auto"/>
                <w:sz w:val="20"/>
                <w:szCs w:val="20"/>
                <w:highlight w:val="none"/>
                <w:u w:val="none"/>
                <w:lang w:val="en-US" w:eastAsia="zh-CN" w:bidi="ar"/>
              </w:rPr>
              <w:t xml:space="preserve">GB/T 6739-2020</w:t>
            </w:r>
            <w:r>
              <w:rPr>
                <w:rFonts w:hint="eastAsia" w:ascii="宋体" w:hAnsi="宋体" w:eastAsia="宋体" w:cs="宋体"/>
                <w:i w:val="0"/>
                <w:iCs w:val="0"/>
                <w:color w:val="auto"/>
                <w:sz w:val="20"/>
                <w:szCs w:val="20"/>
                <w:highlight w:val="none"/>
                <w:u w:val="none"/>
                <w:lang w:val="en-US" w:eastAsia="zh-CN" w:bidi="ar"/>
              </w:rPr>
              <w:t xml:space="preserve">《色漆和清漆铅笔法测定漆膜硬度》标准。</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5.功能特征：整体设计按照人体工程学设计，椅背海绵两侧有连续的突起状背托、腰托造型（有效缓解长时间保持坐姿而产生的疲劳感）。 </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附折叠收藏式写字板</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主席台桌：2100*720*760mm1、饰面：采用木皮，依据</w:t>
            </w:r>
            <w:r>
              <w:rPr>
                <w:rFonts w:hint="eastAsia" w:ascii="宋体" w:hAnsi="宋体" w:cs="宋体"/>
                <w:i w:val="0"/>
                <w:iCs w:val="0"/>
                <w:color w:val="auto"/>
                <w:sz w:val="20"/>
                <w:szCs w:val="20"/>
                <w:highlight w:val="none"/>
                <w:u w:val="none"/>
                <w:lang w:val="en-US" w:eastAsia="zh-CN" w:bidi="ar"/>
              </w:rPr>
              <w:t xml:space="preserve">GB/T 35601-2024</w:t>
            </w:r>
            <w:r>
              <w:rPr>
                <w:rFonts w:hint="eastAsia" w:ascii="宋体" w:hAnsi="宋体" w:eastAsia="宋体" w:cs="宋体"/>
                <w:i w:val="0"/>
                <w:iCs w:val="0"/>
                <w:color w:val="auto"/>
                <w:sz w:val="20"/>
                <w:szCs w:val="20"/>
                <w:highlight w:val="none"/>
                <w:u w:val="none"/>
                <w:lang w:val="en-US" w:eastAsia="zh-CN" w:bidi="ar"/>
              </w:rPr>
              <w:t xml:space="preserve">《绿色产品评价人造板和木质地板》；</w:t>
            </w:r>
            <w:r>
              <w:rPr>
                <w:rFonts w:hint="eastAsia" w:ascii="宋体" w:hAnsi="宋体" w:cs="宋体"/>
                <w:i w:val="0"/>
                <w:iCs w:val="0"/>
                <w:color w:val="auto"/>
                <w:sz w:val="20"/>
                <w:szCs w:val="20"/>
                <w:highlight w:val="none"/>
                <w:u w:val="none"/>
                <w:lang w:val="en-US" w:eastAsia="zh-CN" w:bidi="ar"/>
              </w:rPr>
              <w:t xml:space="preserve"> GB 18584-2024</w:t>
            </w:r>
            <w:r>
              <w:rPr>
                <w:rFonts w:hint="eastAsia" w:ascii="宋体" w:hAnsi="宋体" w:eastAsia="宋体" w:cs="宋体"/>
                <w:i w:val="0"/>
                <w:iCs w:val="0"/>
                <w:color w:val="auto"/>
                <w:sz w:val="20"/>
                <w:szCs w:val="20"/>
                <w:highlight w:val="none"/>
                <w:u w:val="none"/>
                <w:lang w:val="en-US" w:eastAsia="zh-CN" w:bidi="ar"/>
              </w:rPr>
              <w:t xml:space="preserve">《室内装饰装修材料木家具中有害物质限量》；GB/T 13010-2020《木材工业用单板》；</w:t>
            </w:r>
            <w:r>
              <w:rPr>
                <w:rFonts w:hint="eastAsia" w:ascii="宋体" w:hAnsi="宋体" w:cs="宋体"/>
                <w:i w:val="0"/>
                <w:iCs w:val="0"/>
                <w:color w:val="auto"/>
                <w:sz w:val="20"/>
                <w:szCs w:val="20"/>
                <w:highlight w:val="none"/>
                <w:u w:val="none"/>
                <w:lang w:val="en-US" w:eastAsia="zh-CN" w:bidi="ar"/>
              </w:rPr>
              <w:t xml:space="preserve">GB/T 3324-2024</w:t>
            </w:r>
            <w:r>
              <w:rPr>
                <w:rFonts w:hint="eastAsia" w:ascii="宋体" w:hAnsi="宋体" w:eastAsia="宋体" w:cs="宋体"/>
                <w:i w:val="0"/>
                <w:iCs w:val="0"/>
                <w:color w:val="auto"/>
                <w:sz w:val="20"/>
                <w:szCs w:val="20"/>
                <w:highlight w:val="none"/>
                <w:u w:val="none"/>
                <w:lang w:val="en-US" w:eastAsia="zh-CN" w:bidi="ar"/>
              </w:rPr>
              <w:t xml:space="preserve">《木家具通用技术条件》标准；厚度≥0.6mm，总挥发性有机化合物≤20㎍/m³，甲醛释放量≤0.5mg/L，单板含水率3%～8%，无贯通裂缝、无虫蛀现象，无腐朽材。</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2、基材：采用不低于E0级高密度纤维板，依据GB/T 31765-2015《高密度纤维板》；GB/T 17657-2022《人造板及饰面人造板理化性能试验方法》；GB/T 39600-2021《人造板及其制品甲醛释放量分级》；GB 18580-2017《室内装饰装修材料人造板及其制品中甲醛释放限量》；</w:t>
            </w:r>
            <w:r>
              <w:rPr>
                <w:rFonts w:hint="eastAsia" w:ascii="宋体" w:hAnsi="宋体" w:cs="宋体"/>
                <w:i w:val="0"/>
                <w:iCs w:val="0"/>
                <w:color w:val="auto"/>
                <w:sz w:val="20"/>
                <w:szCs w:val="20"/>
                <w:highlight w:val="none"/>
                <w:u w:val="none"/>
                <w:lang w:val="en-US" w:eastAsia="zh-CN" w:bidi="ar"/>
              </w:rPr>
              <w:t xml:space="preserve">GB/T 35601-2024</w:t>
            </w:r>
            <w:r>
              <w:rPr>
                <w:rFonts w:hint="eastAsia" w:ascii="宋体" w:hAnsi="宋体" w:eastAsia="宋体" w:cs="宋体"/>
                <w:i w:val="0"/>
                <w:iCs w:val="0"/>
                <w:color w:val="auto"/>
                <w:sz w:val="20"/>
                <w:szCs w:val="20"/>
                <w:highlight w:val="none"/>
                <w:u w:val="none"/>
                <w:lang w:val="en-US" w:eastAsia="zh-CN" w:bidi="ar"/>
              </w:rPr>
              <w:t xml:space="preserve">《绿色产品评价人造板和木质地板》；JC/T 2039-2010《抗菌防霉木质装饰板》标准；无油污、斑点或异物，无边角缺损，内结合强度，表面结合强度均符合要求，密度≥0.85g/cm³，含水率3%～8%，弹性模量≥4000MPa，吸水厚度膨胀率≤3%，垂直板面握螺钉力板边≥1300N，垂直板面握螺钉力板面≥1500N，甲醛释放量≤0.03mg/m³，总挥发性有机化合物≤20㎍/m³，防霉菌等级0级或1级。</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3、封边：采用实木封边条，依据</w:t>
            </w:r>
            <w:r>
              <w:rPr>
                <w:rFonts w:hint="eastAsia" w:ascii="宋体" w:hAnsi="宋体" w:cs="宋体"/>
                <w:i w:val="0"/>
                <w:iCs w:val="0"/>
                <w:color w:val="auto"/>
                <w:sz w:val="20"/>
                <w:szCs w:val="20"/>
                <w:highlight w:val="none"/>
                <w:u w:val="none"/>
                <w:lang w:val="en-US" w:eastAsia="zh-CN" w:bidi="ar"/>
              </w:rPr>
              <w:t xml:space="preserve">QB/T 4463-2025</w:t>
            </w:r>
            <w:r>
              <w:rPr>
                <w:rFonts w:hint="eastAsia" w:ascii="宋体" w:hAnsi="宋体" w:eastAsia="宋体" w:cs="宋体"/>
                <w:i w:val="0"/>
                <w:iCs w:val="0"/>
                <w:color w:val="auto"/>
                <w:sz w:val="20"/>
                <w:szCs w:val="20"/>
                <w:highlight w:val="none"/>
                <w:u w:val="none"/>
                <w:lang w:val="en-US" w:eastAsia="zh-CN" w:bidi="ar"/>
              </w:rPr>
              <w:t xml:space="preserve">《家具用封边条技术要求》、QB/T 4371-2012《家具抗菌性能的评价》检测标准；厚度≥3mm，含水率8%～11%，甲醛释放量≤0.5mg/L，抗菌性能（抗细菌率）≥99.5%。</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4、油漆：采用环保油漆，依据GB 18581-2020《木器涂料中有害物质限量》；</w:t>
            </w:r>
            <w:r>
              <w:rPr>
                <w:rFonts w:hint="eastAsia" w:ascii="宋体" w:hAnsi="宋体" w:cs="宋体"/>
                <w:i w:val="0"/>
                <w:iCs w:val="0"/>
                <w:color w:val="auto"/>
                <w:sz w:val="20"/>
                <w:szCs w:val="20"/>
                <w:highlight w:val="none"/>
                <w:u w:val="none"/>
                <w:lang w:val="en-US" w:eastAsia="zh-CN" w:bidi="ar"/>
              </w:rPr>
              <w:t xml:space="preserve">GB/T 21866-2025</w:t>
            </w:r>
            <w:r>
              <w:rPr>
                <w:rFonts w:hint="eastAsia" w:ascii="宋体" w:hAnsi="宋体" w:eastAsia="宋体" w:cs="宋体"/>
                <w:i w:val="0"/>
                <w:iCs w:val="0"/>
                <w:color w:val="auto"/>
                <w:sz w:val="20"/>
                <w:szCs w:val="20"/>
                <w:highlight w:val="none"/>
                <w:u w:val="none"/>
                <w:lang w:val="en-US" w:eastAsia="zh-CN" w:bidi="ar"/>
              </w:rPr>
              <w:t xml:space="preserve">《抗菌涂料（漆膜）抗菌性测定法和抗菌效果》；</w:t>
            </w:r>
            <w:r>
              <w:rPr>
                <w:rFonts w:hint="eastAsia" w:ascii="宋体" w:hAnsi="宋体" w:cs="宋体"/>
                <w:i w:val="0"/>
                <w:iCs w:val="0"/>
                <w:color w:val="auto"/>
                <w:sz w:val="20"/>
                <w:szCs w:val="20"/>
                <w:highlight w:val="none"/>
                <w:u w:val="none"/>
                <w:lang w:val="en-US" w:eastAsia="zh-CN" w:bidi="ar"/>
              </w:rPr>
              <w:t xml:space="preserve">GB/T 6739-2020</w:t>
            </w:r>
            <w:r>
              <w:rPr>
                <w:rFonts w:hint="eastAsia" w:ascii="宋体" w:hAnsi="宋体" w:eastAsia="宋体" w:cs="宋体"/>
                <w:i w:val="0"/>
                <w:iCs w:val="0"/>
                <w:color w:val="auto"/>
                <w:sz w:val="20"/>
                <w:szCs w:val="20"/>
                <w:highlight w:val="none"/>
                <w:u w:val="none"/>
                <w:lang w:val="en-US" w:eastAsia="zh-CN" w:bidi="ar"/>
              </w:rPr>
              <w:t xml:space="preserve">《色漆和清漆铅笔法测定漆膜硬度》﹔GB/T 23997-2009《室内装饰装修用溶剂型聚氨酯木器涂料》；</w:t>
            </w:r>
            <w:r>
              <w:rPr>
                <w:rFonts w:hint="eastAsia" w:ascii="宋体" w:hAnsi="宋体" w:cs="宋体"/>
                <w:i w:val="0"/>
                <w:iCs w:val="0"/>
                <w:color w:val="auto"/>
                <w:sz w:val="20"/>
                <w:szCs w:val="20"/>
                <w:highlight w:val="none"/>
                <w:u w:val="none"/>
                <w:lang w:val="en-US" w:eastAsia="zh-CN" w:bidi="ar"/>
              </w:rPr>
              <w:t xml:space="preserve">HJ 2573-2016</w:t>
            </w:r>
            <w:r>
              <w:rPr>
                <w:rFonts w:hint="eastAsia" w:ascii="宋体" w:hAnsi="宋体" w:eastAsia="宋体" w:cs="宋体"/>
                <w:i w:val="0"/>
                <w:iCs w:val="0"/>
                <w:color w:val="auto"/>
                <w:sz w:val="20"/>
                <w:szCs w:val="20"/>
                <w:highlight w:val="none"/>
                <w:u w:val="none"/>
                <w:lang w:val="en-US" w:eastAsia="zh-CN" w:bidi="ar"/>
              </w:rPr>
              <w:t xml:space="preserve">《环境标志产品技术要求 室内装饰装修用溶剂型木器涂料》标准；VOC含量≤5g/L，总铅含量≤2mg/kg，镉含量≤2mg/kg，铬含量≤2mg/kg，汞含量≤2mg/kg，乙二醇醚及醚酯总和含量（限乙二醇甲醚、乙二醇甲醚醋酸酯、乙二醇乙醚、乙二醇乙醚醋酸酯、乙二醇二甲醚、乙二醇二乙醚、二乙二醇二甲醚、三乙二醇二甲醚)≤20mg/kg，苯含量≤0.1%，甲醛含量≤10mg/kg，甲苯与二甲苯（含乙苯）总和含量≤5%，多环芳烃总和含量≤1mg/kg，抗菌性能（抗细菌率）≥99.5%，附着力1级。</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5、水性胶粘剂：选用环保胶，依据GB 18583-2008《室内装饰装修材料胶粘剂中有害物质限量》；HJ 2541-2016《环境标志产品技术要求胶粘剂》标准；游离甲醛≤0.5g/kg，总挥发性有机物≤5g/L，卤代烃≤0.1g/kg。</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6、五金配件：采用品牌五金配件，导轨依据GB/T 10125-2021《人造气氛腐蚀试验盐雾试验》；QB/T 3832- 1999《轻工产品金属镀层腐蚀试验结果的评价》； </w:t>
            </w:r>
            <w:r>
              <w:rPr>
                <w:rFonts w:hint="eastAsia" w:ascii="宋体" w:hAnsi="宋体" w:cs="宋体"/>
                <w:i w:val="0"/>
                <w:iCs w:val="0"/>
                <w:color w:val="auto"/>
                <w:sz w:val="20"/>
                <w:szCs w:val="20"/>
                <w:highlight w:val="none"/>
                <w:u w:val="none"/>
                <w:lang w:val="en-US" w:eastAsia="zh-CN" w:bidi="ar"/>
              </w:rPr>
              <w:t xml:space="preserve">GB/T 24170.1-2023</w:t>
            </w:r>
            <w:r>
              <w:rPr>
                <w:rFonts w:hint="eastAsia" w:ascii="宋体" w:hAnsi="宋体" w:eastAsia="宋体" w:cs="宋体"/>
                <w:i w:val="0"/>
                <w:iCs w:val="0"/>
                <w:color w:val="auto"/>
                <w:sz w:val="20"/>
                <w:szCs w:val="20"/>
                <w:highlight w:val="none"/>
                <w:u w:val="none"/>
                <w:lang w:val="en-US" w:eastAsia="zh-CN" w:bidi="ar"/>
              </w:rPr>
              <w:t xml:space="preserve">《表</w:t>
            </w:r>
            <w:r>
              <w:rPr>
                <w:rFonts w:hint="eastAsia" w:ascii="宋体" w:hAnsi="宋体" w:eastAsia="宋体" w:cs="宋体"/>
                <w:i w:val="0"/>
                <w:iCs w:val="0"/>
                <w:color w:val="auto"/>
                <w:sz w:val="20"/>
                <w:szCs w:val="20"/>
                <w:highlight w:val="none"/>
                <w:u w:val="none"/>
                <w:lang w:val="en-US" w:eastAsia="zh-CN" w:bidi="ar"/>
              </w:rPr>
              <w:t xml:space="preserve">面抗菌不锈钢第1部分:电化学法》； QB/T 2454-2013《家具五金抽屉导轨》检测标准；中性盐雾试验≥500h，镀层本身的耐腐蚀等级≥10级，镀层对基体的保护等级≥10级；乙酸盐雾试验≥250h，镀层本身的耐腐蚀等级≥10级，镀层对基体的保护等级≥10级；耐久性≥12万次检测合格，抗菌性能（抗菌率）≥99%。铰链依据QB/T 2189-2013《家具五金杯状暗铰链》；GB/T 10125 -2021《人造气氛腐蚀试验盐雾 试验》； QB/T 3832-1999 《轻工产品金属镀层腐蚀试验结果的评价》；</w:t>
            </w:r>
            <w:r>
              <w:rPr>
                <w:rFonts w:hint="eastAsia" w:ascii="宋体" w:hAnsi="宋体" w:cs="宋体"/>
                <w:i w:val="0"/>
                <w:iCs w:val="0"/>
                <w:color w:val="auto"/>
                <w:sz w:val="20"/>
                <w:szCs w:val="20"/>
                <w:highlight w:val="none"/>
                <w:u w:val="none"/>
                <w:lang w:val="en-US" w:eastAsia="zh-CN" w:bidi="ar"/>
              </w:rPr>
              <w:t xml:space="preserve">GB/T 24170.1-2023</w:t>
            </w:r>
            <w:r>
              <w:rPr>
                <w:rFonts w:hint="eastAsia" w:ascii="宋体" w:hAnsi="宋体" w:eastAsia="宋体" w:cs="宋体"/>
                <w:i w:val="0"/>
                <w:iCs w:val="0"/>
                <w:color w:val="auto"/>
                <w:sz w:val="20"/>
                <w:szCs w:val="20"/>
                <w:highlight w:val="none"/>
                <w:u w:val="none"/>
                <w:lang w:val="en-US" w:eastAsia="zh-CN" w:bidi="ar"/>
              </w:rPr>
              <w:t xml:space="preserve">《表面抗菌不锈钢第1部分:电化学法》检测标准；中性盐雾试验≥500h，镀层本身的耐腐蚀等级≥10级，镀层对基体的保护等级≥10级；乙酸盐雾试验≥250h，镀层本身的耐腐蚀等级≥10级，镀层对基体的保护等级≥10级；耐久性≥12万次检测合格，安装B型试验门时，下沉量不大于1.5mm，抗菌性能（抗菌率）≥99%。</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主席台椅：面料：选用</w:t>
            </w:r>
            <w:r>
              <w:rPr>
                <w:rFonts w:hint="eastAsia" w:ascii="宋体" w:hAnsi="宋体" w:cs="宋体"/>
                <w:i w:val="0"/>
                <w:iCs w:val="0"/>
                <w:color w:val="auto"/>
                <w:sz w:val="20"/>
                <w:szCs w:val="20"/>
                <w:highlight w:val="none"/>
                <w:u w:val="none"/>
                <w:lang w:val="en-US" w:eastAsia="zh-CN" w:bidi="ar"/>
              </w:rPr>
              <w:t xml:space="preserve">皮料</w:t>
            </w:r>
            <w:r>
              <w:rPr>
                <w:rFonts w:hint="eastAsia" w:ascii="宋体" w:hAnsi="宋体" w:eastAsia="宋体" w:cs="宋体"/>
                <w:i w:val="0"/>
                <w:iCs w:val="0"/>
                <w:color w:val="auto"/>
                <w:sz w:val="20"/>
                <w:szCs w:val="20"/>
                <w:highlight w:val="none"/>
                <w:u w:val="none"/>
                <w:lang w:val="en-US" w:eastAsia="zh-CN" w:bidi="ar"/>
              </w:rPr>
              <w:t xml:space="preserve">，依据GB/T 16799-2018《家具用皮革》；QB/T 4199-2011《皮革 防霉性能测试方法》﹔</w:t>
            </w:r>
            <w:r>
              <w:rPr>
                <w:rFonts w:hint="eastAsia" w:ascii="宋体" w:hAnsi="宋体" w:cs="宋体"/>
                <w:i w:val="0"/>
                <w:iCs w:val="0"/>
                <w:color w:val="auto"/>
                <w:sz w:val="20"/>
                <w:szCs w:val="20"/>
                <w:highlight w:val="none"/>
                <w:u w:val="none"/>
                <w:lang w:val="en-US" w:eastAsia="zh-CN" w:bidi="ar"/>
              </w:rPr>
              <w:t xml:space="preserve">GB/T 35607-2024</w:t>
            </w:r>
            <w:r>
              <w:rPr>
                <w:rFonts w:hint="eastAsia" w:ascii="宋体" w:hAnsi="宋体" w:eastAsia="宋体" w:cs="宋体"/>
                <w:i w:val="0"/>
                <w:iCs w:val="0"/>
                <w:color w:val="auto"/>
                <w:sz w:val="20"/>
                <w:szCs w:val="20"/>
                <w:highlight w:val="none"/>
                <w:u w:val="none"/>
                <w:lang w:val="en-US" w:eastAsia="zh-CN" w:bidi="ar"/>
              </w:rPr>
              <w:t xml:space="preserve">《绿色产品评价 家具》；</w:t>
            </w:r>
            <w:r>
              <w:rPr>
                <w:rFonts w:hint="eastAsia" w:ascii="宋体" w:hAnsi="宋体" w:cs="宋体"/>
                <w:i w:val="0"/>
                <w:iCs w:val="0"/>
                <w:color w:val="auto"/>
                <w:sz w:val="20"/>
                <w:szCs w:val="20"/>
                <w:highlight w:val="none"/>
                <w:u w:val="none"/>
                <w:lang w:val="en-US" w:eastAsia="zh-CN" w:bidi="ar"/>
              </w:rPr>
              <w:t xml:space="preserve">GB 17927-2024</w:t>
            </w:r>
            <w:r>
              <w:rPr>
                <w:rFonts w:hint="eastAsia" w:ascii="宋体" w:hAnsi="宋体" w:eastAsia="宋体" w:cs="宋体"/>
                <w:i w:val="0"/>
                <w:iCs w:val="0"/>
                <w:color w:val="auto"/>
                <w:sz w:val="20"/>
                <w:szCs w:val="20"/>
                <w:highlight w:val="none"/>
                <w:u w:val="none"/>
                <w:lang w:val="en-US" w:eastAsia="zh-CN" w:bidi="ar"/>
              </w:rPr>
              <w:t xml:space="preserve">《软体家具 床垫和沙发抗引燃特性的 评定第1部分:阴燃的香烟》；HJ 507-2009《环境标志产品技术要求皮革和合成革》标准；厚度≥1.2mm，全张革厚薄基本均匀，无油腻感；正面革不裂面、无管皱，主要部位不松面，革身平整、柔软、丰满有弹性；禁用偶氮染料未检出；耐光性≥5级，耐折牢度50000次无裂纹，游离甲醛≤20mg/kg，撕裂力≥90N，挥发性有机物（VOC）≤10mg/kg，防霉等级0级或1级，抗引燃特性阻燃Ⅰ级。</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海绵：</w:t>
            </w:r>
            <w:r>
              <w:rPr>
                <w:rFonts w:hint="eastAsia" w:ascii="宋体" w:hAnsi="宋体" w:cs="宋体"/>
                <w:i w:val="0"/>
                <w:iCs w:val="0"/>
                <w:color w:val="auto"/>
                <w:sz w:val="20"/>
                <w:szCs w:val="20"/>
                <w:highlight w:val="none"/>
                <w:u w:val="none"/>
                <w:lang w:val="en-US" w:eastAsia="zh-CN" w:bidi="ar"/>
              </w:rPr>
              <w:t xml:space="preserve">采用阻燃高弹海绵</w:t>
            </w:r>
            <w:r>
              <w:rPr>
                <w:rFonts w:hint="eastAsia" w:ascii="宋体" w:hAnsi="宋体" w:eastAsia="宋体" w:cs="宋体"/>
                <w:i w:val="0"/>
                <w:iCs w:val="0"/>
                <w:color w:val="auto"/>
                <w:sz w:val="20"/>
                <w:szCs w:val="20"/>
                <w:highlight w:val="none"/>
                <w:u w:val="none"/>
                <w:lang w:val="en-US" w:eastAsia="zh-CN" w:bidi="ar"/>
              </w:rPr>
              <w:t xml:space="preserve">，依据</w:t>
            </w:r>
            <w:r>
              <w:rPr>
                <w:rFonts w:hint="eastAsia" w:ascii="宋体" w:hAnsi="宋体" w:cs="宋体"/>
                <w:i w:val="0"/>
                <w:iCs w:val="0"/>
                <w:color w:val="auto"/>
                <w:sz w:val="20"/>
                <w:szCs w:val="20"/>
                <w:highlight w:val="none"/>
                <w:u w:val="none"/>
                <w:lang w:val="en-US" w:eastAsia="zh-CN" w:bidi="ar"/>
              </w:rPr>
              <w:t xml:space="preserve">GB/T 10802-2023</w:t>
            </w:r>
            <w:r>
              <w:rPr>
                <w:rFonts w:hint="eastAsia" w:ascii="宋体" w:hAnsi="宋体" w:eastAsia="宋体" w:cs="宋体"/>
                <w:i w:val="0"/>
                <w:iCs w:val="0"/>
                <w:color w:val="auto"/>
                <w:sz w:val="20"/>
                <w:szCs w:val="20"/>
                <w:highlight w:val="none"/>
                <w:u w:val="none"/>
                <w:lang w:val="en-US" w:eastAsia="zh-CN" w:bidi="ar"/>
              </w:rPr>
              <w:t xml:space="preserve">《通用软质聚醚型聚氨酯泡沫塑料》、QB/T 2280-2016《办公家具 办公椅》、GB/T 6343-2009《泡沫塑料及橡胶 表观密度的测定》、</w:t>
            </w:r>
            <w:r>
              <w:rPr>
                <w:rFonts w:hint="eastAsia" w:ascii="宋体" w:hAnsi="宋体" w:cs="宋体"/>
                <w:i w:val="0"/>
                <w:iCs w:val="0"/>
                <w:color w:val="auto"/>
                <w:sz w:val="20"/>
                <w:szCs w:val="20"/>
                <w:highlight w:val="none"/>
                <w:u w:val="none"/>
                <w:lang w:val="en-US" w:eastAsia="zh-CN" w:bidi="ar"/>
              </w:rPr>
              <w:t xml:space="preserve">GB 17927-2024</w:t>
            </w:r>
            <w:r>
              <w:rPr>
                <w:rFonts w:hint="eastAsia" w:ascii="宋体" w:hAnsi="宋体" w:eastAsia="宋体" w:cs="宋体"/>
                <w:i w:val="0"/>
                <w:iCs w:val="0"/>
                <w:color w:val="auto"/>
                <w:sz w:val="20"/>
                <w:szCs w:val="20"/>
                <w:highlight w:val="none"/>
                <w:u w:val="none"/>
                <w:lang w:val="en-US" w:eastAsia="zh-CN" w:bidi="ar"/>
              </w:rPr>
              <w:t xml:space="preserve">《软体家具 床</w:t>
            </w:r>
            <w:r>
              <w:rPr>
                <w:rFonts w:hint="eastAsia" w:ascii="宋体" w:hAnsi="宋体" w:eastAsia="宋体" w:cs="宋体"/>
                <w:i w:val="0"/>
                <w:iCs w:val="0"/>
                <w:color w:val="auto"/>
                <w:sz w:val="20"/>
                <w:szCs w:val="20"/>
                <w:highlight w:val="none"/>
                <w:u w:val="none"/>
                <w:lang w:val="en-US" w:eastAsia="zh-CN" w:bidi="ar"/>
              </w:rPr>
              <w:t xml:space="preserve">垫和沙发抗引燃特性的 评定第1部分：阴燃的香烟》、HJ 2547-2016《环境标志产品技术要求 家具》、QB/T 4371-2012《家具抗菌性能的评价》标准；长度、宽度极限偏差检测合格，厚度极限偏差检测合格，感官要求至少5项检测，物理力学性能（至少包含回弹率≥50%，拉伸强度≥150KPa，伸长率≥168%，撕裂强度≥4.5N/cm，干热老化后拉伸强度≥145KPa），密度≥50kg/m³，甲醛释放量≤0.03mg/m²h，TVOC≤0.05mg/m²h，抗引燃特性阻燃Ⅰ级，抗菌性能（抑菌率）≥95%。</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框架：采用实木框架，依据GB/T 1927.4-2021《无疵小试样本材物理力学性质试验方法 第4部分：含水率测定》﹔</w:t>
            </w:r>
            <w:r>
              <w:rPr>
                <w:rFonts w:hint="eastAsia" w:ascii="宋体" w:hAnsi="宋体" w:cs="宋体"/>
                <w:i w:val="0"/>
                <w:iCs w:val="0"/>
                <w:color w:val="auto"/>
                <w:sz w:val="20"/>
                <w:szCs w:val="20"/>
                <w:highlight w:val="none"/>
                <w:u w:val="none"/>
                <w:lang w:val="en-US" w:eastAsia="zh-CN" w:bidi="ar"/>
              </w:rPr>
              <w:t xml:space="preserve"> GB 18584-2024</w:t>
            </w:r>
            <w:r>
              <w:rPr>
                <w:rFonts w:hint="eastAsia" w:ascii="宋体" w:hAnsi="宋体" w:eastAsia="宋体" w:cs="宋体"/>
                <w:i w:val="0"/>
                <w:iCs w:val="0"/>
                <w:color w:val="auto"/>
                <w:sz w:val="20"/>
                <w:szCs w:val="20"/>
                <w:highlight w:val="none"/>
                <w:u w:val="none"/>
                <w:lang w:val="en-US" w:eastAsia="zh-CN" w:bidi="ar"/>
              </w:rPr>
              <w:t xml:space="preserve">《室内装饰装修材料木家具中有害物质限量》； GB/T 1927.5-2021《无疵小试样木材物理力学性质试验方法 第5部分:密度测定》﹔</w:t>
            </w:r>
            <w:r>
              <w:rPr>
                <w:rFonts w:hint="eastAsia" w:ascii="宋体" w:hAnsi="宋体" w:cs="宋体"/>
                <w:i w:val="0"/>
                <w:iCs w:val="0"/>
                <w:color w:val="auto"/>
                <w:sz w:val="20"/>
                <w:szCs w:val="20"/>
                <w:highlight w:val="none"/>
                <w:u w:val="none"/>
                <w:lang w:val="en-US" w:eastAsia="zh-CN" w:bidi="ar"/>
              </w:rPr>
              <w:t xml:space="preserve">GB/T 35601-2024</w:t>
            </w:r>
            <w:r>
              <w:rPr>
                <w:rFonts w:hint="eastAsia" w:ascii="宋体" w:hAnsi="宋体" w:eastAsia="宋体" w:cs="宋体"/>
                <w:i w:val="0"/>
                <w:iCs w:val="0"/>
                <w:color w:val="auto"/>
                <w:sz w:val="20"/>
                <w:szCs w:val="20"/>
                <w:highlight w:val="none"/>
                <w:u w:val="none"/>
                <w:lang w:val="en-US" w:eastAsia="zh-CN" w:bidi="ar"/>
              </w:rPr>
              <w:t xml:space="preserve"> 《绿色产品评价 人造板和木质地板》；GB/T 1927.9-2021《无疵小试样木材物理力学性质试验方法 第9部分:抗弯强度测定》；JC/T 2039-2010 《抗菌防霉木质装饰板》标准；木材含水率3%～10%，甲醛释放量≤0.5mg/L，总挥发性有机化合物≤20㎍/m³，气干密度≥0.68g/cm³，抗弯强度≥80MPa，防霉菌等级0级或1级。</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扶手：采用实木扶手，依据GB/T 1927.4-2021《无疵小试样木材物理力学性质试验方法 第4部分: 含水率测定》；</w:t>
            </w:r>
            <w:r>
              <w:rPr>
                <w:rFonts w:hint="eastAsia" w:ascii="宋体" w:hAnsi="宋体" w:cs="宋体"/>
                <w:i w:val="0"/>
                <w:iCs w:val="0"/>
                <w:color w:val="auto"/>
                <w:sz w:val="20"/>
                <w:szCs w:val="20"/>
                <w:highlight w:val="none"/>
                <w:u w:val="none"/>
                <w:lang w:val="en-US" w:eastAsia="zh-CN" w:bidi="ar"/>
              </w:rPr>
              <w:t xml:space="preserve"> GB 18584-2024</w:t>
            </w:r>
            <w:r>
              <w:rPr>
                <w:rFonts w:hint="eastAsia" w:ascii="宋体" w:hAnsi="宋体" w:eastAsia="宋体" w:cs="宋体"/>
                <w:i w:val="0"/>
                <w:iCs w:val="0"/>
                <w:color w:val="auto"/>
                <w:sz w:val="20"/>
                <w:szCs w:val="20"/>
                <w:highlight w:val="none"/>
                <w:u w:val="none"/>
                <w:lang w:val="en-US" w:eastAsia="zh-CN" w:bidi="ar"/>
              </w:rPr>
              <w:t xml:space="preserve">《室内装饰装修材料木家具中有害物质限量》；</w:t>
            </w:r>
            <w:r>
              <w:rPr>
                <w:rFonts w:hint="eastAsia" w:ascii="宋体" w:hAnsi="宋体" w:cs="宋体"/>
                <w:i w:val="0"/>
                <w:iCs w:val="0"/>
                <w:color w:val="auto"/>
                <w:sz w:val="20"/>
                <w:szCs w:val="20"/>
                <w:highlight w:val="none"/>
                <w:u w:val="none"/>
                <w:lang w:val="en-US" w:eastAsia="zh-CN" w:bidi="ar"/>
              </w:rPr>
              <w:t xml:space="preserve">GB/T 35601-2024</w:t>
            </w:r>
            <w:r>
              <w:rPr>
                <w:rFonts w:hint="eastAsia" w:ascii="宋体" w:hAnsi="宋体" w:eastAsia="宋体" w:cs="宋体"/>
                <w:i w:val="0"/>
                <w:iCs w:val="0"/>
                <w:color w:val="auto"/>
                <w:sz w:val="20"/>
                <w:szCs w:val="20"/>
                <w:highlight w:val="none"/>
                <w:u w:val="none"/>
                <w:lang w:val="en-US" w:eastAsia="zh-CN" w:bidi="ar"/>
              </w:rPr>
              <w:t xml:space="preserve">《绿色产品评价 人造板和木质地板》；GB/T 1927.9 -2021《无疵小试样木材物理力学性质试验方法 第9部分:抗弯强度测定》； QB/T 4371-2012《家具抗菌性能的评价》；JC/T 2039-2010《抗菌防霉木质装饰板》标准；木材含水率3%～10%，抗弯强度≥80MPa，甲醛释放量≤0.5mg/L，挥发性有机化合物≤20㎍/m³，抗菌性能（抑菌率）≥99%，防霉菌等级0级或1级。</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油漆：采用环保油漆，依据GB 18581-2020《木器涂料中有害物质限量》；</w:t>
            </w:r>
            <w:r>
              <w:rPr>
                <w:rFonts w:hint="eastAsia" w:ascii="宋体" w:hAnsi="宋体" w:cs="宋体"/>
                <w:i w:val="0"/>
                <w:iCs w:val="0"/>
                <w:color w:val="auto"/>
                <w:sz w:val="20"/>
                <w:szCs w:val="20"/>
                <w:highlight w:val="none"/>
                <w:u w:val="none"/>
                <w:lang w:val="en-US" w:eastAsia="zh-CN" w:bidi="ar"/>
              </w:rPr>
              <w:t xml:space="preserve">GB/T 21866-2025</w:t>
            </w:r>
            <w:r>
              <w:rPr>
                <w:rFonts w:hint="eastAsia" w:ascii="宋体" w:hAnsi="宋体" w:eastAsia="宋体" w:cs="宋体"/>
                <w:i w:val="0"/>
                <w:iCs w:val="0"/>
                <w:color w:val="auto"/>
                <w:sz w:val="20"/>
                <w:szCs w:val="20"/>
                <w:highlight w:val="none"/>
                <w:u w:val="none"/>
                <w:lang w:val="en-US" w:eastAsia="zh-CN" w:bidi="ar"/>
              </w:rPr>
              <w:t xml:space="preserve">《抗菌涂料（漆膜）抗菌性测定法和抗菌效果》；</w:t>
            </w:r>
            <w:r>
              <w:rPr>
                <w:rFonts w:hint="eastAsia" w:ascii="宋体" w:hAnsi="宋体" w:cs="宋体"/>
                <w:i w:val="0"/>
                <w:iCs w:val="0"/>
                <w:color w:val="auto"/>
                <w:sz w:val="20"/>
                <w:szCs w:val="20"/>
                <w:highlight w:val="none"/>
                <w:u w:val="none"/>
                <w:lang w:val="en-US" w:eastAsia="zh-CN" w:bidi="ar"/>
              </w:rPr>
              <w:t xml:space="preserve">GB/T 6739-2020</w:t>
            </w:r>
            <w:r>
              <w:rPr>
                <w:rFonts w:hint="eastAsia" w:ascii="宋体" w:hAnsi="宋体" w:eastAsia="宋体" w:cs="宋体"/>
                <w:i w:val="0"/>
                <w:iCs w:val="0"/>
                <w:color w:val="auto"/>
                <w:sz w:val="20"/>
                <w:szCs w:val="20"/>
                <w:highlight w:val="none"/>
                <w:u w:val="none"/>
                <w:lang w:val="en-US" w:eastAsia="zh-CN" w:bidi="ar"/>
              </w:rPr>
              <w:t xml:space="preserve">《色漆和清漆铅笔法测定漆膜硬度》﹔GB/T 23997-2009《室内装饰装修用溶剂型聚氨酯木器涂料》；</w:t>
            </w:r>
            <w:r>
              <w:rPr>
                <w:rFonts w:hint="eastAsia" w:ascii="宋体" w:hAnsi="宋体" w:cs="宋体"/>
                <w:i w:val="0"/>
                <w:iCs w:val="0"/>
                <w:color w:val="auto"/>
                <w:sz w:val="20"/>
                <w:szCs w:val="20"/>
                <w:highlight w:val="none"/>
                <w:u w:val="none"/>
                <w:lang w:val="en-US" w:eastAsia="zh-CN" w:bidi="ar"/>
              </w:rPr>
              <w:t xml:space="preserve">HJ 2573-2016</w:t>
            </w:r>
            <w:r>
              <w:rPr>
                <w:rFonts w:hint="eastAsia" w:ascii="宋体" w:hAnsi="宋体" w:eastAsia="宋体" w:cs="宋体"/>
                <w:i w:val="0"/>
                <w:iCs w:val="0"/>
                <w:color w:val="auto"/>
                <w:sz w:val="20"/>
                <w:szCs w:val="20"/>
                <w:highlight w:val="none"/>
                <w:u w:val="none"/>
                <w:lang w:val="en-US" w:eastAsia="zh-CN" w:bidi="ar"/>
              </w:rPr>
              <w:t xml:space="preserve">《环境标志产品技术要求 室内装饰装修用溶剂型木器涂料》标准；VOC含量≤5g/L，总铅含量≤2mg/kg，镉含量≤2mg/kg，铬含量≤2mg/kg，汞含量≤2mg/kg，乙二醇醚及醚酯总和含量（限乙二醇甲醚、乙二醇甲醚醋酸酯、乙二醇乙醚、乙二醇乙醚醋酸酯、乙二醇二甲醚、乙二醇二乙醚、二乙二醇二甲醚、三乙二醇二甲醚)≤20mg/kg，苯含量≤0.1%，甲醛含量≤10mg/kg，甲苯与二甲苯（含乙苯）总和含量≤5%，多环芳烃总和含量≤1mg/kg，抗菌性能（抗细菌率）≥99.5%，附着力1级。</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报告台：1、饰面：采用木皮，依据</w:t>
            </w:r>
            <w:r>
              <w:rPr>
                <w:rFonts w:hint="eastAsia" w:ascii="宋体" w:hAnsi="宋体" w:cs="宋体"/>
                <w:i w:val="0"/>
                <w:iCs w:val="0"/>
                <w:color w:val="auto"/>
                <w:sz w:val="20"/>
                <w:szCs w:val="20"/>
                <w:highlight w:val="none"/>
                <w:u w:val="none"/>
                <w:lang w:val="en-US" w:eastAsia="zh-CN" w:bidi="ar"/>
              </w:rPr>
              <w:t xml:space="preserve">GB/T 35601-2024</w:t>
            </w:r>
            <w:r>
              <w:rPr>
                <w:rFonts w:hint="eastAsia" w:ascii="宋体" w:hAnsi="宋体" w:eastAsia="宋体" w:cs="宋体"/>
                <w:i w:val="0"/>
                <w:iCs w:val="0"/>
                <w:color w:val="auto"/>
                <w:sz w:val="20"/>
                <w:szCs w:val="20"/>
                <w:highlight w:val="none"/>
                <w:u w:val="none"/>
                <w:lang w:val="en-US" w:eastAsia="zh-CN" w:bidi="ar"/>
              </w:rPr>
              <w:t xml:space="preserve">《绿色产品评价人造板和木质地板》；</w:t>
            </w:r>
            <w:r>
              <w:rPr>
                <w:rFonts w:hint="eastAsia" w:ascii="宋体" w:hAnsi="宋体" w:cs="宋体"/>
                <w:i w:val="0"/>
                <w:iCs w:val="0"/>
                <w:color w:val="auto"/>
                <w:sz w:val="20"/>
                <w:szCs w:val="20"/>
                <w:highlight w:val="none"/>
                <w:u w:val="none"/>
                <w:lang w:val="en-US" w:eastAsia="zh-CN" w:bidi="ar"/>
              </w:rPr>
              <w:t xml:space="preserve"> GB 18584-2024</w:t>
            </w:r>
            <w:r>
              <w:rPr>
                <w:rFonts w:hint="eastAsia" w:ascii="宋体" w:hAnsi="宋体" w:eastAsia="宋体" w:cs="宋体"/>
                <w:i w:val="0"/>
                <w:iCs w:val="0"/>
                <w:color w:val="auto"/>
                <w:sz w:val="20"/>
                <w:szCs w:val="20"/>
                <w:highlight w:val="none"/>
                <w:u w:val="none"/>
                <w:lang w:val="en-US" w:eastAsia="zh-CN" w:bidi="ar"/>
              </w:rPr>
              <w:t xml:space="preserve">《室内装饰装修材料木家具中有害物质限量》；GB/T 13010-2020《木材工业用单板》；</w:t>
            </w:r>
            <w:r>
              <w:rPr>
                <w:rFonts w:hint="eastAsia" w:ascii="宋体" w:hAnsi="宋体" w:cs="宋体"/>
                <w:i w:val="0"/>
                <w:iCs w:val="0"/>
                <w:color w:val="auto"/>
                <w:sz w:val="20"/>
                <w:szCs w:val="20"/>
                <w:highlight w:val="none"/>
                <w:u w:val="none"/>
                <w:lang w:val="en-US" w:eastAsia="zh-CN" w:bidi="ar"/>
              </w:rPr>
              <w:t xml:space="preserve">GB/T 3324-2024</w:t>
            </w:r>
            <w:r>
              <w:rPr>
                <w:rFonts w:hint="eastAsia" w:ascii="宋体" w:hAnsi="宋体" w:eastAsia="宋体" w:cs="宋体"/>
                <w:i w:val="0"/>
                <w:iCs w:val="0"/>
                <w:color w:val="auto"/>
                <w:sz w:val="20"/>
                <w:szCs w:val="20"/>
                <w:highlight w:val="none"/>
                <w:u w:val="none"/>
                <w:lang w:val="en-US" w:eastAsia="zh-CN" w:bidi="ar"/>
              </w:rPr>
              <w:t xml:space="preserve">《木家具通用技术条件》标准；厚度≥0.6mm，总挥发性有机化合物≤20㎍/m³，甲醛释放量≤0.5mg/L，单板含水率3%～8%，无贯通裂缝、无虫蛀现象，无腐朽材。</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2、基材：采用不低于E0级高密度纤维板，依据GB/T 31765-2015《高密度纤维板》；GB/T 17657-2022《人造板及饰面人造板理化性能试验方法》；GB/T 39600-2021《人造板及其制品甲醛释放量分级》；GB 18580-2017《室内装饰装修材料人造板及其制品中甲醛释放限量》；</w:t>
            </w:r>
            <w:r>
              <w:rPr>
                <w:rFonts w:hint="eastAsia" w:ascii="宋体" w:hAnsi="宋体" w:cs="宋体"/>
                <w:i w:val="0"/>
                <w:iCs w:val="0"/>
                <w:color w:val="auto"/>
                <w:sz w:val="20"/>
                <w:szCs w:val="20"/>
                <w:highlight w:val="none"/>
                <w:u w:val="none"/>
                <w:lang w:val="en-US" w:eastAsia="zh-CN" w:bidi="ar"/>
              </w:rPr>
              <w:t xml:space="preserve">GB/T 35601-2024</w:t>
            </w:r>
            <w:r>
              <w:rPr>
                <w:rFonts w:hint="eastAsia" w:ascii="宋体" w:hAnsi="宋体" w:eastAsia="宋体" w:cs="宋体"/>
                <w:i w:val="0"/>
                <w:iCs w:val="0"/>
                <w:color w:val="auto"/>
                <w:sz w:val="20"/>
                <w:szCs w:val="20"/>
                <w:highlight w:val="none"/>
                <w:u w:val="none"/>
                <w:lang w:val="en-US" w:eastAsia="zh-CN" w:bidi="ar"/>
              </w:rPr>
              <w:t xml:space="preserve">《绿色产品评价人造板和木质地板》；JC/T 2039-2010《抗菌防霉木质装饰板》标准；无油污、斑点或异物，无边角缺损，内结合强度，表面结合强度均符合要求，密度≥0.85g/cm³，含水率3%～8%，弹性模量≥4000MPa，吸水厚度膨胀率≤3%，垂直板面握螺钉力板边≥1300N，垂直板面握螺钉力板面≥1500N，甲醛释放量≤0.03mg/m³，总挥发性有机化合物≤20㎍/m³，防霉菌等级0级或1级。</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3、封边：采用实木封边条，依据</w:t>
            </w:r>
            <w:r>
              <w:rPr>
                <w:rFonts w:hint="eastAsia" w:ascii="宋体" w:hAnsi="宋体" w:cs="宋体"/>
                <w:i w:val="0"/>
                <w:iCs w:val="0"/>
                <w:color w:val="auto"/>
                <w:sz w:val="20"/>
                <w:szCs w:val="20"/>
                <w:highlight w:val="none"/>
                <w:u w:val="none"/>
                <w:lang w:val="en-US" w:eastAsia="zh-CN" w:bidi="ar"/>
              </w:rPr>
              <w:t xml:space="preserve">QB/T 4463-2025</w:t>
            </w:r>
            <w:r>
              <w:rPr>
                <w:rFonts w:hint="eastAsia" w:ascii="宋体" w:hAnsi="宋体" w:eastAsia="宋体" w:cs="宋体"/>
                <w:i w:val="0"/>
                <w:iCs w:val="0"/>
                <w:color w:val="auto"/>
                <w:sz w:val="20"/>
                <w:szCs w:val="20"/>
                <w:highlight w:val="none"/>
                <w:u w:val="none"/>
                <w:lang w:val="en-US" w:eastAsia="zh-CN" w:bidi="ar"/>
              </w:rPr>
              <w:t xml:space="preserve">《家具用封边条技术要求》、QB/T 4371-2012《家具抗菌性能的评价》检测标准；厚度≥3mm，含水率8%～11%，甲醛释放量≤0.5mg/L，抗菌性能（抗细菌率）≥99.5%。</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4、油漆：采用环保油漆，依据GB 18581-2020《木器涂料中有害物质限量》；</w:t>
            </w:r>
            <w:r>
              <w:rPr>
                <w:rFonts w:hint="eastAsia" w:ascii="宋体" w:hAnsi="宋体" w:cs="宋体"/>
                <w:i w:val="0"/>
                <w:iCs w:val="0"/>
                <w:color w:val="auto"/>
                <w:sz w:val="20"/>
                <w:szCs w:val="20"/>
                <w:highlight w:val="none"/>
                <w:u w:val="none"/>
                <w:lang w:val="en-US" w:eastAsia="zh-CN" w:bidi="ar"/>
              </w:rPr>
              <w:t xml:space="preserve">GB/T 21866-2025</w:t>
            </w:r>
            <w:r>
              <w:rPr>
                <w:rFonts w:hint="eastAsia" w:ascii="宋体" w:hAnsi="宋体" w:eastAsia="宋体" w:cs="宋体"/>
                <w:i w:val="0"/>
                <w:iCs w:val="0"/>
                <w:color w:val="auto"/>
                <w:sz w:val="20"/>
                <w:szCs w:val="20"/>
                <w:highlight w:val="none"/>
                <w:u w:val="none"/>
                <w:lang w:val="en-US" w:eastAsia="zh-CN" w:bidi="ar"/>
              </w:rPr>
              <w:t xml:space="preserve">《抗菌涂料（漆膜）抗菌性测定法和抗菌效果》；</w:t>
            </w:r>
            <w:r>
              <w:rPr>
                <w:rFonts w:hint="eastAsia" w:ascii="宋体" w:hAnsi="宋体" w:cs="宋体"/>
                <w:i w:val="0"/>
                <w:iCs w:val="0"/>
                <w:color w:val="auto"/>
                <w:sz w:val="20"/>
                <w:szCs w:val="20"/>
                <w:highlight w:val="none"/>
                <w:u w:val="none"/>
                <w:lang w:val="en-US" w:eastAsia="zh-CN" w:bidi="ar"/>
              </w:rPr>
              <w:t xml:space="preserve">GB/T 6739-2020</w:t>
            </w:r>
            <w:r>
              <w:rPr>
                <w:rFonts w:hint="eastAsia" w:ascii="宋体" w:hAnsi="宋体" w:eastAsia="宋体" w:cs="宋体"/>
                <w:i w:val="0"/>
                <w:iCs w:val="0"/>
                <w:color w:val="auto"/>
                <w:sz w:val="20"/>
                <w:szCs w:val="20"/>
                <w:highlight w:val="none"/>
                <w:u w:val="none"/>
                <w:lang w:val="en-US" w:eastAsia="zh-CN" w:bidi="ar"/>
              </w:rPr>
              <w:t xml:space="preserve">《色漆和清漆铅笔法测定漆膜硬度》﹔GB/T 23997-2009《室内装饰装修用溶剂型聚氨酯木器涂料》；</w:t>
            </w:r>
            <w:r>
              <w:rPr>
                <w:rFonts w:hint="eastAsia" w:ascii="宋体" w:hAnsi="宋体" w:cs="宋体"/>
                <w:i w:val="0"/>
                <w:iCs w:val="0"/>
                <w:color w:val="auto"/>
                <w:sz w:val="20"/>
                <w:szCs w:val="20"/>
                <w:highlight w:val="none"/>
                <w:u w:val="none"/>
                <w:lang w:val="en-US" w:eastAsia="zh-CN" w:bidi="ar"/>
              </w:rPr>
              <w:t xml:space="preserve">HJ 2573-2016</w:t>
            </w:r>
            <w:r>
              <w:rPr>
                <w:rFonts w:hint="eastAsia" w:ascii="宋体" w:hAnsi="宋体" w:eastAsia="宋体" w:cs="宋体"/>
                <w:i w:val="0"/>
                <w:iCs w:val="0"/>
                <w:color w:val="auto"/>
                <w:sz w:val="20"/>
                <w:szCs w:val="20"/>
                <w:highlight w:val="none"/>
                <w:u w:val="none"/>
                <w:lang w:val="en-US" w:eastAsia="zh-CN" w:bidi="ar"/>
              </w:rPr>
              <w:t xml:space="preserve">《环境标志产品技术要求 室内装饰装修用溶剂型木器涂料》标准；VOC含量≤5g/L，总铅含量≤2mg/kg，镉含量≤2mg/kg，铬含量≤2mg/kg，汞含量≤2mg/kg，乙二醇醚及醚酯总和含量（限乙二醇甲醚、乙二醇甲醚醋酸酯、乙二醇乙醚、乙二醇乙醚醋酸酯、乙二醇二甲醚、乙二醇二乙醚、二乙二醇二甲醚、三乙二醇二甲醚)≤20mg/kg，苯含量≤0.1%，甲醛含量≤10mg/kg，甲苯与二甲苯（含乙苯）总和含量≤5%，多环芳烃总和含量≤1mg/kg，抗菌性能（抗细菌率）≥99.5%，附着力1级。</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5、水性胶粘剂：选用环保胶，依据GB 18583-2008《室内装饰装修材料胶粘剂中有害物质限量》；HJ 2541-2016《环境标志产品技术要求胶粘剂》标准；游离甲醛≤0.5g/kg，总挥发性有机物≤5g/L，卤代烃≤0.1g/kg。</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6、五金配件：采用品牌五金配件，导轨依据GB/T 10125-2021《人造气氛腐蚀试验盐雾试验》；QB/T 3832- 1999《轻工产品金属镀层腐蚀试验结果的评价》； </w:t>
            </w:r>
            <w:r>
              <w:rPr>
                <w:rFonts w:hint="eastAsia" w:ascii="宋体" w:hAnsi="宋体" w:cs="宋体"/>
                <w:i w:val="0"/>
                <w:iCs w:val="0"/>
                <w:color w:val="auto"/>
                <w:sz w:val="20"/>
                <w:szCs w:val="20"/>
                <w:highlight w:val="none"/>
                <w:u w:val="none"/>
                <w:lang w:val="en-US" w:eastAsia="zh-CN" w:bidi="ar"/>
              </w:rPr>
              <w:t xml:space="preserve">GB/T 24170.1-2023</w:t>
            </w:r>
            <w:r>
              <w:rPr>
                <w:rFonts w:hint="eastAsia" w:ascii="宋体" w:hAnsi="宋体" w:eastAsia="宋体" w:cs="宋体"/>
                <w:i w:val="0"/>
                <w:iCs w:val="0"/>
                <w:color w:val="auto"/>
                <w:sz w:val="20"/>
                <w:szCs w:val="20"/>
                <w:highlight w:val="none"/>
                <w:u w:val="none"/>
                <w:lang w:val="en-US" w:eastAsia="zh-CN" w:bidi="ar"/>
              </w:rPr>
              <w:t xml:space="preserve">《表</w:t>
            </w:r>
            <w:r>
              <w:rPr>
                <w:rFonts w:hint="eastAsia" w:ascii="宋体" w:hAnsi="宋体" w:eastAsia="宋体" w:cs="宋体"/>
                <w:i w:val="0"/>
                <w:iCs w:val="0"/>
                <w:color w:val="auto"/>
                <w:sz w:val="20"/>
                <w:szCs w:val="20"/>
                <w:highlight w:val="none"/>
                <w:u w:val="none"/>
                <w:lang w:val="en-US" w:eastAsia="zh-CN" w:bidi="ar"/>
              </w:rPr>
              <w:t xml:space="preserve">面抗菌不锈钢第1部分:电化学法》； QB/T 2454-2013《家具五金抽屉导轨》检测标准；中性盐雾试验≥500h，镀层本身的耐腐蚀等级≥10级，镀层对基体的保护等级≥10级；乙酸盐雾试验≥250h，镀层本身的耐腐蚀等级≥10级，镀层对基体的保护等级≥10级；耐久性≥12万次检测合格，抗菌性能（抗菌率）≥99%。铰链依据QB/T 2189-2013《家具五金杯状暗铰链》；GB/T 10125 -2021《人造气氛腐蚀试验盐雾 试验》； QB/T 3832-1999 《轻工产品金属镀层腐蚀试验结果的评价》；</w:t>
            </w:r>
            <w:r>
              <w:rPr>
                <w:rFonts w:hint="eastAsia" w:ascii="宋体" w:hAnsi="宋体" w:cs="宋体"/>
                <w:i w:val="0"/>
                <w:iCs w:val="0"/>
                <w:color w:val="auto"/>
                <w:sz w:val="20"/>
                <w:szCs w:val="20"/>
                <w:highlight w:val="none"/>
                <w:u w:val="none"/>
                <w:lang w:val="en-US" w:eastAsia="zh-CN" w:bidi="ar"/>
              </w:rPr>
              <w:t xml:space="preserve">GB/T 24170.1-2023</w:t>
            </w:r>
            <w:r>
              <w:rPr>
                <w:rFonts w:hint="eastAsia" w:ascii="宋体" w:hAnsi="宋体" w:eastAsia="宋体" w:cs="宋体"/>
                <w:i w:val="0"/>
                <w:iCs w:val="0"/>
                <w:color w:val="auto"/>
                <w:sz w:val="20"/>
                <w:szCs w:val="20"/>
                <w:highlight w:val="none"/>
                <w:u w:val="none"/>
                <w:lang w:val="en-US" w:eastAsia="zh-CN" w:bidi="ar"/>
              </w:rPr>
              <w:t xml:space="preserve">《表面抗菌不锈钢第1部分:电化学法》检测标准；中性盐雾试验≥500h，镀层本身的耐腐蚀等级≥10级，镀层对基体的保护等级≥10级；乙酸盐雾试验≥250h，镀层本身的耐腐蚀等级≥10级，镀层对基体的保护等级≥10级；耐久性≥12万次检测合格，安装B型试验门时，下沉量不大于1.5mm，抗菌性能（抗菌率）≥99%。</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茶水柜：1、饰面：采用木皮，依据</w:t>
            </w:r>
            <w:r>
              <w:rPr>
                <w:rFonts w:hint="eastAsia" w:ascii="宋体" w:hAnsi="宋体" w:cs="宋体"/>
                <w:i w:val="0"/>
                <w:iCs w:val="0"/>
                <w:color w:val="auto"/>
                <w:sz w:val="20"/>
                <w:szCs w:val="20"/>
                <w:highlight w:val="none"/>
                <w:u w:val="none"/>
                <w:lang w:val="en-US" w:eastAsia="zh-CN" w:bidi="ar"/>
              </w:rPr>
              <w:t xml:space="preserve">GB/T 35601-2024</w:t>
            </w:r>
            <w:r>
              <w:rPr>
                <w:rFonts w:hint="eastAsia" w:ascii="宋体" w:hAnsi="宋体" w:eastAsia="宋体" w:cs="宋体"/>
                <w:i w:val="0"/>
                <w:iCs w:val="0"/>
                <w:color w:val="auto"/>
                <w:sz w:val="20"/>
                <w:szCs w:val="20"/>
                <w:highlight w:val="none"/>
                <w:u w:val="none"/>
                <w:lang w:val="en-US" w:eastAsia="zh-CN" w:bidi="ar"/>
              </w:rPr>
              <w:t xml:space="preserve">《绿色产品评价人造板和木质地板》；</w:t>
            </w:r>
            <w:r>
              <w:rPr>
                <w:rFonts w:hint="eastAsia" w:ascii="宋体" w:hAnsi="宋体" w:cs="宋体"/>
                <w:i w:val="0"/>
                <w:iCs w:val="0"/>
                <w:color w:val="auto"/>
                <w:sz w:val="20"/>
                <w:szCs w:val="20"/>
                <w:highlight w:val="none"/>
                <w:u w:val="none"/>
                <w:lang w:val="en-US" w:eastAsia="zh-CN" w:bidi="ar"/>
              </w:rPr>
              <w:t xml:space="preserve"> GB 18584-2024</w:t>
            </w:r>
            <w:r>
              <w:rPr>
                <w:rFonts w:hint="eastAsia" w:ascii="宋体" w:hAnsi="宋体" w:eastAsia="宋体" w:cs="宋体"/>
                <w:i w:val="0"/>
                <w:iCs w:val="0"/>
                <w:color w:val="auto"/>
                <w:sz w:val="20"/>
                <w:szCs w:val="20"/>
                <w:highlight w:val="none"/>
                <w:u w:val="none"/>
                <w:lang w:val="en-US" w:eastAsia="zh-CN" w:bidi="ar"/>
              </w:rPr>
              <w:t xml:space="preserve">《室内装饰装修材料木家具中有害物质限量》；GB/T 13010-2020《木材工业用单板》；</w:t>
            </w:r>
            <w:r>
              <w:rPr>
                <w:rFonts w:hint="eastAsia" w:ascii="宋体" w:hAnsi="宋体" w:cs="宋体"/>
                <w:i w:val="0"/>
                <w:iCs w:val="0"/>
                <w:color w:val="auto"/>
                <w:sz w:val="20"/>
                <w:szCs w:val="20"/>
                <w:highlight w:val="none"/>
                <w:u w:val="none"/>
                <w:lang w:val="en-US" w:eastAsia="zh-CN" w:bidi="ar"/>
              </w:rPr>
              <w:t xml:space="preserve">GB/T 3324-2024</w:t>
            </w:r>
            <w:r>
              <w:rPr>
                <w:rFonts w:hint="eastAsia" w:ascii="宋体" w:hAnsi="宋体" w:eastAsia="宋体" w:cs="宋体"/>
                <w:i w:val="0"/>
                <w:iCs w:val="0"/>
                <w:color w:val="auto"/>
                <w:sz w:val="20"/>
                <w:szCs w:val="20"/>
                <w:highlight w:val="none"/>
                <w:u w:val="none"/>
                <w:lang w:val="en-US" w:eastAsia="zh-CN" w:bidi="ar"/>
              </w:rPr>
              <w:t xml:space="preserve">《木家具通用技术条件》标准；厚度≥0.6mm，总挥发性有机化合物≤20㎍/m³，甲醛释放量≤0.5mg/L，单板含水率3%～8%，无贯通裂缝、无虫蛀现象，无腐朽材。</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2、基材：采用不低于E0级高密度纤维板，依据GB/T 31765-2015《高密度纤维板》；GB/T 17657-2022《人造板及饰面人造板理化性能试验方法》；GB/T 39600-2021《人造板及其制品甲醛释放量分级》；GB 18580-2017《室内装饰装修材料人造板及其制品中甲醛释放限量》；</w:t>
            </w:r>
            <w:r>
              <w:rPr>
                <w:rFonts w:hint="eastAsia" w:ascii="宋体" w:hAnsi="宋体" w:cs="宋体"/>
                <w:i w:val="0"/>
                <w:iCs w:val="0"/>
                <w:color w:val="auto"/>
                <w:sz w:val="20"/>
                <w:szCs w:val="20"/>
                <w:highlight w:val="none"/>
                <w:u w:val="none"/>
                <w:lang w:val="en-US" w:eastAsia="zh-CN" w:bidi="ar"/>
              </w:rPr>
              <w:t xml:space="preserve">GB/T 35601-2024</w:t>
            </w:r>
            <w:r>
              <w:rPr>
                <w:rFonts w:hint="eastAsia" w:ascii="宋体" w:hAnsi="宋体" w:eastAsia="宋体" w:cs="宋体"/>
                <w:i w:val="0"/>
                <w:iCs w:val="0"/>
                <w:color w:val="auto"/>
                <w:sz w:val="20"/>
                <w:szCs w:val="20"/>
                <w:highlight w:val="none"/>
                <w:u w:val="none"/>
                <w:lang w:val="en-US" w:eastAsia="zh-CN" w:bidi="ar"/>
              </w:rPr>
              <w:t xml:space="preserve">《绿色产品评价人造板和木质地板》；JC/T 2039-2010《抗菌防霉木质装饰板》标准；无油污、斑点或异物，无边角缺损，内结合强度，表面结合强度均符合要求，密度≥0.85g/cm³，含水率3%～8%，弹性模量≥4000MPa，吸水厚度膨胀率≤3%，垂直板面握螺钉力板边≥1300N，垂直板面握螺钉力板面≥1500N，甲醛释放量≤0.03mg/m³，总挥发性有机化合物≤20㎍/m³，防霉菌等级0级或1级。</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3、封边：采用实木封边条，依据</w:t>
            </w:r>
            <w:r>
              <w:rPr>
                <w:rFonts w:hint="eastAsia" w:ascii="宋体" w:hAnsi="宋体" w:cs="宋体"/>
                <w:i w:val="0"/>
                <w:iCs w:val="0"/>
                <w:color w:val="auto"/>
                <w:sz w:val="20"/>
                <w:szCs w:val="20"/>
                <w:highlight w:val="none"/>
                <w:u w:val="none"/>
                <w:lang w:val="en-US" w:eastAsia="zh-CN" w:bidi="ar"/>
              </w:rPr>
              <w:t xml:space="preserve">QB/T 4463-2025</w:t>
            </w:r>
            <w:r>
              <w:rPr>
                <w:rFonts w:hint="eastAsia" w:ascii="宋体" w:hAnsi="宋体" w:eastAsia="宋体" w:cs="宋体"/>
                <w:i w:val="0"/>
                <w:iCs w:val="0"/>
                <w:color w:val="auto"/>
                <w:sz w:val="20"/>
                <w:szCs w:val="20"/>
                <w:highlight w:val="none"/>
                <w:u w:val="none"/>
                <w:lang w:val="en-US" w:eastAsia="zh-CN" w:bidi="ar"/>
              </w:rPr>
              <w:t xml:space="preserve">《家具用封边条技术要求》、QB/T 4371-2012《家具抗菌性能的评价》检测标准；厚度≥3mm，含水率8%～11%，甲醛释放量≤0.5mg/L，抗菌性能（抗细菌率）≥99.5%。</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4、油漆：采用环保油漆，依据GB 18581-2020《木器涂料中有害物质限量》；</w:t>
            </w:r>
            <w:r>
              <w:rPr>
                <w:rFonts w:hint="eastAsia" w:ascii="宋体" w:hAnsi="宋体" w:cs="宋体"/>
                <w:i w:val="0"/>
                <w:iCs w:val="0"/>
                <w:color w:val="auto"/>
                <w:sz w:val="20"/>
                <w:szCs w:val="20"/>
                <w:highlight w:val="none"/>
                <w:u w:val="none"/>
                <w:lang w:val="en-US" w:eastAsia="zh-CN" w:bidi="ar"/>
              </w:rPr>
              <w:t xml:space="preserve">GB/T 21866-2025</w:t>
            </w:r>
            <w:r>
              <w:rPr>
                <w:rFonts w:hint="eastAsia" w:ascii="宋体" w:hAnsi="宋体" w:eastAsia="宋体" w:cs="宋体"/>
                <w:i w:val="0"/>
                <w:iCs w:val="0"/>
                <w:color w:val="auto"/>
                <w:sz w:val="20"/>
                <w:szCs w:val="20"/>
                <w:highlight w:val="none"/>
                <w:u w:val="none"/>
                <w:lang w:val="en-US" w:eastAsia="zh-CN" w:bidi="ar"/>
              </w:rPr>
              <w:t xml:space="preserve">《抗菌涂料（漆膜）抗菌性测定法和抗菌效果》；</w:t>
            </w:r>
            <w:r>
              <w:rPr>
                <w:rFonts w:hint="eastAsia" w:ascii="宋体" w:hAnsi="宋体" w:cs="宋体"/>
                <w:i w:val="0"/>
                <w:iCs w:val="0"/>
                <w:color w:val="auto"/>
                <w:sz w:val="20"/>
                <w:szCs w:val="20"/>
                <w:highlight w:val="none"/>
                <w:u w:val="none"/>
                <w:lang w:val="en-US" w:eastAsia="zh-CN" w:bidi="ar"/>
              </w:rPr>
              <w:t xml:space="preserve">GB/T 6739-2020</w:t>
            </w:r>
            <w:r>
              <w:rPr>
                <w:rFonts w:hint="eastAsia" w:ascii="宋体" w:hAnsi="宋体" w:eastAsia="宋体" w:cs="宋体"/>
                <w:i w:val="0"/>
                <w:iCs w:val="0"/>
                <w:color w:val="auto"/>
                <w:sz w:val="20"/>
                <w:szCs w:val="20"/>
                <w:highlight w:val="none"/>
                <w:u w:val="none"/>
                <w:lang w:val="en-US" w:eastAsia="zh-CN" w:bidi="ar"/>
              </w:rPr>
              <w:t xml:space="preserve">《色漆和清漆铅笔法测定漆膜硬度》﹔GB/T 23997-2009《室内装饰装修用溶剂型聚氨酯木器涂料》；</w:t>
            </w:r>
            <w:r>
              <w:rPr>
                <w:rFonts w:hint="eastAsia" w:ascii="宋体" w:hAnsi="宋体" w:cs="宋体"/>
                <w:i w:val="0"/>
                <w:iCs w:val="0"/>
                <w:color w:val="auto"/>
                <w:sz w:val="20"/>
                <w:szCs w:val="20"/>
                <w:highlight w:val="none"/>
                <w:u w:val="none"/>
                <w:lang w:val="en-US" w:eastAsia="zh-CN" w:bidi="ar"/>
              </w:rPr>
              <w:t xml:space="preserve">HJ 2573-2016</w:t>
            </w:r>
            <w:r>
              <w:rPr>
                <w:rFonts w:hint="eastAsia" w:ascii="宋体" w:hAnsi="宋体" w:eastAsia="宋体" w:cs="宋体"/>
                <w:i w:val="0"/>
                <w:iCs w:val="0"/>
                <w:color w:val="auto"/>
                <w:sz w:val="20"/>
                <w:szCs w:val="20"/>
                <w:highlight w:val="none"/>
                <w:u w:val="none"/>
                <w:lang w:val="en-US" w:eastAsia="zh-CN" w:bidi="ar"/>
              </w:rPr>
              <w:t xml:space="preserve">《环境标志产品技术要求 室内装饰装修用溶剂型木器涂料》标准；VOC含量≤5g/L，总铅含量≤2mg/kg，镉含量≤2mg/kg，铬含量≤2mg/kg，汞含量≤2mg/kg，乙二醇醚及醚酯总和含量（限乙二醇甲醚、乙二醇甲醚醋酸酯、乙二醇乙醚、乙二醇乙醚醋酸酯、乙二醇二甲醚、乙二醇二乙醚、二乙二醇二甲醚、三乙二醇二甲醚)≤20mg/kg，苯含量≤0.1%，甲醛含量≤10mg/kg，甲苯与二甲苯（含乙苯）总和含量≤5%，多环芳烃总和含量≤1mg/kg，抗菌性能（抗细菌率）≥99.5%，附着力1级。</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5、水性胶粘剂：选用环保胶，依据GB 18583-2008《室内装饰装修材料胶粘剂中有害物质限量》；HJ 2541-2016《环境标志产品技术要求胶粘剂》标准；游离甲醛≤0.5g/kg，总挥发性有机物≤5g/L，卤代烃≤0.1g/kg。</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6、五金配件：采用品牌五金配件，导轨依据GB/T 10125-2021《人造气氛腐蚀试验盐雾试验》；QB/T 3832- 1999《轻工产品金属镀层腐蚀试验结果的评价》； </w:t>
            </w:r>
            <w:r>
              <w:rPr>
                <w:rFonts w:hint="eastAsia" w:ascii="宋体" w:hAnsi="宋体" w:cs="宋体"/>
                <w:i w:val="0"/>
                <w:iCs w:val="0"/>
                <w:color w:val="auto"/>
                <w:sz w:val="20"/>
                <w:szCs w:val="20"/>
                <w:highlight w:val="none"/>
                <w:u w:val="none"/>
                <w:lang w:val="en-US" w:eastAsia="zh-CN" w:bidi="ar"/>
              </w:rPr>
              <w:t xml:space="preserve">GB/T 24170.1-2023</w:t>
            </w:r>
            <w:r>
              <w:rPr>
                <w:rFonts w:hint="eastAsia" w:ascii="宋体" w:hAnsi="宋体" w:eastAsia="宋体" w:cs="宋体"/>
                <w:i w:val="0"/>
                <w:iCs w:val="0"/>
                <w:color w:val="auto"/>
                <w:sz w:val="20"/>
                <w:szCs w:val="20"/>
                <w:highlight w:val="none"/>
                <w:u w:val="none"/>
                <w:lang w:val="en-US" w:eastAsia="zh-CN" w:bidi="ar"/>
              </w:rPr>
              <w:t xml:space="preserve">《表</w:t>
            </w:r>
            <w:r>
              <w:rPr>
                <w:rFonts w:hint="eastAsia" w:ascii="宋体" w:hAnsi="宋体" w:eastAsia="宋体" w:cs="宋体"/>
                <w:i w:val="0"/>
                <w:iCs w:val="0"/>
                <w:color w:val="auto"/>
                <w:sz w:val="20"/>
                <w:szCs w:val="20"/>
                <w:highlight w:val="none"/>
                <w:u w:val="none"/>
                <w:lang w:val="en-US" w:eastAsia="zh-CN" w:bidi="ar"/>
              </w:rPr>
              <w:t xml:space="preserve">面抗菌不锈钢第1部分:电化学法》； QB/T 2454-2013《家具五金抽屉导轨》检测标准；中性盐雾试验≥500h，镀层本身的耐腐蚀等级≥10级，镀层对基体的保护等级≥10级；乙酸盐雾试验≥250h，镀层本身的耐腐蚀等级≥10级，镀层对基体的保护等级≥10级；耐久性≥12万次检测合格，抗菌性能（抗菌率）≥99%。铰链依据QB/T 2189-2013《家具五金杯状暗铰链》；GB/T 10125 -2021《人造气氛腐蚀试验盐雾 试验》； QB/T 3832-1999 《轻工产品金属镀层腐蚀试验结果的评价》；</w:t>
            </w:r>
            <w:r>
              <w:rPr>
                <w:rFonts w:hint="eastAsia" w:ascii="宋体" w:hAnsi="宋体" w:cs="宋体"/>
                <w:i w:val="0"/>
                <w:iCs w:val="0"/>
                <w:color w:val="auto"/>
                <w:sz w:val="20"/>
                <w:szCs w:val="20"/>
                <w:highlight w:val="none"/>
                <w:u w:val="none"/>
                <w:lang w:val="en-US" w:eastAsia="zh-CN" w:bidi="ar"/>
              </w:rPr>
              <w:t xml:space="preserve">GB/T 24170.1-2023</w:t>
            </w:r>
            <w:r>
              <w:rPr>
                <w:rFonts w:hint="eastAsia" w:ascii="宋体" w:hAnsi="宋体" w:eastAsia="宋体" w:cs="宋体"/>
                <w:i w:val="0"/>
                <w:iCs w:val="0"/>
                <w:color w:val="auto"/>
                <w:sz w:val="20"/>
                <w:szCs w:val="20"/>
                <w:highlight w:val="none"/>
                <w:u w:val="none"/>
                <w:lang w:val="en-US" w:eastAsia="zh-CN" w:bidi="ar"/>
              </w:rPr>
              <w:t xml:space="preserve">《表面抗菌不锈钢第1部分:电化学法》检测标准；中性盐雾试验≥500h，镀层本身的耐腐蚀等级≥10级，镀层对基体的保护等级≥10级；乙酸盐雾试验≥250h，镀层本身的耐腐蚀等级≥10级，镀层对基体的保护等级≥10级；耐久性≥12万次检测合格，安装B型试验门时，下沉量不大于1.5mm，抗菌性能（抗菌率）≥99%。</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更衣间柜子：W800×D400×H2000mm，饰面：采用三聚氰胺浸渍胶膜纸，依据</w:t>
            </w:r>
            <w:r>
              <w:rPr>
                <w:rFonts w:hint="eastAsia" w:ascii="宋体" w:hAnsi="宋体" w:cs="宋体"/>
                <w:i w:val="0"/>
                <w:iCs w:val="0"/>
                <w:color w:val="auto"/>
                <w:sz w:val="20"/>
                <w:szCs w:val="20"/>
                <w:highlight w:val="none"/>
                <w:u w:val="none"/>
                <w:lang w:val="en-US" w:eastAsia="zh-CN" w:bidi="ar"/>
              </w:rPr>
              <w:t xml:space="preserve"> GB 18584-2024</w:t>
            </w:r>
            <w:r>
              <w:rPr>
                <w:rFonts w:hint="eastAsia" w:ascii="宋体" w:hAnsi="宋体" w:eastAsia="宋体" w:cs="宋体"/>
                <w:i w:val="0"/>
                <w:iCs w:val="0"/>
                <w:color w:val="auto"/>
                <w:sz w:val="20"/>
                <w:szCs w:val="20"/>
                <w:highlight w:val="none"/>
                <w:u w:val="none"/>
                <w:lang w:val="en-US" w:eastAsia="zh-CN" w:bidi="ar"/>
              </w:rPr>
              <w:t xml:space="preserve">《室内装饰装修材料木家具中有害物质限量》；LY/T 1831-2009《人造板饰面专用装饰纸》；</w:t>
            </w:r>
            <w:r>
              <w:rPr>
                <w:rFonts w:hint="eastAsia" w:ascii="宋体" w:hAnsi="宋体" w:cs="宋体"/>
                <w:i w:val="0"/>
                <w:iCs w:val="0"/>
                <w:color w:val="auto"/>
                <w:sz w:val="20"/>
                <w:szCs w:val="20"/>
                <w:highlight w:val="none"/>
                <w:u w:val="none"/>
                <w:lang w:val="en-US" w:eastAsia="zh-CN" w:bidi="ar"/>
              </w:rPr>
              <w:t xml:space="preserve">GB/T 35601-2024</w:t>
            </w:r>
            <w:r>
              <w:rPr>
                <w:rFonts w:hint="eastAsia" w:ascii="宋体" w:hAnsi="宋体" w:eastAsia="宋体" w:cs="宋体"/>
                <w:i w:val="0"/>
                <w:iCs w:val="0"/>
                <w:color w:val="auto"/>
                <w:sz w:val="20"/>
                <w:szCs w:val="20"/>
                <w:highlight w:val="none"/>
                <w:u w:val="none"/>
                <w:lang w:val="en-US" w:eastAsia="zh-CN" w:bidi="ar"/>
              </w:rPr>
              <w:t xml:space="preserve">《绿色产品评价 人造板和木质地板》标准；耐热性1级，苯≤5㎍/m³，挥发物含量5%-9%，甲醛释放量≤0.5mg/L。 </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基材：采用不低于E1级刨花板，依据GB/T 17657-2022《人造板及饰面人造板理化性能试验方法》；GB/T 39600-2021《人造板及其制品甲醛释放量分级》；GB 18580-2017《室内装饰装修材料人造板及其制品中甲醛释放限量》；</w:t>
            </w:r>
            <w:r>
              <w:rPr>
                <w:rFonts w:hint="eastAsia" w:ascii="宋体" w:hAnsi="宋体" w:cs="宋体"/>
                <w:i w:val="0"/>
                <w:iCs w:val="0"/>
                <w:color w:val="auto"/>
                <w:sz w:val="20"/>
                <w:szCs w:val="20"/>
                <w:highlight w:val="none"/>
                <w:u w:val="none"/>
                <w:lang w:val="en-US" w:eastAsia="zh-CN" w:bidi="ar"/>
              </w:rPr>
              <w:t xml:space="preserve">GB/T 35601-2024</w:t>
            </w:r>
            <w:r>
              <w:rPr>
                <w:rFonts w:hint="eastAsia" w:ascii="宋体" w:hAnsi="宋体" w:eastAsia="宋体" w:cs="宋体"/>
                <w:i w:val="0"/>
                <w:iCs w:val="0"/>
                <w:color w:val="auto"/>
                <w:sz w:val="20"/>
                <w:szCs w:val="20"/>
                <w:highlight w:val="none"/>
                <w:u w:val="none"/>
                <w:lang w:val="en-US" w:eastAsia="zh-CN" w:bidi="ar"/>
              </w:rPr>
              <w:t xml:space="preserve">《绿色产品评价人造板和木质地板》；QB/T 4371-2012《家具抗菌性能的评价》；GB 8624-2012《建筑材料及制品燃烧性能分级》；</w:t>
            </w:r>
            <w:r>
              <w:rPr>
                <w:rFonts w:hint="eastAsia" w:ascii="宋体" w:hAnsi="宋体" w:cs="宋体"/>
                <w:i w:val="0"/>
                <w:iCs w:val="0"/>
                <w:color w:val="auto"/>
                <w:sz w:val="20"/>
                <w:szCs w:val="20"/>
                <w:highlight w:val="none"/>
                <w:u w:val="none"/>
                <w:lang w:val="en-US" w:eastAsia="zh-CN" w:bidi="ar"/>
              </w:rPr>
              <w:t xml:space="preserve"> GB 18584-2024</w:t>
            </w:r>
            <w:r>
              <w:rPr>
                <w:rFonts w:hint="eastAsia" w:ascii="宋体" w:hAnsi="宋体" w:eastAsia="宋体" w:cs="宋体"/>
                <w:i w:val="0"/>
                <w:iCs w:val="0"/>
                <w:color w:val="auto"/>
                <w:sz w:val="20"/>
                <w:szCs w:val="20"/>
                <w:highlight w:val="none"/>
                <w:u w:val="none"/>
                <w:lang w:val="en-US" w:eastAsia="zh-CN" w:bidi="ar"/>
              </w:rPr>
              <w:t xml:space="preserve">《室内装饰装修材料木家具中有害物质限量》；GB/T 4897-2015《刨花板》；外观质量至少4项检测，含水率3%～8%，静曲强度≥15MPa，弹性模量≥2000MPa，内胶合强度≥0.55MPa，表面胶合强度≥1.5MPa，2h吸水厚度膨胀率≤3%，板边握螺钉力≥1400N，板面握螺钉力≥1600N，密度≥0.75g/cm³，甲醛释放量≤0.05mg/m³，总挥发性有机化合物≤20㎍/m³，防霉菌等级0级或1级，60s内无燃烧滴落物引燃滤纸现象。</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封边：采用</w:t>
            </w:r>
            <w:r>
              <w:rPr>
                <w:rFonts w:hint="eastAsia" w:ascii="宋体" w:hAnsi="宋体" w:cs="宋体"/>
                <w:i w:val="0"/>
                <w:iCs w:val="0"/>
                <w:color w:val="auto"/>
                <w:sz w:val="20"/>
                <w:szCs w:val="20"/>
                <w:highlight w:val="none"/>
                <w:u w:val="none"/>
                <w:lang w:val="en-US" w:eastAsia="zh-CN" w:bidi="ar"/>
              </w:rPr>
              <w:t xml:space="preserve">ABS</w:t>
            </w:r>
            <w:r>
              <w:rPr>
                <w:rFonts w:hint="eastAsia" w:ascii="宋体" w:hAnsi="宋体" w:eastAsia="宋体" w:cs="宋体"/>
                <w:i w:val="0"/>
                <w:iCs w:val="0"/>
                <w:color w:val="auto"/>
                <w:sz w:val="20"/>
                <w:szCs w:val="20"/>
                <w:highlight w:val="none"/>
                <w:u w:val="none"/>
                <w:lang w:val="en-US" w:eastAsia="zh-CN" w:bidi="ar"/>
              </w:rPr>
              <w:t xml:space="preserve">激光封边条，依据</w:t>
            </w:r>
            <w:r>
              <w:rPr>
                <w:rFonts w:hint="eastAsia" w:ascii="宋体" w:hAnsi="宋体" w:cs="宋体"/>
                <w:i w:val="0"/>
                <w:iCs w:val="0"/>
                <w:color w:val="auto"/>
                <w:sz w:val="20"/>
                <w:szCs w:val="20"/>
                <w:highlight w:val="none"/>
                <w:u w:val="none"/>
                <w:lang w:val="en-US" w:eastAsia="zh-CN" w:bidi="ar"/>
              </w:rPr>
              <w:t xml:space="preserve">QB/T 4463-2025</w:t>
            </w:r>
            <w:r>
              <w:rPr>
                <w:rFonts w:hint="eastAsia" w:ascii="宋体" w:hAnsi="宋体" w:eastAsia="宋体" w:cs="宋体"/>
                <w:i w:val="0"/>
                <w:iCs w:val="0"/>
                <w:color w:val="auto"/>
                <w:sz w:val="20"/>
                <w:szCs w:val="20"/>
                <w:highlight w:val="none"/>
                <w:u w:val="none"/>
                <w:lang w:val="en-US" w:eastAsia="zh-CN" w:bidi="ar"/>
              </w:rPr>
              <w:t xml:space="preserve">《家具用封边条技术要求》；GB/T 24128-2018《塑料 塑料防霉剂的防霉效果评估》</w:t>
            </w:r>
            <w:r>
              <w:rPr>
                <w:rFonts w:hint="eastAsia" w:ascii="宋体" w:hAnsi="宋体" w:cs="宋体"/>
                <w:i w:val="0"/>
                <w:iCs w:val="0"/>
                <w:color w:val="auto"/>
                <w:sz w:val="20"/>
                <w:szCs w:val="20"/>
                <w:highlight w:val="none"/>
                <w:u w:val="none"/>
                <w:lang w:val="en-US" w:eastAsia="zh-CN" w:bidi="ar"/>
              </w:rPr>
              <w:t xml:space="preserve">；GB 18584-2024</w:t>
            </w:r>
            <w:r>
              <w:rPr>
                <w:rFonts w:hint="eastAsia" w:ascii="宋体" w:hAnsi="宋体" w:eastAsia="宋体" w:cs="宋体"/>
                <w:i w:val="0"/>
                <w:iCs w:val="0"/>
                <w:color w:val="auto"/>
                <w:sz w:val="20"/>
                <w:szCs w:val="20"/>
                <w:highlight w:val="none"/>
                <w:u w:val="none"/>
                <w:lang w:val="en-US" w:eastAsia="zh-CN" w:bidi="ar"/>
              </w:rPr>
              <w:t xml:space="preserve">《塑料家具中有害物质限量》标准；厚度≥1.8mm。压纹（压花）表面有统一的花式。耐开裂性1级，耐老化性无开裂，甲醛释放量≤0.5mg/L，防霉等级0级或1级，16种多环芳烃（PAH）总量≤5mg/kg。 </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热熔胶：选用</w:t>
            </w:r>
            <w:r>
              <w:rPr>
                <w:rFonts w:hint="eastAsia" w:ascii="宋体" w:hAnsi="宋体" w:cs="宋体"/>
                <w:i w:val="0"/>
                <w:iCs w:val="0"/>
                <w:color w:val="auto"/>
                <w:sz w:val="20"/>
                <w:szCs w:val="20"/>
                <w:highlight w:val="none"/>
                <w:u w:val="none"/>
                <w:lang w:val="en-US" w:eastAsia="zh-CN" w:bidi="ar"/>
              </w:rPr>
              <w:t xml:space="preserve">环保</w:t>
            </w:r>
            <w:r>
              <w:rPr>
                <w:rFonts w:hint="eastAsia" w:ascii="宋体" w:hAnsi="宋体" w:eastAsia="宋体" w:cs="宋体"/>
                <w:i w:val="0"/>
                <w:iCs w:val="0"/>
                <w:color w:val="auto"/>
                <w:sz w:val="20"/>
                <w:szCs w:val="20"/>
                <w:highlight w:val="none"/>
                <w:u w:val="none"/>
                <w:lang w:val="en-US" w:eastAsia="zh-CN" w:bidi="ar"/>
              </w:rPr>
              <w:t xml:space="preserve">热熔胶，依据GB18583-2008《室内装饰装修材料胶粘剂中有害物质限量》﹔HJ2541-2016《环境标志产品技术要求胶粘剂》标准；游离甲醛≤0.1g/kg，苯≤0.02g/kg，甲苯≤0.02g/kg，二甲苯≤0.02g/kg，总挥发性有机物≤5g/L，游离甲苯二异氰酸酯≤1g/kg。 </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五金配件：采用品牌五金配件，导轨依据GB/T 10125-2021《人造气氛腐蚀试验盐雾试验》；QB/T 3832- 1999《轻工产品金属镀层腐蚀试验结果的评价》； </w:t>
            </w:r>
            <w:r>
              <w:rPr>
                <w:rFonts w:hint="eastAsia" w:ascii="宋体" w:hAnsi="宋体" w:cs="宋体"/>
                <w:i w:val="0"/>
                <w:iCs w:val="0"/>
                <w:color w:val="auto"/>
                <w:sz w:val="20"/>
                <w:szCs w:val="20"/>
                <w:highlight w:val="none"/>
                <w:u w:val="none"/>
                <w:lang w:val="en-US" w:eastAsia="zh-CN" w:bidi="ar"/>
              </w:rPr>
              <w:t xml:space="preserve">GB/T 24170.1-2023</w:t>
            </w:r>
            <w:r>
              <w:rPr>
                <w:rFonts w:hint="eastAsia" w:ascii="宋体" w:hAnsi="宋体" w:eastAsia="宋体" w:cs="宋体"/>
                <w:i w:val="0"/>
                <w:iCs w:val="0"/>
                <w:color w:val="auto"/>
                <w:sz w:val="20"/>
                <w:szCs w:val="20"/>
                <w:highlight w:val="none"/>
                <w:u w:val="none"/>
                <w:lang w:val="en-US" w:eastAsia="zh-CN" w:bidi="ar"/>
              </w:rPr>
              <w:t xml:space="preserve">《表</w:t>
            </w:r>
            <w:r>
              <w:rPr>
                <w:rFonts w:hint="eastAsia" w:ascii="宋体" w:hAnsi="宋体" w:eastAsia="宋体" w:cs="宋体"/>
                <w:i w:val="0"/>
                <w:iCs w:val="0"/>
                <w:color w:val="auto"/>
                <w:sz w:val="20"/>
                <w:szCs w:val="20"/>
                <w:highlight w:val="none"/>
                <w:u w:val="none"/>
                <w:lang w:val="en-US" w:eastAsia="zh-CN" w:bidi="ar"/>
              </w:rPr>
              <w:t xml:space="preserve">面抗菌不锈钢第1部分:电化学法》； QB/T 2454-2013《家具五金抽屉导轨》检测标准；中性盐雾试验≥500h，镀层本身的耐腐蚀等级≥10级，镀层对基体的保护等级≥10级；乙酸盐雾试验≥250h，镀层本身的耐腐蚀等级≥10级，镀层对基体的保护等级≥10级；耐久性≥12万次检测合格，抗菌性能（抗菌率）≥99%。铰链依据QB/T 2189-2013《家具五金杯状暗铰链》；GB/T 10125 -2021《人造气氛腐蚀试验盐雾 试验》； QB/T 3832-1999 《轻工产品金属镀层腐蚀试验结果的评价》；</w:t>
            </w:r>
            <w:r>
              <w:rPr>
                <w:rFonts w:hint="eastAsia" w:ascii="宋体" w:hAnsi="宋体" w:cs="宋体"/>
                <w:i w:val="0"/>
                <w:iCs w:val="0"/>
                <w:color w:val="auto"/>
                <w:sz w:val="20"/>
                <w:szCs w:val="20"/>
                <w:highlight w:val="none"/>
                <w:u w:val="none"/>
                <w:lang w:val="en-US" w:eastAsia="zh-CN" w:bidi="ar"/>
              </w:rPr>
              <w:t xml:space="preserve">GB/T 24170.1-2023</w:t>
            </w:r>
            <w:r>
              <w:rPr>
                <w:rFonts w:hint="eastAsia" w:ascii="宋体" w:hAnsi="宋体" w:eastAsia="宋体" w:cs="宋体"/>
                <w:i w:val="0"/>
                <w:iCs w:val="0"/>
                <w:color w:val="auto"/>
                <w:sz w:val="20"/>
                <w:szCs w:val="20"/>
                <w:highlight w:val="none"/>
                <w:u w:val="none"/>
                <w:lang w:val="en-US" w:eastAsia="zh-CN" w:bidi="ar"/>
              </w:rPr>
              <w:t xml:space="preserve">《表面抗菌不锈钢第1部分:电化学法》检测标准；中性盐雾试验≥500h，镀层本身的耐腐蚀等级≥10级，镀层对基体的保护等级≥10级；乙酸盐雾试验≥250h，镀层本身的耐腐蚀等级≥10级，镀层对基体的保护等级≥10级；耐久性≥12万次检测合格，安装B型试验门时，下沉量不大于1.5mm，抗菌性能（抗菌率）≥99%。</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cs="宋体"/>
                <w:i w:val="0"/>
                <w:iCs w:val="0"/>
                <w:color w:val="auto"/>
                <w:sz w:val="20"/>
                <w:szCs w:val="20"/>
                <w:highlight w:val="none"/>
                <w:u w:val="none"/>
                <w:lang w:val="en-US" w:eastAsia="zh-CN" w:bidi="ar"/>
              </w:rPr>
              <w:t xml:space="preserve">会议投屏系统</w:t>
            </w:r>
            <w:r>
              <w:rPr>
                <w:rFonts w:hint="eastAsia" w:ascii="宋体" w:hAnsi="宋体" w:eastAsia="宋体" w:cs="宋体"/>
                <w:i w:val="0"/>
                <w:iCs w:val="0"/>
                <w:color w:val="auto"/>
                <w:sz w:val="20"/>
                <w:szCs w:val="20"/>
                <w:highlight w:val="none"/>
                <w:u w:val="none"/>
                <w:lang w:val="en-US" w:eastAsia="zh-CN" w:bidi="ar"/>
              </w:rPr>
              <w:t xml:space="preserve">：</w:t>
            </w:r>
            <w:r/>
          </w:p>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1. 传输延迟≤90ms，帧率达到20fps-30fps</w:t>
            </w:r>
            <w:r/>
          </w:p>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2. 可以仅对一个窗口进行无线投屏，其他窗口内容不做展示，保证数据的隐私</w:t>
            </w:r>
            <w:r/>
          </w:p>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cs="宋体"/>
                <w:i w:val="0"/>
                <w:iCs w:val="0"/>
                <w:color w:val="auto"/>
                <w:sz w:val="20"/>
                <w:szCs w:val="20"/>
                <w:highlight w:val="none"/>
                <w:u w:val="none"/>
                <w:lang w:val="en-US" w:eastAsia="zh-CN" w:bidi="ar"/>
              </w:rPr>
              <w:t xml:space="preserve">3</w:t>
            </w:r>
            <w:r>
              <w:rPr>
                <w:rFonts w:hint="eastAsia" w:ascii="宋体" w:hAnsi="宋体" w:eastAsia="宋体" w:cs="宋体"/>
                <w:i w:val="0"/>
                <w:iCs w:val="0"/>
                <w:color w:val="auto"/>
                <w:sz w:val="20"/>
                <w:szCs w:val="20"/>
                <w:highlight w:val="none"/>
                <w:u w:val="none"/>
                <w:lang w:val="en-US" w:eastAsia="zh-CN" w:bidi="ar"/>
              </w:rPr>
              <w:t xml:space="preserve">. 传屏之后，在屏幕上部中间部分显示工具栏，可以进行基本的操作（具体包括触摸回传控制，勿扰模式，暂停投屏等）</w:t>
            </w:r>
            <w:r/>
          </w:p>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cs="宋体"/>
                <w:i w:val="0"/>
                <w:iCs w:val="0"/>
                <w:color w:val="auto"/>
                <w:sz w:val="20"/>
                <w:szCs w:val="20"/>
                <w:highlight w:val="none"/>
                <w:u w:val="none"/>
                <w:lang w:val="en-US" w:eastAsia="zh-CN" w:bidi="ar"/>
              </w:rPr>
              <w:t xml:space="preserve">4</w:t>
            </w:r>
            <w:r>
              <w:rPr>
                <w:rFonts w:hint="eastAsia" w:ascii="宋体" w:hAnsi="宋体" w:eastAsia="宋体" w:cs="宋体"/>
                <w:i w:val="0"/>
                <w:iCs w:val="0"/>
                <w:color w:val="auto"/>
                <w:sz w:val="20"/>
                <w:szCs w:val="20"/>
                <w:highlight w:val="none"/>
                <w:u w:val="none"/>
                <w:lang w:val="en-US" w:eastAsia="zh-CN" w:bidi="ar"/>
              </w:rPr>
              <w:t xml:space="preserve">. 传屏开启勿扰模式之后，不允许其他人在进行传屏，沉浸模式，避免在使用过程中，用户经常被其他人传屏顶替掉，造成使用中断</w:t>
            </w:r>
            <w:r/>
          </w:p>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cs="宋体"/>
                <w:i w:val="0"/>
                <w:iCs w:val="0"/>
                <w:color w:val="auto"/>
                <w:sz w:val="20"/>
                <w:szCs w:val="20"/>
                <w:highlight w:val="none"/>
                <w:u w:val="none"/>
                <w:lang w:val="en-US" w:eastAsia="zh-CN" w:bidi="ar"/>
              </w:rPr>
              <w:t xml:space="preserve">5</w:t>
            </w:r>
            <w:r>
              <w:rPr>
                <w:rFonts w:hint="eastAsia" w:ascii="宋体" w:hAnsi="宋体" w:eastAsia="宋体" w:cs="宋体"/>
                <w:i w:val="0"/>
                <w:iCs w:val="0"/>
                <w:color w:val="auto"/>
                <w:sz w:val="20"/>
                <w:szCs w:val="20"/>
                <w:highlight w:val="none"/>
                <w:u w:val="none"/>
                <w:lang w:val="en-US" w:eastAsia="zh-CN" w:bidi="ar"/>
              </w:rPr>
              <w:t xml:space="preserve">. 可通过传屏工具栏暂停投屏功能进行画面冻结暂停，投屏电脑可自主进行其他操作，不影响整机的冻结画面内容显示</w:t>
            </w:r>
            <w:r/>
          </w:p>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cs="宋体"/>
                <w:i w:val="0"/>
                <w:iCs w:val="0"/>
                <w:color w:val="auto"/>
                <w:sz w:val="20"/>
                <w:szCs w:val="20"/>
                <w:highlight w:val="none"/>
                <w:u w:val="none"/>
                <w:lang w:val="en-US" w:eastAsia="zh-CN" w:bidi="ar"/>
              </w:rPr>
              <w:t xml:space="preserve">6</w:t>
            </w:r>
            <w:r>
              <w:rPr>
                <w:rFonts w:hint="eastAsia" w:ascii="宋体" w:hAnsi="宋体" w:eastAsia="宋体" w:cs="宋体"/>
                <w:i w:val="0"/>
                <w:iCs w:val="0"/>
                <w:color w:val="auto"/>
                <w:sz w:val="20"/>
                <w:szCs w:val="20"/>
                <w:highlight w:val="none"/>
                <w:u w:val="none"/>
                <w:lang w:val="en-US" w:eastAsia="zh-CN" w:bidi="ar"/>
              </w:rPr>
              <w:t xml:space="preserve">. 可通过软件可自动发现近场可投屏的会议设备，选择即可投屏，无需手动配对。</w:t>
            </w:r>
            <w:r/>
          </w:p>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cs="宋体"/>
                <w:i w:val="0"/>
                <w:iCs w:val="0"/>
                <w:color w:val="auto"/>
                <w:sz w:val="20"/>
                <w:szCs w:val="20"/>
                <w:highlight w:val="none"/>
                <w:u w:val="none"/>
                <w:lang w:val="en-US" w:eastAsia="zh-CN" w:bidi="ar"/>
              </w:rPr>
              <w:t xml:space="preserve">7</w:t>
            </w:r>
            <w:r>
              <w:rPr>
                <w:rFonts w:hint="eastAsia" w:ascii="宋体" w:hAnsi="宋体" w:eastAsia="宋体" w:cs="宋体"/>
                <w:i w:val="0"/>
                <w:iCs w:val="0"/>
                <w:color w:val="auto"/>
                <w:sz w:val="20"/>
                <w:szCs w:val="20"/>
                <w:highlight w:val="none"/>
                <w:u w:val="none"/>
                <w:lang w:val="en-US" w:eastAsia="zh-CN" w:bidi="ar"/>
              </w:rPr>
              <w:t xml:space="preserve">.支持投屏记忆功能，单台设备关联代码后，自动发现并关联同网段下其他设备。</w:t>
            </w:r>
            <w:r/>
          </w:p>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cs="宋体"/>
                <w:i w:val="0"/>
                <w:iCs w:val="0"/>
                <w:color w:val="auto"/>
                <w:sz w:val="20"/>
                <w:szCs w:val="20"/>
                <w:highlight w:val="none"/>
                <w:u w:val="none"/>
                <w:lang w:val="en-US" w:eastAsia="zh-CN" w:bidi="ar"/>
              </w:rPr>
              <w:t xml:space="preserve">8</w:t>
            </w:r>
            <w:r>
              <w:rPr>
                <w:rFonts w:hint="eastAsia" w:ascii="宋体" w:hAnsi="宋体" w:eastAsia="宋体" w:cs="宋体"/>
                <w:i w:val="0"/>
                <w:iCs w:val="0"/>
                <w:color w:val="auto"/>
                <w:sz w:val="20"/>
                <w:szCs w:val="20"/>
                <w:highlight w:val="none"/>
                <w:u w:val="none"/>
                <w:lang w:val="en-US" w:eastAsia="zh-CN" w:bidi="ar"/>
              </w:rPr>
              <w:t xml:space="preserve">.支持检测系统盘占用空间较大的文件，并支持将大文件一键迁移到其他盘符，从而释放系统盘空间占用，提升设备运行速度。</w:t>
            </w:r>
            <w:r/>
          </w:p>
          <w:p>
            <w:pPr>
              <w:jc w:val="left"/>
              <w:keepLines w:val="0"/>
              <w:keepNext w:val="0"/>
              <w:widowControl/>
              <w:rPr>
                <w:rFonts w:hint="eastAsia"/>
                <w:highlight w:val="none"/>
              </w:rPr>
              <w:suppressLineNumbers w:val="0"/>
            </w:pPr>
            <w:r>
              <w:rPr>
                <w:rFonts w:hint="eastAsia" w:ascii="宋体" w:hAnsi="宋体" w:cs="宋体"/>
                <w:i w:val="0"/>
                <w:iCs w:val="0"/>
                <w:color w:val="auto"/>
                <w:sz w:val="20"/>
                <w:szCs w:val="20"/>
                <w:highlight w:val="none"/>
                <w:u w:val="none"/>
                <w:lang w:val="en-US" w:eastAsia="zh-CN" w:bidi="ar"/>
              </w:rPr>
              <w:t xml:space="preserve">9</w:t>
            </w:r>
            <w:r>
              <w:rPr>
                <w:rFonts w:hint="eastAsia" w:ascii="宋体" w:hAnsi="宋体" w:eastAsia="宋体" w:cs="宋体"/>
                <w:i w:val="0"/>
                <w:iCs w:val="0"/>
                <w:color w:val="auto"/>
                <w:sz w:val="20"/>
                <w:szCs w:val="20"/>
                <w:highlight w:val="none"/>
                <w:u w:val="none"/>
                <w:lang w:val="en-US" w:eastAsia="zh-CN" w:bidi="ar"/>
              </w:rPr>
              <w:t xml:space="preserve">.支持终端安全检测与响应</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对</w:t>
            </w:r>
            <w:r>
              <w:rPr>
                <w:rFonts w:hint="eastAsia" w:ascii="宋体" w:hAnsi="宋体" w:cs="宋体"/>
                <w:i w:val="0"/>
                <w:iCs w:val="0"/>
                <w:color w:val="auto"/>
                <w:sz w:val="20"/>
                <w:szCs w:val="20"/>
                <w:highlight w:val="none"/>
                <w:u w:val="none"/>
                <w:lang w:val="en-US" w:eastAsia="zh-CN" w:bidi="ar"/>
              </w:rPr>
              <w:t xml:space="preserve">本机、</w:t>
            </w:r>
            <w:r>
              <w:rPr>
                <w:rFonts w:hint="eastAsia" w:ascii="宋体" w:hAnsi="宋体" w:eastAsia="宋体" w:cs="宋体"/>
                <w:i w:val="0"/>
                <w:iCs w:val="0"/>
                <w:color w:val="auto"/>
                <w:sz w:val="20"/>
                <w:szCs w:val="20"/>
                <w:highlight w:val="none"/>
                <w:u w:val="none"/>
                <w:lang w:val="en-US" w:eastAsia="zh-CN" w:bidi="ar"/>
              </w:rPr>
              <w:t xml:space="preserve">外接设备进行病毒检查，针对病毒文件进行杀毒处理，实时查找病毒</w:t>
            </w:r>
            <w:r>
              <w:rPr>
                <w:rFonts w:hint="eastAsia" w:ascii="宋体" w:hAnsi="宋体" w:cs="宋体"/>
                <w:i w:val="0"/>
                <w:iCs w:val="0"/>
                <w:color w:val="auto"/>
                <w:sz w:val="20"/>
                <w:szCs w:val="20"/>
                <w:highlight w:val="none"/>
                <w:u w:val="none"/>
                <w:lang w:val="en-US" w:eastAsia="zh-CN" w:bidi="ar"/>
              </w:rPr>
              <w:t xml:space="preserve">木马威胁</w:t>
            </w:r>
            <w:r>
              <w:rPr>
                <w:rFonts w:hint="eastAsia" w:ascii="宋体" w:hAnsi="宋体" w:eastAsia="宋体" w:cs="宋体"/>
                <w:i w:val="0"/>
                <w:iCs w:val="0"/>
                <w:color w:val="auto"/>
                <w:sz w:val="20"/>
                <w:szCs w:val="20"/>
                <w:highlight w:val="none"/>
                <w:u w:val="none"/>
                <w:lang w:val="en-US" w:eastAsia="zh-CN" w:bidi="ar"/>
              </w:rPr>
              <w:t xml:space="preserve">，发现威胁马上自动清理阻断，还能追溯病毒来源，确保设备安全</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并支持恢复或删除近</w:t>
            </w:r>
            <w:r>
              <w:rPr>
                <w:rFonts w:hint="eastAsia" w:ascii="宋体" w:hAnsi="宋体" w:cs="宋体"/>
                <w:i w:val="0"/>
                <w:iCs w:val="0"/>
                <w:color w:val="auto"/>
                <w:sz w:val="20"/>
                <w:szCs w:val="20"/>
                <w:highlight w:val="none"/>
                <w:u w:val="none"/>
                <w:lang w:val="en-US" w:eastAsia="zh-CN" w:bidi="ar"/>
              </w:rPr>
              <w:t xml:space="preserve">5</w:t>
            </w:r>
            <w:r>
              <w:rPr>
                <w:rFonts w:hint="eastAsia" w:ascii="宋体" w:hAnsi="宋体" w:eastAsia="宋体" w:cs="宋体"/>
                <w:i w:val="0"/>
                <w:iCs w:val="0"/>
                <w:color w:val="auto"/>
                <w:sz w:val="20"/>
                <w:szCs w:val="20"/>
                <w:highlight w:val="none"/>
                <w:u w:val="none"/>
                <w:lang w:val="en-US" w:eastAsia="zh-CN" w:bidi="ar"/>
              </w:rPr>
              <w:t xml:space="preserve">日查杀的病毒文件。</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default" w:ascii="宋体" w:hAnsi="宋体" w:eastAsia="宋体" w:cs="宋体"/>
                <w:i w:val="0"/>
                <w:iCs w:val="0"/>
                <w:color w:val="auto"/>
                <w:sz w:val="20"/>
                <w:szCs w:val="20"/>
                <w:highlight w:val="none"/>
                <w:u w:val="none"/>
                <w:lang w:val="en-US" w:eastAsia="zh-CN"/>
              </w:rPr>
            </w:pPr>
            <w:r>
              <w:rPr>
                <w:rFonts w:hint="eastAsia" w:ascii="宋体" w:hAnsi="宋体" w:cs="宋体"/>
                <w:i w:val="0"/>
                <w:iCs w:val="0"/>
                <w:color w:val="auto"/>
                <w:sz w:val="20"/>
                <w:szCs w:val="20"/>
                <w:highlight w:val="none"/>
                <w:u w:val="none"/>
                <w:lang w:val="en-US" w:eastAsia="zh-CN"/>
              </w:rPr>
              <w:t xml:space="preserve">#2</w:t>
            </w:r>
            <w:r/>
          </w:p>
        </w:tc>
        <w:tc>
          <w:tcPr>
            <w:tcW w:w="5370" w:type="dxa"/>
            <w:vAlign w:val="center"/>
            <w:textDirection w:val="lrTb"/>
            <w:noWrap w:val="false"/>
          </w:tcPr>
          <w:p>
            <w:pPr>
              <w:jc w:val="left"/>
              <w:keepLines w:val="0"/>
              <w:keepNext w:val="0"/>
              <w:widowControl/>
              <w:rPr>
                <w:rFonts w:hint="eastAsia" w:ascii="宋体" w:hAnsi="宋体" w:cs="宋体"/>
                <w:i w:val="0"/>
                <w:iCs w:val="0"/>
                <w:color w:val="auto"/>
                <w:sz w:val="20"/>
                <w:szCs w:val="20"/>
                <w:highlight w:val="none"/>
                <w:u w:val="none"/>
                <w:lang w:val="en-US" w:eastAsia="zh-CN" w:bidi="ar"/>
              </w:rPr>
              <w:suppressLineNumbers w:val="0"/>
            </w:pPr>
            <w:r>
              <w:rPr>
                <w:rFonts w:hint="eastAsia" w:ascii="宋体" w:hAnsi="宋体" w:cs="宋体"/>
                <w:i w:val="0"/>
                <w:iCs w:val="0"/>
                <w:color w:val="auto"/>
                <w:sz w:val="20"/>
                <w:szCs w:val="20"/>
                <w:highlight w:val="none"/>
                <w:u w:val="none"/>
                <w:lang w:val="en-US" w:eastAsia="zh-CN" w:bidi="ar"/>
              </w:rPr>
              <w:t xml:space="preserve">10.可智能识别画面中色情、恐怖、暴力、游戏等违规内容与风险元素，支持自定义告警提示语。系统监测到违规画面时即刻触发预警，同时支持按设备、画面分类检索、回看历史违规记录。</w:t>
            </w:r>
            <w:r/>
          </w:p>
        </w:tc>
        <w:tc>
          <w:tcPr>
            <w:tcW w:w="2145" w:type="dxa"/>
            <w:vAlign w:val="center"/>
            <w:textDirection w:val="lrTb"/>
            <w:noWrap w:val="false"/>
          </w:tcPr>
          <w:p>
            <w:pPr>
              <w:numPr>
                <w:ilvl w:val="0"/>
                <w:numId w:val="0"/>
              </w:numPr>
              <w:jc w:val="left"/>
              <w:keepLines w:val="0"/>
              <w:keepNext w:val="0"/>
              <w:widowControl/>
              <w:rPr>
                <w:rFonts w:hint="default" w:ascii="宋体" w:hAnsi="宋体" w:eastAsia="宋体" w:cs="宋体"/>
                <w:i w:val="0"/>
                <w:iCs w:val="0"/>
                <w:color w:val="auto"/>
                <w:sz w:val="20"/>
                <w:szCs w:val="20"/>
                <w:highlight w:val="none"/>
                <w:lang w:val="en-US" w:eastAsia="zh-CN" w:bidi="ar"/>
              </w:rPr>
              <w:suppressLineNumbers w:val="0"/>
            </w:pPr>
            <w:r>
              <w:rPr>
                <w:rFonts w:hint="eastAsia" w:ascii="宋体" w:hAnsi="宋体" w:cs="宋体"/>
                <w:i w:val="0"/>
                <w:iCs w:val="0"/>
                <w:color w:val="auto"/>
                <w:sz w:val="20"/>
                <w:szCs w:val="20"/>
                <w:highlight w:val="none"/>
                <w:lang w:val="en-US" w:eastAsia="zh-CN" w:bidi="ar"/>
              </w:rPr>
              <w:t xml:space="preserve">投标时提供功能截图</w:t>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带轮长条折叠桌：尺寸：80cm×34cm×100cm；饰面：采用三聚氰胺浸渍胶膜纸，依据</w:t>
            </w:r>
            <w:r>
              <w:rPr>
                <w:rFonts w:hint="eastAsia" w:ascii="宋体" w:hAnsi="宋体" w:cs="宋体"/>
                <w:i w:val="0"/>
                <w:iCs w:val="0"/>
                <w:color w:val="auto"/>
                <w:sz w:val="20"/>
                <w:szCs w:val="20"/>
                <w:highlight w:val="none"/>
                <w:u w:val="none"/>
                <w:lang w:val="en-US" w:eastAsia="zh-CN" w:bidi="ar"/>
              </w:rPr>
              <w:t xml:space="preserve"> GB 18584-2024</w:t>
            </w:r>
            <w:r>
              <w:rPr>
                <w:rFonts w:hint="eastAsia" w:ascii="宋体" w:hAnsi="宋体" w:eastAsia="宋体" w:cs="宋体"/>
                <w:i w:val="0"/>
                <w:iCs w:val="0"/>
                <w:color w:val="auto"/>
                <w:sz w:val="20"/>
                <w:szCs w:val="20"/>
                <w:highlight w:val="none"/>
                <w:u w:val="none"/>
                <w:lang w:val="en-US" w:eastAsia="zh-CN" w:bidi="ar"/>
              </w:rPr>
              <w:t xml:space="preserve">《室内装饰装修材料木家具中有害物质限量》；LY/T 1831-2009《人造板饰面专用装饰纸》；</w:t>
            </w:r>
            <w:r>
              <w:rPr>
                <w:rFonts w:hint="eastAsia" w:ascii="宋体" w:hAnsi="宋体" w:cs="宋体"/>
                <w:i w:val="0"/>
                <w:iCs w:val="0"/>
                <w:color w:val="auto"/>
                <w:sz w:val="20"/>
                <w:szCs w:val="20"/>
                <w:highlight w:val="none"/>
                <w:u w:val="none"/>
                <w:lang w:val="en-US" w:eastAsia="zh-CN" w:bidi="ar"/>
              </w:rPr>
              <w:t xml:space="preserve">GB/T 35601-2024</w:t>
            </w:r>
            <w:r>
              <w:rPr>
                <w:rFonts w:hint="eastAsia" w:ascii="宋体" w:hAnsi="宋体" w:eastAsia="宋体" w:cs="宋体"/>
                <w:i w:val="0"/>
                <w:iCs w:val="0"/>
                <w:color w:val="auto"/>
                <w:sz w:val="20"/>
                <w:szCs w:val="20"/>
                <w:highlight w:val="none"/>
                <w:u w:val="none"/>
                <w:lang w:val="en-US" w:eastAsia="zh-CN" w:bidi="ar"/>
              </w:rPr>
              <w:t xml:space="preserve">《绿色产品评价 人造板和木质地板》标准；耐热性1级，苯≤5㎍/m³，挥发物含量5%-9%，甲醛释放量≤0.5mg/L。 </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基材：采用不低于E0级刨花板，依据GB/T 17657-2022《人造板及饰面人造板理化性能试验方法》；GB/T 39600-2021《人造板及其制品甲醛释放量分级》；GB 18580-2017《室内装饰装修材料人造板及其制品中甲醛释放限量》；</w:t>
            </w:r>
            <w:r>
              <w:rPr>
                <w:rFonts w:hint="eastAsia" w:ascii="宋体" w:hAnsi="宋体" w:cs="宋体"/>
                <w:i w:val="0"/>
                <w:iCs w:val="0"/>
                <w:color w:val="auto"/>
                <w:sz w:val="20"/>
                <w:szCs w:val="20"/>
                <w:highlight w:val="none"/>
                <w:u w:val="none"/>
                <w:lang w:val="en-US" w:eastAsia="zh-CN" w:bidi="ar"/>
              </w:rPr>
              <w:t xml:space="preserve">GB/T 35601-2024</w:t>
            </w:r>
            <w:r>
              <w:rPr>
                <w:rFonts w:hint="eastAsia" w:ascii="宋体" w:hAnsi="宋体" w:eastAsia="宋体" w:cs="宋体"/>
                <w:i w:val="0"/>
                <w:iCs w:val="0"/>
                <w:color w:val="auto"/>
                <w:sz w:val="20"/>
                <w:szCs w:val="20"/>
                <w:highlight w:val="none"/>
                <w:u w:val="none"/>
                <w:lang w:val="en-US" w:eastAsia="zh-CN" w:bidi="ar"/>
              </w:rPr>
              <w:t xml:space="preserve">《绿色产品评价人造板和木质地板》；QB/T 4371-2012《家具抗菌性能的评价》；GB 8624-2012《建筑材料及制品燃烧性能分级》；</w:t>
            </w:r>
            <w:r>
              <w:rPr>
                <w:rFonts w:hint="eastAsia" w:ascii="宋体" w:hAnsi="宋体" w:cs="宋体"/>
                <w:i w:val="0"/>
                <w:iCs w:val="0"/>
                <w:color w:val="auto"/>
                <w:sz w:val="20"/>
                <w:szCs w:val="20"/>
                <w:highlight w:val="none"/>
                <w:u w:val="none"/>
                <w:lang w:val="en-US" w:eastAsia="zh-CN" w:bidi="ar"/>
              </w:rPr>
              <w:t xml:space="preserve"> GB 18584-2024</w:t>
            </w:r>
            <w:r>
              <w:rPr>
                <w:rFonts w:hint="eastAsia" w:ascii="宋体" w:hAnsi="宋体" w:eastAsia="宋体" w:cs="宋体"/>
                <w:i w:val="0"/>
                <w:iCs w:val="0"/>
                <w:color w:val="auto"/>
                <w:sz w:val="20"/>
                <w:szCs w:val="20"/>
                <w:highlight w:val="none"/>
                <w:u w:val="none"/>
                <w:lang w:val="en-US" w:eastAsia="zh-CN" w:bidi="ar"/>
              </w:rPr>
              <w:t xml:space="preserve">《室内装饰装修材料木家具中有害物质限量》；GB/T 4897-2015《刨花板》；外观质量至少4项检测，含水率3%～8%，静曲强度≥15MPa，弹性模量≥2000MPa，内胶合强度≥0.55MPa，表面胶合强度≥1.5MPa，2h吸水厚度膨胀率≤3%，板边握螺钉力≥1400N，板面握螺钉力≥1600N，密度≥0.75g/cm³，甲醛释放量≤0.05mg/m³，总挥发性有机化合物≤20㎍/m³，防霉菌等级0级或1级，60s内无燃烧滴落物引燃滤纸现象。</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封边：采用</w:t>
            </w:r>
            <w:r>
              <w:rPr>
                <w:rFonts w:hint="eastAsia" w:ascii="宋体" w:hAnsi="宋体" w:cs="宋体"/>
                <w:i w:val="0"/>
                <w:iCs w:val="0"/>
                <w:color w:val="auto"/>
                <w:sz w:val="20"/>
                <w:szCs w:val="20"/>
                <w:highlight w:val="none"/>
                <w:u w:val="none"/>
                <w:lang w:val="en-US" w:eastAsia="zh-CN" w:bidi="ar"/>
              </w:rPr>
              <w:t xml:space="preserve">ABS</w:t>
            </w:r>
            <w:r>
              <w:rPr>
                <w:rFonts w:hint="eastAsia" w:ascii="宋体" w:hAnsi="宋体" w:eastAsia="宋体" w:cs="宋体"/>
                <w:i w:val="0"/>
                <w:iCs w:val="0"/>
                <w:color w:val="auto"/>
                <w:sz w:val="20"/>
                <w:szCs w:val="20"/>
                <w:highlight w:val="none"/>
                <w:u w:val="none"/>
                <w:lang w:val="en-US" w:eastAsia="zh-CN" w:bidi="ar"/>
              </w:rPr>
              <w:t xml:space="preserve">激光封边条，依据</w:t>
            </w:r>
            <w:r>
              <w:rPr>
                <w:rFonts w:hint="eastAsia" w:ascii="宋体" w:hAnsi="宋体" w:cs="宋体"/>
                <w:i w:val="0"/>
                <w:iCs w:val="0"/>
                <w:color w:val="auto"/>
                <w:sz w:val="20"/>
                <w:szCs w:val="20"/>
                <w:highlight w:val="none"/>
                <w:u w:val="none"/>
                <w:lang w:val="en-US" w:eastAsia="zh-CN" w:bidi="ar"/>
              </w:rPr>
              <w:t xml:space="preserve">QB/T 4463-2025</w:t>
            </w:r>
            <w:r>
              <w:rPr>
                <w:rFonts w:hint="eastAsia" w:ascii="宋体" w:hAnsi="宋体" w:eastAsia="宋体" w:cs="宋体"/>
                <w:i w:val="0"/>
                <w:iCs w:val="0"/>
                <w:color w:val="auto"/>
                <w:sz w:val="20"/>
                <w:szCs w:val="20"/>
                <w:highlight w:val="none"/>
                <w:u w:val="none"/>
                <w:lang w:val="en-US" w:eastAsia="zh-CN" w:bidi="ar"/>
              </w:rPr>
              <w:t xml:space="preserve">《家具用封边条技术要求》；GB/T 24128-2018《塑料 塑料防霉剂的防霉效果评估》</w:t>
            </w:r>
            <w:r>
              <w:rPr>
                <w:rFonts w:hint="eastAsia" w:ascii="宋体" w:hAnsi="宋体" w:cs="宋体"/>
                <w:i w:val="0"/>
                <w:iCs w:val="0"/>
                <w:color w:val="auto"/>
                <w:sz w:val="20"/>
                <w:szCs w:val="20"/>
                <w:highlight w:val="none"/>
                <w:u w:val="none"/>
                <w:lang w:val="en-US" w:eastAsia="zh-CN" w:bidi="ar"/>
              </w:rPr>
              <w:t xml:space="preserve">；GB 18584-2024</w:t>
            </w:r>
            <w:r>
              <w:rPr>
                <w:rFonts w:hint="eastAsia" w:ascii="宋体" w:hAnsi="宋体" w:eastAsia="宋体" w:cs="宋体"/>
                <w:i w:val="0"/>
                <w:iCs w:val="0"/>
                <w:color w:val="auto"/>
                <w:sz w:val="20"/>
                <w:szCs w:val="20"/>
                <w:highlight w:val="none"/>
                <w:u w:val="none"/>
                <w:lang w:val="en-US" w:eastAsia="zh-CN" w:bidi="ar"/>
              </w:rPr>
              <w:t xml:space="preserve">《塑料家具中有害物质限量》标准；厚度≥1.8mm。压纹（压花）表面有统一的花式。耐开裂性1级，耐老化性无开裂，甲醛释放量≤0.5mg/L，防霉等级0级或1级，16种多环芳烃（PAH）总量≤5mg/kg。 </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热熔胶：选用</w:t>
            </w:r>
            <w:r>
              <w:rPr>
                <w:rFonts w:hint="eastAsia" w:ascii="宋体" w:hAnsi="宋体" w:cs="宋体"/>
                <w:i w:val="0"/>
                <w:iCs w:val="0"/>
                <w:color w:val="auto"/>
                <w:sz w:val="20"/>
                <w:szCs w:val="20"/>
                <w:highlight w:val="none"/>
                <w:u w:val="none"/>
                <w:lang w:val="en-US" w:eastAsia="zh-CN" w:bidi="ar"/>
              </w:rPr>
              <w:t xml:space="preserve">环保</w:t>
            </w:r>
            <w:r>
              <w:rPr>
                <w:rFonts w:hint="eastAsia" w:ascii="宋体" w:hAnsi="宋体" w:eastAsia="宋体" w:cs="宋体"/>
                <w:i w:val="0"/>
                <w:iCs w:val="0"/>
                <w:color w:val="auto"/>
                <w:sz w:val="20"/>
                <w:szCs w:val="20"/>
                <w:highlight w:val="none"/>
                <w:u w:val="none"/>
                <w:lang w:val="en-US" w:eastAsia="zh-CN" w:bidi="ar"/>
              </w:rPr>
              <w:t xml:space="preserve">热熔胶，依据GB18583-2008《室内装饰装修材料胶粘剂中有害物质限量》﹔HJ2541-2016《环境标志产品技术要求胶粘剂》标准；游离甲醛≤0.1g/kg，苯≤0.02g/kg，甲苯≤0.02g/kg，二甲苯≤0.02g/kg，总挥发性有机物≤5g/L，游离甲苯二异氰酸酯≤1g/kg。 </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五金配件：采用品牌五金配件，导轨依据GB/T 10125-2021《人造气氛腐蚀试验盐雾试验》；QB/T 3832- 1999《轻工产品金属镀层腐蚀试验结果的评价》； </w:t>
            </w:r>
            <w:r>
              <w:rPr>
                <w:rFonts w:hint="eastAsia" w:ascii="宋体" w:hAnsi="宋体" w:cs="宋体"/>
                <w:i w:val="0"/>
                <w:iCs w:val="0"/>
                <w:color w:val="auto"/>
                <w:sz w:val="20"/>
                <w:szCs w:val="20"/>
                <w:highlight w:val="none"/>
                <w:u w:val="none"/>
                <w:lang w:val="en-US" w:eastAsia="zh-CN" w:bidi="ar"/>
              </w:rPr>
              <w:t xml:space="preserve">GB/T 24170.1-2023</w:t>
            </w:r>
            <w:r>
              <w:rPr>
                <w:rFonts w:hint="eastAsia" w:ascii="宋体" w:hAnsi="宋体" w:eastAsia="宋体" w:cs="宋体"/>
                <w:i w:val="0"/>
                <w:iCs w:val="0"/>
                <w:color w:val="auto"/>
                <w:sz w:val="20"/>
                <w:szCs w:val="20"/>
                <w:highlight w:val="none"/>
                <w:u w:val="none"/>
                <w:lang w:val="en-US" w:eastAsia="zh-CN" w:bidi="ar"/>
              </w:rPr>
              <w:t xml:space="preserve">《表</w:t>
            </w:r>
            <w:r>
              <w:rPr>
                <w:rFonts w:hint="eastAsia" w:ascii="宋体" w:hAnsi="宋体" w:eastAsia="宋体" w:cs="宋体"/>
                <w:i w:val="0"/>
                <w:iCs w:val="0"/>
                <w:color w:val="auto"/>
                <w:sz w:val="20"/>
                <w:szCs w:val="20"/>
                <w:highlight w:val="none"/>
                <w:u w:val="none"/>
                <w:lang w:val="en-US" w:eastAsia="zh-CN" w:bidi="ar"/>
              </w:rPr>
              <w:t xml:space="preserve">面抗菌不锈钢第1部分:电化学法》； QB/T 2454-2013《家具五金抽屉导轨》检测标准；中性盐雾试验≥500h，镀层本身的耐腐蚀等级≥10级，镀层对基体的保护等级≥10级；乙酸盐雾试验≥250h，镀层本身的耐腐蚀等级≥10级，镀层对基体的保护等级≥10级；耐久性≥12万次检测合格，抗菌性能（抗菌率）≥99%。铰链依据QB/T 2189-2013《家具五金杯状暗铰链》；GB/T 10125 -2021《人造气氛腐蚀试验盐雾 试验》； QB/T 3832-1999 《轻工产品金属镀层腐蚀试验结果的评价》；</w:t>
            </w:r>
            <w:r>
              <w:rPr>
                <w:rFonts w:hint="eastAsia" w:ascii="宋体" w:hAnsi="宋体" w:cs="宋体"/>
                <w:i w:val="0"/>
                <w:iCs w:val="0"/>
                <w:color w:val="auto"/>
                <w:sz w:val="20"/>
                <w:szCs w:val="20"/>
                <w:highlight w:val="none"/>
                <w:u w:val="none"/>
                <w:lang w:val="en-US" w:eastAsia="zh-CN" w:bidi="ar"/>
              </w:rPr>
              <w:t xml:space="preserve">GB/T 24170.1-2023</w:t>
            </w:r>
            <w:r>
              <w:rPr>
                <w:rFonts w:hint="eastAsia" w:ascii="宋体" w:hAnsi="宋体" w:eastAsia="宋体" w:cs="宋体"/>
                <w:i w:val="0"/>
                <w:iCs w:val="0"/>
                <w:color w:val="auto"/>
                <w:sz w:val="20"/>
                <w:szCs w:val="20"/>
                <w:highlight w:val="none"/>
                <w:u w:val="none"/>
                <w:lang w:val="en-US" w:eastAsia="zh-CN" w:bidi="ar"/>
              </w:rPr>
              <w:t xml:space="preserve">《表面抗菌不锈钢第1部分:电化学法》检测标准；中性盐雾试验≥500h，镀层本身的耐腐蚀等级≥10级，镀层对基体的保护等级≥10级；乙酸盐雾试验≥250h，镀层本身的耐腐蚀等级≥10级，镀层对基体的保护等级≥10级；耐久性≥12万次检测合格，安装B型试验门时，下沉量不大于1.5mm，抗菌性能（抗菌率）≥99%。</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折叠椅：采用碳管钢材加厚钢板 海绵靠垫加固横梁防锈喷塑稳固承重 加宽椅面防滑耐磨脚</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教工之家：</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音箱：12MM中纤板；PVC贴皮频率响应：50Hz-20KHz</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灵敏度：93dB(1M/1W)</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最大声压级：115dB SPL PEAK</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标称阻抗：4Ω</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低频单元：1×8"(100磁25芯）</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高频单元：3寸纤维盆高音</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额定功率：60W（AES）</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功放：输出功率：200W(8Ω 最大)；</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失    真：＜0.5% 1KHz 1/3额定功率；</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灵 敏 度：线路≦400MV；话筒≦20MV；</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信 噪 比：≧74dB；</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串音衰减：≦40dB；</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频率响应：20Hz-20KHz ±3dB；</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电源电压：AC220V 50Hz；</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产品净重：3.8KG；</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产品尺寸：360mm长×285mm宽×100mm高（最大）；</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包装尺寸：450mm长×315mm宽×114mm高； </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蓝牙播放，LED显示，带USB SD 左右声道平衡调节，音乐独立高低音独立调节，2路话筒输入，话筒高低音独立调节，4只大功率场效应管放大，过载过流短路的保护，大功率环形变压器供电</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无线话筒：</w:t>
            </w:r>
            <w:r/>
          </w:p>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cs="宋体"/>
                <w:i w:val="0"/>
                <w:iCs w:val="0"/>
                <w:color w:val="auto"/>
                <w:sz w:val="20"/>
                <w:szCs w:val="20"/>
                <w:highlight w:val="none"/>
                <w:u w:val="none"/>
                <w:lang w:val="en-US" w:eastAsia="zh-CN" w:bidi="ar"/>
              </w:rPr>
              <w:t xml:space="preserve">1.</w:t>
            </w:r>
            <w:r>
              <w:rPr>
                <w:rFonts w:hint="eastAsia" w:ascii="宋体" w:hAnsi="宋体" w:eastAsia="宋体" w:cs="宋体"/>
                <w:i w:val="0"/>
                <w:iCs w:val="0"/>
                <w:color w:val="auto"/>
                <w:sz w:val="20"/>
                <w:szCs w:val="20"/>
                <w:highlight w:val="none"/>
                <w:u w:val="none"/>
                <w:lang w:val="en-US" w:eastAsia="zh-CN" w:bidi="ar"/>
              </w:rPr>
              <w:t xml:space="preserve">采用数字 U 段传输技术，基于 pi/4-DQPSK 调制方式，搭载国产主控芯片，无线传输距离不低于 80 米；接收机配备不少于 2 路平衡输出接口、不少于 1 路非平衡混音输出接口，支持混响、均衡、智能静音、音频加密、发射功率调节功能。</w:t>
            </w:r>
            <w:r/>
          </w:p>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cs="宋体"/>
                <w:i w:val="0"/>
                <w:iCs w:val="0"/>
                <w:color w:val="auto"/>
                <w:sz w:val="20"/>
                <w:szCs w:val="20"/>
                <w:highlight w:val="none"/>
                <w:u w:val="none"/>
                <w:lang w:val="en-US" w:eastAsia="zh-CN" w:bidi="ar"/>
              </w:rPr>
              <w:t xml:space="preserve">2.</w:t>
            </w:r>
            <w:r>
              <w:rPr>
                <w:rFonts w:hint="eastAsia" w:ascii="宋体" w:hAnsi="宋体" w:eastAsia="宋体" w:cs="宋体"/>
                <w:i w:val="0"/>
                <w:iCs w:val="0"/>
                <w:color w:val="auto"/>
                <w:sz w:val="20"/>
                <w:szCs w:val="20"/>
                <w:highlight w:val="none"/>
                <w:u w:val="none"/>
                <w:lang w:val="en-US" w:eastAsia="zh-CN" w:bidi="ar"/>
              </w:rPr>
              <w:t xml:space="preserve">系统配置不少于 1 台接收主机、不少于 2 只手持发射机；支持的工作频率范围覆盖 470MHz-510MHz、540MHz-590MHz、640MHz-690MHz、807MHz-830MHz 四个频段，频率覆盖范围等同或优于上述区间。</w:t>
            </w:r>
            <w:r/>
          </w:p>
          <w:p>
            <w:pPr>
              <w:pStyle w:val="851"/>
              <w:rPr>
                <w:rFonts w:hint="eastAsia"/>
                <w:highlight w:val="none"/>
              </w:rPr>
            </w:pPr>
            <w:r>
              <w:rPr>
                <w:rFonts w:hint="eastAsia" w:ascii="宋体" w:hAnsi="宋体" w:cs="宋体"/>
                <w:i w:val="0"/>
                <w:iCs w:val="0"/>
                <w:color w:val="auto"/>
                <w:sz w:val="20"/>
                <w:szCs w:val="20"/>
                <w:highlight w:val="none"/>
                <w:u w:val="none"/>
                <w:lang w:val="en-US" w:eastAsia="zh-CN" w:bidi="ar"/>
              </w:rPr>
              <w:t xml:space="preserve">3</w:t>
            </w:r>
            <w:r>
              <w:rPr>
                <w:rFonts w:hint="eastAsia" w:ascii="宋体" w:hAnsi="宋体" w:eastAsia="宋体" w:cs="宋体"/>
                <w:i w:val="0"/>
                <w:iCs w:val="0"/>
                <w:color w:val="auto"/>
                <w:sz w:val="20"/>
                <w:szCs w:val="20"/>
                <w:highlight w:val="none"/>
                <w:u w:val="none"/>
                <w:lang w:val="en-US" w:eastAsia="zh-CN" w:bidi="ar"/>
              </w:rPr>
              <w:t xml:space="preserve">.支持智能自动静音功能：麦克风发生跌落、抛掷动作时，可实现毫秒级自动静音，避免冲击杂音；设备可实时监测姿态状态，静置不少于 5 秒自动静音，静置不少于 8 分钟自动关机。</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打击乐器：（原木铃鼓6寸、原木木鱼、单响筒、13摇铃、早午板、沙蛋、响板、三角铁、沙锤、打棒、带柄碰铃、双响筒、环保铃）各6个</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人体追踪无线录像设备：尺寸:长70.5mm，宽44.2mm，高32.8mm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防水裸机20米，加防水壳60米</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麦克风3个</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立体声收音</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重量：146克</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连接方式</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快拆设计</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显示屏：前置显示屏</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OLED 可触控彩屏</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1.46 英寸331ppi342× 342</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800 cd/m’ 最大亮度（典型）</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背面显示屏</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OLED 可触控彩屏</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2.5英寸326 ppi 400 × 712</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调音台：话筒输入:10路</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幻象电源:48V</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频率响应:20Hz-20kHz</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耗电功率:55W</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93"/>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音频处理器会议矩阵4*4：1.处理器≥4核，主频≥2.0GHz。</w:t>
            </w:r>
            <w:r/>
          </w:p>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2.后面板具有≥4路线路音频凤凰端子平衡输入接口（具有48V幻象供电）、≥4路线路音频凤凰端子平衡输出接口、≥1个拨码开关、≥1个RJ45接口、≥1个RS232接口、≥1个RS485接口、≥8个可编程GPIO控制接口、≥1个接地柱；前面板具有≥2.0英寸 IPS 真彩显示屏、≥1个编码旋钮、≥1个USB存储设备接口。</w:t>
            </w:r>
            <w:r/>
          </w:p>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cs="宋体"/>
                <w:i w:val="0"/>
                <w:iCs w:val="0"/>
                <w:color w:val="auto"/>
                <w:sz w:val="20"/>
                <w:szCs w:val="20"/>
                <w:highlight w:val="none"/>
                <w:u w:val="none"/>
                <w:lang w:val="en-US" w:eastAsia="zh-CN" w:bidi="ar"/>
              </w:rPr>
              <w:t xml:space="preserve">3</w:t>
            </w:r>
            <w:r>
              <w:rPr>
                <w:rFonts w:hint="eastAsia" w:ascii="宋体" w:hAnsi="宋体" w:eastAsia="宋体" w:cs="宋体"/>
                <w:i w:val="0"/>
                <w:iCs w:val="0"/>
                <w:color w:val="auto"/>
                <w:sz w:val="20"/>
                <w:szCs w:val="20"/>
                <w:highlight w:val="none"/>
                <w:u w:val="none"/>
                <w:lang w:val="en-US" w:eastAsia="zh-CN" w:bidi="ar"/>
              </w:rPr>
              <w:t xml:space="preserve">.具有矩阵增益调节功能，每个输入通道参与混音的增益可调，增益调节范围等同或优于-72dB到12dB。</w:t>
            </w:r>
            <w:r/>
          </w:p>
          <w:p>
            <w:pPr>
              <w:pStyle w:val="851"/>
              <w:rPr>
                <w:rFonts w:hint="default"/>
                <w:highlight w:val="none"/>
                <w:lang w:val="en-US"/>
              </w:rPr>
            </w:pPr>
            <w:r>
              <w:rPr>
                <w:rFonts w:hint="eastAsia" w:ascii="宋体" w:hAnsi="宋体" w:cs="宋体"/>
                <w:i w:val="0"/>
                <w:iCs w:val="0"/>
                <w:color w:val="auto"/>
                <w:sz w:val="20"/>
                <w:szCs w:val="20"/>
                <w:highlight w:val="none"/>
                <w:u w:val="none"/>
                <w:lang w:val="en-US" w:eastAsia="zh-CN" w:bidi="ar"/>
              </w:rPr>
              <w:t xml:space="preserve">4.</w:t>
            </w:r>
            <w:r>
              <w:rPr>
                <w:rFonts w:hint="eastAsia" w:ascii="宋体" w:hAnsi="宋体" w:eastAsia="宋体" w:cs="宋体"/>
                <w:i w:val="0"/>
                <w:iCs w:val="0"/>
                <w:color w:val="auto"/>
                <w:sz w:val="20"/>
                <w:szCs w:val="20"/>
                <w:highlight w:val="none"/>
                <w:u w:val="none"/>
                <w:lang w:val="en-US" w:eastAsia="zh-CN" w:bidi="ar"/>
              </w:rPr>
              <w:t xml:space="preserve">依托智能算法实现噪声抑制，针对不同应用场景设置不少于</w:t>
            </w:r>
            <w:r>
              <w:rPr>
                <w:rFonts w:hint="eastAsia" w:ascii="宋体" w:hAnsi="宋体" w:cs="宋体"/>
                <w:i w:val="0"/>
                <w:iCs w:val="0"/>
                <w:color w:val="auto"/>
                <w:sz w:val="20"/>
                <w:szCs w:val="20"/>
                <w:highlight w:val="none"/>
                <w:u w:val="none"/>
                <w:lang w:val="en-US" w:eastAsia="zh-CN" w:bidi="ar"/>
              </w:rPr>
              <w:t xml:space="preserve">四</w:t>
            </w:r>
            <w:r>
              <w:rPr>
                <w:rFonts w:hint="eastAsia" w:ascii="宋体" w:hAnsi="宋体" w:eastAsia="宋体" w:cs="宋体"/>
                <w:i w:val="0"/>
                <w:iCs w:val="0"/>
                <w:color w:val="auto"/>
                <w:sz w:val="20"/>
                <w:szCs w:val="20"/>
                <w:highlight w:val="none"/>
                <w:u w:val="none"/>
                <w:lang w:val="en-US" w:eastAsia="zh-CN" w:bidi="ar"/>
              </w:rPr>
              <w:t xml:space="preserve">档语音降噪档位，可有效降低并消除语言扩声系统内的非人声类噪声信号，充分保障语音传输的清晰度与可懂度（降噪能力不低于 40dB）。</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立式话筒架：可调高度29-219cm</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桌面话筒架：18×15×15，可调节高度0-7cm</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沙发：W2030×D835×H850mm；面料：选用麻绒布，依据</w:t>
            </w:r>
            <w:r>
              <w:rPr>
                <w:rFonts w:hint="eastAsia" w:ascii="宋体" w:hAnsi="宋体" w:cs="宋体"/>
                <w:i w:val="0"/>
                <w:iCs w:val="0"/>
                <w:color w:val="auto"/>
                <w:sz w:val="20"/>
                <w:szCs w:val="20"/>
                <w:highlight w:val="none"/>
                <w:u w:val="none"/>
                <w:lang w:val="en-US" w:eastAsia="zh-CN" w:bidi="ar"/>
              </w:rPr>
              <w:t xml:space="preserve">GB 18401-2023</w:t>
            </w:r>
            <w:r>
              <w:rPr>
                <w:rFonts w:hint="eastAsia" w:ascii="宋体" w:hAnsi="宋体" w:eastAsia="宋体" w:cs="宋体"/>
                <w:i w:val="0"/>
                <w:iCs w:val="0"/>
                <w:color w:val="auto"/>
                <w:sz w:val="20"/>
                <w:szCs w:val="20"/>
                <w:highlight w:val="none"/>
                <w:u w:val="none"/>
                <w:lang w:val="en-US" w:eastAsia="zh-CN" w:bidi="ar"/>
              </w:rPr>
              <w:t xml:space="preserve">《国家纺织产品基本安全技术规范》；GB/T 31713-2015《抗菌纺织品安全性卫生要求》；GB/T 24346-2009《纺织品 防霉性能的评价》；</w:t>
            </w:r>
            <w:r>
              <w:rPr>
                <w:rFonts w:hint="eastAsia" w:ascii="宋体" w:hAnsi="宋体" w:cs="宋体"/>
                <w:i w:val="0"/>
                <w:iCs w:val="0"/>
                <w:color w:val="auto"/>
                <w:sz w:val="20"/>
                <w:szCs w:val="20"/>
                <w:highlight w:val="none"/>
                <w:u w:val="none"/>
                <w:lang w:val="en-US" w:eastAsia="zh-CN" w:bidi="ar"/>
              </w:rPr>
              <w:t xml:space="preserve">GB 17927-2024</w:t>
            </w:r>
            <w:r>
              <w:rPr>
                <w:rFonts w:hint="eastAsia" w:ascii="宋体" w:hAnsi="宋体" w:eastAsia="宋体" w:cs="宋体"/>
                <w:i w:val="0"/>
                <w:iCs w:val="0"/>
                <w:color w:val="auto"/>
                <w:sz w:val="20"/>
                <w:szCs w:val="20"/>
                <w:highlight w:val="none"/>
                <w:u w:val="none"/>
                <w:lang w:val="en-US" w:eastAsia="zh-CN" w:bidi="ar"/>
              </w:rPr>
              <w:t xml:space="preserve">《软体家具 床垫和沙发抗引燃特性的 评定第1部分:阴燃的香烟》；</w:t>
            </w:r>
            <w:r>
              <w:rPr>
                <w:rFonts w:hint="eastAsia" w:ascii="宋体" w:hAnsi="宋体" w:cs="宋体"/>
                <w:i w:val="0"/>
                <w:iCs w:val="0"/>
                <w:color w:val="auto"/>
                <w:sz w:val="20"/>
                <w:szCs w:val="20"/>
                <w:highlight w:val="none"/>
                <w:u w:val="none"/>
                <w:lang w:val="en-US" w:eastAsia="zh-CN" w:bidi="ar"/>
              </w:rPr>
              <w:t xml:space="preserve">GB/T 35607-2024</w:t>
            </w:r>
            <w:r>
              <w:rPr>
                <w:rFonts w:hint="eastAsia" w:ascii="宋体" w:hAnsi="宋体" w:eastAsia="宋体" w:cs="宋体"/>
                <w:i w:val="0"/>
                <w:iCs w:val="0"/>
                <w:color w:val="auto"/>
                <w:sz w:val="20"/>
                <w:szCs w:val="20"/>
                <w:highlight w:val="none"/>
                <w:u w:val="none"/>
                <w:lang w:val="en-US" w:eastAsia="zh-CN" w:bidi="ar"/>
              </w:rPr>
              <w:t xml:space="preserve">《绿色产品评价家具》；FZ/T 62011.3-2016《布艺类产品 第3部分:家具用纺织品》标准；耐水、耐酸汗渍、耐碱汗渍、耐干摩擦、耐唾液符合要求，甲醛含量≤20mg/kg，可分解致癌芳香胺染料未检出，抗菌性能（抑菌率）≥95%，抗引燃特性阻燃Ⅰ级，防霉等级0级或1级，产品有害物质（纺织品、皮革中五氯苯酚（PCP）≤ 0.5mg/kg。 </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海绵：</w:t>
            </w:r>
            <w:r>
              <w:rPr>
                <w:rFonts w:hint="eastAsia" w:ascii="宋体" w:hAnsi="宋体" w:cs="宋体"/>
                <w:i w:val="0"/>
                <w:iCs w:val="0"/>
                <w:color w:val="auto"/>
                <w:sz w:val="20"/>
                <w:szCs w:val="20"/>
                <w:highlight w:val="none"/>
                <w:u w:val="none"/>
                <w:lang w:val="en-US" w:eastAsia="zh-CN" w:bidi="ar"/>
              </w:rPr>
              <w:t xml:space="preserve">采用阻燃高弹海绵</w:t>
            </w:r>
            <w:r>
              <w:rPr>
                <w:rFonts w:hint="eastAsia" w:ascii="宋体" w:hAnsi="宋体" w:eastAsia="宋体" w:cs="宋体"/>
                <w:i w:val="0"/>
                <w:iCs w:val="0"/>
                <w:color w:val="auto"/>
                <w:sz w:val="20"/>
                <w:szCs w:val="20"/>
                <w:highlight w:val="none"/>
                <w:u w:val="none"/>
                <w:lang w:val="en-US" w:eastAsia="zh-CN" w:bidi="ar"/>
              </w:rPr>
              <w:t xml:space="preserve">，依据</w:t>
            </w:r>
            <w:r>
              <w:rPr>
                <w:rFonts w:hint="eastAsia" w:ascii="宋体" w:hAnsi="宋体" w:cs="宋体"/>
                <w:i w:val="0"/>
                <w:iCs w:val="0"/>
                <w:color w:val="auto"/>
                <w:sz w:val="20"/>
                <w:szCs w:val="20"/>
                <w:highlight w:val="none"/>
                <w:u w:val="none"/>
                <w:lang w:val="en-US" w:eastAsia="zh-CN" w:bidi="ar"/>
              </w:rPr>
              <w:t xml:space="preserve">GB/T 10802-2023</w:t>
            </w:r>
            <w:r>
              <w:rPr>
                <w:rFonts w:hint="eastAsia" w:ascii="宋体" w:hAnsi="宋体" w:eastAsia="宋体" w:cs="宋体"/>
                <w:i w:val="0"/>
                <w:iCs w:val="0"/>
                <w:color w:val="auto"/>
                <w:sz w:val="20"/>
                <w:szCs w:val="20"/>
                <w:highlight w:val="none"/>
                <w:u w:val="none"/>
                <w:lang w:val="en-US" w:eastAsia="zh-CN" w:bidi="ar"/>
              </w:rPr>
              <w:t xml:space="preserve">《通用软质聚醚型聚氨酯泡沫塑料》、QB/T 2280-2016《办公家具 办公椅》、GB/T 6343-2009《泡沫塑料及橡胶 表观密度的测定》、</w:t>
            </w:r>
            <w:r>
              <w:rPr>
                <w:rFonts w:hint="eastAsia" w:ascii="宋体" w:hAnsi="宋体" w:cs="宋体"/>
                <w:i w:val="0"/>
                <w:iCs w:val="0"/>
                <w:color w:val="auto"/>
                <w:sz w:val="20"/>
                <w:szCs w:val="20"/>
                <w:highlight w:val="none"/>
                <w:u w:val="none"/>
                <w:lang w:val="en-US" w:eastAsia="zh-CN" w:bidi="ar"/>
              </w:rPr>
              <w:t xml:space="preserve">GB 17927-2024</w:t>
            </w:r>
            <w:r>
              <w:rPr>
                <w:rFonts w:hint="eastAsia" w:ascii="宋体" w:hAnsi="宋体" w:eastAsia="宋体" w:cs="宋体"/>
                <w:i w:val="0"/>
                <w:iCs w:val="0"/>
                <w:color w:val="auto"/>
                <w:sz w:val="20"/>
                <w:szCs w:val="20"/>
                <w:highlight w:val="none"/>
                <w:u w:val="none"/>
                <w:lang w:val="en-US" w:eastAsia="zh-CN" w:bidi="ar"/>
              </w:rPr>
              <w:t xml:space="preserve">《软体家具 床垫</w:t>
            </w:r>
            <w:r>
              <w:rPr>
                <w:rFonts w:hint="eastAsia" w:ascii="宋体" w:hAnsi="宋体" w:eastAsia="宋体" w:cs="宋体"/>
                <w:i w:val="0"/>
                <w:iCs w:val="0"/>
                <w:color w:val="auto"/>
                <w:sz w:val="20"/>
                <w:szCs w:val="20"/>
                <w:highlight w:val="none"/>
                <w:u w:val="none"/>
                <w:lang w:val="en-US" w:eastAsia="zh-CN" w:bidi="ar"/>
              </w:rPr>
              <w:t xml:space="preserve">和沙发抗引燃特性的 评定第1部分：阴燃的香烟》、HJ 2547-2016《环境标志产品技术要求 家具》、QB/T 4371-2012《家具抗菌性能的评价》标准；长度、宽度极限偏差检测合格，厚度极限偏差检测合格，感官要求至少5项检测，物理力学性能（至少包含回弹率≥50%，拉伸强度≥150KPa，伸长率≥168%，撕裂强度≥4.5N/cm，干热老化后拉伸强度≥145KPa），密度≥50kg/m³，甲醛释放量≤0.03mg/m²h，TVOC≤0.05mg/m²h，抗引燃特性阻燃Ⅰ级，抗菌性能（抑菌率）≥95%。 </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绷带：依据</w:t>
            </w:r>
            <w:r>
              <w:rPr>
                <w:rFonts w:hint="eastAsia" w:ascii="宋体" w:hAnsi="宋体" w:cs="宋体"/>
                <w:i w:val="0"/>
                <w:iCs w:val="0"/>
                <w:color w:val="auto"/>
                <w:sz w:val="20"/>
                <w:szCs w:val="20"/>
                <w:highlight w:val="none"/>
                <w:u w:val="none"/>
                <w:lang w:val="en-US" w:eastAsia="zh-CN" w:bidi="ar"/>
              </w:rPr>
              <w:t xml:space="preserve">GB 18401-2023</w:t>
            </w:r>
            <w:r>
              <w:rPr>
                <w:rFonts w:hint="eastAsia" w:ascii="宋体" w:hAnsi="宋体" w:eastAsia="宋体" w:cs="宋体"/>
                <w:i w:val="0"/>
                <w:iCs w:val="0"/>
                <w:color w:val="auto"/>
                <w:sz w:val="20"/>
                <w:szCs w:val="20"/>
                <w:highlight w:val="none"/>
                <w:u w:val="none"/>
                <w:lang w:val="en-US" w:eastAsia="zh-CN" w:bidi="ar"/>
              </w:rPr>
              <w:t xml:space="preserve"> 《国家纺织产 品基本安全技术规范》；GB/T 31713-2015 《抗菌纺织品安全性卫生要求》；GB/T 20944. 2-2007《纺织品抗菌性能的评价 第2部分:吸收法》；</w:t>
            </w:r>
            <w:r>
              <w:rPr>
                <w:rFonts w:hint="eastAsia" w:ascii="宋体" w:hAnsi="宋体" w:cs="宋体"/>
                <w:i w:val="0"/>
                <w:iCs w:val="0"/>
                <w:color w:val="auto"/>
                <w:sz w:val="20"/>
                <w:szCs w:val="20"/>
                <w:highlight w:val="none"/>
                <w:u w:val="none"/>
                <w:lang w:val="en-US" w:eastAsia="zh-CN" w:bidi="ar"/>
              </w:rPr>
              <w:t xml:space="preserve">GB/T 35607-2024</w:t>
            </w:r>
            <w:r>
              <w:rPr>
                <w:rFonts w:hint="eastAsia" w:ascii="宋体" w:hAnsi="宋体" w:eastAsia="宋体" w:cs="宋体"/>
                <w:i w:val="0"/>
                <w:iCs w:val="0"/>
                <w:color w:val="auto"/>
                <w:sz w:val="20"/>
                <w:szCs w:val="20"/>
                <w:highlight w:val="none"/>
                <w:u w:val="none"/>
                <w:lang w:val="en-US" w:eastAsia="zh-CN" w:bidi="ar"/>
              </w:rPr>
              <w:t xml:space="preserve"> 《绿色产品评价家具》；HJ 2546-2016《环境标志产品技术要求纺织产品》检测标准；甲醛含量≤20mg/kg，可分解致癌芳香胺染料未检出，产品有害物质（纺织品、皮革中五氯苯酚（PCP）≤0.05mg/kg，PH值4.0～7.5，可萃取的重金属（砷、铅、钴、镍）未检出，抗菌性能（抑菌率）≥99%。</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蛇形弹簧：依据</w:t>
            </w:r>
            <w:r>
              <w:rPr>
                <w:rFonts w:hint="eastAsia" w:ascii="宋体" w:hAnsi="宋体" w:cs="宋体"/>
                <w:i w:val="0"/>
                <w:iCs w:val="0"/>
                <w:color w:val="auto"/>
                <w:sz w:val="20"/>
                <w:szCs w:val="20"/>
                <w:highlight w:val="none"/>
                <w:u w:val="none"/>
                <w:lang w:val="en-US" w:eastAsia="zh-CN" w:bidi="ar"/>
              </w:rPr>
              <w:t xml:space="preserve">GB/T 3325-2024</w:t>
            </w:r>
            <w:r>
              <w:rPr>
                <w:rFonts w:hint="eastAsia" w:ascii="宋体" w:hAnsi="宋体" w:eastAsia="宋体" w:cs="宋体"/>
                <w:i w:val="0"/>
                <w:iCs w:val="0"/>
                <w:color w:val="auto"/>
                <w:sz w:val="20"/>
                <w:szCs w:val="20"/>
                <w:highlight w:val="none"/>
                <w:u w:val="none"/>
                <w:lang w:val="en-US" w:eastAsia="zh-CN" w:bidi="ar"/>
              </w:rPr>
              <w:t xml:space="preserve">《金属家具通用技术条件》；GB/T 10125-2021《人造气氛腐蚀试验 盐雾试验》；QB/T 3832- 1999《轻工产品金属镀层腐蚀试验结果的评价》；QB/T 4371-2012《家具抗菌性能的评价》；GB/T 1741-2020 《漆膜耐霉菌性测定法》；</w:t>
            </w:r>
            <w:r>
              <w:rPr>
                <w:rFonts w:hint="eastAsia" w:ascii="宋体" w:hAnsi="宋体" w:cs="宋体"/>
                <w:i w:val="0"/>
                <w:iCs w:val="0"/>
                <w:color w:val="auto"/>
                <w:sz w:val="20"/>
                <w:szCs w:val="20"/>
                <w:highlight w:val="none"/>
                <w:u w:val="none"/>
                <w:lang w:val="en-US" w:eastAsia="zh-CN" w:bidi="ar"/>
              </w:rPr>
              <w:t xml:space="preserve">GB/T 35607-2024</w:t>
            </w:r>
            <w:r>
              <w:rPr>
                <w:rFonts w:hint="eastAsia" w:ascii="宋体" w:hAnsi="宋体" w:eastAsia="宋体" w:cs="宋体"/>
                <w:i w:val="0"/>
                <w:iCs w:val="0"/>
                <w:color w:val="auto"/>
                <w:sz w:val="20"/>
                <w:szCs w:val="20"/>
                <w:highlight w:val="none"/>
                <w:u w:val="none"/>
                <w:lang w:val="en-US" w:eastAsia="zh-CN" w:bidi="ar"/>
              </w:rPr>
              <w:t xml:space="preserve">《绿色产品评价 家具》标准；喷涂层无漏喷、锈蚀和脱色、掉色现象，乙酸盐雾试验≥220h，镀层本身的耐腐蚀等级≥10级，镀层对基体的保护等级≥10级；产品有害物质（铅、镉、汞、砷）未检出，抑菌率≥99%。</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框架：背底采用高频热压机加工成型多层弯曲木板，符合人体工程学。</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脚架：采用实木脚架。</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柜子：4000*2700*400mm；饰面：采用三聚氰胺浸渍胶膜纸，依据</w:t>
            </w:r>
            <w:r>
              <w:rPr>
                <w:rFonts w:hint="eastAsia" w:ascii="宋体" w:hAnsi="宋体" w:cs="宋体"/>
                <w:i w:val="0"/>
                <w:iCs w:val="0"/>
                <w:color w:val="auto"/>
                <w:sz w:val="20"/>
                <w:szCs w:val="20"/>
                <w:highlight w:val="none"/>
                <w:u w:val="none"/>
                <w:lang w:val="en-US" w:eastAsia="zh-CN" w:bidi="ar"/>
              </w:rPr>
              <w:t xml:space="preserve"> GB 18584-2024</w:t>
            </w:r>
            <w:r>
              <w:rPr>
                <w:rFonts w:hint="eastAsia" w:ascii="宋体" w:hAnsi="宋体" w:eastAsia="宋体" w:cs="宋体"/>
                <w:i w:val="0"/>
                <w:iCs w:val="0"/>
                <w:color w:val="auto"/>
                <w:sz w:val="20"/>
                <w:szCs w:val="20"/>
                <w:highlight w:val="none"/>
                <w:u w:val="none"/>
                <w:lang w:val="en-US" w:eastAsia="zh-CN" w:bidi="ar"/>
              </w:rPr>
              <w:t xml:space="preserve">《室内装饰装修材料木家具中有害物质限量》；LY/T 1831-2009《人造板饰面专用装饰纸》；</w:t>
            </w:r>
            <w:r>
              <w:rPr>
                <w:rFonts w:hint="eastAsia" w:ascii="宋体" w:hAnsi="宋体" w:cs="宋体"/>
                <w:i w:val="0"/>
                <w:iCs w:val="0"/>
                <w:color w:val="auto"/>
                <w:sz w:val="20"/>
                <w:szCs w:val="20"/>
                <w:highlight w:val="none"/>
                <w:u w:val="none"/>
                <w:lang w:val="en-US" w:eastAsia="zh-CN" w:bidi="ar"/>
              </w:rPr>
              <w:t xml:space="preserve">GB/T 35601-2024</w:t>
            </w:r>
            <w:r>
              <w:rPr>
                <w:rFonts w:hint="eastAsia" w:ascii="宋体" w:hAnsi="宋体" w:eastAsia="宋体" w:cs="宋体"/>
                <w:i w:val="0"/>
                <w:iCs w:val="0"/>
                <w:color w:val="auto"/>
                <w:sz w:val="20"/>
                <w:szCs w:val="20"/>
                <w:highlight w:val="none"/>
                <w:u w:val="none"/>
                <w:lang w:val="en-US" w:eastAsia="zh-CN" w:bidi="ar"/>
              </w:rPr>
              <w:t xml:space="preserve">《绿色产品评价 人造板和木质地板》标准；耐热性1级，苯≤5㎍/m³，挥发物含量5%-9%，甲醛释放量≤0.5mg/L。 </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基材：采用不低于E0级刨花板，依据GB/T 17657-2022《人造板及饰面人造板理化性能试验方法》；GB/T 39600-2021《人造板及其制品甲醛释放量分级》；GB 18580-2017《室内装饰装修材料人造板及其制品中甲醛释放限量》；</w:t>
            </w:r>
            <w:r>
              <w:rPr>
                <w:rFonts w:hint="eastAsia" w:ascii="宋体" w:hAnsi="宋体" w:cs="宋体"/>
                <w:i w:val="0"/>
                <w:iCs w:val="0"/>
                <w:color w:val="auto"/>
                <w:sz w:val="20"/>
                <w:szCs w:val="20"/>
                <w:highlight w:val="none"/>
                <w:u w:val="none"/>
                <w:lang w:val="en-US" w:eastAsia="zh-CN" w:bidi="ar"/>
              </w:rPr>
              <w:t xml:space="preserve">GB/T 35601-2024</w:t>
            </w:r>
            <w:r>
              <w:rPr>
                <w:rFonts w:hint="eastAsia" w:ascii="宋体" w:hAnsi="宋体" w:eastAsia="宋体" w:cs="宋体"/>
                <w:i w:val="0"/>
                <w:iCs w:val="0"/>
                <w:color w:val="auto"/>
                <w:sz w:val="20"/>
                <w:szCs w:val="20"/>
                <w:highlight w:val="none"/>
                <w:u w:val="none"/>
                <w:lang w:val="en-US" w:eastAsia="zh-CN" w:bidi="ar"/>
              </w:rPr>
              <w:t xml:space="preserve">《绿色产品评价人造板和木质地板》；QB/T 4371-2012《家具抗菌性能的评价》；GB 8624-2012《建筑材料及制品燃烧性能分级》；</w:t>
            </w:r>
            <w:r>
              <w:rPr>
                <w:rFonts w:hint="eastAsia" w:ascii="宋体" w:hAnsi="宋体" w:cs="宋体"/>
                <w:i w:val="0"/>
                <w:iCs w:val="0"/>
                <w:color w:val="auto"/>
                <w:sz w:val="20"/>
                <w:szCs w:val="20"/>
                <w:highlight w:val="none"/>
                <w:u w:val="none"/>
                <w:lang w:val="en-US" w:eastAsia="zh-CN" w:bidi="ar"/>
              </w:rPr>
              <w:t xml:space="preserve"> GB 18584-2024</w:t>
            </w:r>
            <w:r>
              <w:rPr>
                <w:rFonts w:hint="eastAsia" w:ascii="宋体" w:hAnsi="宋体" w:eastAsia="宋体" w:cs="宋体"/>
                <w:i w:val="0"/>
                <w:iCs w:val="0"/>
                <w:color w:val="auto"/>
                <w:sz w:val="20"/>
                <w:szCs w:val="20"/>
                <w:highlight w:val="none"/>
                <w:u w:val="none"/>
                <w:lang w:val="en-US" w:eastAsia="zh-CN" w:bidi="ar"/>
              </w:rPr>
              <w:t xml:space="preserve">《室内装饰装修材料木家具中有害物质限量》；GB/T 4897-2015《刨花板》；外观质量至少4项检测，含水率3%～8%，静曲强度≥15MPa，弹性模量≥2000MPa，内胶合强度≥0.55MPa，表面胶合强度≥1.5MPa，2h吸水厚度膨胀率≤3%，板边握螺钉力≥1400N，板面握螺钉力≥1600N，密度≥0.75g/cm³，甲醛释放量≤0.05mg/m³，总挥发性有机化合物≤20㎍/m³，防霉菌等级0级或1级，60s内无燃烧滴落物引燃滤纸现象。</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封边：采用</w:t>
            </w:r>
            <w:r>
              <w:rPr>
                <w:rFonts w:hint="eastAsia" w:ascii="宋体" w:hAnsi="宋体" w:cs="宋体"/>
                <w:i w:val="0"/>
                <w:iCs w:val="0"/>
                <w:color w:val="auto"/>
                <w:sz w:val="20"/>
                <w:szCs w:val="20"/>
                <w:highlight w:val="none"/>
                <w:u w:val="none"/>
                <w:lang w:val="en-US" w:eastAsia="zh-CN" w:bidi="ar"/>
              </w:rPr>
              <w:t xml:space="preserve">ABS</w:t>
            </w:r>
            <w:r>
              <w:rPr>
                <w:rFonts w:hint="eastAsia" w:ascii="宋体" w:hAnsi="宋体" w:eastAsia="宋体" w:cs="宋体"/>
                <w:i w:val="0"/>
                <w:iCs w:val="0"/>
                <w:color w:val="auto"/>
                <w:sz w:val="20"/>
                <w:szCs w:val="20"/>
                <w:highlight w:val="none"/>
                <w:u w:val="none"/>
                <w:lang w:val="en-US" w:eastAsia="zh-CN" w:bidi="ar"/>
              </w:rPr>
              <w:t xml:space="preserve">激光封边条，依据</w:t>
            </w:r>
            <w:r>
              <w:rPr>
                <w:rFonts w:hint="eastAsia" w:ascii="宋体" w:hAnsi="宋体" w:cs="宋体"/>
                <w:i w:val="0"/>
                <w:iCs w:val="0"/>
                <w:color w:val="auto"/>
                <w:sz w:val="20"/>
                <w:szCs w:val="20"/>
                <w:highlight w:val="none"/>
                <w:u w:val="none"/>
                <w:lang w:val="en-US" w:eastAsia="zh-CN" w:bidi="ar"/>
              </w:rPr>
              <w:t xml:space="preserve">QB/T 4463-2025</w:t>
            </w:r>
            <w:r>
              <w:rPr>
                <w:rFonts w:hint="eastAsia" w:ascii="宋体" w:hAnsi="宋体" w:eastAsia="宋体" w:cs="宋体"/>
                <w:i w:val="0"/>
                <w:iCs w:val="0"/>
                <w:color w:val="auto"/>
                <w:sz w:val="20"/>
                <w:szCs w:val="20"/>
                <w:highlight w:val="none"/>
                <w:u w:val="none"/>
                <w:lang w:val="en-US" w:eastAsia="zh-CN" w:bidi="ar"/>
              </w:rPr>
              <w:t xml:space="preserve">《家具用封边条技术要求》；GB/T 24128-2018《塑料 塑料防霉剂的防霉效果评估》</w:t>
            </w:r>
            <w:r>
              <w:rPr>
                <w:rFonts w:hint="eastAsia" w:ascii="宋体" w:hAnsi="宋体" w:cs="宋体"/>
                <w:i w:val="0"/>
                <w:iCs w:val="0"/>
                <w:color w:val="auto"/>
                <w:sz w:val="20"/>
                <w:szCs w:val="20"/>
                <w:highlight w:val="none"/>
                <w:u w:val="none"/>
                <w:lang w:val="en-US" w:eastAsia="zh-CN" w:bidi="ar"/>
              </w:rPr>
              <w:t xml:space="preserve">；GB 18584-2024</w:t>
            </w:r>
            <w:r>
              <w:rPr>
                <w:rFonts w:hint="eastAsia" w:ascii="宋体" w:hAnsi="宋体" w:eastAsia="宋体" w:cs="宋体"/>
                <w:i w:val="0"/>
                <w:iCs w:val="0"/>
                <w:color w:val="auto"/>
                <w:sz w:val="20"/>
                <w:szCs w:val="20"/>
                <w:highlight w:val="none"/>
                <w:u w:val="none"/>
                <w:lang w:val="en-US" w:eastAsia="zh-CN" w:bidi="ar"/>
              </w:rPr>
              <w:t xml:space="preserve">《塑料家具中有害物质限量》标准；厚度≥1.8mm。压纹（压花）表面有统一的花式。耐开裂性1级，耐老化性无开裂，甲醛释放量≤0.5mg/L，防霉等级0级或1级，16种多环芳烃（PAH）总量≤5mg/kg。 </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热熔胶：选用</w:t>
            </w:r>
            <w:r>
              <w:rPr>
                <w:rFonts w:hint="eastAsia" w:ascii="宋体" w:hAnsi="宋体" w:cs="宋体"/>
                <w:i w:val="0"/>
                <w:iCs w:val="0"/>
                <w:color w:val="auto"/>
                <w:sz w:val="20"/>
                <w:szCs w:val="20"/>
                <w:highlight w:val="none"/>
                <w:u w:val="none"/>
                <w:lang w:val="en-US" w:eastAsia="zh-CN" w:bidi="ar"/>
              </w:rPr>
              <w:t xml:space="preserve">环保</w:t>
            </w:r>
            <w:r>
              <w:rPr>
                <w:rFonts w:hint="eastAsia" w:ascii="宋体" w:hAnsi="宋体" w:eastAsia="宋体" w:cs="宋体"/>
                <w:i w:val="0"/>
                <w:iCs w:val="0"/>
                <w:color w:val="auto"/>
                <w:sz w:val="20"/>
                <w:szCs w:val="20"/>
                <w:highlight w:val="none"/>
                <w:u w:val="none"/>
                <w:lang w:val="en-US" w:eastAsia="zh-CN" w:bidi="ar"/>
              </w:rPr>
              <w:t xml:space="preserve">热熔胶，依据GB18583-2008《室内装饰装修材料胶粘剂中有害物质限量》﹔HJ2541-2016《环境标志产品技术要求胶粘剂》标准；游离甲醛≤0.1g/kg，苯≤0.02g/kg，甲苯≤0.02g/kg，二甲苯≤0.02g/kg，总挥发性有机物≤5g/L，游离甲苯二异氰酸酯≤1g/kg。 </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五金配件：采用品牌五金配件，导轨依据GB/T 10125-2021《人造气氛腐蚀试验盐雾试验》；QB/T 3832- 1999《轻工产品金属镀层腐蚀试验结果的评价》； </w:t>
            </w:r>
            <w:r>
              <w:rPr>
                <w:rFonts w:hint="eastAsia" w:ascii="宋体" w:hAnsi="宋体" w:cs="宋体"/>
                <w:i w:val="0"/>
                <w:iCs w:val="0"/>
                <w:color w:val="auto"/>
                <w:sz w:val="20"/>
                <w:szCs w:val="20"/>
                <w:highlight w:val="none"/>
                <w:u w:val="none"/>
                <w:lang w:val="en-US" w:eastAsia="zh-CN" w:bidi="ar"/>
              </w:rPr>
              <w:t xml:space="preserve">GB/T 24170.1-2023</w:t>
            </w:r>
            <w:r>
              <w:rPr>
                <w:rFonts w:hint="eastAsia" w:ascii="宋体" w:hAnsi="宋体" w:eastAsia="宋体" w:cs="宋体"/>
                <w:i w:val="0"/>
                <w:iCs w:val="0"/>
                <w:color w:val="auto"/>
                <w:sz w:val="20"/>
                <w:szCs w:val="20"/>
                <w:highlight w:val="none"/>
                <w:u w:val="none"/>
                <w:lang w:val="en-US" w:eastAsia="zh-CN" w:bidi="ar"/>
              </w:rPr>
              <w:t xml:space="preserve">《表</w:t>
            </w:r>
            <w:r>
              <w:rPr>
                <w:rFonts w:hint="eastAsia" w:ascii="宋体" w:hAnsi="宋体" w:eastAsia="宋体" w:cs="宋体"/>
                <w:i w:val="0"/>
                <w:iCs w:val="0"/>
                <w:color w:val="auto"/>
                <w:sz w:val="20"/>
                <w:szCs w:val="20"/>
                <w:highlight w:val="none"/>
                <w:u w:val="none"/>
                <w:lang w:val="en-US" w:eastAsia="zh-CN" w:bidi="ar"/>
              </w:rPr>
              <w:t xml:space="preserve">面抗菌不锈钢第1部分:电化学法》； QB/T 2454-2013《家具五金抽屉导轨》检测标准；中性盐雾试验≥500h，镀层本身的耐腐蚀等级≥10级，镀层对基体的保护等级≥10级；乙酸盐雾试验≥250h，镀层本身的耐腐蚀等级≥10级，镀层对基体的保护等级≥10级；耐久性≥12万次检测合格，抗菌性能（抗菌率）≥99%。铰链依据QB/T 2189-2013《家具五金杯状暗铰链》；GB/T 10125 -2021《人造气氛腐蚀试验盐雾 试验》； QB/T 3832-1999 《轻工产品金属镀层腐蚀试验结果的评价》；</w:t>
            </w:r>
            <w:r>
              <w:rPr>
                <w:rFonts w:hint="eastAsia" w:ascii="宋体" w:hAnsi="宋体" w:cs="宋体"/>
                <w:i w:val="0"/>
                <w:iCs w:val="0"/>
                <w:color w:val="auto"/>
                <w:sz w:val="20"/>
                <w:szCs w:val="20"/>
                <w:highlight w:val="none"/>
                <w:u w:val="none"/>
                <w:lang w:val="en-US" w:eastAsia="zh-CN" w:bidi="ar"/>
              </w:rPr>
              <w:t xml:space="preserve">GB/T 24170.1-2023</w:t>
            </w:r>
            <w:r>
              <w:rPr>
                <w:rFonts w:hint="eastAsia" w:ascii="宋体" w:hAnsi="宋体" w:eastAsia="宋体" w:cs="宋体"/>
                <w:i w:val="0"/>
                <w:iCs w:val="0"/>
                <w:color w:val="auto"/>
                <w:sz w:val="20"/>
                <w:szCs w:val="20"/>
                <w:highlight w:val="none"/>
                <w:u w:val="none"/>
                <w:lang w:val="en-US" w:eastAsia="zh-CN" w:bidi="ar"/>
              </w:rPr>
              <w:t xml:space="preserve">《表面抗菌不锈钢第1部分:电化学法》检测标准；中性盐雾试验≥500h，镀层本身的耐腐蚀等级≥10级，镀层对基体的保护等级≥10级；乙酸盐雾试验≥250h，镀层本身的耐腐蚀等级≥10级，镀层对基体的保护等级≥10级；耐久性≥12万次检测合格，安装B型试验门时，下沉量不大于1.5mm，抗菌性能（抗菌率）≥99%。</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吧台：1、人造石台面</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2、E0级多层板柜体,甲醛含量≤1.2mg/L，具有防水、防烫、防污、防酸、防碱、</w:t>
            </w:r>
            <w:r>
              <w:rPr>
                <w:rFonts w:hint="eastAsia" w:ascii="宋体" w:hAnsi="宋体" w:cs="宋体"/>
                <w:i w:val="0"/>
                <w:iCs w:val="0"/>
                <w:color w:val="auto"/>
                <w:sz w:val="20"/>
                <w:szCs w:val="20"/>
                <w:highlight w:val="none"/>
                <w:u w:val="none"/>
                <w:lang w:val="en-US" w:eastAsia="zh-CN" w:bidi="ar"/>
              </w:rPr>
              <w:t xml:space="preserve">防火；五金配件</w:t>
            </w:r>
            <w:r>
              <w:rPr>
                <w:rFonts w:hint="eastAsia" w:ascii="宋体" w:hAnsi="宋体" w:eastAsia="宋体" w:cs="宋体"/>
                <w:i w:val="0"/>
                <w:iCs w:val="0"/>
                <w:color w:val="auto"/>
                <w:sz w:val="20"/>
                <w:szCs w:val="20"/>
                <w:highlight w:val="none"/>
                <w:u w:val="none"/>
                <w:lang w:val="en-US" w:eastAsia="zh-CN" w:bidi="ar"/>
              </w:rPr>
              <w:t xml:space="preserve">：锁具、导轨和门铰。</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3、8000*1400*400mm</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教师餐厅：</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2.4m圆桌：D2400*760mm,1、饰面：采用木皮，依据</w:t>
            </w:r>
            <w:r>
              <w:rPr>
                <w:rFonts w:hint="eastAsia" w:ascii="宋体" w:hAnsi="宋体" w:cs="宋体"/>
                <w:i w:val="0"/>
                <w:iCs w:val="0"/>
                <w:color w:val="auto"/>
                <w:sz w:val="20"/>
                <w:szCs w:val="20"/>
                <w:highlight w:val="none"/>
                <w:u w:val="none"/>
                <w:lang w:val="en-US" w:eastAsia="zh-CN" w:bidi="ar"/>
              </w:rPr>
              <w:t xml:space="preserve">GB/T 35601-2024</w:t>
            </w:r>
            <w:r>
              <w:rPr>
                <w:rFonts w:hint="eastAsia" w:ascii="宋体" w:hAnsi="宋体" w:eastAsia="宋体" w:cs="宋体"/>
                <w:i w:val="0"/>
                <w:iCs w:val="0"/>
                <w:color w:val="auto"/>
                <w:sz w:val="20"/>
                <w:szCs w:val="20"/>
                <w:highlight w:val="none"/>
                <w:u w:val="none"/>
                <w:lang w:val="en-US" w:eastAsia="zh-CN" w:bidi="ar"/>
              </w:rPr>
              <w:t xml:space="preserve">《绿色产品评价人造板和木质地板》；</w:t>
            </w:r>
            <w:r>
              <w:rPr>
                <w:rFonts w:hint="eastAsia" w:ascii="宋体" w:hAnsi="宋体" w:cs="宋体"/>
                <w:i w:val="0"/>
                <w:iCs w:val="0"/>
                <w:color w:val="auto"/>
                <w:sz w:val="20"/>
                <w:szCs w:val="20"/>
                <w:highlight w:val="none"/>
                <w:u w:val="none"/>
                <w:lang w:val="en-US" w:eastAsia="zh-CN" w:bidi="ar"/>
              </w:rPr>
              <w:t xml:space="preserve"> GB 18584-2024</w:t>
            </w:r>
            <w:r>
              <w:rPr>
                <w:rFonts w:hint="eastAsia" w:ascii="宋体" w:hAnsi="宋体" w:eastAsia="宋体" w:cs="宋体"/>
                <w:i w:val="0"/>
                <w:iCs w:val="0"/>
                <w:color w:val="auto"/>
                <w:sz w:val="20"/>
                <w:szCs w:val="20"/>
                <w:highlight w:val="none"/>
                <w:u w:val="none"/>
                <w:lang w:val="en-US" w:eastAsia="zh-CN" w:bidi="ar"/>
              </w:rPr>
              <w:t xml:space="preserve">《室内装饰装修材料木家具中有害物质限量》；GB/T 13010-2020《木材工业用单板》；</w:t>
            </w:r>
            <w:r>
              <w:rPr>
                <w:rFonts w:hint="eastAsia" w:ascii="宋体" w:hAnsi="宋体" w:cs="宋体"/>
                <w:i w:val="0"/>
                <w:iCs w:val="0"/>
                <w:color w:val="auto"/>
                <w:sz w:val="20"/>
                <w:szCs w:val="20"/>
                <w:highlight w:val="none"/>
                <w:u w:val="none"/>
                <w:lang w:val="en-US" w:eastAsia="zh-CN" w:bidi="ar"/>
              </w:rPr>
              <w:t xml:space="preserve">GB/T 3324-2024</w:t>
            </w:r>
            <w:r>
              <w:rPr>
                <w:rFonts w:hint="eastAsia" w:ascii="宋体" w:hAnsi="宋体" w:eastAsia="宋体" w:cs="宋体"/>
                <w:i w:val="0"/>
                <w:iCs w:val="0"/>
                <w:color w:val="auto"/>
                <w:sz w:val="20"/>
                <w:szCs w:val="20"/>
                <w:highlight w:val="none"/>
                <w:u w:val="none"/>
                <w:lang w:val="en-US" w:eastAsia="zh-CN" w:bidi="ar"/>
              </w:rPr>
              <w:t xml:space="preserve">《木家具通用技术条件》标准；厚度≥0.6mm，总挥发性有机化合物≤20㎍/m³，甲醛释放量≤0.5mg/L，单板含水率3%～8%，无贯通裂缝、无虫蛀现象，无腐朽材。</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2、基材：采用不低于E0级高密度纤维板，依据GB/T 31765-2015《高密度纤维板》；GB/T 17657-2022《人造板及饰面人造板理化性能试验方法》；GB/T 39600-2021《人造板及其制品甲醛释放量分级》；GB 18580-2017《室内装饰装修材料人造板及其制品中甲醛释放限量》；</w:t>
            </w:r>
            <w:r>
              <w:rPr>
                <w:rFonts w:hint="eastAsia" w:ascii="宋体" w:hAnsi="宋体" w:cs="宋体"/>
                <w:i w:val="0"/>
                <w:iCs w:val="0"/>
                <w:color w:val="auto"/>
                <w:sz w:val="20"/>
                <w:szCs w:val="20"/>
                <w:highlight w:val="none"/>
                <w:u w:val="none"/>
                <w:lang w:val="en-US" w:eastAsia="zh-CN" w:bidi="ar"/>
              </w:rPr>
              <w:t xml:space="preserve">GB/T 35601-2024</w:t>
            </w:r>
            <w:r>
              <w:rPr>
                <w:rFonts w:hint="eastAsia" w:ascii="宋体" w:hAnsi="宋体" w:eastAsia="宋体" w:cs="宋体"/>
                <w:i w:val="0"/>
                <w:iCs w:val="0"/>
                <w:color w:val="auto"/>
                <w:sz w:val="20"/>
                <w:szCs w:val="20"/>
                <w:highlight w:val="none"/>
                <w:u w:val="none"/>
                <w:lang w:val="en-US" w:eastAsia="zh-CN" w:bidi="ar"/>
              </w:rPr>
              <w:t xml:space="preserve">《绿色产品评价人造板和木质地板》；JC/T 2039-2010《抗菌防霉木质装饰板》标准；无油污、斑点或异物，无边角缺损，内结合强度，表面结合强度均符合要求，密度≥0.85g/cm³，含水率3%～8%，弹性模量≥4000MPa，吸水厚度膨胀率≤3%，垂直板面握螺钉力板边≥1300N，垂直板面握螺钉力板面≥1500N，甲醛释放量≤0.03mg/m³，总挥发性有机化合物≤20㎍/m³，防霉菌等级0级或1级。</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3、封边：采用实木封边条，依据</w:t>
            </w:r>
            <w:r>
              <w:rPr>
                <w:rFonts w:hint="eastAsia" w:ascii="宋体" w:hAnsi="宋体" w:cs="宋体"/>
                <w:i w:val="0"/>
                <w:iCs w:val="0"/>
                <w:color w:val="auto"/>
                <w:sz w:val="20"/>
                <w:szCs w:val="20"/>
                <w:highlight w:val="none"/>
                <w:u w:val="none"/>
                <w:lang w:val="en-US" w:eastAsia="zh-CN" w:bidi="ar"/>
              </w:rPr>
              <w:t xml:space="preserve">QB/T 4463-2025</w:t>
            </w:r>
            <w:r>
              <w:rPr>
                <w:rFonts w:hint="eastAsia" w:ascii="宋体" w:hAnsi="宋体" w:eastAsia="宋体" w:cs="宋体"/>
                <w:i w:val="0"/>
                <w:iCs w:val="0"/>
                <w:color w:val="auto"/>
                <w:sz w:val="20"/>
                <w:szCs w:val="20"/>
                <w:highlight w:val="none"/>
                <w:u w:val="none"/>
                <w:lang w:val="en-US" w:eastAsia="zh-CN" w:bidi="ar"/>
              </w:rPr>
              <w:t xml:space="preserve">《家具用封边条技术要求》、QB/T 4371-2012《家具抗菌性能的评价》检测标准；厚度≥3mm，含水率8%～11%，甲醛释放量≤0.5mg/L，抗菌性能（抗细菌率）≥99.5%。</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4、油漆：采用环保油漆，依据GB 18581-2020《木器涂料中有害物质限量》；</w:t>
            </w:r>
            <w:r>
              <w:rPr>
                <w:rFonts w:hint="eastAsia" w:ascii="宋体" w:hAnsi="宋体" w:cs="宋体"/>
                <w:i w:val="0"/>
                <w:iCs w:val="0"/>
                <w:color w:val="auto"/>
                <w:sz w:val="20"/>
                <w:szCs w:val="20"/>
                <w:highlight w:val="none"/>
                <w:u w:val="none"/>
                <w:lang w:val="en-US" w:eastAsia="zh-CN" w:bidi="ar"/>
              </w:rPr>
              <w:t xml:space="preserve">GB/T 21866-2025</w:t>
            </w:r>
            <w:r>
              <w:rPr>
                <w:rFonts w:hint="eastAsia" w:ascii="宋体" w:hAnsi="宋体" w:eastAsia="宋体" w:cs="宋体"/>
                <w:i w:val="0"/>
                <w:iCs w:val="0"/>
                <w:color w:val="auto"/>
                <w:sz w:val="20"/>
                <w:szCs w:val="20"/>
                <w:highlight w:val="none"/>
                <w:u w:val="none"/>
                <w:lang w:val="en-US" w:eastAsia="zh-CN" w:bidi="ar"/>
              </w:rPr>
              <w:t xml:space="preserve">《抗菌涂料（漆膜）抗菌性测定法和抗菌效果》；</w:t>
            </w:r>
            <w:r>
              <w:rPr>
                <w:rFonts w:hint="eastAsia" w:ascii="宋体" w:hAnsi="宋体" w:cs="宋体"/>
                <w:i w:val="0"/>
                <w:iCs w:val="0"/>
                <w:color w:val="auto"/>
                <w:sz w:val="20"/>
                <w:szCs w:val="20"/>
                <w:highlight w:val="none"/>
                <w:u w:val="none"/>
                <w:lang w:val="en-US" w:eastAsia="zh-CN" w:bidi="ar"/>
              </w:rPr>
              <w:t xml:space="preserve">GB/T 6739-2020</w:t>
            </w:r>
            <w:r>
              <w:rPr>
                <w:rFonts w:hint="eastAsia" w:ascii="宋体" w:hAnsi="宋体" w:eastAsia="宋体" w:cs="宋体"/>
                <w:i w:val="0"/>
                <w:iCs w:val="0"/>
                <w:color w:val="auto"/>
                <w:sz w:val="20"/>
                <w:szCs w:val="20"/>
                <w:highlight w:val="none"/>
                <w:u w:val="none"/>
                <w:lang w:val="en-US" w:eastAsia="zh-CN" w:bidi="ar"/>
              </w:rPr>
              <w:t xml:space="preserve">《色漆和清漆铅笔法测定漆膜硬度》﹔GB/T 23997-2009《室内装饰装修用溶剂型聚氨酯木器涂料》；</w:t>
            </w:r>
            <w:r>
              <w:rPr>
                <w:rFonts w:hint="eastAsia" w:ascii="宋体" w:hAnsi="宋体" w:cs="宋体"/>
                <w:i w:val="0"/>
                <w:iCs w:val="0"/>
                <w:color w:val="auto"/>
                <w:sz w:val="20"/>
                <w:szCs w:val="20"/>
                <w:highlight w:val="none"/>
                <w:u w:val="none"/>
                <w:lang w:val="en-US" w:eastAsia="zh-CN" w:bidi="ar"/>
              </w:rPr>
              <w:t xml:space="preserve">HJ 2573-2016</w:t>
            </w:r>
            <w:r>
              <w:rPr>
                <w:rFonts w:hint="eastAsia" w:ascii="宋体" w:hAnsi="宋体" w:eastAsia="宋体" w:cs="宋体"/>
                <w:i w:val="0"/>
                <w:iCs w:val="0"/>
                <w:color w:val="auto"/>
                <w:sz w:val="20"/>
                <w:szCs w:val="20"/>
                <w:highlight w:val="none"/>
                <w:u w:val="none"/>
                <w:lang w:val="en-US" w:eastAsia="zh-CN" w:bidi="ar"/>
              </w:rPr>
              <w:t xml:space="preserve">《环境标志产品技术要求 室内装饰装修用溶剂型木器涂料》标准；VOC含量≤5g/L，总铅含量≤2mg/kg，镉含量≤2mg/kg，铬含量≤2mg/kg，汞含量≤2mg/kg，乙二醇醚及醚酯总和含量（限乙二醇甲醚、乙二醇甲醚醋酸酯、乙二醇乙醚、乙二醇乙醚醋酸酯、乙二醇二甲醚、乙二醇二乙醚、二乙二醇二甲醚、三乙二醇二甲醚)≤20mg/kg，苯含量≤0.1%，甲醛含量≤10mg/kg，甲苯与二甲苯（含乙苯）总和含量≤5%，多环芳烃总和含量≤1mg/kg，抗菌性能（抗细菌率）≥99.5%，附着力1级。</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5、水性胶粘剂：选用环保胶，依据GB 18583-2008《室内装饰装修材料胶粘剂中有害物质限量》；HJ 2541-2016《环境标志产品技术要求胶粘剂》标准；游离甲醛≤0.5g/kg，总挥发性有机物≤5g/L，卤代烃≤0.1g/kg。</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6、五金配件：采用品牌五金配件，导轨依据GB/T 10125-2021《人造气氛腐蚀试验盐雾试验》；QB/T 3832- 1999《轻工产品金属镀层腐蚀试验结果的评价》； </w:t>
            </w:r>
            <w:r>
              <w:rPr>
                <w:rFonts w:hint="eastAsia" w:ascii="宋体" w:hAnsi="宋体" w:cs="宋体"/>
                <w:i w:val="0"/>
                <w:iCs w:val="0"/>
                <w:color w:val="auto"/>
                <w:sz w:val="20"/>
                <w:szCs w:val="20"/>
                <w:highlight w:val="none"/>
                <w:u w:val="none"/>
                <w:lang w:val="en-US" w:eastAsia="zh-CN" w:bidi="ar"/>
              </w:rPr>
              <w:t xml:space="preserve">GB/T 24170.1-2023</w:t>
            </w:r>
            <w:r>
              <w:rPr>
                <w:rFonts w:hint="eastAsia" w:ascii="宋体" w:hAnsi="宋体" w:eastAsia="宋体" w:cs="宋体"/>
                <w:i w:val="0"/>
                <w:iCs w:val="0"/>
                <w:color w:val="auto"/>
                <w:sz w:val="20"/>
                <w:szCs w:val="20"/>
                <w:highlight w:val="none"/>
                <w:u w:val="none"/>
                <w:lang w:val="en-US" w:eastAsia="zh-CN" w:bidi="ar"/>
              </w:rPr>
              <w:t xml:space="preserve">《表</w:t>
            </w:r>
            <w:r>
              <w:rPr>
                <w:rFonts w:hint="eastAsia" w:ascii="宋体" w:hAnsi="宋体" w:eastAsia="宋体" w:cs="宋体"/>
                <w:i w:val="0"/>
                <w:iCs w:val="0"/>
                <w:color w:val="auto"/>
                <w:sz w:val="20"/>
                <w:szCs w:val="20"/>
                <w:highlight w:val="none"/>
                <w:u w:val="none"/>
                <w:lang w:val="en-US" w:eastAsia="zh-CN" w:bidi="ar"/>
              </w:rPr>
              <w:t xml:space="preserve">面抗菌不锈钢第1部分:电化学法》； QB/T 2454-2013《家具五金抽屉导轨》检测标准；中性盐雾试验≥500h，镀层本身的耐腐蚀等级≥10级，镀层对基体的保护等级≥10级；乙酸盐雾试验≥250h，镀层本身的耐腐蚀等级≥10级，镀层对基体的保护等级≥10级；耐久性≥12万次检测合格，抗菌性能（抗菌率）≥99%。铰链依据QB/T 2189-2013《家具五金杯状暗铰链》；GB/T 10125 -2021《人造气氛腐蚀试验盐雾 试验》； QB/T 3832-1999 《轻工产品金属镀层腐蚀试验结果的评价》；</w:t>
            </w:r>
            <w:r>
              <w:rPr>
                <w:rFonts w:hint="eastAsia" w:ascii="宋体" w:hAnsi="宋体" w:cs="宋体"/>
                <w:i w:val="0"/>
                <w:iCs w:val="0"/>
                <w:color w:val="auto"/>
                <w:sz w:val="20"/>
                <w:szCs w:val="20"/>
                <w:highlight w:val="none"/>
                <w:u w:val="none"/>
                <w:lang w:val="en-US" w:eastAsia="zh-CN" w:bidi="ar"/>
              </w:rPr>
              <w:t xml:space="preserve">GB/T 24170.1-2023</w:t>
            </w:r>
            <w:r>
              <w:rPr>
                <w:rFonts w:hint="eastAsia" w:ascii="宋体" w:hAnsi="宋体" w:eastAsia="宋体" w:cs="宋体"/>
                <w:i w:val="0"/>
                <w:iCs w:val="0"/>
                <w:color w:val="auto"/>
                <w:sz w:val="20"/>
                <w:szCs w:val="20"/>
                <w:highlight w:val="none"/>
                <w:u w:val="none"/>
                <w:lang w:val="en-US" w:eastAsia="zh-CN" w:bidi="ar"/>
              </w:rPr>
              <w:t xml:space="preserve">《表面抗菌不锈钢第1部分:电化学法》检测标准；中性盐雾试验≥500h，镀层本身的耐腐蚀等级≥10级，镀层对基体的保护等级≥10级；乙酸盐雾试验≥250h，镀层本身的耐腐蚀等级≥10级，镀层对基体的保护等级≥10级；耐久性≥12万次检测合格，安装B型试验门时，下沉量不大于1.5mm，抗菌性能（抗菌率）≥99%。</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餐椅：面料：选用</w:t>
            </w:r>
            <w:r>
              <w:rPr>
                <w:rFonts w:hint="eastAsia" w:ascii="宋体" w:hAnsi="宋体" w:cs="宋体"/>
                <w:i w:val="0"/>
                <w:iCs w:val="0"/>
                <w:color w:val="auto"/>
                <w:sz w:val="20"/>
                <w:szCs w:val="20"/>
                <w:highlight w:val="none"/>
                <w:u w:val="none"/>
                <w:lang w:val="en-US" w:eastAsia="zh-CN" w:bidi="ar"/>
              </w:rPr>
              <w:t xml:space="preserve">皮料</w:t>
            </w:r>
            <w:r>
              <w:rPr>
                <w:rFonts w:hint="eastAsia" w:ascii="宋体" w:hAnsi="宋体" w:eastAsia="宋体" w:cs="宋体"/>
                <w:i w:val="0"/>
                <w:iCs w:val="0"/>
                <w:color w:val="auto"/>
                <w:sz w:val="20"/>
                <w:szCs w:val="20"/>
                <w:highlight w:val="none"/>
                <w:u w:val="none"/>
                <w:lang w:val="en-US" w:eastAsia="zh-CN" w:bidi="ar"/>
              </w:rPr>
              <w:t xml:space="preserve">，依据GB/T 16799-2018《家具用皮革》；QB/T 4199-2011《皮革 防霉性能测试方法》﹔</w:t>
            </w:r>
            <w:r>
              <w:rPr>
                <w:rFonts w:hint="eastAsia" w:ascii="宋体" w:hAnsi="宋体" w:cs="宋体"/>
                <w:i w:val="0"/>
                <w:iCs w:val="0"/>
                <w:color w:val="auto"/>
                <w:sz w:val="20"/>
                <w:szCs w:val="20"/>
                <w:highlight w:val="none"/>
                <w:u w:val="none"/>
                <w:lang w:val="en-US" w:eastAsia="zh-CN" w:bidi="ar"/>
              </w:rPr>
              <w:t xml:space="preserve">GB/T 35607-2024</w:t>
            </w:r>
            <w:r>
              <w:rPr>
                <w:rFonts w:hint="eastAsia" w:ascii="宋体" w:hAnsi="宋体" w:eastAsia="宋体" w:cs="宋体"/>
                <w:i w:val="0"/>
                <w:iCs w:val="0"/>
                <w:color w:val="auto"/>
                <w:sz w:val="20"/>
                <w:szCs w:val="20"/>
                <w:highlight w:val="none"/>
                <w:u w:val="none"/>
                <w:lang w:val="en-US" w:eastAsia="zh-CN" w:bidi="ar"/>
              </w:rPr>
              <w:t xml:space="preserve">《绿色产品评价 家具》；</w:t>
            </w:r>
            <w:r>
              <w:rPr>
                <w:rFonts w:hint="eastAsia" w:ascii="宋体" w:hAnsi="宋体" w:cs="宋体"/>
                <w:i w:val="0"/>
                <w:iCs w:val="0"/>
                <w:color w:val="auto"/>
                <w:sz w:val="20"/>
                <w:szCs w:val="20"/>
                <w:highlight w:val="none"/>
                <w:u w:val="none"/>
                <w:lang w:val="en-US" w:eastAsia="zh-CN" w:bidi="ar"/>
              </w:rPr>
              <w:t xml:space="preserve">GB 17927-2024</w:t>
            </w:r>
            <w:r>
              <w:rPr>
                <w:rFonts w:hint="eastAsia" w:ascii="宋体" w:hAnsi="宋体" w:eastAsia="宋体" w:cs="宋体"/>
                <w:i w:val="0"/>
                <w:iCs w:val="0"/>
                <w:color w:val="auto"/>
                <w:sz w:val="20"/>
                <w:szCs w:val="20"/>
                <w:highlight w:val="none"/>
                <w:u w:val="none"/>
                <w:lang w:val="en-US" w:eastAsia="zh-CN" w:bidi="ar"/>
              </w:rPr>
              <w:t xml:space="preserve">《软体家具 床垫和沙发抗引燃特性的 评定第1部分:阴燃的香烟》；HJ 507-2009《环境标志产品技术要求皮革和合成革》标准；厚度≥1.2mm，全张革厚薄基本均匀，无油腻感；正面革不裂面、无管皱，主要部位不松面，革身平整、柔软、丰满有弹性；禁用偶氮染料未检出；耐光性≥5级，耐折牢度50000次无裂纹，游离甲醛≤20mg/kg，撕裂力≥90N，挥发性有机物（VOC）≤10mg/kg，防霉等级0级或1级，抗引燃特性阻燃Ⅰ级。</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海绵：</w:t>
            </w:r>
            <w:r>
              <w:rPr>
                <w:rFonts w:hint="eastAsia" w:ascii="宋体" w:hAnsi="宋体" w:cs="宋体"/>
                <w:i w:val="0"/>
                <w:iCs w:val="0"/>
                <w:color w:val="auto"/>
                <w:sz w:val="20"/>
                <w:szCs w:val="20"/>
                <w:highlight w:val="none"/>
                <w:u w:val="none"/>
                <w:lang w:val="en-US" w:eastAsia="zh-CN" w:bidi="ar"/>
              </w:rPr>
              <w:t xml:space="preserve">采用阻燃高弹海绵</w:t>
            </w:r>
            <w:r>
              <w:rPr>
                <w:rFonts w:hint="eastAsia" w:ascii="宋体" w:hAnsi="宋体" w:eastAsia="宋体" w:cs="宋体"/>
                <w:i w:val="0"/>
                <w:iCs w:val="0"/>
                <w:color w:val="auto"/>
                <w:sz w:val="20"/>
                <w:szCs w:val="20"/>
                <w:highlight w:val="none"/>
                <w:u w:val="none"/>
                <w:lang w:val="en-US" w:eastAsia="zh-CN" w:bidi="ar"/>
              </w:rPr>
              <w:t xml:space="preserve">，依据</w:t>
            </w:r>
            <w:r>
              <w:rPr>
                <w:rFonts w:hint="eastAsia" w:ascii="宋体" w:hAnsi="宋体" w:cs="宋体"/>
                <w:i w:val="0"/>
                <w:iCs w:val="0"/>
                <w:color w:val="auto"/>
                <w:sz w:val="20"/>
                <w:szCs w:val="20"/>
                <w:highlight w:val="none"/>
                <w:u w:val="none"/>
                <w:lang w:val="en-US" w:eastAsia="zh-CN" w:bidi="ar"/>
              </w:rPr>
              <w:t xml:space="preserve">GB/T 10802-2023</w:t>
            </w:r>
            <w:r>
              <w:rPr>
                <w:rFonts w:hint="eastAsia" w:ascii="宋体" w:hAnsi="宋体" w:eastAsia="宋体" w:cs="宋体"/>
                <w:i w:val="0"/>
                <w:iCs w:val="0"/>
                <w:color w:val="auto"/>
                <w:sz w:val="20"/>
                <w:szCs w:val="20"/>
                <w:highlight w:val="none"/>
                <w:u w:val="none"/>
                <w:lang w:val="en-US" w:eastAsia="zh-CN" w:bidi="ar"/>
              </w:rPr>
              <w:t xml:space="preserve">《通用软质聚醚型聚氨酯泡沫塑料》、QB/T 2280-2016《办公家具 办公椅》、GB/T 6343-2009《泡沫塑料及橡胶 表观密度的测定》、</w:t>
            </w:r>
            <w:r>
              <w:rPr>
                <w:rFonts w:hint="eastAsia" w:ascii="宋体" w:hAnsi="宋体" w:cs="宋体"/>
                <w:i w:val="0"/>
                <w:iCs w:val="0"/>
                <w:color w:val="auto"/>
                <w:sz w:val="20"/>
                <w:szCs w:val="20"/>
                <w:highlight w:val="none"/>
                <w:u w:val="none"/>
                <w:lang w:val="en-US" w:eastAsia="zh-CN" w:bidi="ar"/>
              </w:rPr>
              <w:t xml:space="preserve">GB 17927-2024</w:t>
            </w:r>
            <w:r>
              <w:rPr>
                <w:rFonts w:hint="eastAsia" w:ascii="宋体" w:hAnsi="宋体" w:eastAsia="宋体" w:cs="宋体"/>
                <w:i w:val="0"/>
                <w:iCs w:val="0"/>
                <w:color w:val="auto"/>
                <w:sz w:val="20"/>
                <w:szCs w:val="20"/>
                <w:highlight w:val="none"/>
                <w:u w:val="none"/>
                <w:lang w:val="en-US" w:eastAsia="zh-CN" w:bidi="ar"/>
              </w:rPr>
              <w:t xml:space="preserve">《软体家具 床</w:t>
            </w:r>
            <w:r>
              <w:rPr>
                <w:rFonts w:hint="eastAsia" w:ascii="宋体" w:hAnsi="宋体" w:eastAsia="宋体" w:cs="宋体"/>
                <w:i w:val="0"/>
                <w:iCs w:val="0"/>
                <w:color w:val="auto"/>
                <w:sz w:val="20"/>
                <w:szCs w:val="20"/>
                <w:highlight w:val="none"/>
                <w:u w:val="none"/>
                <w:lang w:val="en-US" w:eastAsia="zh-CN" w:bidi="ar"/>
              </w:rPr>
              <w:t xml:space="preserve">垫和沙发抗引燃特性的 评定第1部分：阴燃的香烟》、HJ 2547-2016《环境标志产品技术要求 家具》、QB/T 4371-2012《家具抗菌性能的评价》标准；长度、宽度极限偏差检测合格，厚度极限偏差检测合格，感官要求至少5项检测，物理力学性能（至少包含回弹率≥50%，拉伸强度≥150KPa，伸长率≥168%，撕裂强度≥4.5N/cm，干热老化后拉伸强度≥145KPa），密度≥50kg/m³，甲醛释放量≤0.03mg/m²h，TVOC≤0.05mg/m²h，抗引燃特性阻燃Ⅰ级，抗菌性能（抑菌率）≥95%。</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框架：采用实木框架，依据GB/T 1927.4-2021《无疵小试样本材物理力学性质试验方法 第4部分：含水率测定》﹔</w:t>
            </w:r>
            <w:r>
              <w:rPr>
                <w:rFonts w:hint="eastAsia" w:ascii="宋体" w:hAnsi="宋体" w:cs="宋体"/>
                <w:i w:val="0"/>
                <w:iCs w:val="0"/>
                <w:color w:val="auto"/>
                <w:sz w:val="20"/>
                <w:szCs w:val="20"/>
                <w:highlight w:val="none"/>
                <w:u w:val="none"/>
                <w:lang w:val="en-US" w:eastAsia="zh-CN" w:bidi="ar"/>
              </w:rPr>
              <w:t xml:space="preserve"> GB 18584-2024</w:t>
            </w:r>
            <w:r>
              <w:rPr>
                <w:rFonts w:hint="eastAsia" w:ascii="宋体" w:hAnsi="宋体" w:eastAsia="宋体" w:cs="宋体"/>
                <w:i w:val="0"/>
                <w:iCs w:val="0"/>
                <w:color w:val="auto"/>
                <w:sz w:val="20"/>
                <w:szCs w:val="20"/>
                <w:highlight w:val="none"/>
                <w:u w:val="none"/>
                <w:lang w:val="en-US" w:eastAsia="zh-CN" w:bidi="ar"/>
              </w:rPr>
              <w:t xml:space="preserve">《室内装饰装修材料木家具中有害物质限量》； GB/T 1927.5-2021《无疵小试样木材物理力学性质试验方法 第5部分:密度测定》﹔</w:t>
            </w:r>
            <w:r>
              <w:rPr>
                <w:rFonts w:hint="eastAsia" w:ascii="宋体" w:hAnsi="宋体" w:cs="宋体"/>
                <w:i w:val="0"/>
                <w:iCs w:val="0"/>
                <w:color w:val="auto"/>
                <w:sz w:val="20"/>
                <w:szCs w:val="20"/>
                <w:highlight w:val="none"/>
                <w:u w:val="none"/>
                <w:lang w:val="en-US" w:eastAsia="zh-CN" w:bidi="ar"/>
              </w:rPr>
              <w:t xml:space="preserve">GB/T 35601-2024</w:t>
            </w:r>
            <w:r>
              <w:rPr>
                <w:rFonts w:hint="eastAsia" w:ascii="宋体" w:hAnsi="宋体" w:eastAsia="宋体" w:cs="宋体"/>
                <w:i w:val="0"/>
                <w:iCs w:val="0"/>
                <w:color w:val="auto"/>
                <w:sz w:val="20"/>
                <w:szCs w:val="20"/>
                <w:highlight w:val="none"/>
                <w:u w:val="none"/>
                <w:lang w:val="en-US" w:eastAsia="zh-CN" w:bidi="ar"/>
              </w:rPr>
              <w:t xml:space="preserve"> 《绿色产品评价 人造板和木质地板》；GB/T 1927.9-2021《无疵小试样木材物理力学性质试验方法 第9部分:抗弯强度测定》；JC/T 2039-2010 《抗菌防霉木质装饰板》标准；木材含水率3%～10%，甲醛释放量≤0.5mg/L，总挥发性有机化合物≤20㎍/m³，气干密度≥0.68g/cm³，抗弯强度≥80MPa，防霉菌等级0级或1级。</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扶手：采用实木扶手，依据GB/T 1927.4-2021《无疵小试样木材物理力学性质试验方法 第4部分: 含水率测定》；</w:t>
            </w:r>
            <w:r>
              <w:rPr>
                <w:rFonts w:hint="eastAsia" w:ascii="宋体" w:hAnsi="宋体" w:cs="宋体"/>
                <w:i w:val="0"/>
                <w:iCs w:val="0"/>
                <w:color w:val="auto"/>
                <w:sz w:val="20"/>
                <w:szCs w:val="20"/>
                <w:highlight w:val="none"/>
                <w:u w:val="none"/>
                <w:lang w:val="en-US" w:eastAsia="zh-CN" w:bidi="ar"/>
              </w:rPr>
              <w:t xml:space="preserve"> GB 18584-2024</w:t>
            </w:r>
            <w:r>
              <w:rPr>
                <w:rFonts w:hint="eastAsia" w:ascii="宋体" w:hAnsi="宋体" w:eastAsia="宋体" w:cs="宋体"/>
                <w:i w:val="0"/>
                <w:iCs w:val="0"/>
                <w:color w:val="auto"/>
                <w:sz w:val="20"/>
                <w:szCs w:val="20"/>
                <w:highlight w:val="none"/>
                <w:u w:val="none"/>
                <w:lang w:val="en-US" w:eastAsia="zh-CN" w:bidi="ar"/>
              </w:rPr>
              <w:t xml:space="preserve">《室内装饰装修材料木家具中有害物质限量》；</w:t>
            </w:r>
            <w:r>
              <w:rPr>
                <w:rFonts w:hint="eastAsia" w:ascii="宋体" w:hAnsi="宋体" w:cs="宋体"/>
                <w:i w:val="0"/>
                <w:iCs w:val="0"/>
                <w:color w:val="auto"/>
                <w:sz w:val="20"/>
                <w:szCs w:val="20"/>
                <w:highlight w:val="none"/>
                <w:u w:val="none"/>
                <w:lang w:val="en-US" w:eastAsia="zh-CN" w:bidi="ar"/>
              </w:rPr>
              <w:t xml:space="preserve">GB/T 35601-2024</w:t>
            </w:r>
            <w:r>
              <w:rPr>
                <w:rFonts w:hint="eastAsia" w:ascii="宋体" w:hAnsi="宋体" w:eastAsia="宋体" w:cs="宋体"/>
                <w:i w:val="0"/>
                <w:iCs w:val="0"/>
                <w:color w:val="auto"/>
                <w:sz w:val="20"/>
                <w:szCs w:val="20"/>
                <w:highlight w:val="none"/>
                <w:u w:val="none"/>
                <w:lang w:val="en-US" w:eastAsia="zh-CN" w:bidi="ar"/>
              </w:rPr>
              <w:t xml:space="preserve">《绿色产品评价 人造板和木质地板》；GB/T 1927.9 -2021《无疵小试样木材物理力学性质试验方法 第9部分:抗弯强度测定》； QB/T 4371-2012《家具抗菌性能的评价》；JC/T 2039-2010《抗菌防霉木质装饰板》标准；木材含水率3%～10%，抗弯强度≥80MPa，甲醛释放量≤0.5mg/L，挥发性有机化合物≤20㎍/m³，抗菌性能（抑菌率）≥99%，防霉菌等级0级或1级。</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油漆：采用环保油漆，依据GB 18581-2020《木器涂料中有害物质限量》；</w:t>
            </w:r>
            <w:r>
              <w:rPr>
                <w:rFonts w:hint="eastAsia" w:ascii="宋体" w:hAnsi="宋体" w:cs="宋体"/>
                <w:i w:val="0"/>
                <w:iCs w:val="0"/>
                <w:color w:val="auto"/>
                <w:sz w:val="20"/>
                <w:szCs w:val="20"/>
                <w:highlight w:val="none"/>
                <w:u w:val="none"/>
                <w:lang w:val="en-US" w:eastAsia="zh-CN" w:bidi="ar"/>
              </w:rPr>
              <w:t xml:space="preserve">GB/T 21866-2025</w:t>
            </w:r>
            <w:r>
              <w:rPr>
                <w:rFonts w:hint="eastAsia" w:ascii="宋体" w:hAnsi="宋体" w:eastAsia="宋体" w:cs="宋体"/>
                <w:i w:val="0"/>
                <w:iCs w:val="0"/>
                <w:color w:val="auto"/>
                <w:sz w:val="20"/>
                <w:szCs w:val="20"/>
                <w:highlight w:val="none"/>
                <w:u w:val="none"/>
                <w:lang w:val="en-US" w:eastAsia="zh-CN" w:bidi="ar"/>
              </w:rPr>
              <w:t xml:space="preserve">《抗菌涂料（漆膜）抗菌性测定法和抗菌效果》；</w:t>
            </w:r>
            <w:r>
              <w:rPr>
                <w:rFonts w:hint="eastAsia" w:ascii="宋体" w:hAnsi="宋体" w:cs="宋体"/>
                <w:i w:val="0"/>
                <w:iCs w:val="0"/>
                <w:color w:val="auto"/>
                <w:sz w:val="20"/>
                <w:szCs w:val="20"/>
                <w:highlight w:val="none"/>
                <w:u w:val="none"/>
                <w:lang w:val="en-US" w:eastAsia="zh-CN" w:bidi="ar"/>
              </w:rPr>
              <w:t xml:space="preserve">GB/T 6739-2020</w:t>
            </w:r>
            <w:r>
              <w:rPr>
                <w:rFonts w:hint="eastAsia" w:ascii="宋体" w:hAnsi="宋体" w:eastAsia="宋体" w:cs="宋体"/>
                <w:i w:val="0"/>
                <w:iCs w:val="0"/>
                <w:color w:val="auto"/>
                <w:sz w:val="20"/>
                <w:szCs w:val="20"/>
                <w:highlight w:val="none"/>
                <w:u w:val="none"/>
                <w:lang w:val="en-US" w:eastAsia="zh-CN" w:bidi="ar"/>
              </w:rPr>
              <w:t xml:space="preserve">《色漆和清漆铅笔法测定漆膜硬度》﹔GB/T 23997-2009《室内装饰装修用溶剂型聚氨酯木器涂料》；</w:t>
            </w:r>
            <w:r>
              <w:rPr>
                <w:rFonts w:hint="eastAsia" w:ascii="宋体" w:hAnsi="宋体" w:cs="宋体"/>
                <w:i w:val="0"/>
                <w:iCs w:val="0"/>
                <w:color w:val="auto"/>
                <w:sz w:val="20"/>
                <w:szCs w:val="20"/>
                <w:highlight w:val="none"/>
                <w:u w:val="none"/>
                <w:lang w:val="en-US" w:eastAsia="zh-CN" w:bidi="ar"/>
              </w:rPr>
              <w:t xml:space="preserve">HJ 2573-2016</w:t>
            </w:r>
            <w:r>
              <w:rPr>
                <w:rFonts w:hint="eastAsia" w:ascii="宋体" w:hAnsi="宋体" w:eastAsia="宋体" w:cs="宋体"/>
                <w:i w:val="0"/>
                <w:iCs w:val="0"/>
                <w:color w:val="auto"/>
                <w:sz w:val="20"/>
                <w:szCs w:val="20"/>
                <w:highlight w:val="none"/>
                <w:u w:val="none"/>
                <w:lang w:val="en-US" w:eastAsia="zh-CN" w:bidi="ar"/>
              </w:rPr>
              <w:t xml:space="preserve">《环境标志产品技术要求 室内装饰装修用溶剂型木器涂料》标准；VOC含量≤5g/L，总铅含量≤2mg/kg，镉含量≤2mg/kg，铬含量≤2mg/kg，汞含量≤2mg/kg，乙二醇醚及醚酯总和含量（限乙二醇甲醚、乙二醇甲醚醋酸酯、乙二醇乙醚、乙二醇乙醚醋酸酯、乙二醇二甲醚、乙二醇二乙醚、二乙二醇二甲醚、三乙二醇二甲醚)≤20mg/kg，苯含量≤0.1%，甲醛含量≤10mg/kg，甲苯与二甲苯（含乙苯）总和含量≤5%，多环芳烃总和含量≤1mg/kg，抗菌性能（抗细菌率）≥99.5%，附着力1级。</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3+2人位沙发：面料：选用麻绒布，依据</w:t>
            </w:r>
            <w:r>
              <w:rPr>
                <w:rFonts w:hint="eastAsia" w:ascii="宋体" w:hAnsi="宋体" w:cs="宋体"/>
                <w:i w:val="0"/>
                <w:iCs w:val="0"/>
                <w:color w:val="auto"/>
                <w:sz w:val="20"/>
                <w:szCs w:val="20"/>
                <w:highlight w:val="none"/>
                <w:u w:val="none"/>
                <w:lang w:val="en-US" w:eastAsia="zh-CN" w:bidi="ar"/>
              </w:rPr>
              <w:t xml:space="preserve">GB 18401-2023</w:t>
            </w:r>
            <w:r>
              <w:rPr>
                <w:rFonts w:hint="eastAsia" w:ascii="宋体" w:hAnsi="宋体" w:eastAsia="宋体" w:cs="宋体"/>
                <w:i w:val="0"/>
                <w:iCs w:val="0"/>
                <w:color w:val="auto"/>
                <w:sz w:val="20"/>
                <w:szCs w:val="20"/>
                <w:highlight w:val="none"/>
                <w:u w:val="none"/>
                <w:lang w:val="en-US" w:eastAsia="zh-CN" w:bidi="ar"/>
              </w:rPr>
              <w:t xml:space="preserve">《国家纺织产品基本安全技术规范》；GB/T 31713-2015《抗菌纺织品安全性卫生要求》；GB/T 24346-2009《纺织品 防霉性能的评价》；</w:t>
            </w:r>
            <w:r>
              <w:rPr>
                <w:rFonts w:hint="eastAsia" w:ascii="宋体" w:hAnsi="宋体" w:cs="宋体"/>
                <w:i w:val="0"/>
                <w:iCs w:val="0"/>
                <w:color w:val="auto"/>
                <w:sz w:val="20"/>
                <w:szCs w:val="20"/>
                <w:highlight w:val="none"/>
                <w:u w:val="none"/>
                <w:lang w:val="en-US" w:eastAsia="zh-CN" w:bidi="ar"/>
              </w:rPr>
              <w:t xml:space="preserve">GB 17927-2024</w:t>
            </w:r>
            <w:r>
              <w:rPr>
                <w:rFonts w:hint="eastAsia" w:ascii="宋体" w:hAnsi="宋体" w:eastAsia="宋体" w:cs="宋体"/>
                <w:i w:val="0"/>
                <w:iCs w:val="0"/>
                <w:color w:val="auto"/>
                <w:sz w:val="20"/>
                <w:szCs w:val="20"/>
                <w:highlight w:val="none"/>
                <w:u w:val="none"/>
                <w:lang w:val="en-US" w:eastAsia="zh-CN" w:bidi="ar"/>
              </w:rPr>
              <w:t xml:space="preserve">《软体家具 床垫和沙发抗引燃特性的 评定第1部分:阴燃的香烟》；</w:t>
            </w:r>
            <w:r>
              <w:rPr>
                <w:rFonts w:hint="eastAsia" w:ascii="宋体" w:hAnsi="宋体" w:cs="宋体"/>
                <w:i w:val="0"/>
                <w:iCs w:val="0"/>
                <w:color w:val="auto"/>
                <w:sz w:val="20"/>
                <w:szCs w:val="20"/>
                <w:highlight w:val="none"/>
                <w:u w:val="none"/>
                <w:lang w:val="en-US" w:eastAsia="zh-CN" w:bidi="ar"/>
              </w:rPr>
              <w:t xml:space="preserve">GB/T 35607-2024</w:t>
            </w:r>
            <w:r>
              <w:rPr>
                <w:rFonts w:hint="eastAsia" w:ascii="宋体" w:hAnsi="宋体" w:eastAsia="宋体" w:cs="宋体"/>
                <w:i w:val="0"/>
                <w:iCs w:val="0"/>
                <w:color w:val="auto"/>
                <w:sz w:val="20"/>
                <w:szCs w:val="20"/>
                <w:highlight w:val="none"/>
                <w:u w:val="none"/>
                <w:lang w:val="en-US" w:eastAsia="zh-CN" w:bidi="ar"/>
              </w:rPr>
              <w:t xml:space="preserve">《绿色产品评价家具》；FZ/T 62011.3-2016《布艺类产品 第3部分:家具用纺织品》标准；耐水、耐酸汗渍、耐碱汗渍、耐干摩擦、耐唾液符合要求，甲醛含量≤20mg/kg，可分解致癌芳香胺染料未检出，抗菌性能（抑菌率）≥95%，抗引燃特性阻燃Ⅰ级，防霉等级0级或1级，产品有害物质（纺织品、皮革中五氯苯酚（PCP）≤ 0.5mg/kg。 </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海绵：</w:t>
            </w:r>
            <w:r>
              <w:rPr>
                <w:rFonts w:hint="eastAsia" w:ascii="宋体" w:hAnsi="宋体" w:cs="宋体"/>
                <w:i w:val="0"/>
                <w:iCs w:val="0"/>
                <w:color w:val="auto"/>
                <w:sz w:val="20"/>
                <w:szCs w:val="20"/>
                <w:highlight w:val="none"/>
                <w:u w:val="none"/>
                <w:lang w:val="en-US" w:eastAsia="zh-CN" w:bidi="ar"/>
              </w:rPr>
              <w:t xml:space="preserve">采用阻燃高弹海绵</w:t>
            </w:r>
            <w:r>
              <w:rPr>
                <w:rFonts w:hint="eastAsia" w:ascii="宋体" w:hAnsi="宋体" w:eastAsia="宋体" w:cs="宋体"/>
                <w:i w:val="0"/>
                <w:iCs w:val="0"/>
                <w:color w:val="auto"/>
                <w:sz w:val="20"/>
                <w:szCs w:val="20"/>
                <w:highlight w:val="none"/>
                <w:u w:val="none"/>
                <w:lang w:val="en-US" w:eastAsia="zh-CN" w:bidi="ar"/>
              </w:rPr>
              <w:t xml:space="preserve">，依据</w:t>
            </w:r>
            <w:r>
              <w:rPr>
                <w:rFonts w:hint="eastAsia" w:ascii="宋体" w:hAnsi="宋体" w:cs="宋体"/>
                <w:i w:val="0"/>
                <w:iCs w:val="0"/>
                <w:color w:val="auto"/>
                <w:sz w:val="20"/>
                <w:szCs w:val="20"/>
                <w:highlight w:val="none"/>
                <w:u w:val="none"/>
                <w:lang w:val="en-US" w:eastAsia="zh-CN" w:bidi="ar"/>
              </w:rPr>
              <w:t xml:space="preserve">GB/T 10802-2023</w:t>
            </w:r>
            <w:r>
              <w:rPr>
                <w:rFonts w:hint="eastAsia" w:ascii="宋体" w:hAnsi="宋体" w:eastAsia="宋体" w:cs="宋体"/>
                <w:i w:val="0"/>
                <w:iCs w:val="0"/>
                <w:color w:val="auto"/>
                <w:sz w:val="20"/>
                <w:szCs w:val="20"/>
                <w:highlight w:val="none"/>
                <w:u w:val="none"/>
                <w:lang w:val="en-US" w:eastAsia="zh-CN" w:bidi="ar"/>
              </w:rPr>
              <w:t xml:space="preserve">《通用软质聚醚型聚氨酯泡沫塑料》、QB/T 2280-2016《办公家具 办公椅》、GB/T 6343-2009《泡沫塑料及橡胶 表观密度的测定》、</w:t>
            </w:r>
            <w:r>
              <w:rPr>
                <w:rFonts w:hint="eastAsia" w:ascii="宋体" w:hAnsi="宋体" w:cs="宋体"/>
                <w:i w:val="0"/>
                <w:iCs w:val="0"/>
                <w:color w:val="auto"/>
                <w:sz w:val="20"/>
                <w:szCs w:val="20"/>
                <w:highlight w:val="none"/>
                <w:u w:val="none"/>
                <w:lang w:val="en-US" w:eastAsia="zh-CN" w:bidi="ar"/>
              </w:rPr>
              <w:t xml:space="preserve">GB 17927-2024</w:t>
            </w:r>
            <w:r>
              <w:rPr>
                <w:rFonts w:hint="eastAsia" w:ascii="宋体" w:hAnsi="宋体" w:eastAsia="宋体" w:cs="宋体"/>
                <w:i w:val="0"/>
                <w:iCs w:val="0"/>
                <w:color w:val="auto"/>
                <w:sz w:val="20"/>
                <w:szCs w:val="20"/>
                <w:highlight w:val="none"/>
                <w:u w:val="none"/>
                <w:lang w:val="en-US" w:eastAsia="zh-CN" w:bidi="ar"/>
              </w:rPr>
              <w:t xml:space="preserve">《软体家具 床垫</w:t>
            </w:r>
            <w:r>
              <w:rPr>
                <w:rFonts w:hint="eastAsia" w:ascii="宋体" w:hAnsi="宋体" w:eastAsia="宋体" w:cs="宋体"/>
                <w:i w:val="0"/>
                <w:iCs w:val="0"/>
                <w:color w:val="auto"/>
                <w:sz w:val="20"/>
                <w:szCs w:val="20"/>
                <w:highlight w:val="none"/>
                <w:u w:val="none"/>
                <w:lang w:val="en-US" w:eastAsia="zh-CN" w:bidi="ar"/>
              </w:rPr>
              <w:t xml:space="preserve">和沙发抗引燃特性的 评定第1部分：阴燃的香烟》、HJ 2547-2016《环境标志产品技术要求 家具》、QB/T 4371-2012《家具抗菌性能的评价》标准；长度、宽度极限偏差检测合格，厚度极限偏差检测合格，感官要求至少5项检测，物理力学性能（至少包含回弹率≥50%，拉伸强度≥150KPa，伸长率≥168%，撕裂强度≥4.5N/cm，干热老化后拉伸强度≥145KPa），密度≥50kg/m³，甲醛释放量≤0.03mg/m²h，TVOC≤0.05mg/m²h，抗引燃特性阻燃Ⅰ级，抗菌性能（抑菌率）≥95%。 </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绷带：依据</w:t>
            </w:r>
            <w:r>
              <w:rPr>
                <w:rFonts w:hint="eastAsia" w:ascii="宋体" w:hAnsi="宋体" w:cs="宋体"/>
                <w:i w:val="0"/>
                <w:iCs w:val="0"/>
                <w:color w:val="auto"/>
                <w:sz w:val="20"/>
                <w:szCs w:val="20"/>
                <w:highlight w:val="none"/>
                <w:u w:val="none"/>
                <w:lang w:val="en-US" w:eastAsia="zh-CN" w:bidi="ar"/>
              </w:rPr>
              <w:t xml:space="preserve">GB 18401-2023</w:t>
            </w:r>
            <w:r>
              <w:rPr>
                <w:rFonts w:hint="eastAsia" w:ascii="宋体" w:hAnsi="宋体" w:eastAsia="宋体" w:cs="宋体"/>
                <w:i w:val="0"/>
                <w:iCs w:val="0"/>
                <w:color w:val="auto"/>
                <w:sz w:val="20"/>
                <w:szCs w:val="20"/>
                <w:highlight w:val="none"/>
                <w:u w:val="none"/>
                <w:lang w:val="en-US" w:eastAsia="zh-CN" w:bidi="ar"/>
              </w:rPr>
              <w:t xml:space="preserve"> 《国家纺织产 品基本安全技术规范》；GB/T 31713-2015 《抗菌纺织品安全性卫生要求》；GB/T 20944. 2-2007《纺织品抗菌性能的评价 第2部分:吸收法》；</w:t>
            </w:r>
            <w:r>
              <w:rPr>
                <w:rFonts w:hint="eastAsia" w:ascii="宋体" w:hAnsi="宋体" w:cs="宋体"/>
                <w:i w:val="0"/>
                <w:iCs w:val="0"/>
                <w:color w:val="auto"/>
                <w:sz w:val="20"/>
                <w:szCs w:val="20"/>
                <w:highlight w:val="none"/>
                <w:u w:val="none"/>
                <w:lang w:val="en-US" w:eastAsia="zh-CN" w:bidi="ar"/>
              </w:rPr>
              <w:t xml:space="preserve">GB/T 35607-2024</w:t>
            </w:r>
            <w:r>
              <w:rPr>
                <w:rFonts w:hint="eastAsia" w:ascii="宋体" w:hAnsi="宋体" w:eastAsia="宋体" w:cs="宋体"/>
                <w:i w:val="0"/>
                <w:iCs w:val="0"/>
                <w:color w:val="auto"/>
                <w:sz w:val="20"/>
                <w:szCs w:val="20"/>
                <w:highlight w:val="none"/>
                <w:u w:val="none"/>
                <w:lang w:val="en-US" w:eastAsia="zh-CN" w:bidi="ar"/>
              </w:rPr>
              <w:t xml:space="preserve"> 《绿色产品评价家具》；HJ 2546-2016《环境标志产品技术要求纺织产品》检测标准；甲醛含量≤20mg/kg，可分解致癌芳香胺染料未检出，产品有害物质（纺织品、皮革中五氯苯酚（PCP）≤0.05mg/kg，PH值4.0～7.5，可萃取的重金属（砷、铅、钴、镍）未检出，抗菌性能（抑菌率）≥99%。</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蛇形弹簧：依据</w:t>
            </w:r>
            <w:r>
              <w:rPr>
                <w:rFonts w:hint="eastAsia" w:ascii="宋体" w:hAnsi="宋体" w:cs="宋体"/>
                <w:i w:val="0"/>
                <w:iCs w:val="0"/>
                <w:color w:val="auto"/>
                <w:sz w:val="20"/>
                <w:szCs w:val="20"/>
                <w:highlight w:val="none"/>
                <w:u w:val="none"/>
                <w:lang w:val="en-US" w:eastAsia="zh-CN" w:bidi="ar"/>
              </w:rPr>
              <w:t xml:space="preserve">GB/T 3325-2024</w:t>
            </w:r>
            <w:r>
              <w:rPr>
                <w:rFonts w:hint="eastAsia" w:ascii="宋体" w:hAnsi="宋体" w:eastAsia="宋体" w:cs="宋体"/>
                <w:i w:val="0"/>
                <w:iCs w:val="0"/>
                <w:color w:val="auto"/>
                <w:sz w:val="20"/>
                <w:szCs w:val="20"/>
                <w:highlight w:val="none"/>
                <w:u w:val="none"/>
                <w:lang w:val="en-US" w:eastAsia="zh-CN" w:bidi="ar"/>
              </w:rPr>
              <w:t xml:space="preserve">《金属家具通用技术条件》；GB/T 10125-2021《人造气氛腐蚀试验 盐雾试验》；QB/T 3832- 1999《轻工产品金属镀层腐蚀试验结果的评价》；QB/T 4371-2012《家具抗菌性能的评价》；GB/T 1741-2020 《漆膜耐霉菌性测定法》；</w:t>
            </w:r>
            <w:r>
              <w:rPr>
                <w:rFonts w:hint="eastAsia" w:ascii="宋体" w:hAnsi="宋体" w:cs="宋体"/>
                <w:i w:val="0"/>
                <w:iCs w:val="0"/>
                <w:color w:val="auto"/>
                <w:sz w:val="20"/>
                <w:szCs w:val="20"/>
                <w:highlight w:val="none"/>
                <w:u w:val="none"/>
                <w:lang w:val="en-US" w:eastAsia="zh-CN" w:bidi="ar"/>
              </w:rPr>
              <w:t xml:space="preserve">GB/T 35607-2024</w:t>
            </w:r>
            <w:r>
              <w:rPr>
                <w:rFonts w:hint="eastAsia" w:ascii="宋体" w:hAnsi="宋体" w:eastAsia="宋体" w:cs="宋体"/>
                <w:i w:val="0"/>
                <w:iCs w:val="0"/>
                <w:color w:val="auto"/>
                <w:sz w:val="20"/>
                <w:szCs w:val="20"/>
                <w:highlight w:val="none"/>
                <w:u w:val="none"/>
                <w:lang w:val="en-US" w:eastAsia="zh-CN" w:bidi="ar"/>
              </w:rPr>
              <w:t xml:space="preserve">《绿色产品评价 家具》标准；喷涂层无漏喷、锈蚀和脱色、掉色现象，乙酸盐雾试验≥220h，镀层本身的耐腐蚀等级≥10级，镀层对基体的保护等级≥10级；产品有害物质（铅、镉、汞、砷）未检出，抑菌率≥99%。</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框架：背底采用高频热压机加工成型多层弯曲木板，符合人体工程学。</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脚架：采用实木脚架。</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方桌：800*800*750mm，采用实木，表面平整光滑，无结疤，整体结构结实耐用。油漆采用</w:t>
            </w:r>
            <w:r>
              <w:rPr>
                <w:rFonts w:hint="eastAsia" w:ascii="宋体" w:hAnsi="宋体" w:cs="宋体"/>
                <w:i w:val="0"/>
                <w:iCs w:val="0"/>
                <w:color w:val="auto"/>
                <w:sz w:val="20"/>
                <w:szCs w:val="20"/>
                <w:highlight w:val="none"/>
                <w:u w:val="none"/>
                <w:lang w:val="en-US" w:eastAsia="zh-CN" w:bidi="ar"/>
              </w:rPr>
              <w:t xml:space="preserve">哑光聚脂漆，</w:t>
            </w:r>
            <w:r>
              <w:rPr>
                <w:rFonts w:hint="eastAsia" w:ascii="宋体" w:hAnsi="宋体" w:eastAsia="宋体" w:cs="宋体"/>
                <w:i w:val="0"/>
                <w:iCs w:val="0"/>
                <w:color w:val="auto"/>
                <w:sz w:val="20"/>
                <w:szCs w:val="20"/>
                <w:highlight w:val="none"/>
                <w:u w:val="none"/>
                <w:lang w:val="en-US" w:eastAsia="zh-CN" w:bidi="ar"/>
              </w:rPr>
              <w:t xml:space="preserve">油漆无颗粒，无气泡，无渣点，颜色均匀。</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茶水台：W800×D400×H850mm，1、饰面：采用木皮，依据</w:t>
            </w:r>
            <w:r>
              <w:rPr>
                <w:rFonts w:hint="eastAsia" w:ascii="宋体" w:hAnsi="宋体" w:cs="宋体"/>
                <w:i w:val="0"/>
                <w:iCs w:val="0"/>
                <w:color w:val="auto"/>
                <w:sz w:val="20"/>
                <w:szCs w:val="20"/>
                <w:highlight w:val="none"/>
                <w:u w:val="none"/>
                <w:lang w:val="en-US" w:eastAsia="zh-CN" w:bidi="ar"/>
              </w:rPr>
              <w:t xml:space="preserve">GB/T 35601-2024</w:t>
            </w:r>
            <w:r>
              <w:rPr>
                <w:rFonts w:hint="eastAsia" w:ascii="宋体" w:hAnsi="宋体" w:eastAsia="宋体" w:cs="宋体"/>
                <w:i w:val="0"/>
                <w:iCs w:val="0"/>
                <w:color w:val="auto"/>
                <w:sz w:val="20"/>
                <w:szCs w:val="20"/>
                <w:highlight w:val="none"/>
                <w:u w:val="none"/>
                <w:lang w:val="en-US" w:eastAsia="zh-CN" w:bidi="ar"/>
              </w:rPr>
              <w:t xml:space="preserve">《绿色产品评价人造板和木质地板》；</w:t>
            </w:r>
            <w:r>
              <w:rPr>
                <w:rFonts w:hint="eastAsia" w:ascii="宋体" w:hAnsi="宋体" w:cs="宋体"/>
                <w:i w:val="0"/>
                <w:iCs w:val="0"/>
                <w:color w:val="auto"/>
                <w:sz w:val="20"/>
                <w:szCs w:val="20"/>
                <w:highlight w:val="none"/>
                <w:u w:val="none"/>
                <w:lang w:val="en-US" w:eastAsia="zh-CN" w:bidi="ar"/>
              </w:rPr>
              <w:t xml:space="preserve"> GB 18584-2024</w:t>
            </w:r>
            <w:r>
              <w:rPr>
                <w:rFonts w:hint="eastAsia" w:ascii="宋体" w:hAnsi="宋体" w:eastAsia="宋体" w:cs="宋体"/>
                <w:i w:val="0"/>
                <w:iCs w:val="0"/>
                <w:color w:val="auto"/>
                <w:sz w:val="20"/>
                <w:szCs w:val="20"/>
                <w:highlight w:val="none"/>
                <w:u w:val="none"/>
                <w:lang w:val="en-US" w:eastAsia="zh-CN" w:bidi="ar"/>
              </w:rPr>
              <w:t xml:space="preserve">《室内装饰装修材料木家具中有害物质限量》；GB/T 13010-2020《木材工业用单板》；</w:t>
            </w:r>
            <w:r>
              <w:rPr>
                <w:rFonts w:hint="eastAsia" w:ascii="宋体" w:hAnsi="宋体" w:cs="宋体"/>
                <w:i w:val="0"/>
                <w:iCs w:val="0"/>
                <w:color w:val="auto"/>
                <w:sz w:val="20"/>
                <w:szCs w:val="20"/>
                <w:highlight w:val="none"/>
                <w:u w:val="none"/>
                <w:lang w:val="en-US" w:eastAsia="zh-CN" w:bidi="ar"/>
              </w:rPr>
              <w:t xml:space="preserve">GB/T 3324-2024</w:t>
            </w:r>
            <w:r>
              <w:rPr>
                <w:rFonts w:hint="eastAsia" w:ascii="宋体" w:hAnsi="宋体" w:eastAsia="宋体" w:cs="宋体"/>
                <w:i w:val="0"/>
                <w:iCs w:val="0"/>
                <w:color w:val="auto"/>
                <w:sz w:val="20"/>
                <w:szCs w:val="20"/>
                <w:highlight w:val="none"/>
                <w:u w:val="none"/>
                <w:lang w:val="en-US" w:eastAsia="zh-CN" w:bidi="ar"/>
              </w:rPr>
              <w:t xml:space="preserve">《木家具通用技术条件》标准；厚度≥0.6mm，总挥发性有机化合物≤20㎍/m³，甲醛释放量≤0.5mg/L，单板含水率3%～8%，无贯通裂缝、无虫蛀现象，无腐朽材。</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2、基材：采用不低于E0级高密度纤维板，依据GB/T 31765-2015《高密度纤维板》；GB/T 17657-2022《人造板及饰面人造板理化性能试验方法》；GB/T 39600-2021《人造板及其制品甲醛释放量分级》；GB 18580-2017《室内装饰装修材料人造板及其制品中甲醛释放限量》；</w:t>
            </w:r>
            <w:r>
              <w:rPr>
                <w:rFonts w:hint="eastAsia" w:ascii="宋体" w:hAnsi="宋体" w:cs="宋体"/>
                <w:i w:val="0"/>
                <w:iCs w:val="0"/>
                <w:color w:val="auto"/>
                <w:sz w:val="20"/>
                <w:szCs w:val="20"/>
                <w:highlight w:val="none"/>
                <w:u w:val="none"/>
                <w:lang w:val="en-US" w:eastAsia="zh-CN" w:bidi="ar"/>
              </w:rPr>
              <w:t xml:space="preserve">GB/T 35601-2024</w:t>
            </w:r>
            <w:r>
              <w:rPr>
                <w:rFonts w:hint="eastAsia" w:ascii="宋体" w:hAnsi="宋体" w:eastAsia="宋体" w:cs="宋体"/>
                <w:i w:val="0"/>
                <w:iCs w:val="0"/>
                <w:color w:val="auto"/>
                <w:sz w:val="20"/>
                <w:szCs w:val="20"/>
                <w:highlight w:val="none"/>
                <w:u w:val="none"/>
                <w:lang w:val="en-US" w:eastAsia="zh-CN" w:bidi="ar"/>
              </w:rPr>
              <w:t xml:space="preserve">《绿色产品评价人造板和木质地板》；JC/T 2039-2010《抗菌防霉木质装饰板》标准；无油污、斑点或异物，无边角缺损，内结合强度，表面结合强度均符合要求，密度≥0.85g/cm³，含水率3%～8%，弹性模量≥4000MPa，吸水厚度膨胀率≤3%，垂直板面握螺钉力板边≥1300N，垂直板面握螺钉力板面≥1500N，甲醛释放量≤0.03mg/m³，总挥发性有机化合物≤20㎍/m³，防霉菌等级0级或1级。</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3、封边：采用实木封边条，依据</w:t>
            </w:r>
            <w:r>
              <w:rPr>
                <w:rFonts w:hint="eastAsia" w:ascii="宋体" w:hAnsi="宋体" w:cs="宋体"/>
                <w:i w:val="0"/>
                <w:iCs w:val="0"/>
                <w:color w:val="auto"/>
                <w:sz w:val="20"/>
                <w:szCs w:val="20"/>
                <w:highlight w:val="none"/>
                <w:u w:val="none"/>
                <w:lang w:val="en-US" w:eastAsia="zh-CN" w:bidi="ar"/>
              </w:rPr>
              <w:t xml:space="preserve">QB/T 4463-2025</w:t>
            </w:r>
            <w:r>
              <w:rPr>
                <w:rFonts w:hint="eastAsia" w:ascii="宋体" w:hAnsi="宋体" w:eastAsia="宋体" w:cs="宋体"/>
                <w:i w:val="0"/>
                <w:iCs w:val="0"/>
                <w:color w:val="auto"/>
                <w:sz w:val="20"/>
                <w:szCs w:val="20"/>
                <w:highlight w:val="none"/>
                <w:u w:val="none"/>
                <w:lang w:val="en-US" w:eastAsia="zh-CN" w:bidi="ar"/>
              </w:rPr>
              <w:t xml:space="preserve">《家具用封边条技术要求》、QB/T 4371-2012《家具抗菌性能的评价》检测标准；厚度≥3mm，含水率8%～11%，甲醛释放量≤0.5mg/L，抗菌性能（抗细菌率）≥99.5%。</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4、油漆：采用环保油漆，依据GB 18581-2020《木器涂料中有害物质限量》；</w:t>
            </w:r>
            <w:r>
              <w:rPr>
                <w:rFonts w:hint="eastAsia" w:ascii="宋体" w:hAnsi="宋体" w:cs="宋体"/>
                <w:i w:val="0"/>
                <w:iCs w:val="0"/>
                <w:color w:val="auto"/>
                <w:sz w:val="20"/>
                <w:szCs w:val="20"/>
                <w:highlight w:val="none"/>
                <w:u w:val="none"/>
                <w:lang w:val="en-US" w:eastAsia="zh-CN" w:bidi="ar"/>
              </w:rPr>
              <w:t xml:space="preserve">GB/T 21866-2025</w:t>
            </w:r>
            <w:r>
              <w:rPr>
                <w:rFonts w:hint="eastAsia" w:ascii="宋体" w:hAnsi="宋体" w:eastAsia="宋体" w:cs="宋体"/>
                <w:i w:val="0"/>
                <w:iCs w:val="0"/>
                <w:color w:val="auto"/>
                <w:sz w:val="20"/>
                <w:szCs w:val="20"/>
                <w:highlight w:val="none"/>
                <w:u w:val="none"/>
                <w:lang w:val="en-US" w:eastAsia="zh-CN" w:bidi="ar"/>
              </w:rPr>
              <w:t xml:space="preserve">《抗菌涂料（漆膜）抗菌性测定法和抗菌效果》；</w:t>
            </w:r>
            <w:r>
              <w:rPr>
                <w:rFonts w:hint="eastAsia" w:ascii="宋体" w:hAnsi="宋体" w:cs="宋体"/>
                <w:i w:val="0"/>
                <w:iCs w:val="0"/>
                <w:color w:val="auto"/>
                <w:sz w:val="20"/>
                <w:szCs w:val="20"/>
                <w:highlight w:val="none"/>
                <w:u w:val="none"/>
                <w:lang w:val="en-US" w:eastAsia="zh-CN" w:bidi="ar"/>
              </w:rPr>
              <w:t xml:space="preserve">GB/T 6739-2020</w:t>
            </w:r>
            <w:r>
              <w:rPr>
                <w:rFonts w:hint="eastAsia" w:ascii="宋体" w:hAnsi="宋体" w:eastAsia="宋体" w:cs="宋体"/>
                <w:i w:val="0"/>
                <w:iCs w:val="0"/>
                <w:color w:val="auto"/>
                <w:sz w:val="20"/>
                <w:szCs w:val="20"/>
                <w:highlight w:val="none"/>
                <w:u w:val="none"/>
                <w:lang w:val="en-US" w:eastAsia="zh-CN" w:bidi="ar"/>
              </w:rPr>
              <w:t xml:space="preserve">《色漆和清漆铅笔法测定漆膜硬度》﹔GB/T 23997-2009《室内装饰装修用溶剂型聚氨酯木器涂料》；</w:t>
            </w:r>
            <w:r>
              <w:rPr>
                <w:rFonts w:hint="eastAsia" w:ascii="宋体" w:hAnsi="宋体" w:cs="宋体"/>
                <w:i w:val="0"/>
                <w:iCs w:val="0"/>
                <w:color w:val="auto"/>
                <w:sz w:val="20"/>
                <w:szCs w:val="20"/>
                <w:highlight w:val="none"/>
                <w:u w:val="none"/>
                <w:lang w:val="en-US" w:eastAsia="zh-CN" w:bidi="ar"/>
              </w:rPr>
              <w:t xml:space="preserve">HJ 2573-2016</w:t>
            </w:r>
            <w:r>
              <w:rPr>
                <w:rFonts w:hint="eastAsia" w:ascii="宋体" w:hAnsi="宋体" w:eastAsia="宋体" w:cs="宋体"/>
                <w:i w:val="0"/>
                <w:iCs w:val="0"/>
                <w:color w:val="auto"/>
                <w:sz w:val="20"/>
                <w:szCs w:val="20"/>
                <w:highlight w:val="none"/>
                <w:u w:val="none"/>
                <w:lang w:val="en-US" w:eastAsia="zh-CN" w:bidi="ar"/>
              </w:rPr>
              <w:t xml:space="preserve">《环境标志产品技术要求 室内装饰装修用溶剂型木器涂料》标准；VOC含量≤5g/L，总铅含量≤2mg/kg，镉含量≤2mg/kg，铬含量≤2mg/kg，汞含量≤2mg/kg，乙二醇醚及醚酯总和含量（限乙二醇甲醚、乙二醇甲醚醋酸酯、乙二醇乙醚、乙二醇乙醚醋酸酯、乙二醇二甲醚、乙二醇二乙醚、二乙二醇二甲醚、三乙二醇二甲醚)≤20mg/kg，苯含量≤0.1%，甲醛含量≤10mg/kg，甲苯与二甲苯（含乙苯）总和含量≤5%，多环芳烃总和含量≤1mg/kg，抗菌性能（抗细菌率）≥99.5%，附着力1级。</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5、水性胶粘剂：选用环保胶，依据GB 18583-2008《室内装饰装修材料胶粘剂中有害物质限量》；HJ 2541-2016《环境标志产品技术要求胶粘剂》标准；游离甲醛≤0.5g/kg，总挥发性有机物≤5g/L，卤代烃≤0.1g/kg。</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6、五金配件：采用品牌五金配件，导轨依据GB/T 10125-2021《人造气氛腐蚀试验盐雾试验》；QB/T 3832- 1999《轻工产品金属镀层腐蚀试验结果的评价》； </w:t>
            </w:r>
            <w:r>
              <w:rPr>
                <w:rFonts w:hint="eastAsia" w:ascii="宋体" w:hAnsi="宋体" w:cs="宋体"/>
                <w:i w:val="0"/>
                <w:iCs w:val="0"/>
                <w:color w:val="auto"/>
                <w:sz w:val="20"/>
                <w:szCs w:val="20"/>
                <w:highlight w:val="none"/>
                <w:u w:val="none"/>
                <w:lang w:val="en-US" w:eastAsia="zh-CN" w:bidi="ar"/>
              </w:rPr>
              <w:t xml:space="preserve">GB/T 24170.1-2023</w:t>
            </w:r>
            <w:r>
              <w:rPr>
                <w:rFonts w:hint="eastAsia" w:ascii="宋体" w:hAnsi="宋体" w:eastAsia="宋体" w:cs="宋体"/>
                <w:i w:val="0"/>
                <w:iCs w:val="0"/>
                <w:color w:val="auto"/>
                <w:sz w:val="20"/>
                <w:szCs w:val="20"/>
                <w:highlight w:val="none"/>
                <w:u w:val="none"/>
                <w:lang w:val="en-US" w:eastAsia="zh-CN" w:bidi="ar"/>
              </w:rPr>
              <w:t xml:space="preserve">《表</w:t>
            </w:r>
            <w:r>
              <w:rPr>
                <w:rFonts w:hint="eastAsia" w:ascii="宋体" w:hAnsi="宋体" w:eastAsia="宋体" w:cs="宋体"/>
                <w:i w:val="0"/>
                <w:iCs w:val="0"/>
                <w:color w:val="auto"/>
                <w:sz w:val="20"/>
                <w:szCs w:val="20"/>
                <w:highlight w:val="none"/>
                <w:u w:val="none"/>
                <w:lang w:val="en-US" w:eastAsia="zh-CN" w:bidi="ar"/>
              </w:rPr>
              <w:t xml:space="preserve">面抗菌不锈钢第1部分:电化学法》； QB/T 2454-2013《家具五金抽屉导轨》检测标准；中性盐雾试验≥500h，镀层本身的耐腐蚀等级≥10级，镀层对基体的保护等级≥10级；乙酸盐雾试验≥250h，镀层本身的耐腐蚀等级≥10级，镀层对基体的保护等级≥10级；耐久性≥12万次检测合格，抗菌性能（抗菌率）≥99%。铰链依据QB/T 2189-2013《家具五金杯状暗铰链》；GB/T 10125 -2021《人造气氛腐蚀试验盐雾 试验》； QB/T 3832-1999 《轻工产品金属镀层腐蚀试验结果的评价》；</w:t>
            </w:r>
            <w:r>
              <w:rPr>
                <w:rFonts w:hint="eastAsia" w:ascii="宋体" w:hAnsi="宋体" w:cs="宋体"/>
                <w:i w:val="0"/>
                <w:iCs w:val="0"/>
                <w:color w:val="auto"/>
                <w:sz w:val="20"/>
                <w:szCs w:val="20"/>
                <w:highlight w:val="none"/>
                <w:u w:val="none"/>
                <w:lang w:val="en-US" w:eastAsia="zh-CN" w:bidi="ar"/>
              </w:rPr>
              <w:t xml:space="preserve">GB/T 24170.1-2023</w:t>
            </w:r>
            <w:r>
              <w:rPr>
                <w:rFonts w:hint="eastAsia" w:ascii="宋体" w:hAnsi="宋体" w:eastAsia="宋体" w:cs="宋体"/>
                <w:i w:val="0"/>
                <w:iCs w:val="0"/>
                <w:color w:val="auto"/>
                <w:sz w:val="20"/>
                <w:szCs w:val="20"/>
                <w:highlight w:val="none"/>
                <w:u w:val="none"/>
                <w:lang w:val="en-US" w:eastAsia="zh-CN" w:bidi="ar"/>
              </w:rPr>
              <w:t xml:space="preserve">《表面抗菌不锈钢第1部分:电化学法》检测标准；中性盐雾试验≥500h，镀层本身的耐腐蚀等级≥10级，镀层对基体的保护等级≥10级；乙酸盐雾试验≥250h，镀层本身的耐腐蚀等级≥10级，镀层对基体的保护等级≥10级；耐久性≥12万次检测合格，安装B型试验门时，下沉量不大于1.5mm，抗菌性能（抗菌率）≥99%。</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组合柜：2400*400*2000mm，饰面：采用三聚氰胺浸渍胶膜纸，依据</w:t>
            </w:r>
            <w:r>
              <w:rPr>
                <w:rFonts w:hint="eastAsia" w:ascii="宋体" w:hAnsi="宋体" w:cs="宋体"/>
                <w:i w:val="0"/>
                <w:iCs w:val="0"/>
                <w:color w:val="auto"/>
                <w:sz w:val="20"/>
                <w:szCs w:val="20"/>
                <w:highlight w:val="none"/>
                <w:u w:val="none"/>
                <w:lang w:val="en-US" w:eastAsia="zh-CN" w:bidi="ar"/>
              </w:rPr>
              <w:t xml:space="preserve"> GB 18584-2024</w:t>
            </w:r>
            <w:r>
              <w:rPr>
                <w:rFonts w:hint="eastAsia" w:ascii="宋体" w:hAnsi="宋体" w:eastAsia="宋体" w:cs="宋体"/>
                <w:i w:val="0"/>
                <w:iCs w:val="0"/>
                <w:color w:val="auto"/>
                <w:sz w:val="20"/>
                <w:szCs w:val="20"/>
                <w:highlight w:val="none"/>
                <w:u w:val="none"/>
                <w:lang w:val="en-US" w:eastAsia="zh-CN" w:bidi="ar"/>
              </w:rPr>
              <w:t xml:space="preserve">《室内装饰装修材料木家具中有害物质限量》；LY/T 1831-2009《人造板饰面专用装饰纸》；</w:t>
            </w:r>
            <w:r>
              <w:rPr>
                <w:rFonts w:hint="eastAsia" w:ascii="宋体" w:hAnsi="宋体" w:cs="宋体"/>
                <w:i w:val="0"/>
                <w:iCs w:val="0"/>
                <w:color w:val="auto"/>
                <w:sz w:val="20"/>
                <w:szCs w:val="20"/>
                <w:highlight w:val="none"/>
                <w:u w:val="none"/>
                <w:lang w:val="en-US" w:eastAsia="zh-CN" w:bidi="ar"/>
              </w:rPr>
              <w:t xml:space="preserve">GB/T 35601-2024</w:t>
            </w:r>
            <w:r>
              <w:rPr>
                <w:rFonts w:hint="eastAsia" w:ascii="宋体" w:hAnsi="宋体" w:eastAsia="宋体" w:cs="宋体"/>
                <w:i w:val="0"/>
                <w:iCs w:val="0"/>
                <w:color w:val="auto"/>
                <w:sz w:val="20"/>
                <w:szCs w:val="20"/>
                <w:highlight w:val="none"/>
                <w:u w:val="none"/>
                <w:lang w:val="en-US" w:eastAsia="zh-CN" w:bidi="ar"/>
              </w:rPr>
              <w:t xml:space="preserve">《绿色产品评价 人造板和木质地板》标准；耐热性1级，苯≤5㎍/m³，挥发物含量5%-9%，甲醛释放量≤0.5mg/L。 </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基材：采用不低于E1级刨花板，依据GB/T 17657-2022《人造板及饰面人造板理化性能试验方法》；GB/T 39600-2021《人造板及其制品甲醛释放量分级》；GB 18580-2017《室内装饰装修材料人造板及其制品中甲醛释放限量》；</w:t>
            </w:r>
            <w:r>
              <w:rPr>
                <w:rFonts w:hint="eastAsia" w:ascii="宋体" w:hAnsi="宋体" w:cs="宋体"/>
                <w:i w:val="0"/>
                <w:iCs w:val="0"/>
                <w:color w:val="auto"/>
                <w:sz w:val="20"/>
                <w:szCs w:val="20"/>
                <w:highlight w:val="none"/>
                <w:u w:val="none"/>
                <w:lang w:val="en-US" w:eastAsia="zh-CN" w:bidi="ar"/>
              </w:rPr>
              <w:t xml:space="preserve">GB/T 35601-2024</w:t>
            </w:r>
            <w:r>
              <w:rPr>
                <w:rFonts w:hint="eastAsia" w:ascii="宋体" w:hAnsi="宋体" w:eastAsia="宋体" w:cs="宋体"/>
                <w:i w:val="0"/>
                <w:iCs w:val="0"/>
                <w:color w:val="auto"/>
                <w:sz w:val="20"/>
                <w:szCs w:val="20"/>
                <w:highlight w:val="none"/>
                <w:u w:val="none"/>
                <w:lang w:val="en-US" w:eastAsia="zh-CN" w:bidi="ar"/>
              </w:rPr>
              <w:t xml:space="preserve">《绿色产品评价人造板和木质地板》；QB/T 4371-2012《家具抗菌性能的评价》；GB 8624-2012《建筑材料及制品燃烧性能分级》；</w:t>
            </w:r>
            <w:r>
              <w:rPr>
                <w:rFonts w:hint="eastAsia" w:ascii="宋体" w:hAnsi="宋体" w:cs="宋体"/>
                <w:i w:val="0"/>
                <w:iCs w:val="0"/>
                <w:color w:val="auto"/>
                <w:sz w:val="20"/>
                <w:szCs w:val="20"/>
                <w:highlight w:val="none"/>
                <w:u w:val="none"/>
                <w:lang w:val="en-US" w:eastAsia="zh-CN" w:bidi="ar"/>
              </w:rPr>
              <w:t xml:space="preserve"> GB 18584-2024</w:t>
            </w:r>
            <w:r>
              <w:rPr>
                <w:rFonts w:hint="eastAsia" w:ascii="宋体" w:hAnsi="宋体" w:eastAsia="宋体" w:cs="宋体"/>
                <w:i w:val="0"/>
                <w:iCs w:val="0"/>
                <w:color w:val="auto"/>
                <w:sz w:val="20"/>
                <w:szCs w:val="20"/>
                <w:highlight w:val="none"/>
                <w:u w:val="none"/>
                <w:lang w:val="en-US" w:eastAsia="zh-CN" w:bidi="ar"/>
              </w:rPr>
              <w:t xml:space="preserve">《室内装饰装修材料木家具中有害物质限量》；GB/T 4897-2015《刨花板》；外观质量至少4项检测，含水率3%～8%，静曲强度≥15MPa，弹性模量≥2000MPa，内胶合强度≥0.55MPa，表面胶合强度≥1.5MPa，2h吸水厚度膨胀率≤3%，板边握螺钉力≥1400N，板面握螺钉力≥1600N，密度≥0.75g/cm³，甲醛释放量≤0.05mg/m³，总挥发性有机化合物≤20㎍/m³，防霉菌等级0级或1级，60s内无燃烧滴落物引燃滤纸现象。</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封边：采用</w:t>
            </w:r>
            <w:r>
              <w:rPr>
                <w:rFonts w:hint="eastAsia" w:ascii="宋体" w:hAnsi="宋体" w:cs="宋体"/>
                <w:i w:val="0"/>
                <w:iCs w:val="0"/>
                <w:color w:val="auto"/>
                <w:sz w:val="20"/>
                <w:szCs w:val="20"/>
                <w:highlight w:val="none"/>
                <w:u w:val="none"/>
                <w:lang w:val="en-US" w:eastAsia="zh-CN" w:bidi="ar"/>
              </w:rPr>
              <w:t xml:space="preserve">ABS</w:t>
            </w:r>
            <w:r>
              <w:rPr>
                <w:rFonts w:hint="eastAsia" w:ascii="宋体" w:hAnsi="宋体" w:eastAsia="宋体" w:cs="宋体"/>
                <w:i w:val="0"/>
                <w:iCs w:val="0"/>
                <w:color w:val="auto"/>
                <w:sz w:val="20"/>
                <w:szCs w:val="20"/>
                <w:highlight w:val="none"/>
                <w:u w:val="none"/>
                <w:lang w:val="en-US" w:eastAsia="zh-CN" w:bidi="ar"/>
              </w:rPr>
              <w:t xml:space="preserve">激光封边条，依据</w:t>
            </w:r>
            <w:r>
              <w:rPr>
                <w:rFonts w:hint="eastAsia" w:ascii="宋体" w:hAnsi="宋体" w:cs="宋体"/>
                <w:i w:val="0"/>
                <w:iCs w:val="0"/>
                <w:color w:val="auto"/>
                <w:sz w:val="20"/>
                <w:szCs w:val="20"/>
                <w:highlight w:val="none"/>
                <w:u w:val="none"/>
                <w:lang w:val="en-US" w:eastAsia="zh-CN" w:bidi="ar"/>
              </w:rPr>
              <w:t xml:space="preserve">QB/T 4463-2025</w:t>
            </w:r>
            <w:r>
              <w:rPr>
                <w:rFonts w:hint="eastAsia" w:ascii="宋体" w:hAnsi="宋体" w:eastAsia="宋体" w:cs="宋体"/>
                <w:i w:val="0"/>
                <w:iCs w:val="0"/>
                <w:color w:val="auto"/>
                <w:sz w:val="20"/>
                <w:szCs w:val="20"/>
                <w:highlight w:val="none"/>
                <w:u w:val="none"/>
                <w:lang w:val="en-US" w:eastAsia="zh-CN" w:bidi="ar"/>
              </w:rPr>
              <w:t xml:space="preserve">《家具用封边条技术要求》；GB/T 24128-2018《塑料 塑料防霉剂的防霉效果评估》</w:t>
            </w:r>
            <w:r>
              <w:rPr>
                <w:rFonts w:hint="eastAsia" w:ascii="宋体" w:hAnsi="宋体" w:cs="宋体"/>
                <w:i w:val="0"/>
                <w:iCs w:val="0"/>
                <w:color w:val="auto"/>
                <w:sz w:val="20"/>
                <w:szCs w:val="20"/>
                <w:highlight w:val="none"/>
                <w:u w:val="none"/>
                <w:lang w:val="en-US" w:eastAsia="zh-CN" w:bidi="ar"/>
              </w:rPr>
              <w:t xml:space="preserve">；GB 18584-2024</w:t>
            </w:r>
            <w:r>
              <w:rPr>
                <w:rFonts w:hint="eastAsia" w:ascii="宋体" w:hAnsi="宋体" w:eastAsia="宋体" w:cs="宋体"/>
                <w:i w:val="0"/>
                <w:iCs w:val="0"/>
                <w:color w:val="auto"/>
                <w:sz w:val="20"/>
                <w:szCs w:val="20"/>
                <w:highlight w:val="none"/>
                <w:u w:val="none"/>
                <w:lang w:val="en-US" w:eastAsia="zh-CN" w:bidi="ar"/>
              </w:rPr>
              <w:t xml:space="preserve">《塑料家具中有害物质限量》标准；厚度≥1.8mm。压纹（压花）表面有统一的花式。耐开裂性1级，耐老化性无开裂，甲醛释放量≤0.5mg/L，防霉等级0级或1级，16种多环芳烃（PAH）总量≤5mg/kg。 </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热熔胶：选用</w:t>
            </w:r>
            <w:r>
              <w:rPr>
                <w:rFonts w:hint="eastAsia" w:ascii="宋体" w:hAnsi="宋体" w:cs="宋体"/>
                <w:i w:val="0"/>
                <w:iCs w:val="0"/>
                <w:color w:val="auto"/>
                <w:sz w:val="20"/>
                <w:szCs w:val="20"/>
                <w:highlight w:val="none"/>
                <w:u w:val="none"/>
                <w:lang w:val="en-US" w:eastAsia="zh-CN" w:bidi="ar"/>
              </w:rPr>
              <w:t xml:space="preserve">环保</w:t>
            </w:r>
            <w:r>
              <w:rPr>
                <w:rFonts w:hint="eastAsia" w:ascii="宋体" w:hAnsi="宋体" w:eastAsia="宋体" w:cs="宋体"/>
                <w:i w:val="0"/>
                <w:iCs w:val="0"/>
                <w:color w:val="auto"/>
                <w:sz w:val="20"/>
                <w:szCs w:val="20"/>
                <w:highlight w:val="none"/>
                <w:u w:val="none"/>
                <w:lang w:val="en-US" w:eastAsia="zh-CN" w:bidi="ar"/>
              </w:rPr>
              <w:t xml:space="preserve">热熔胶，依据GB18583-2008《室内装饰装修材料胶粘剂中有害物质限量》﹔HJ2541-2016《环境标志产品技术要求胶粘剂》标准；游离甲醛≤0.1g/kg，苯≤0.02g/kg，甲苯≤0.02g/kg，二甲苯≤0.02g/kg，总挥发性有机物≤5g/L，游离甲苯二异氰酸酯≤1g/kg。 </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五金配件：采用品牌五金配件，导轨依据GB/T 10125-2021《人造气氛腐蚀试验盐雾试验》；QB/T 3832- 1999《轻工产品金属镀层腐蚀试验结果的评价》； </w:t>
            </w:r>
            <w:r>
              <w:rPr>
                <w:rFonts w:hint="eastAsia" w:ascii="宋体" w:hAnsi="宋体" w:cs="宋体"/>
                <w:i w:val="0"/>
                <w:iCs w:val="0"/>
                <w:color w:val="auto"/>
                <w:sz w:val="20"/>
                <w:szCs w:val="20"/>
                <w:highlight w:val="none"/>
                <w:u w:val="none"/>
                <w:lang w:val="en-US" w:eastAsia="zh-CN" w:bidi="ar"/>
              </w:rPr>
              <w:t xml:space="preserve">GB/T 24170.1-2023</w:t>
            </w:r>
            <w:r>
              <w:rPr>
                <w:rFonts w:hint="eastAsia" w:ascii="宋体" w:hAnsi="宋体" w:eastAsia="宋体" w:cs="宋体"/>
                <w:i w:val="0"/>
                <w:iCs w:val="0"/>
                <w:color w:val="auto"/>
                <w:sz w:val="20"/>
                <w:szCs w:val="20"/>
                <w:highlight w:val="none"/>
                <w:u w:val="none"/>
                <w:lang w:val="en-US" w:eastAsia="zh-CN" w:bidi="ar"/>
              </w:rPr>
              <w:t xml:space="preserve">《表</w:t>
            </w:r>
            <w:r>
              <w:rPr>
                <w:rFonts w:hint="eastAsia" w:ascii="宋体" w:hAnsi="宋体" w:eastAsia="宋体" w:cs="宋体"/>
                <w:i w:val="0"/>
                <w:iCs w:val="0"/>
                <w:color w:val="auto"/>
                <w:sz w:val="20"/>
                <w:szCs w:val="20"/>
                <w:highlight w:val="none"/>
                <w:u w:val="none"/>
                <w:lang w:val="en-US" w:eastAsia="zh-CN" w:bidi="ar"/>
              </w:rPr>
              <w:t xml:space="preserve">面抗菌不锈钢第1部分:电化学法》； QB/T 2454-2013《家具五金抽屉导轨》检测标准；中性盐雾试验≥500h，镀层本身的耐腐蚀等级≥10级，镀层对基体的保护等级≥10级；乙酸盐雾试验≥250h，镀层本身的耐腐蚀等级≥10级，镀层对基体的保护等级≥10级；耐久性≥12万次检测合格，抗菌性能（抗菌率）≥99%。铰链依据QB/T 2189-2013《家具五金杯状暗铰链》；GB/T 10125 -2021《人造气氛腐蚀试验盐雾 试验》； QB/T 3832-1999 《轻工产品金属镀层腐蚀试验结果的评价》；</w:t>
            </w:r>
            <w:r>
              <w:rPr>
                <w:rFonts w:hint="eastAsia" w:ascii="宋体" w:hAnsi="宋体" w:cs="宋体"/>
                <w:i w:val="0"/>
                <w:iCs w:val="0"/>
                <w:color w:val="auto"/>
                <w:sz w:val="20"/>
                <w:szCs w:val="20"/>
                <w:highlight w:val="none"/>
                <w:u w:val="none"/>
                <w:lang w:val="en-US" w:eastAsia="zh-CN" w:bidi="ar"/>
              </w:rPr>
              <w:t xml:space="preserve">GB/T 24170.1-2023</w:t>
            </w:r>
            <w:r>
              <w:rPr>
                <w:rFonts w:hint="eastAsia" w:ascii="宋体" w:hAnsi="宋体" w:eastAsia="宋体" w:cs="宋体"/>
                <w:i w:val="0"/>
                <w:iCs w:val="0"/>
                <w:color w:val="auto"/>
                <w:sz w:val="20"/>
                <w:szCs w:val="20"/>
                <w:highlight w:val="none"/>
                <w:u w:val="none"/>
                <w:lang w:val="en-US" w:eastAsia="zh-CN" w:bidi="ar"/>
              </w:rPr>
              <w:t xml:space="preserve">《表面抗菌不锈钢第1部分:电化学法》检测标准；中性盐雾试验≥500h，镀层本身的耐腐蚀等级≥10级，镀层对基体的保护等级≥10级；乙酸盐雾试验≥250h，镀层本身的耐腐蚀等级≥10级，镀层对基体的保护等级≥10级；耐久性≥12万次检测合格，安装B型试验门时，下沉量不大于1.5mm，抗菌性能（抗菌率）≥99%。</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一桌四椅（木质）：新中式，800*800*750mm，采用实木，表面平整光滑，无结疤，整体结构结实耐用。油漆采用</w:t>
            </w:r>
            <w:r>
              <w:rPr>
                <w:rFonts w:hint="eastAsia" w:ascii="宋体" w:hAnsi="宋体" w:cs="宋体"/>
                <w:i w:val="0"/>
                <w:iCs w:val="0"/>
                <w:color w:val="auto"/>
                <w:sz w:val="20"/>
                <w:szCs w:val="20"/>
                <w:highlight w:val="none"/>
                <w:u w:val="none"/>
                <w:lang w:val="en-US" w:eastAsia="zh-CN" w:bidi="ar"/>
              </w:rPr>
              <w:t xml:space="preserve">哑光聚脂漆，</w:t>
            </w:r>
            <w:r>
              <w:rPr>
                <w:rFonts w:hint="eastAsia" w:ascii="宋体" w:hAnsi="宋体" w:eastAsia="宋体" w:cs="宋体"/>
                <w:i w:val="0"/>
                <w:iCs w:val="0"/>
                <w:color w:val="auto"/>
                <w:sz w:val="20"/>
                <w:szCs w:val="20"/>
                <w:highlight w:val="none"/>
                <w:u w:val="none"/>
                <w:lang w:val="en-US" w:eastAsia="zh-CN" w:bidi="ar"/>
              </w:rPr>
              <w:t xml:space="preserve">油漆无颗粒，无气泡，无渣点，颜色均匀。</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双门消毒柜：容量不小于910L，3层，臭氧，红外消毒，1160*500*1630mm</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图书室：</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装饰柜：E0级多层板,甲醛含量≤1.2mg/L，具有防水、防烫、防污、防酸、防碱、</w:t>
            </w:r>
            <w:r>
              <w:rPr>
                <w:rFonts w:hint="eastAsia" w:ascii="宋体" w:hAnsi="宋体" w:cs="宋体"/>
                <w:i w:val="0"/>
                <w:iCs w:val="0"/>
                <w:color w:val="auto"/>
                <w:sz w:val="20"/>
                <w:szCs w:val="20"/>
                <w:highlight w:val="none"/>
                <w:u w:val="none"/>
                <w:lang w:val="en-US" w:eastAsia="zh-CN" w:bidi="ar"/>
              </w:rPr>
              <w:t xml:space="preserve">防火；五金配件</w:t>
            </w:r>
            <w:r>
              <w:rPr>
                <w:rFonts w:hint="eastAsia" w:ascii="宋体" w:hAnsi="宋体" w:eastAsia="宋体" w:cs="宋体"/>
                <w:i w:val="0"/>
                <w:iCs w:val="0"/>
                <w:color w:val="auto"/>
                <w:sz w:val="20"/>
                <w:szCs w:val="20"/>
                <w:highlight w:val="none"/>
                <w:u w:val="none"/>
                <w:lang w:val="en-US" w:eastAsia="zh-CN" w:bidi="ar"/>
              </w:rPr>
              <w:t xml:space="preserve">：锁具、导轨和门铰。</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异形沙发：长4200*宽1400mm；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1、面料：皮，经防虫、防腐、分层、鞣制等数十道专业工序处理，耐磨性强、透气性好。</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2、泡棉：圣诺盟高回弹泡棉，座垫密度大于35kg/m3，回弹率≥40%，外衬丝棉。</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3、框架：内框架采用东北落叶松实木框架，外嵌胡桃木框架，经去皮、烘干、防虫防腐处理，木材含水量≤13%。</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4、打底：高弹力弹簧+尼龙绷带。</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5、沙发脚：采用钢制沙发脚。                                          6、甲醛含量：达到国家E0级环保标准甲醛含量≤9mg/100g</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生活坊：</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作品展览柜：1、尺寸：80×30×85.5cm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2、材质：橡木</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3、表面平整光滑，无结疤，整体结构结实耐用</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4、E0级多层板,甲醛含量≤1.2mg/L，具有防水、防烫、防污、防酸、防碱、</w:t>
            </w:r>
            <w:r>
              <w:rPr>
                <w:rFonts w:hint="eastAsia" w:ascii="宋体" w:hAnsi="宋体" w:cs="宋体"/>
                <w:i w:val="0"/>
                <w:iCs w:val="0"/>
                <w:color w:val="auto"/>
                <w:sz w:val="20"/>
                <w:szCs w:val="20"/>
                <w:highlight w:val="none"/>
                <w:u w:val="none"/>
                <w:lang w:val="en-US" w:eastAsia="zh-CN" w:bidi="ar"/>
              </w:rPr>
              <w:t xml:space="preserve">防火；五金配件</w:t>
            </w:r>
            <w:r>
              <w:rPr>
                <w:rFonts w:hint="eastAsia" w:ascii="宋体" w:hAnsi="宋体" w:eastAsia="宋体" w:cs="宋体"/>
                <w:i w:val="0"/>
                <w:iCs w:val="0"/>
                <w:color w:val="auto"/>
                <w:sz w:val="20"/>
                <w:szCs w:val="20"/>
                <w:highlight w:val="none"/>
                <w:u w:val="none"/>
                <w:lang w:val="en-US" w:eastAsia="zh-CN" w:bidi="ar"/>
              </w:rPr>
              <w:t xml:space="preserve">：锁具、导轨和门铰。</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厨房专用材料收纳柜：1、尺寸：120×40×60cm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2、材质：橡木</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3、表面平整光滑，无结疤，整体结构结实耐用</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4、E0级多层板,甲醛含量≤1.2mg/L，具有防水、防烫、防污、防酸、防碱、</w:t>
            </w:r>
            <w:r>
              <w:rPr>
                <w:rFonts w:hint="eastAsia" w:ascii="宋体" w:hAnsi="宋体" w:cs="宋体"/>
                <w:i w:val="0"/>
                <w:iCs w:val="0"/>
                <w:color w:val="auto"/>
                <w:sz w:val="20"/>
                <w:szCs w:val="20"/>
                <w:highlight w:val="none"/>
                <w:u w:val="none"/>
                <w:lang w:val="en-US" w:eastAsia="zh-CN" w:bidi="ar"/>
              </w:rPr>
              <w:t xml:space="preserve">防火；五金配件</w:t>
            </w:r>
            <w:r>
              <w:rPr>
                <w:rFonts w:hint="eastAsia" w:ascii="宋体" w:hAnsi="宋体" w:eastAsia="宋体" w:cs="宋体"/>
                <w:i w:val="0"/>
                <w:iCs w:val="0"/>
                <w:color w:val="auto"/>
                <w:sz w:val="20"/>
                <w:szCs w:val="20"/>
                <w:highlight w:val="none"/>
                <w:u w:val="none"/>
                <w:lang w:val="en-US" w:eastAsia="zh-CN" w:bidi="ar"/>
              </w:rPr>
              <w:t xml:space="preserve">：锁具、导轨和门铰</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材料储物柜：整体组合柜的尺寸：400×40×260 cm（宽×深×高）</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包含：食育微波炉柜×2，食育门板-厨具×1，通用两层柜×5，食育门板-饼干×1，美劳教室-美劳储格柜×1，食育门板-面条×1，食育烤箱柜×1，食育门板-调料×1，蛋糕饰顶×1，通用门板-枫木×2，食育门板-围裙×1</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（1）食育微波炉柜</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尺寸：80×40×140cm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1、主体采用约18mm厚环保三聚氰胺双贴面刨花板，甲醛释放量符合GB/T 39600-2021标准要求，甲醛释放量≤0.025mg/m³，符合Enf级；     </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2、表面耐磨、耐污、耐划伤，易清洁，无透底现象    </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PVC封边条封边，表面光滑无污点，花纹清晰均匀，色泽均匀无色差，转角过渡自然，耐干热性、耐磨性、耐开裂性、耐老化性、耐冷热循环性、耐光色牢度、甲醛释放量、氯乙烯单体、可迁移元素（铅、镉、铬、汞、砷、钡、锑、硒）含量、邻苯二甲酸酯总量、多溴联苯(PBB)、多溴联苯醚(PBDE)等符合</w:t>
            </w:r>
            <w:r>
              <w:rPr>
                <w:rFonts w:hint="eastAsia" w:ascii="宋体" w:hAnsi="宋体" w:cs="宋体"/>
                <w:i w:val="0"/>
                <w:iCs w:val="0"/>
                <w:color w:val="auto"/>
                <w:sz w:val="20"/>
                <w:szCs w:val="20"/>
                <w:highlight w:val="none"/>
                <w:u w:val="none"/>
                <w:lang w:val="en-US" w:eastAsia="zh-CN" w:bidi="ar"/>
              </w:rPr>
              <w:t xml:space="preserve">QB/T 4463-2025</w:t>
            </w:r>
            <w:r>
              <w:rPr>
                <w:rFonts w:hint="eastAsia" w:ascii="宋体" w:hAnsi="宋体" w:eastAsia="宋体" w:cs="宋体"/>
                <w:i w:val="0"/>
                <w:iCs w:val="0"/>
                <w:color w:val="auto"/>
                <w:sz w:val="20"/>
                <w:szCs w:val="20"/>
                <w:highlight w:val="none"/>
                <w:u w:val="none"/>
                <w:lang w:val="en-US" w:eastAsia="zh-CN" w:bidi="ar"/>
              </w:rPr>
              <w:t xml:space="preserve">标准要求       </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4、五金件选用环保五金，镉、铅、汞、六价铬含量符合GB/T 26572-2011标准要求     </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（2）食育门板-厨具</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尺寸：80×1.8×58.2cm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1、框体采用约18mm厚环保三聚氰胺双贴面刨花板，甲醛释放量符合GB/T 39600-2021标准要求，甲醛释放量≤0.025mg/m³，符合Enf级；       </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2、图案UV打印工艺处理，颜色饱满，图案附着力好，所使用的UV打印均为环保材料，颜色、着色力、细度、干燥性、有害可溶性元素（铅，镉，铬，钡，锑，汞，砷，硒）、挥发性有机化合物(VOCs)含量等符合QB/T 5603-2021标准要求</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（3）通用两层柜</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尺寸：80×40×60cm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1、采用约18mm厚环保双贴面刨花板，甲醛释放量符合GB/T 39600-2021标准要求，甲醛释放量≤0.025mg/m³，符合Enf级；     </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2、五金件选用环保五金，镉、铅、汞、六价铬含量符合GB/T 26572-2011标准要求     </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（4）食育门板-饼干</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尺寸：80×1.8×58.2cm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1、框体采用约18mm厚环保三聚氰胺双贴面刨花板，甲醛释放量符合GB/T 39600-2021标准要求，甲醛释放量≤0.025mg/m³，符合Enf级；       </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2、图案UV打印工艺处理，颜色饱满，图案附着力好，所使用的UV打印均为环保材料，颜色、着色力、细度、干燥性、有害可溶性元素（铅，镉，铬，钡，锑，汞，砷，硒）、挥发性有机化合物(VOCs)含量等符合QB/T 5603-2021标准要求   </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（5）储格柜</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尺寸：80×40×140cm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1、采用约18mm厚环保三聚氰胺双贴面刨花板，甲醛释放量符合GB/T 39600-2021标准要求，甲醛释放量≤0.025mg/m³，符合Enf级；       </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2、五金件选用环保五金，镉、铅、汞、六价铬含量符合GB/T 26572-2011标准要求     </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（6）食育门板-面条</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尺寸：80×1.8×58.2cm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1、框体采用约18mm厚环保三聚氰胺双贴面刨花板，甲醛释放量符合GB/T 39600-2021标准要求，甲醛释放量≤0.025mg/m³，符合Enf级；       </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2、图案UV打印工艺处理，颜色饱满，图案附着力好，所使用的UV打印均为环保材料，颜色、着色力、细度、干燥性、有害可溶性元素（铅，镉，铬，钡，锑，汞，砷，硒）、挥发性有机化合物(VOCs)含量等符合QB/T 5603-2021标准要求   </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（7）食育烤箱柜</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尺寸：160×40×140cm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1、主体采用约18mm厚环保三聚氰胺双贴面刨花板，甲醛释放量符合GB/T 39600-2021标准要求，甲醛释放量≤0.025mg/m³，符合Enf级；      </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2、五金件选用环保五金，镉、铅、汞、六价铬含量符合GB/T 26572-2011标准要求     </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（8）食育门板-调料</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尺寸：80×1.8×58.2cm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1、框体采用约18mm厚环保三聚氰胺双贴面刨花板，甲醛释放量符合GB/T 39600-2021标准要求，甲醛释放量≤0.025mg/m³，符合Enf级；       </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2、图案UV打印工艺处理，颜色饱满，图案附着力好所使用的UV打印均为环保材料，颜色、着色力、细度、干燥性、有害可溶性元素（铅，镉，铬，钡，锑，汞，砷，硒）、挥发性有机化合物(VOCs)含量等符合QB/T 5603-2021标准要求   </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（9）蛋糕饰顶</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尺寸：78×1.5×54cm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1、采用约15mm厚环保三聚氰胺双贴面胶合板，甲醛释放量符合GB/T 39600-2021标准要求，甲醛释放量≤0.025mg/m³，符合Enf级；     </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2、图案UV打印工艺处理，颜色饱满，图案附着力好所使用的UV打印均为环保材料，颜色、着色力、细度、干燥性、有害可溶性元素（铅，镉，铬，钡，锑，汞，砷，硒）、挥发性有机化合物(VOCs)含量等符合QB/T 5603-2021标准要求   </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（10）通用门板-枫木</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尺寸：80×58.2cm×1.8</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1、采用约18mm厚环保枫木纹双贴面刨花板，甲醛释放量符合GB/T 39600-2021标准要求，甲醛释放量≤0.025mg/m³，符合Enf级；     </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（11）食育门板-围裙</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尺寸：80×1.8×58.2cm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1、框体采用约18mm厚环保三聚氰胺双贴面刨花板，甲醛释放量符合GB/T 39600-2021标准要求，甲醛释放量≤0.025mg/m³，符合Enf级；       </w:t>
            </w:r>
            <w:r>
              <w:rPr>
                <w:rFonts w:hint="eastAsia" w:ascii="宋体" w:hAnsi="宋体" w:cs="宋体"/>
                <w:i w:val="0"/>
                <w:iCs w:val="0"/>
                <w:color w:val="auto"/>
                <w:sz w:val="20"/>
                <w:szCs w:val="20"/>
                <w:highlight w:val="none"/>
                <w:u w:val="none"/>
                <w:lang w:val="en-US" w:eastAsia="zh-CN" w:bidi="ar"/>
              </w:rPr>
              <w:t xml:space="preserve">  </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2、图案UV打印工艺处理，颜色饱满，图案附着力好，所使用的UV打印均为环保材料，颜色、着色力、细度、干燥性、有害可溶性元素（铅，镉，铬，钡，锑，汞，砷，硒）、挥发性有机化合物(VOCs)含量等符合QB/T 5603-2021标准要求</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综合操作台：尺寸：120×60×60cm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1、框体采用约18mm厚枫木纹双贴面胶合板，台面采用约12mm厚桦木纹康贝特，饰面胶合板甲醛释放量符合GB/T 39600-2021标准要求，甲醛释放量≤0.025mg/m³，符合Enf级；</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木蜡油封边，成膜牢固，搅拌后均匀无硬块，细度、干燥时间、贮存稳定性、涂膜外观、光泽、硬度、附着力、耐干热性、耐水性、耐碱性、耐醇性、耐污染性（醋、茶）、挥发性有机化合物(VOC)含量、苯含量、甲苯二甲苯乙苯含量总和、卤代烃含量、可溶性重金属（铅、镉、铬、汞）含量符合GB/T 27811-2011标准要求    </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3、五金件选用环保五金，镉、铅、汞、六价铬含量符合GB/T 26572-2011标准要求     </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4、采用踢脚板设计，即增加稳定性，又可以防止杂物进入柜底</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5、产品采用双贴面工艺边角安全防撞设计产品整体结构稳固，不易倾倒</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6、PVC封边条封边，耐干热性，耐磨性，耐开裂性(耐龟裂性)≥2级，耐老化性，耐冷热循环性，耐光色牢度(灰色样卡)≥4级、有害物质限量[甲醛释放量≤1.5mg/L，氯乙烯单体未检出，可迁移元素(可溶性重金属)（铅、镉、铬、汞、砷、钡、锑、硒）未检出，邻苯二甲酸酯（DBP、BBP、DEHP、DNOP、DINP、DIDP）总量≤0.1%，多溴联苯(PBB)未检出，多溴联苯醚(PBDE)未检出</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方凳：尺寸：H35cm，椅座25×25cm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1、凳面采用15mm厚枫木纹双贴面胶合板，甲醛释放量符合GB/T 39600-2021标准要求，甲醛释放量≤0.025mg/m³，符合Enf级；</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2、椅架表面金属烤漆处理</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3、本款产品可堆叠收纳</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边台：1、材质：橡木</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2、尺寸：120cm×40cm×60cm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3、采用橡木，表面平整光滑，无结疤，整体结构结实耐用</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幼儿专用罩衣：1、材质：防水布</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2、尺寸：ML码</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3、陶艺课使用，米黄色</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教师围裙：1、材质：防水布，米黄色</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2、尺寸：81×63cm ，防水效果好，教师食育课必备品</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弧形岛台：桌面大理石，尺寸 6000*550*600mm</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带4个水池操作台：桌面大理石，3个幼儿用（316不锈钢），1成人（316不锈钢）</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石磨：1、尺寸：170×270mm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2、材质：青石</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粮食碾：1、尺寸：180×550mm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2、材质：青石</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电蒸锅：1、规格：34.5×34.1×36.5cm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2、蒸笼面积：10L</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3、额定功率：1500W电压：220V</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4、材质：不锈钢（三层不锈钢）</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非遗传统面塑材料(非食用）：12色一套，每包100g</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非遗面塑支架托板：橡木板100×100mm,81孔插板</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非遗面塑工具：15件工具一套</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编织收纳筐：1、尺寸规格：340×230×140mm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2、旧色复古色系，用于工具材料收纳</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铂金硅胶揉面垫：1、规格：60×40cm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2、材质：硅胶、玻纤布用于桌面垫子，揉面、做饼干等</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竹制盖帘：1、材质：天然竹，尼龙包边</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2、尺寸：≥直径390mm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3、用途：传统收纳、置物板，可盛放面食作品等</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花馍梳子：1、材质：塑料</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2、尺寸：≥长90mm宽50mm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3、用途：花馍辅助工具，用于装饰花馍，在面食上制作肌理</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default" w:ascii="宋体" w:hAnsi="宋体" w:eastAsia="宋体" w:cs="宋体"/>
                <w:i w:val="0"/>
                <w:iCs w:val="0"/>
                <w:color w:val="auto"/>
                <w:sz w:val="20"/>
                <w:szCs w:val="20"/>
                <w:highlight w:val="none"/>
                <w:u w:val="none"/>
                <w:lang w:val="en-US" w:eastAsia="zh-CN"/>
              </w:rPr>
            </w:pPr>
            <w:r>
              <w:rPr>
                <w:rFonts w:hint="default" w:ascii="宋体" w:hAnsi="宋体" w:eastAsia="宋体" w:cs="宋体"/>
                <w:i w:val="0"/>
                <w:iCs w:val="0"/>
                <w:color w:val="auto"/>
                <w:sz w:val="20"/>
                <w:szCs w:val="20"/>
                <w:highlight w:val="none"/>
                <w:u w:val="none"/>
                <w:lang w:val="en-US" w:eastAsia="zh-CN"/>
              </w:rPr>
            </w:r>
            <w:r/>
          </w:p>
        </w:tc>
        <w:tc>
          <w:tcPr>
            <w:tcW w:w="5370" w:type="dxa"/>
            <w:vAlign w:val="center"/>
            <w:textDirection w:val="lrTb"/>
            <w:noWrap w:val="false"/>
          </w:tcPr>
          <w:p>
            <w:pPr>
              <w:jc w:val="left"/>
              <w:keepLines w:val="0"/>
              <w:keepNext w:val="0"/>
              <w:widowControl/>
              <w:rPr>
                <w:rFonts w:hint="eastAsia"/>
                <w:highlight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幼儿专用爆米花车：1、外形尺寸：27×31cm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2、功率：≥500w</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3、电压：≥220v</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4、材质：金属+无毒PP</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default" w:ascii="宋体" w:hAnsi="宋体" w:eastAsia="宋体" w:cs="宋体"/>
                <w:i w:val="0"/>
                <w:iCs w:val="0"/>
                <w:color w:val="auto"/>
                <w:sz w:val="20"/>
                <w:szCs w:val="20"/>
                <w:highlight w:val="none"/>
                <w:u w:val="none"/>
                <w:lang w:val="en-US"/>
              </w:rPr>
            </w:pPr>
            <w:r>
              <w:rPr>
                <w:rFonts w:hint="default" w:ascii="宋体" w:hAnsi="宋体" w:eastAsia="宋体" w:cs="宋体"/>
                <w:i w:val="0"/>
                <w:iCs w:val="0"/>
                <w:color w:val="auto"/>
                <w:sz w:val="20"/>
                <w:szCs w:val="20"/>
                <w:highlight w:val="none"/>
                <w:u w:val="none"/>
                <w:lang w:val="en-US"/>
              </w:rPr>
            </w:r>
            <w:r/>
          </w:p>
        </w:tc>
        <w:tc>
          <w:tcPr>
            <w:tcW w:w="5370" w:type="dxa"/>
            <w:vAlign w:val="center"/>
            <w:textDirection w:val="lrTb"/>
            <w:noWrap w:val="false"/>
          </w:tcPr>
          <w:p>
            <w:pPr>
              <w:jc w:val="left"/>
              <w:keepLines w:val="0"/>
              <w:keepNext w:val="0"/>
              <w:widowControl/>
              <w:rPr>
                <w:rFonts w:hint="eastAsia"/>
                <w:highlight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幼儿专用棉花糖机：1、外形尺寸：25×25×19cm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2、功率：≥400w</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3、电压：≥220v</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4、材质：金属+无毒PP</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jc w:val="center"/>
              <w:rPr>
                <w:rFonts w:hint="default" w:ascii="宋体" w:hAnsi="宋体" w:eastAsia="宋体" w:cs="宋体"/>
                <w:i w:val="0"/>
                <w:iCs w:val="0"/>
                <w:color w:val="auto"/>
                <w:sz w:val="20"/>
                <w:szCs w:val="20"/>
                <w:highlight w:val="none"/>
                <w:u w:val="none"/>
                <w:lang w:val="en-US"/>
              </w:rPr>
            </w:pPr>
            <w:r>
              <w:rPr>
                <w:rFonts w:hint="default" w:ascii="宋体" w:hAnsi="宋体" w:eastAsia="宋体" w:cs="宋体"/>
                <w:i w:val="0"/>
                <w:iCs w:val="0"/>
                <w:color w:val="auto"/>
                <w:sz w:val="20"/>
                <w:szCs w:val="20"/>
                <w:highlight w:val="none"/>
                <w:u w:val="none"/>
                <w:lang w:val="en-US"/>
              </w:rPr>
            </w:r>
            <w:r/>
          </w:p>
        </w:tc>
        <w:tc>
          <w:tcPr>
            <w:tcW w:w="1080" w:type="dxa"/>
            <w:vAlign w:val="center"/>
            <w:textDirection w:val="lrTb"/>
            <w:noWrap/>
          </w:tcPr>
          <w:p>
            <w:pPr>
              <w:jc w:val="center"/>
              <w:rPr>
                <w:rFonts w:hint="default" w:ascii="宋体" w:hAnsi="宋体" w:eastAsia="宋体" w:cs="宋体"/>
                <w:i w:val="0"/>
                <w:iCs w:val="0"/>
                <w:color w:val="auto"/>
                <w:sz w:val="20"/>
                <w:szCs w:val="20"/>
                <w:highlight w:val="none"/>
                <w:u w:val="none"/>
                <w:lang w:val="en-US"/>
              </w:rPr>
            </w:pPr>
            <w:r>
              <w:rPr>
                <w:rFonts w:hint="default" w:ascii="宋体" w:hAnsi="宋体" w:eastAsia="宋体" w:cs="宋体"/>
                <w:i w:val="0"/>
                <w:iCs w:val="0"/>
                <w:color w:val="auto"/>
                <w:sz w:val="20"/>
                <w:szCs w:val="20"/>
                <w:highlight w:val="none"/>
                <w:u w:val="none"/>
                <w:lang w:val="en-US"/>
              </w:rPr>
            </w:r>
            <w:r/>
          </w:p>
        </w:tc>
        <w:tc>
          <w:tcPr>
            <w:tcW w:w="5370" w:type="dxa"/>
            <w:vAlign w:val="center"/>
            <w:textDirection w:val="lrTb"/>
            <w:noWrap w:val="false"/>
          </w:tcPr>
          <w:p>
            <w:pPr>
              <w:jc w:val="left"/>
              <w:keepLines w:val="0"/>
              <w:keepNext w:val="0"/>
              <w:widowControl/>
              <w:rPr>
                <w:rFonts w:hint="eastAsia"/>
                <w:highlight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幼儿专用全自动多功能烘焙箱：1、容量：≥38L</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2、功率：≥1800w，电压：220v</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3、产品重量：≥7KG</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4、尺寸：535×395×355mm</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封口机套装：1、尺寸：190×20×24cm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2、材质：PET+ABS</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3、说明：多功能封口机，安全快捷</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裱花工具：裱花托50只，裱花棒1只，裱花剪1只</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裱花练习装饰材料：常规配套</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分料碗：1、产品名称；小碗四个装</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2、产品材质；小麦秸秆+食品级PP</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3、产品重量；大饭碗452g（含包装） 小碗282g（含包装）</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手动打蛋器：1、手动打蛋器规格：18×3.5cm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2、材质：不锈钢</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3、不锈钢选材，A级抛光+磨光工艺，双重质感，光滑不伤手，用于打散鸡蛋液</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厨房电子称：1、厨房电子称，材质：不锈钢拉丝</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2、规格：18×14×1.7cm，电子显示</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搅拌铲：规格：4.5×28cm</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面粉筛：1、规格：12cm×12cm×16cm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2、材质：塑料</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3、手柄，用于筛面</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烤盘：1、规格：22×17×4.5cm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2、材质：铝合金</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3、烤制饼干、蛋卷等</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6连蛋糕模具：1、规格：26×18cm，圈圈直径7.5cm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2、材质：铝合金</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棉手套：1、规格：30×15cm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2、材质：棉、隔热棉、无纺布耐高温230度</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锡纸：1、规格：23×10cm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2、材质：8001铝箔用与烧烤烘焙</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裱花台转盘：规格：面板直径29cm高9cm；2、材质：ABS塑料用于蛋糕制作，裱花等</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奶油抹刀：1、规格：32×3cm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2、材质：不锈钢用于蛋糕制作</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油纸：油纸，作物食物垫使用</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手套-3型：1、材质：食品级认证PVC</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2、规格：20只/盒</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手套套装：1、材质：PVC</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2、尺寸：S码65-80×320mm</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3、说明：清洗工具时使用，共单层与加绒两款，满足不同季节的需求</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对开门冰箱：总容量：不小于555L，冷藏室容量不小于350L，冷冻室不小于200L</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消毒柜：不小于290L</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国标二星消毒</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电磁炉：尺寸：350×280×60mm，功率220V，额定功率3000W，双屏面板，不锈钢材质</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微波炉：一级能效，900W微波，按键式</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电动榨汁机：容量：1.6L，配套滤网，噪音值≤80dB</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空气炸锅：容量6.5L，不小于2000W，加热方式：双热源，可视化窗口</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电饭煲：容量3L 母婴级0涂层不锈钢内胆煮</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平底锅：不沾平底锅，直径：24.5cm</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布织收纳筐：尺寸：35×25×17.5cm金属框架，丙丝带编织布料，两侧设计有提手</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水桶：塑料材质,直径20cm</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苏式窗镜卡纸：1、尺寸：8k</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2、重量约：300g</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3、环保原木浆</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生宣纸：尺寸：4k</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彩墨汁：用于幼儿国画课程的绘画工具</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国画毛笔：用于幼儿国画课程的绘画工具</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版画拓印滚轮：1、塑柄滚筒</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2、儿童版画拓印工具</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砂纸：材质：碳化硅水纸尺寸：100目，280×230mm</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拓包：材质：棉+丝绸尺寸：2.5cm</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油墨颜料：材质：油墨</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版画：规格：1套16个模板（图案印压-模板-动物单图）尺寸：150×150mm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材质：KS</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a4切割点板：材质：pvc 尺寸：300×220mm</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幼儿数字油画：1、20×20cm，袋装6幅重量约1公斤</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2、画板+丙烯颜料+画笔2支+挂钩1套+彩图</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幼儿专用安全色粉：1、规格：12色</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2、用于幼儿色粉课程的绘画耗材</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幼儿专用安全重彩油画棒：1、规格：12色</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2、用于幼儿绘画课程，安全无毒</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幼儿专用安全蜡笔：1、规格：12色</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2、用于绘画课程的材料</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圆形油画框：规格：φ15cm</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方形油画框：规格：15×15cm</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画架：材质：实木，尺寸：44×44×182表面光滑、无毛刺、无弯曲，接缝无开裂，整体无疤痕无弯曲，表面环保烤漆处理</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画板：尺寸：4K，厚度1.8m</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default" w:ascii="宋体" w:hAnsi="宋体" w:eastAsia="宋体" w:cs="宋体"/>
                <w:i w:val="0"/>
                <w:iCs w:val="0"/>
                <w:color w:val="auto"/>
                <w:sz w:val="20"/>
                <w:szCs w:val="20"/>
                <w:highlight w:val="none"/>
                <w:u w:val="none"/>
                <w:lang w:val="en-US" w:eastAsia="zh-CN"/>
              </w:rPr>
            </w:pPr>
            <w:r>
              <w:rPr>
                <w:rFonts w:hint="default" w:ascii="宋体" w:hAnsi="宋体" w:eastAsia="宋体" w:cs="宋体"/>
                <w:i w:val="0"/>
                <w:iCs w:val="0"/>
                <w:color w:val="auto"/>
                <w:sz w:val="20"/>
                <w:szCs w:val="20"/>
                <w:highlight w:val="none"/>
                <w:u w:val="none"/>
                <w:lang w:val="en-US" w:eastAsia="zh-CN"/>
              </w:rPr>
            </w:r>
            <w:r/>
          </w:p>
        </w:tc>
        <w:tc>
          <w:tcPr>
            <w:tcW w:w="5370" w:type="dxa"/>
            <w:vAlign w:val="center"/>
            <w:textDirection w:val="lrTb"/>
            <w:noWrap w:val="false"/>
          </w:tcPr>
          <w:p>
            <w:pPr>
              <w:jc w:val="left"/>
              <w:keepLines w:val="0"/>
              <w:keepNext w:val="0"/>
              <w:widowControl/>
              <w:rPr>
                <w:rFonts w:hint="eastAsia"/>
                <w:highlight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幼儿专用安全彩泥套组：</w:t>
            </w:r>
            <w:r>
              <w:rPr>
                <w:rFonts w:hint="eastAsia" w:ascii="宋体" w:hAnsi="宋体" w:cs="宋体"/>
                <w:i w:val="0"/>
                <w:iCs w:val="0"/>
                <w:color w:val="auto"/>
                <w:sz w:val="20"/>
                <w:szCs w:val="20"/>
                <w:highlight w:val="none"/>
                <w:u w:val="none"/>
                <w:lang w:val="en-US" w:eastAsia="zh-CN" w:bidi="ar"/>
              </w:rPr>
              <w:t xml:space="preserve">1、</w:t>
            </w:r>
            <w:r>
              <w:rPr>
                <w:rFonts w:hint="eastAsia" w:ascii="宋体" w:hAnsi="宋体" w:eastAsia="宋体" w:cs="宋体"/>
                <w:i w:val="0"/>
                <w:iCs w:val="0"/>
                <w:color w:val="auto"/>
                <w:sz w:val="20"/>
                <w:szCs w:val="20"/>
                <w:highlight w:val="none"/>
                <w:u w:val="none"/>
                <w:lang w:val="en-US" w:eastAsia="zh-CN" w:bidi="ar"/>
              </w:rPr>
              <w:t xml:space="preserve">规格：50g、36色</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jc w:val="center"/>
              <w:rPr>
                <w:rFonts w:hint="default" w:ascii="宋体" w:hAnsi="宋体" w:eastAsia="宋体" w:cs="宋体"/>
                <w:i w:val="0"/>
                <w:iCs w:val="0"/>
                <w:color w:val="auto"/>
                <w:sz w:val="20"/>
                <w:szCs w:val="20"/>
                <w:highlight w:val="none"/>
                <w:u w:val="none"/>
                <w:lang w:val="en-US"/>
              </w:rPr>
            </w:pPr>
            <w:r>
              <w:rPr>
                <w:rFonts w:hint="eastAsia" w:ascii="宋体" w:hAnsi="宋体" w:eastAsia="宋体" w:cs="宋体"/>
                <w:i w:val="0"/>
                <w:iCs w:val="0"/>
                <w:color w:val="auto"/>
                <w:sz w:val="20"/>
                <w:szCs w:val="20"/>
                <w:highlight w:val="none"/>
                <w:u w:val="none"/>
                <w:lang w:val="en-US" w:eastAsia="zh-CN" w:bidi="ar"/>
              </w:rPr>
              <w:t xml:space="preserve">★</w:t>
            </w:r>
            <w:r>
              <w:rPr>
                <w:rFonts w:hint="eastAsia" w:ascii="宋体" w:hAnsi="宋体" w:cs="宋体"/>
                <w:i w:val="0"/>
                <w:iCs w:val="0"/>
                <w:color w:val="auto"/>
                <w:sz w:val="20"/>
                <w:szCs w:val="20"/>
                <w:highlight w:val="none"/>
                <w:u w:val="none"/>
                <w:lang w:val="en-US" w:eastAsia="zh-CN" w:bidi="ar"/>
              </w:rPr>
              <w:t xml:space="preserve">2</w:t>
            </w:r>
            <w:r/>
          </w:p>
        </w:tc>
        <w:tc>
          <w:tcPr>
            <w:tcW w:w="1080" w:type="dxa"/>
            <w:vAlign w:val="center"/>
            <w:textDirection w:val="lrTb"/>
            <w:noWrap/>
          </w:tcPr>
          <w:p>
            <w:pPr>
              <w:jc w:val="center"/>
              <w:rPr>
                <w:rFonts w:hint="default" w:ascii="宋体" w:hAnsi="宋体" w:eastAsia="宋体" w:cs="宋体"/>
                <w:i w:val="0"/>
                <w:iCs w:val="0"/>
                <w:color w:val="auto"/>
                <w:sz w:val="20"/>
                <w:szCs w:val="20"/>
                <w:highlight w:val="none"/>
                <w:u w:val="none"/>
                <w:lang w:val="en-US" w:eastAsia="zh-CN"/>
              </w:rPr>
            </w:pPr>
            <w:r>
              <w:rPr>
                <w:rFonts w:hint="default" w:ascii="宋体" w:hAnsi="宋体" w:eastAsia="宋体" w:cs="宋体"/>
                <w:i w:val="0"/>
                <w:iCs w:val="0"/>
                <w:color w:val="auto"/>
                <w:sz w:val="20"/>
                <w:szCs w:val="20"/>
                <w:highlight w:val="none"/>
                <w:u w:val="none"/>
                <w:lang w:val="en-US" w:eastAsia="zh-CN"/>
              </w:rPr>
            </w:r>
            <w:r/>
          </w:p>
        </w:tc>
        <w:tc>
          <w:tcPr>
            <w:tcW w:w="5370" w:type="dxa"/>
            <w:vAlign w:val="center"/>
            <w:textDirection w:val="lrTb"/>
            <w:noWrap w:val="false"/>
          </w:tcPr>
          <w:p>
            <w:pPr>
              <w:pStyle w:val="851"/>
              <w:rPr>
                <w:rFonts w:hint="eastAsia"/>
                <w:highlight w:val="none"/>
              </w:rPr>
            </w:pPr>
            <w:r>
              <w:rPr>
                <w:rFonts w:hint="eastAsia"/>
                <w:highlight w:val="none"/>
                <w:lang w:val="en-US" w:eastAsia="zh-CN"/>
              </w:rPr>
              <w:t xml:space="preserve">2、彩泥的</w:t>
            </w:r>
            <w:r>
              <w:rPr>
                <w:rFonts w:hint="eastAsia" w:ascii="宋体" w:hAnsi="宋体" w:cs="宋体"/>
                <w:i w:val="0"/>
                <w:iCs w:val="0"/>
                <w:color w:val="auto"/>
                <w:sz w:val="20"/>
                <w:szCs w:val="20"/>
                <w:highlight w:val="none"/>
                <w:u w:val="none"/>
                <w:lang w:val="en-US" w:eastAsia="zh-CN" w:bidi="ar"/>
              </w:rPr>
              <w:t xml:space="preserve">可迁移元素(mg/kg)限量，锑(Sb)≤10，钡(Ba)≤350，铬(Cr)≤25，汞(Hg)≤10，砷(As)≤10,镉(Cd)≤15,铅(Pb)≤25,硒(Se)≤50，判定合格，符</w:t>
            </w:r>
            <w:r>
              <w:rPr>
                <w:rFonts w:hint="eastAsia" w:ascii="宋体" w:hAnsi="宋体" w:eastAsia="宋体" w:cs="宋体"/>
                <w:i w:val="0"/>
                <w:iCs w:val="0"/>
                <w:color w:val="auto"/>
                <w:sz w:val="20"/>
                <w:szCs w:val="20"/>
                <w:highlight w:val="none"/>
                <w:lang w:val="en-US" w:eastAsia="zh-CN" w:bidi="ar"/>
              </w:rPr>
              <w:t xml:space="preserve">合</w:t>
            </w:r>
            <w:r>
              <w:rPr>
                <w:rFonts w:hint="eastAsia" w:ascii="宋体" w:hAnsi="宋体" w:cs="宋体"/>
                <w:i w:val="0"/>
                <w:iCs w:val="0"/>
                <w:color w:val="auto"/>
                <w:sz w:val="20"/>
                <w:szCs w:val="20"/>
                <w:highlight w:val="none"/>
                <w:u w:val="none"/>
                <w:lang w:val="en-US" w:eastAsia="zh-CN" w:bidi="ar"/>
              </w:rPr>
              <w:t xml:space="preserve">GB/21027-2020</w:t>
            </w:r>
            <w:r>
              <w:rPr>
                <w:rFonts w:hint="eastAsia" w:ascii="宋体" w:hAnsi="宋体" w:eastAsia="宋体" w:cs="宋体"/>
                <w:i w:val="0"/>
                <w:iCs w:val="0"/>
                <w:color w:val="auto"/>
                <w:sz w:val="20"/>
                <w:szCs w:val="20"/>
                <w:highlight w:val="none"/>
                <w:lang w:val="en-US" w:eastAsia="zh-CN" w:bidi="ar"/>
              </w:rPr>
              <w:t xml:space="preserve">国家标准</w:t>
            </w:r>
            <w:r>
              <w:rPr>
                <w:rFonts w:hint="eastAsia" w:ascii="宋体" w:hAnsi="宋体" w:cs="宋体"/>
                <w:i w:val="0"/>
                <w:iCs w:val="0"/>
                <w:color w:val="auto"/>
                <w:sz w:val="20"/>
                <w:szCs w:val="20"/>
                <w:highlight w:val="none"/>
                <w:lang w:val="en-US" w:eastAsia="zh-CN" w:bidi="ar"/>
              </w:rPr>
              <w:t xml:space="preserve">。</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cs="宋体"/>
                <w:i w:val="0"/>
                <w:iCs w:val="0"/>
                <w:color w:val="auto"/>
                <w:sz w:val="20"/>
                <w:szCs w:val="20"/>
                <w:highlight w:val="none"/>
                <w:lang w:val="en-US" w:eastAsia="zh-CN" w:bidi="ar"/>
              </w:rPr>
              <w:t xml:space="preserve">产品需</w:t>
            </w:r>
            <w:r>
              <w:rPr>
                <w:rFonts w:hint="eastAsia" w:ascii="宋体" w:hAnsi="宋体" w:cs="宋体"/>
                <w:i w:val="0"/>
                <w:iCs w:val="0"/>
                <w:color w:val="auto"/>
                <w:sz w:val="20"/>
                <w:szCs w:val="20"/>
                <w:highlight w:val="none"/>
                <w:u w:val="none"/>
                <w:lang w:val="en-US" w:eastAsia="zh-CN" w:bidi="ar"/>
              </w:rPr>
              <w:t xml:space="preserve">GB/21027-2020</w:t>
            </w:r>
            <w:r>
              <w:rPr>
                <w:rFonts w:hint="eastAsia" w:ascii="宋体" w:hAnsi="宋体" w:cs="宋体"/>
                <w:i w:val="0"/>
                <w:iCs w:val="0"/>
                <w:color w:val="auto"/>
                <w:sz w:val="20"/>
                <w:szCs w:val="20"/>
                <w:highlight w:val="none"/>
                <w:lang w:val="en-US" w:eastAsia="zh-CN" w:bidi="ar"/>
              </w:rPr>
              <w:t xml:space="preserve">标准规范进行检测，检测项目包括：</w:t>
            </w:r>
            <w:r>
              <w:rPr>
                <w:rFonts w:hint="eastAsia"/>
                <w:highlight w:val="none"/>
                <w:lang w:val="en-US" w:eastAsia="zh-CN"/>
              </w:rPr>
              <w:t xml:space="preserve">彩泥的</w:t>
            </w:r>
            <w:r>
              <w:rPr>
                <w:rFonts w:hint="eastAsia" w:ascii="宋体" w:hAnsi="宋体" w:cs="宋体"/>
                <w:i w:val="0"/>
                <w:iCs w:val="0"/>
                <w:color w:val="auto"/>
                <w:sz w:val="20"/>
                <w:szCs w:val="20"/>
                <w:highlight w:val="none"/>
                <w:u w:val="none"/>
                <w:lang w:val="en-US" w:eastAsia="zh-CN" w:bidi="ar"/>
              </w:rPr>
              <w:t xml:space="preserve">可迁移元素(mg/kg)限量，锑(Sb)≤10，钡(Ba)≤350，铬(Cr)≤25，汞(Hg)≤10，砷(As)≤10,镉(Cd)≤15,铅(Pb)≤25,硒(Se)≤50，判定合格。</w:t>
            </w:r>
            <w:r/>
          </w:p>
          <w:p>
            <w:pPr>
              <w:numPr>
                <w:ilvl w:val="0"/>
                <w:numId w:val="0"/>
              </w:numPr>
              <w:jc w:val="left"/>
              <w:keepLines w:val="0"/>
              <w:keepNext w:val="0"/>
              <w:widowControl/>
              <w:rPr>
                <w:rFonts w:hint="eastAsia" w:ascii="宋体" w:hAnsi="宋体" w:eastAsia="宋体" w:cs="宋体"/>
                <w:b w:val="0"/>
                <w:bCs w:val="0"/>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t xml:space="preserve">投标时须提供</w:t>
            </w:r>
            <w:r>
              <w:rPr>
                <w:rFonts w:hint="eastAsia" w:ascii="宋体" w:hAnsi="宋体" w:cs="宋体"/>
                <w:i w:val="0"/>
                <w:iCs w:val="0"/>
                <w:color w:val="auto"/>
                <w:sz w:val="20"/>
                <w:szCs w:val="20"/>
                <w:highlight w:val="none"/>
                <w:lang w:val="en-US" w:eastAsia="zh-CN" w:bidi="ar"/>
              </w:rPr>
              <w:t xml:space="preserve">国家认证认可的</w:t>
            </w:r>
            <w:r>
              <w:rPr>
                <w:rFonts w:hint="eastAsia" w:ascii="宋体" w:hAnsi="宋体" w:eastAsia="宋体" w:cs="宋体"/>
                <w:i w:val="0"/>
                <w:iCs w:val="0"/>
                <w:color w:val="auto"/>
                <w:sz w:val="20"/>
                <w:szCs w:val="20"/>
                <w:highlight w:val="none"/>
                <w:lang w:val="en-US" w:eastAsia="zh-CN" w:bidi="ar"/>
              </w:rPr>
              <w:t xml:space="preserve">第三方检测机构</w:t>
            </w:r>
            <w:r>
              <w:rPr>
                <w:rFonts w:hint="eastAsia" w:ascii="宋体" w:hAnsi="宋体" w:cs="宋体"/>
                <w:i w:val="0"/>
                <w:iCs w:val="0"/>
                <w:color w:val="auto"/>
                <w:sz w:val="20"/>
                <w:szCs w:val="20"/>
                <w:highlight w:val="none"/>
                <w:lang w:val="en-US" w:eastAsia="zh-CN" w:bidi="ar"/>
              </w:rPr>
              <w:t xml:space="preserve">（CMA或CNAS）出具的检测报告扫描件。</w:t>
            </w:r>
            <w:r>
              <w:rPr>
                <w:rFonts w:hint="eastAsia" w:ascii="宋体" w:hAnsi="宋体" w:eastAsia="宋体" w:cs="宋体"/>
                <w:i w:val="0"/>
                <w:iCs w:val="0"/>
                <w:color w:val="auto"/>
                <w:sz w:val="20"/>
                <w:szCs w:val="20"/>
                <w:highlight w:val="none"/>
                <w:lang w:val="en-US" w:eastAsia="zh-CN" w:bidi="ar"/>
              </w:rPr>
              <w:t xml:space="preserve">（中标供应商签订合同前提交其投标文件中上报的检测报告的原件让采购人或者代理机构核查，核查不合格的上</w:t>
            </w:r>
            <w:r>
              <w:rPr>
                <w:rFonts w:hint="eastAsia" w:ascii="宋体" w:hAnsi="宋体" w:cs="宋体"/>
                <w:i w:val="0"/>
                <w:iCs w:val="0"/>
                <w:color w:val="auto"/>
                <w:sz w:val="20"/>
                <w:szCs w:val="20"/>
                <w:highlight w:val="none"/>
                <w:lang w:val="en-US" w:eastAsia="zh-CN" w:bidi="ar"/>
              </w:rPr>
              <w:t xml:space="preserve">报监管部门）。</w:t>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麻绳：规格：3mm×200米</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棉花：规格：500g</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丸棒：材质：不锈钢+塑料</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圆形作品托板：尺寸φ150mm</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刮画纸：1、规格：10×14cm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2、重量：57g</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幼儿浮水画套装：1、上手简单土耳其水上绘画玩法，可以用于多种材质表面</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2、幼儿最新最潮流的绘画玩法</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趣味西游皮影戏套组：1、尺寸：22.5×29.5cm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2、重量约：31g</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3、一套8件</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4、让孩子感受中国古老皮影戏的乐趣</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幼儿夜光丙烯套装：1、色彩鲜艳、质地细腻</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2、适用多种材质</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3、膏体颜料，颜色鲜艳饱和</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4、幼儿最新最潮流的绘画玩法</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中国风白坯挂件：1、尺寸：31×29cm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2、重量约：65g</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3、环保原木浆</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4、幼儿可以搭配超轻黏土，丙烯颜料等进行创作，提高孩子的动手能力和专注力</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手绘中式寸鼓：天然牛皮、塑胶，尺寸φ20cm，高度约14cm</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幼儿专用彩色压花器套装：1、材质：ABS+合金</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2、一套3个</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3、幼儿可以用来装饰日记本、DIY贺卡等</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幼儿手指画：1、颜色多样，可以满足幼儿各种DIY手工制作需求</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2、尺寸18cm、可以水洗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3、让幼儿的想象力更加丰富</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石膏涂色包：1、材质：硬质石膏</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2、让孩子尽情享受涂抹雕塑的快乐</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桌面吸灰器：尺寸65mm×85mm，材质为A++级别</w:t>
            </w:r>
            <w:r>
              <w:rPr>
                <w:rFonts w:hint="eastAsia" w:ascii="宋体" w:hAnsi="宋体" w:cs="宋体"/>
                <w:i w:val="0"/>
                <w:iCs w:val="0"/>
                <w:color w:val="auto"/>
                <w:sz w:val="20"/>
                <w:szCs w:val="20"/>
                <w:highlight w:val="none"/>
                <w:u w:val="none"/>
                <w:lang w:val="en-US" w:eastAsia="zh-CN" w:bidi="ar"/>
              </w:rPr>
              <w:t xml:space="preserve">ABS</w:t>
            </w:r>
            <w:r>
              <w:rPr>
                <w:rFonts w:hint="eastAsia" w:ascii="宋体" w:hAnsi="宋体" w:eastAsia="宋体" w:cs="宋体"/>
                <w:i w:val="0"/>
                <w:iCs w:val="0"/>
                <w:color w:val="auto"/>
                <w:sz w:val="20"/>
                <w:szCs w:val="20"/>
                <w:highlight w:val="none"/>
                <w:u w:val="none"/>
                <w:lang w:val="en-US" w:eastAsia="zh-CN" w:bidi="ar"/>
              </w:rPr>
              <w:t xml:space="preserve">材质，安全防静电</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幼儿专用安全波浪剪刀：规格：220×220×5mm</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幼儿专用安全水溶性水彩笔：1、软头水彩笔、水性可擦洗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2、用于创意美术课程的工具</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幼儿专用安全重彩水彩笔：1、重彩水彩笔，效果艳丽</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2、用于绘画课程的工具</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皱纹纸：1、规格：30×0.2cm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2、颜色：12色</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彩卡：1、规格：35×52cm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2、颜色：10色</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3、用于幼儿创意美术课程的绘画材料</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幼儿专用安全扎染颜料套组：1、规格：100ml</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2、颜色：5色</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3、含辅材</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4、用于幼儿染织课程的材料</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异形桌+配套椅子：尺寸：140×70×65cm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椅子（6张）尺寸：65×40×40cm</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科探室：</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交通安全标志翻版墙：</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一、交通安全标识互动游戏通过图文结合的方式表现交通安全标志参观者通过参与互动，了解自己认识那些交通安全标识，巩固交通安全标志知识，强化交通安全意识</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交通安全标志简单的说就是树立在道路旁或者悬挂在马路上方的各种形状的标牌，目的是提醒开车的人或行人了解路况、方向机各种规定交通安全标志主要有禁令标志、警告标志、指示标志三类，展示常用标志15种类，其它为图文展板</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操作说明：翻板，阅读图文等</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1.尺寸：3000×400×1800mm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2.底座材质：阻燃板抗划伤烤漆</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cs="宋体"/>
                <w:i w:val="0"/>
                <w:iCs w:val="0"/>
                <w:color w:val="auto"/>
                <w:sz w:val="20"/>
                <w:szCs w:val="20"/>
                <w:highlight w:val="none"/>
                <w:u w:val="none"/>
                <w:lang w:val="en-US" w:eastAsia="zh-CN" w:bidi="ar"/>
              </w:rPr>
              <w:t xml:space="preserve">3</w:t>
            </w:r>
            <w:r>
              <w:rPr>
                <w:rFonts w:hint="eastAsia" w:ascii="宋体" w:hAnsi="宋体" w:eastAsia="宋体" w:cs="宋体"/>
                <w:i w:val="0"/>
                <w:iCs w:val="0"/>
                <w:color w:val="auto"/>
                <w:sz w:val="20"/>
                <w:szCs w:val="20"/>
                <w:highlight w:val="none"/>
                <w:u w:val="none"/>
                <w:lang w:val="en-US" w:eastAsia="zh-CN" w:bidi="ar"/>
              </w:rPr>
              <w:t xml:space="preserve">. 单个框体300×300MM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cs="宋体"/>
                <w:i w:val="0"/>
                <w:iCs w:val="0"/>
                <w:color w:val="auto"/>
                <w:sz w:val="20"/>
                <w:szCs w:val="20"/>
                <w:highlight w:val="none"/>
                <w:u w:val="none"/>
                <w:lang w:val="en-US" w:eastAsia="zh-CN" w:bidi="ar"/>
              </w:rPr>
              <w:t xml:space="preserve">4</w:t>
            </w:r>
            <w:r>
              <w:rPr>
                <w:rFonts w:hint="eastAsia" w:ascii="宋体" w:hAnsi="宋体" w:eastAsia="宋体" w:cs="宋体"/>
                <w:i w:val="0"/>
                <w:iCs w:val="0"/>
                <w:color w:val="auto"/>
                <w:sz w:val="20"/>
                <w:szCs w:val="20"/>
                <w:highlight w:val="none"/>
                <w:u w:val="none"/>
                <w:lang w:val="en-US" w:eastAsia="zh-CN" w:bidi="ar"/>
              </w:rPr>
              <w:t xml:space="preserve">.不锈钢固定轴</w:t>
            </w:r>
            <w:r/>
          </w:p>
          <w:p>
            <w:pPr>
              <w:pStyle w:val="851"/>
              <w:rPr>
                <w:rFonts w:hint="eastAsia"/>
                <w:highlight w:val="none"/>
              </w:rPr>
            </w:pPr>
            <w:r>
              <w:rPr>
                <w:rFonts w:hint="eastAsia" w:ascii="宋体" w:hAnsi="宋体" w:cs="宋体"/>
                <w:i w:val="0"/>
                <w:iCs w:val="0"/>
                <w:color w:val="auto"/>
                <w:sz w:val="20"/>
                <w:szCs w:val="20"/>
                <w:highlight w:val="none"/>
                <w:u w:val="none"/>
                <w:lang w:val="en-US" w:eastAsia="zh-CN" w:bidi="ar"/>
              </w:rPr>
              <w:t xml:space="preserve">5</w:t>
            </w:r>
            <w:r>
              <w:rPr>
                <w:rFonts w:hint="eastAsia" w:ascii="宋体" w:hAnsi="宋体" w:eastAsia="宋体" w:cs="宋体"/>
                <w:i w:val="0"/>
                <w:iCs w:val="0"/>
                <w:color w:val="auto"/>
                <w:sz w:val="20"/>
                <w:szCs w:val="20"/>
                <w:highlight w:val="none"/>
                <w:u w:val="none"/>
                <w:lang w:val="en-US" w:eastAsia="zh-CN" w:bidi="ar"/>
              </w:rPr>
              <w:t xml:space="preserve">.翻牌材质：基材采用亚克力（PMMA）板材，板材透光性能、清晰度需适配园区室内外标识可视需求；亚克力板材透光率、雾度两项光学性能检测方法严格执行 GB/T 2410-2008《透明塑料透光率和雾度的测定》</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default" w:ascii="宋体" w:hAnsi="宋体" w:eastAsia="宋体" w:cs="宋体"/>
                <w:i w:val="0"/>
                <w:iCs w:val="0"/>
                <w:color w:val="auto"/>
                <w:sz w:val="20"/>
                <w:szCs w:val="20"/>
                <w:highlight w:val="none"/>
                <w:u w:val="none"/>
                <w:lang w:val="en-US" w:eastAsia="zh-CN"/>
              </w:rPr>
            </w:pPr>
            <w:r>
              <w:rPr>
                <w:rFonts w:hint="eastAsia" w:ascii="宋体" w:hAnsi="宋体" w:cs="宋体"/>
                <w:i w:val="0"/>
                <w:iCs w:val="0"/>
                <w:color w:val="auto"/>
                <w:sz w:val="20"/>
                <w:szCs w:val="20"/>
                <w:highlight w:val="yellow"/>
                <w:u w:val="none"/>
                <w:lang w:val="en-US" w:eastAsia="zh-CN"/>
              </w:rPr>
              <w:t xml:space="preserve">#3</w:t>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儿童互动智能桌：1、软件简介：</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此软件是为了提升和改善教育环节中脑力开发的能力，将传统的学习的图形记忆、空间思维、数学计算、拼写技巧等能力，变成数字化化软件训练，从而锻炼记忆力、空间能力、计算能力、思维逻辑和创造力等。软件包含了方块挑战、拼图挑战、火柴之谜、字母连线、图形连接、接线挑战等多款主题；支持多触点服务满意度精准测评功能，根据训练结果进行打分。</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cs="宋体"/>
                <w:i w:val="0"/>
                <w:iCs w:val="0"/>
                <w:color w:val="auto"/>
                <w:sz w:val="20"/>
                <w:szCs w:val="20"/>
                <w:highlight w:val="yellow"/>
                <w:lang w:val="en-US" w:eastAsia="zh-CN" w:bidi="ar"/>
              </w:rPr>
              <w:t xml:space="preserve">投标时提供证明材料，证明材料包括国家相关部门认可的相关证书或产品说明书。</w:t>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cs="宋体"/>
                <w:i w:val="0"/>
                <w:iCs w:val="0"/>
                <w:color w:val="auto"/>
                <w:sz w:val="20"/>
                <w:szCs w:val="20"/>
                <w:highlight w:val="none"/>
                <w:u w:val="none"/>
                <w:lang w:val="en-US" w:eastAsia="zh-CN"/>
              </w:rPr>
            </w:pPr>
            <w:r>
              <w:rPr>
                <w:rFonts w:hint="eastAsia" w:ascii="宋体" w:hAnsi="宋体" w:cs="宋体"/>
                <w:i w:val="0"/>
                <w:iCs w:val="0"/>
                <w:color w:val="auto"/>
                <w:sz w:val="20"/>
                <w:szCs w:val="20"/>
                <w:highlight w:val="none"/>
                <w:u w:val="none"/>
                <w:lang w:val="en-US" w:eastAsia="zh-CN"/>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2、硬件参数：</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显示比例:16:9</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屏幕尺寸：</w:t>
            </w:r>
            <w:r>
              <w:rPr>
                <w:rFonts w:hint="eastAsia" w:ascii="宋体" w:hAnsi="宋体" w:cs="宋体"/>
                <w:i w:val="0"/>
                <w:iCs w:val="0"/>
                <w:color w:val="auto"/>
                <w:sz w:val="20"/>
                <w:szCs w:val="20"/>
                <w:highlight w:val="none"/>
                <w:u w:val="none"/>
                <w:lang w:val="en-US" w:eastAsia="zh-CN" w:bidi="ar"/>
              </w:rPr>
              <w:t xml:space="preserve">不小于</w:t>
            </w:r>
            <w:r>
              <w:rPr>
                <w:rFonts w:hint="eastAsia" w:ascii="宋体" w:hAnsi="宋体" w:eastAsia="宋体" w:cs="宋体"/>
                <w:i w:val="0"/>
                <w:iCs w:val="0"/>
                <w:color w:val="auto"/>
                <w:sz w:val="20"/>
                <w:szCs w:val="20"/>
                <w:highlight w:val="none"/>
                <w:u w:val="none"/>
                <w:lang w:val="en-US" w:eastAsia="zh-CN" w:bidi="ar"/>
              </w:rPr>
              <w:t xml:space="preserve">32英寸</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分辨率:≥1920X1080</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显示尺寸:(H)392.85mmX(V)698.4mm</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动态对比度:≥1000:1</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亮度:≥350cd/m2</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可视角度:89/89/89/89 (Typ.)(CR≥10)</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触摸屏类型:10点投射型电容触摸屏</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表面硬度:表面钢化玻璃，莫氏硬度等级≥7</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液晶屏和触摸屏贴合方式:全贴合</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处理器:CPU≥8核</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内存：≥8G</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储存:≥128G</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WIFI：支持双频WIFI。</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脑电波赛车：利用脑电波控制四驱车运动，当脑电波增强时四驱车车速变快，当脑电波减弱时，车速降低参与者可以进行竞技比赛，也可以锻炼个人意志力</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 四驱车 定制2、NeuroSky脑电波头带频率响应（Hz）：0.5-100采样率（Hz）：512输出接口标准：UART（57600）通信方式：蓝牙2.1/串口最大功耗为 30mA@3V配V4.0+V2.1双模蓝牙接收器3、arduinonano处理器 ATmega328工作电压 5V输入电压（推荐） 7-12V输入电压（范围） 6-20V数字IO脚 14 (其中6路作为PWM输出）模拟输入脚 6IO脚直流电流 40 mAFlash Memory 16 or 32 KB （其</w:t>
            </w:r>
            <w:r>
              <w:rPr>
                <w:rFonts w:hint="eastAsia" w:ascii="宋体" w:hAnsi="宋体" w:eastAsia="宋体" w:cs="宋体"/>
                <w:i w:val="0"/>
                <w:iCs w:val="0"/>
                <w:color w:val="auto"/>
                <w:sz w:val="20"/>
                <w:szCs w:val="20"/>
                <w:highlight w:val="none"/>
                <w:u w:val="none"/>
                <w:lang w:val="en-US" w:eastAsia="zh-CN" w:bidi="ar"/>
              </w:rPr>
              <w:t xml:space="preserve">中2 KB 用于 bootloader）SRAM 1 KB or 2 KBEEPROM 0.5 KB or 1 KB （ATmega328）FT232RL FTDI USB接口芯片工作时钟 16 MHz4、HC-05输入电压3.6~6V，禁止超过7V未配对时电流约30mA，配对后约10mA，空旷地有效距离10米(功率等级为CLASS 2)体积（3.57cm×1.52cm）支持从4800bps~1382400bps间的标准波特率5、充电模板&amp;锂电池支持3.3V与5V输出，最大电流分别为500mA/1000mA</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轨道定制：根据厂地定制</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脑智训练设备：功能描述与技术参数</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1.尺寸重量≤110 克，采用嵌入式 ARM 架构设计，采用实时操作系统，高度集成多种功能应用，包括脑电数据采集实时传输、脑电采集实时参数调节、状态灯显示控制、佩戴检测、电量检测报警等功能</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2.内置 1 路 128 倍可变增益脑电采集系统，配合 24 位高精度 ADC 以及 MIT 最新神经网络模型，可以实现高达 1：2,147,483,648 对比度的精准脑波检测</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3.采用带主动电路的特殊金属电极；高精度硬件电路，底噪声达到医疗级别 1uV， 稳定可靠的采集用户脑电波数据</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4.内置 RGB 颜色脑电专注力显示状态灯，实时显示当前用户专注力状态</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5.采用拥有自主知识产权的 BrainPkg 协议打包技术，实时高效传输脑电数据超低功耗，满电工作时间可达 8 小时</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6.采用带有实时温度保护的充电管理技术，整机电路管理系统包含比通常安规更严格的多重过压/过流/短路保护电路</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7.采用自适应调节的结构设计，配合固定头带使用，最大限度的满足幼/小/中学生不同头围的需求，满足绝大多数人群的使用</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8.产品电极采用自适应弹性伸缩结构设计</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智能机械手套件：一、功能描述：</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超能实验室套装，通过动手搭建、图形化编程可以实现不同任务的学习</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二、配置要求：</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该套件包含手指零件（含指节、指尖组件）、舵机、舵机线、面包板、传感器、遥控器等零件，零件总数不少于273个</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三、技术参数：</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1、机体材料：ABS、PC、硅胶</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2、主机参数：</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·锂离子电池  3.6V 3200mAh</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·输入电压：5V2A</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·充电温度：+1~43 deg.C.</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·工作温度：：-15~50 deg.C</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·工作频率：48Mhz</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·接口：6路舵机接口，5路普通传感器接口，1路高级传感器接口，1路USB-typc接口，2路电机接口</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·指示灯：6路RGB传感器指示灯，1路电源指示灯</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·A-F：output,3.3V±5%,with 500mA OVP；output,5V±5%,with 500mA OVP</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·M1-M：2output,3.4V~4.2V,with 680mA OVP</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·S1-S6：output,5.4V±5%,with 500mA OVP</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3、舵机参数：</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·舵机：DS-S006-9g</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·舵机扭矩：≥1.2kgm.cm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·工作电压：5.4V</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VR系统：产品功率：1.5KW ；产品电压：220V ；触控显示屏：19寸控制显示；</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9dvr眼镜360°全景模拟，，再细微的头部运动也会引发即时场景同步，内置9轴传感器，361度头部追踪，轻转头部即可真实触碰新世界，体验驾驭全场的掌控感。座位：单座</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内容数量：≥100</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yellow"/>
                <w:u w:val="none"/>
                <w:lang w:val="en-US" w:eastAsia="zh-CN" w:bidi="ar"/>
              </w:rPr>
              <w:t xml:space="preserve">（1）分辨率：≥3664*1920</w:t>
            </w:r>
            <w:r>
              <w:rPr>
                <w:rFonts w:hint="eastAsia" w:ascii="宋体" w:hAnsi="宋体" w:eastAsia="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（2）重量：≥394g(采用人体工学设计，支持配戴眼镜者使用）；</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（3）产品规格：≥266*194.5*96毫米；</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（4）屏幕刷新率：≥72Hz；</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（5）屏幕类型：Fast LCD；</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（6）屏幕PPI：773；</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（7）透镜类型：菲涅尔透镜；</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（8）PPD</w:t>
            </w:r>
            <w:r>
              <w:rPr>
                <w:rFonts w:hint="eastAsia" w:ascii="宋体" w:hAnsi="宋体" w:cs="宋体"/>
                <w:i w:val="0"/>
                <w:iCs w:val="0"/>
                <w:color w:val="auto"/>
                <w:sz w:val="20"/>
                <w:szCs w:val="20"/>
                <w:highlight w:val="none"/>
                <w:u w:val="none"/>
                <w:lang w:val="en-US" w:eastAsia="zh-CN" w:bidi="ar"/>
              </w:rPr>
              <w:t xml:space="preserve"> </w:t>
            </w:r>
            <w:r>
              <w:rPr>
                <w:rFonts w:hint="eastAsia" w:ascii="宋体" w:hAnsi="宋体" w:eastAsia="宋体" w:cs="宋体"/>
                <w:i w:val="0"/>
                <w:iCs w:val="0"/>
                <w:color w:val="auto"/>
                <w:sz w:val="20"/>
                <w:szCs w:val="20"/>
                <w:highlight w:val="none"/>
                <w:u w:val="none"/>
                <w:lang w:val="en-US" w:eastAsia="zh-CN" w:bidi="ar"/>
              </w:rPr>
              <w:t xml:space="preserve">22；</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（9）散热方案：被动散热（底部进风口+侧边散热孔）；</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（10）供电：USB*1；</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（11）瞳距范围：53-73毫米（手动调节）；</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（12）FOV：110°（水平）  90°（垂直）；</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（13）标配面罩：皮质卡面罩；</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CPU：10核 2.0GHZ以上；显卡：2GB GDDR5/128bit 显存，7000MHz 等效频率，TDP</w:t>
            </w:r>
            <w:r>
              <w:rPr>
                <w:rFonts w:hint="eastAsia" w:ascii="宋体" w:hAnsi="宋体" w:cs="宋体"/>
                <w:i w:val="0"/>
                <w:iCs w:val="0"/>
                <w:color w:val="auto"/>
                <w:sz w:val="20"/>
                <w:szCs w:val="20"/>
                <w:highlight w:val="none"/>
                <w:u w:val="none"/>
                <w:lang w:val="en-US" w:eastAsia="zh-CN" w:bidi="ar"/>
              </w:rPr>
              <w:t xml:space="preserve"> </w:t>
            </w:r>
            <w:r>
              <w:rPr>
                <w:rFonts w:hint="eastAsia" w:ascii="宋体" w:hAnsi="宋体" w:eastAsia="宋体" w:cs="宋体"/>
                <w:i w:val="0"/>
                <w:iCs w:val="0"/>
                <w:color w:val="auto"/>
                <w:sz w:val="20"/>
                <w:szCs w:val="20"/>
                <w:highlight w:val="none"/>
                <w:u w:val="none"/>
                <w:lang w:val="en-US" w:eastAsia="zh-CN" w:bidi="ar"/>
              </w:rPr>
              <w:t xml:space="preserve">75W；                                                                                                                                            内存：8G ；固态硬盘：固态128G ；</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VR头戴式设备系统：1. 屏幕分辨率≥3664x1920 ；刷新率72/90Hz ；</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 处理器核心数不低于八核，主频≥2.8GHz，64位；</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 视场角≥98°FOV；</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4. 支持物理瞳距三档调节，通过TUV 低蓝光认证 ，可在系统设置中开启“护眼模式”；</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5. 内存容量≥256GB ROM，≥6GB RAM ；</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6. 前置摄像头鱼眼摄像头x4 ，支持头部6Dof定位，高精度传感器9轴传感器；支持人脸佩戴感应；</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7. 不低于5300mAh电池容量，连续使用续航超过3小时，USB Type-C 3.0数据传输；</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8. WIFI6 802.11 b/g/n/ac/ax，2.4G/5G双频；BT5.1</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9. 内置扬声器、麦克风，支持3.5mm音频接口外接耳机；</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10. 6DoF体感手柄 x 2，支持光学定位，支持线性振动马达；</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11. 机身采用轻质聚合物，薄壁注塑工艺，航空级轻金属；</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12. 面罩：采用高透气性泡棉，支持拆解替换；</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13. 机身具有电源键，APP键（返回键），确认键，Home键，音量加，音量加减按键；</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14. 支持QC3.0快速充电；</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15. 扬声器内置双立体声喇叭，麦克风双麦克降噪，全指向麦克风；</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16. 支持3.5mm音频接口连接第三方立体声耳机使用；</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17. Led灯三色Led 显示开机，关机，充电状态。                                                                                                                          本软件支持使用6DOF VR一体机设备。</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K12教育资源：A.启动课件</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（1）启动课件：点击launcher主界面课程分类入口，可打开对应类型课件列表，再点击课件封面可启动课件。</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（2）分类导航：至少包含全景课堂、互动实验室、安全教育、科普教育、互动微课五个分类显示面板。</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（3）翻页：课件列表支持点击上一页、下一页按钮翻页。</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B.场景漫游</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（1）漫游移动：支持在3D虚拟场景中漫游，可原地转向；</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（2）模型互动：若干模型可拿起查看和互动，桌子上摆放的互动模型不少于3种交互。</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C.新手引导</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（1）新手引导：点击launcher主界面“帮助”图标可启动新手引导机制，可系统性地按照步骤学习使用手柄按键、漫游、使用虚拟双手操作等交互方式；</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（2）操作提示：首次启动某类课件，可查看该类课件的操作提示面板；</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（3）按键指南：支持触碰桌面上的手柄模型打开按键使用指南面板，查看所有使用场景下的按键操作说明。</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D.系统特性</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（1）开机自启动；能屏蔽所有与学习无关的VR影视、游戏等内容；</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（2）内容更新机制：可在线从云端拉取更新的课件资源并显示下载进度条；</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（3）WIFI高级设置：提供WIFI设置功能，提供WIFI设置自动记忆功能；</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（4）电量及连接状态显示：提供一体机剩余电量显示功能，提供是否处于课堂教学连接状态显示功能。</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VR</w:t>
            </w:r>
            <w:r>
              <w:rPr>
                <w:rFonts w:hint="eastAsia" w:ascii="宋体" w:hAnsi="宋体" w:cs="宋体"/>
                <w:i w:val="0"/>
                <w:iCs w:val="0"/>
                <w:color w:val="auto"/>
                <w:sz w:val="20"/>
                <w:szCs w:val="20"/>
                <w:highlight w:val="none"/>
                <w:u w:val="none"/>
                <w:lang w:val="en-US" w:eastAsia="zh-CN" w:bidi="ar"/>
              </w:rPr>
              <w:t xml:space="preserve">课件系统</w:t>
            </w:r>
            <w:r>
              <w:rPr>
                <w:rFonts w:hint="eastAsia" w:ascii="宋体" w:hAnsi="宋体" w:eastAsia="宋体" w:cs="宋体"/>
                <w:i w:val="0"/>
                <w:iCs w:val="0"/>
                <w:color w:val="auto"/>
                <w:sz w:val="20"/>
                <w:szCs w:val="20"/>
                <w:highlight w:val="none"/>
                <w:u w:val="none"/>
                <w:lang w:val="en-US" w:eastAsia="zh-CN" w:bidi="ar"/>
              </w:rPr>
              <w:t xml:space="preserve">：1</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提供的</w:t>
            </w:r>
            <w:r>
              <w:rPr>
                <w:rFonts w:hint="eastAsia" w:ascii="宋体" w:hAnsi="宋体" w:cs="宋体"/>
                <w:i w:val="0"/>
                <w:iCs w:val="0"/>
                <w:color w:val="auto"/>
                <w:sz w:val="20"/>
                <w:szCs w:val="20"/>
                <w:highlight w:val="none"/>
                <w:u w:val="none"/>
                <w:lang w:val="en-US" w:eastAsia="zh-CN" w:bidi="ar"/>
              </w:rPr>
              <w:t xml:space="preserve">课件</w:t>
            </w:r>
            <w:r>
              <w:rPr>
                <w:rFonts w:hint="eastAsia" w:ascii="宋体" w:hAnsi="宋体" w:eastAsia="宋体" w:cs="宋体"/>
                <w:i w:val="0"/>
                <w:iCs w:val="0"/>
                <w:color w:val="auto"/>
                <w:sz w:val="20"/>
                <w:szCs w:val="20"/>
                <w:highlight w:val="none"/>
                <w:u w:val="none"/>
                <w:lang w:val="en-US" w:eastAsia="zh-CN" w:bidi="ar"/>
              </w:rPr>
              <w:t xml:space="preserve">所创造或模拟的事物与环境真实而生动，并且提供交互手段，使得体验者可以自由活动和探索虚拟世界，可以获得对客观事物的各种感性或理性认识</w:t>
            </w:r>
            <w:r>
              <w:rPr>
                <w:rFonts w:hint="eastAsia" w:ascii="宋体" w:hAnsi="宋体" w:cs="宋体"/>
                <w:i w:val="0"/>
                <w:iCs w:val="0"/>
                <w:color w:val="auto"/>
                <w:sz w:val="20"/>
                <w:szCs w:val="20"/>
                <w:highlight w:val="none"/>
                <w:u w:val="none"/>
                <w:lang w:val="en-US" w:eastAsia="zh-CN" w:bidi="ar"/>
              </w:rPr>
              <w:t xml:space="preserve">，并将知识资产进行标准化建模、整编、入库，支撑知识沉淀、快速检索、智能问答、业务辅助决策与能力复用,</w:t>
            </w:r>
            <w:r>
              <w:rPr>
                <w:rFonts w:hint="eastAsia" w:ascii="宋体" w:hAnsi="宋体" w:eastAsia="宋体" w:cs="宋体"/>
                <w:i w:val="0"/>
                <w:iCs w:val="0"/>
                <w:color w:val="auto"/>
                <w:sz w:val="20"/>
                <w:szCs w:val="20"/>
                <w:highlight w:val="none"/>
                <w:u w:val="none"/>
                <w:lang w:val="en-US" w:eastAsia="zh-CN" w:bidi="ar"/>
              </w:rPr>
              <w:t xml:space="preserve">至少提供35个可交互VR安全教育</w:t>
            </w:r>
            <w:r>
              <w:rPr>
                <w:rFonts w:hint="eastAsia" w:ascii="宋体" w:hAnsi="宋体" w:cs="宋体"/>
                <w:i w:val="0"/>
                <w:iCs w:val="0"/>
                <w:color w:val="auto"/>
                <w:sz w:val="20"/>
                <w:szCs w:val="20"/>
                <w:highlight w:val="none"/>
                <w:u w:val="none"/>
                <w:lang w:val="en-US" w:eastAsia="zh-CN" w:bidi="ar"/>
              </w:rPr>
              <w:t xml:space="preserve">知识库、</w:t>
            </w:r>
            <w:r>
              <w:rPr>
                <w:rFonts w:hint="eastAsia" w:ascii="宋体" w:hAnsi="宋体" w:eastAsia="宋体" w:cs="宋体"/>
                <w:i w:val="0"/>
                <w:iCs w:val="0"/>
                <w:color w:val="auto"/>
                <w:sz w:val="20"/>
                <w:szCs w:val="20"/>
                <w:highlight w:val="none"/>
                <w:u w:val="none"/>
                <w:lang w:val="en-US" w:eastAsia="zh-CN" w:bidi="ar"/>
              </w:rPr>
              <w:t xml:space="preserve">100个VR科普</w:t>
            </w:r>
            <w:r>
              <w:rPr>
                <w:rFonts w:hint="eastAsia" w:ascii="宋体" w:hAnsi="宋体" w:cs="宋体"/>
                <w:i w:val="0"/>
                <w:iCs w:val="0"/>
                <w:color w:val="auto"/>
                <w:sz w:val="20"/>
                <w:szCs w:val="20"/>
                <w:highlight w:val="none"/>
                <w:u w:val="none"/>
                <w:lang w:val="en-US" w:eastAsia="zh-CN" w:bidi="ar"/>
              </w:rPr>
              <w:t xml:space="preserve">知识库、</w:t>
            </w:r>
            <w:r>
              <w:rPr>
                <w:rFonts w:hint="eastAsia" w:ascii="宋体" w:hAnsi="宋体" w:eastAsia="宋体" w:cs="宋体"/>
                <w:i w:val="0"/>
                <w:iCs w:val="0"/>
                <w:color w:val="auto"/>
                <w:sz w:val="20"/>
                <w:szCs w:val="20"/>
                <w:highlight w:val="none"/>
                <w:u w:val="none"/>
                <w:lang w:val="en-US" w:eastAsia="zh-CN" w:bidi="ar"/>
              </w:rPr>
              <w:t xml:space="preserve">至少提供30教学</w:t>
            </w:r>
            <w:r>
              <w:rPr>
                <w:rFonts w:hint="eastAsia" w:ascii="宋体" w:hAnsi="宋体" w:cs="宋体"/>
                <w:i w:val="0"/>
                <w:iCs w:val="0"/>
                <w:color w:val="auto"/>
                <w:sz w:val="20"/>
                <w:szCs w:val="20"/>
                <w:highlight w:val="none"/>
                <w:u w:val="none"/>
                <w:lang w:val="en-US" w:eastAsia="zh-CN" w:bidi="ar"/>
              </w:rPr>
              <w:t xml:space="preserve">相关知识库；</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cs="宋体"/>
                <w:i w:val="0"/>
                <w:iCs w:val="0"/>
                <w:color w:val="auto"/>
                <w:sz w:val="20"/>
                <w:szCs w:val="20"/>
                <w:highlight w:val="none"/>
                <w:u w:val="none"/>
                <w:lang w:val="en-US" w:eastAsia="zh-CN" w:bidi="ar"/>
              </w:rPr>
              <w:t xml:space="preserve">2.</w:t>
            </w:r>
            <w:r>
              <w:rPr>
                <w:rFonts w:hint="eastAsia" w:ascii="宋体" w:hAnsi="宋体" w:eastAsia="宋体" w:cs="宋体"/>
                <w:i w:val="0"/>
                <w:iCs w:val="0"/>
                <w:color w:val="auto"/>
                <w:sz w:val="20"/>
                <w:szCs w:val="20"/>
                <w:highlight w:val="none"/>
                <w:u w:val="none"/>
                <w:lang w:val="en-US" w:eastAsia="zh-CN" w:bidi="ar"/>
              </w:rPr>
              <w:t xml:space="preserve">安全教育</w:t>
            </w:r>
            <w:r>
              <w:rPr>
                <w:rFonts w:hint="eastAsia" w:ascii="宋体" w:hAnsi="宋体" w:cs="宋体"/>
                <w:i w:val="0"/>
                <w:iCs w:val="0"/>
                <w:color w:val="auto"/>
                <w:sz w:val="20"/>
                <w:szCs w:val="20"/>
                <w:highlight w:val="none"/>
                <w:u w:val="none"/>
                <w:lang w:val="en-US" w:eastAsia="zh-CN" w:bidi="ar"/>
              </w:rPr>
              <w:t xml:space="preserve">知识库</w:t>
            </w:r>
            <w:r>
              <w:rPr>
                <w:rFonts w:hint="eastAsia" w:ascii="宋体" w:hAnsi="宋体" w:eastAsia="宋体" w:cs="宋体"/>
                <w:i w:val="0"/>
                <w:iCs w:val="0"/>
                <w:color w:val="auto"/>
                <w:sz w:val="20"/>
                <w:szCs w:val="20"/>
                <w:highlight w:val="none"/>
                <w:u w:val="none"/>
                <w:lang w:val="en-US" w:eastAsia="zh-CN" w:bidi="ar"/>
              </w:rPr>
              <w:t xml:space="preserve">包含病毒防疫、消防安全、防溺水、防暴恐、交通安全、安全用电、公共卫生、自然灾害、防拐骗、家庭安全、校园安全等主题；包含《低层建筑消防逃生》、《高层建筑消防逃生》、《预防溺水及自救方法》、《溺水救护》、《反恐及可疑物品处理》、《恐怖袭击自救》、《交通信号灯及安</w:t>
            </w:r>
            <w:r>
              <w:rPr>
                <w:rFonts w:hint="eastAsia" w:ascii="宋体" w:hAnsi="宋体" w:eastAsia="宋体" w:cs="宋体"/>
                <w:i w:val="0"/>
                <w:iCs w:val="0"/>
                <w:color w:val="auto"/>
                <w:sz w:val="20"/>
                <w:szCs w:val="20"/>
                <w:highlight w:val="none"/>
                <w:u w:val="none"/>
                <w:lang w:val="en-US" w:eastAsia="zh-CN" w:bidi="ar"/>
              </w:rPr>
              <w:t xml:space="preserve">全措施》、《安全乘坐交通工具》、《家庭用电安全》、《触电救护措施》、《自动体外除颤器（AED）》、《学习使用CPR》、《食物中毒及食品安全》、《预防传染病》、《“三无”食品买不得》、《自然灾害》、《防雾霾》、《地震逃生》、《海啸逃生》、《诱拐鉴定与预防》、《被拐时的自我保护和自救》、《家里的“小危险”》、《油锅起火如何灭》、《用气安全》、《湿手不碰开关和插座》、《预防运动伤害》、《化学实验室安全指南》、《校园防踩踏》、《校园暴力》、《走进病毒世界》、《病毒传播助手》、《病毒阻断实验室》、《病毒消亡之旅》等；</w:t>
            </w:r>
            <w:r/>
          </w:p>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科普</w:t>
            </w:r>
            <w:r>
              <w:rPr>
                <w:rFonts w:hint="eastAsia" w:ascii="宋体" w:hAnsi="宋体" w:cs="宋体"/>
                <w:i w:val="0"/>
                <w:iCs w:val="0"/>
                <w:color w:val="auto"/>
                <w:sz w:val="20"/>
                <w:szCs w:val="20"/>
                <w:highlight w:val="none"/>
                <w:u w:val="none"/>
                <w:lang w:val="en-US" w:eastAsia="zh-CN" w:bidi="ar"/>
              </w:rPr>
              <w:t xml:space="preserve">知识库</w:t>
            </w:r>
            <w:r>
              <w:rPr>
                <w:rFonts w:hint="eastAsia" w:ascii="宋体" w:hAnsi="宋体" w:eastAsia="宋体" w:cs="宋体"/>
                <w:i w:val="0"/>
                <w:iCs w:val="0"/>
                <w:color w:val="auto"/>
                <w:sz w:val="20"/>
                <w:szCs w:val="20"/>
                <w:highlight w:val="none"/>
                <w:u w:val="none"/>
                <w:lang w:val="en-US" w:eastAsia="zh-CN" w:bidi="ar"/>
              </w:rPr>
              <w:t xml:space="preserve">包含植物、动物、人、科学、宇宙、水和空气等多个主题；北极熊、卢沟桥、心脏与血液循环、日食的形成、雷电类型以及形成、火山内部构造、呼吸系统、花的结构和授粉、昆虫分类、认识龙卷风、学习电路原理、探索图形、制作果树等。</w:t>
            </w:r>
            <w:r/>
          </w:p>
          <w:p>
            <w:pPr>
              <w:numPr>
                <w:ilvl w:val="0"/>
                <w:numId w:val="0"/>
              </w:num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cs="宋体"/>
                <w:i w:val="0"/>
                <w:iCs w:val="0"/>
                <w:color w:val="auto"/>
                <w:sz w:val="20"/>
                <w:szCs w:val="20"/>
                <w:highlight w:val="none"/>
                <w:u w:val="none"/>
                <w:lang w:val="en-US" w:eastAsia="zh-CN" w:bidi="ar"/>
              </w:rPr>
              <w:t xml:space="preserve">3.</w:t>
            </w:r>
            <w:r>
              <w:rPr>
                <w:rFonts w:hint="eastAsia" w:ascii="宋体" w:hAnsi="宋体" w:eastAsia="宋体" w:cs="宋体"/>
                <w:i w:val="0"/>
                <w:iCs w:val="0"/>
                <w:color w:val="auto"/>
                <w:sz w:val="20"/>
                <w:szCs w:val="20"/>
                <w:highlight w:val="none"/>
                <w:u w:val="none"/>
                <w:lang w:val="en-US" w:eastAsia="zh-CN" w:bidi="ar"/>
              </w:rPr>
              <w:t xml:space="preserve">与教学</w:t>
            </w:r>
            <w:r>
              <w:rPr>
                <w:rFonts w:hint="eastAsia" w:ascii="宋体" w:hAnsi="宋体" w:cs="宋体"/>
                <w:i w:val="0"/>
                <w:iCs w:val="0"/>
                <w:color w:val="auto"/>
                <w:sz w:val="20"/>
                <w:szCs w:val="20"/>
                <w:highlight w:val="none"/>
                <w:u w:val="none"/>
                <w:lang w:val="en-US" w:eastAsia="zh-CN" w:bidi="ar"/>
              </w:rPr>
              <w:t xml:space="preserve">相关知识库</w:t>
            </w:r>
            <w:r>
              <w:rPr>
                <w:rFonts w:hint="eastAsia" w:ascii="宋体" w:hAnsi="宋体" w:eastAsia="宋体" w:cs="宋体"/>
                <w:i w:val="0"/>
                <w:iCs w:val="0"/>
                <w:color w:val="auto"/>
                <w:sz w:val="20"/>
                <w:szCs w:val="20"/>
                <w:highlight w:val="none"/>
                <w:u w:val="none"/>
                <w:lang w:val="en-US" w:eastAsia="zh-CN" w:bidi="ar"/>
              </w:rPr>
              <w:t xml:space="preserve">：课程、课件的设计紧密结合教师上课使用场景，力求灵活多样、与多种教学场景配合（如：探究、小组讨论、分组实验等等），又不制约教师的教学设计思路，不限制教师教学过程的个性发挥，不拘泥教学使用场景与使用方式。                                                                                                          </w:t>
            </w:r>
            <w:r>
              <w:rPr>
                <w:rFonts w:hint="eastAsia" w:ascii="宋体" w:hAnsi="宋体" w:cs="宋体"/>
                <w:i w:val="0"/>
                <w:iCs w:val="0"/>
                <w:color w:val="auto"/>
                <w:sz w:val="20"/>
                <w:szCs w:val="20"/>
                <w:highlight w:val="none"/>
                <w:u w:val="none"/>
                <w:lang w:val="en-US" w:eastAsia="zh-CN" w:bidi="ar"/>
              </w:rPr>
              <w:t xml:space="preserve">4.包括</w:t>
            </w:r>
            <w:r>
              <w:rPr>
                <w:rFonts w:hint="eastAsia" w:ascii="宋体" w:hAnsi="宋体" w:eastAsia="宋体" w:cs="宋体"/>
                <w:i w:val="0"/>
                <w:iCs w:val="0"/>
                <w:color w:val="auto"/>
                <w:sz w:val="20"/>
                <w:szCs w:val="20"/>
                <w:highlight w:val="none"/>
                <w:u w:val="none"/>
                <w:lang w:val="en-US" w:eastAsia="zh-CN" w:bidi="ar"/>
              </w:rPr>
              <w:t xml:space="preserve">五台山、体验小行星撞击地球、动力伞滑翔遨游、好莱坞的日落、里约风光、浴火银河、巴塞罗那、壮美维多利亚瀑布、非洲大地 、萤火虫洞、大堡礁水下奇观、太空漫步、撒哈拉以南的非洲等；</w:t>
            </w:r>
            <w:r/>
          </w:p>
          <w:p>
            <w:pPr>
              <w:numPr>
                <w:ilvl w:val="0"/>
                <w:numId w:val="0"/>
              </w:numPr>
              <w:jc w:val="left"/>
              <w:keepLines w:val="0"/>
              <w:keepNext w:val="0"/>
              <w:widowControl/>
              <w:rPr>
                <w:rFonts w:hint="eastAsia"/>
                <w:highlight w:val="none"/>
              </w:rPr>
              <w:suppressLineNumbers w:val="0"/>
            </w:pPr>
            <w:r>
              <w:rPr>
                <w:rFonts w:hint="eastAsia" w:ascii="宋体" w:hAnsi="宋体" w:cs="宋体"/>
                <w:i w:val="0"/>
                <w:iCs w:val="0"/>
                <w:color w:val="auto"/>
                <w:sz w:val="20"/>
                <w:szCs w:val="20"/>
                <w:highlight w:val="none"/>
                <w:u w:val="none"/>
                <w:lang w:val="en-US" w:eastAsia="zh-CN" w:bidi="ar"/>
              </w:rPr>
              <w:t xml:space="preserve">5.</w:t>
            </w:r>
            <w:r>
              <w:rPr>
                <w:rFonts w:hint="eastAsia" w:ascii="宋体" w:hAnsi="宋体" w:eastAsia="宋体" w:cs="宋体"/>
                <w:i w:val="0"/>
                <w:iCs w:val="0"/>
                <w:color w:val="auto"/>
                <w:sz w:val="20"/>
                <w:szCs w:val="20"/>
                <w:highlight w:val="none"/>
                <w:u w:val="none"/>
                <w:lang w:val="en-US" w:eastAsia="zh-CN" w:bidi="ar"/>
              </w:rPr>
              <w:t xml:space="preserve">同时配备2D视频内容，支持无VR环境下的2D视频播放。基于次世代 3D 渲染技术、高端贴图渲染技术、Unity 引擎动画等技术；</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cs="宋体"/>
                <w:i w:val="0"/>
                <w:iCs w:val="0"/>
                <w:color w:val="auto"/>
                <w:sz w:val="20"/>
                <w:szCs w:val="20"/>
                <w:highlight w:val="none"/>
                <w:u w:val="none"/>
                <w:lang w:val="en-US" w:eastAsia="zh-CN" w:bidi="ar"/>
              </w:rPr>
              <w:t xml:space="preserve">6.</w:t>
            </w:r>
            <w:r>
              <w:rPr>
                <w:rFonts w:hint="eastAsia" w:ascii="宋体" w:hAnsi="宋体" w:eastAsia="宋体" w:cs="宋体"/>
                <w:i w:val="0"/>
                <w:iCs w:val="0"/>
                <w:color w:val="auto"/>
                <w:sz w:val="20"/>
                <w:szCs w:val="20"/>
                <w:highlight w:val="none"/>
                <w:u w:val="none"/>
                <w:lang w:val="en-US" w:eastAsia="zh-CN" w:bidi="ar"/>
              </w:rPr>
              <w:t xml:space="preserve">支持VR全景播放形式；</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cs="宋体"/>
                <w:i w:val="0"/>
                <w:iCs w:val="0"/>
                <w:color w:val="auto"/>
                <w:sz w:val="20"/>
                <w:szCs w:val="20"/>
                <w:highlight w:val="none"/>
                <w:u w:val="none"/>
                <w:lang w:val="en-US" w:eastAsia="zh-CN" w:bidi="ar"/>
              </w:rPr>
              <w:t xml:space="preserve">7.</w:t>
            </w:r>
            <w:r>
              <w:rPr>
                <w:rFonts w:hint="eastAsia" w:ascii="宋体" w:hAnsi="宋体" w:eastAsia="宋体" w:cs="宋体"/>
                <w:i w:val="0"/>
                <w:iCs w:val="0"/>
                <w:color w:val="auto"/>
                <w:sz w:val="20"/>
                <w:szCs w:val="20"/>
                <w:highlight w:val="none"/>
                <w:u w:val="none"/>
                <w:lang w:val="en-US" w:eastAsia="zh-CN" w:bidi="ar"/>
              </w:rPr>
              <w:t xml:space="preserve">清晰度不低于4K分辨率；</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SIS学生端管理系统：1.支持自主操作和受控两种方式，操作简单，手柄和头控方式均可进行操作，更便于VR课堂和设备管理；</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2.屏蔽所有非学习相关的 VR 影视、游戏等内容；</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3.支持无外网的场景：无外网互联网接入可正常使用；</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4.学生端接受并执行教师端的各种指令，同时向教师端反馈设备状态；</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5.支持6DoF体验，可以追踪头盔和手柄前、后、左、右、上、下和旋转的运动状态</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yellow"/>
                <w:u w:val="none"/>
              </w:rPr>
            </w:pPr>
            <w:r>
              <w:rPr>
                <w:rFonts w:hint="eastAsia" w:ascii="宋体" w:hAnsi="宋体" w:eastAsia="宋体" w:cs="宋体"/>
                <w:i w:val="0"/>
                <w:iCs w:val="0"/>
                <w:color w:val="auto"/>
                <w:sz w:val="20"/>
                <w:szCs w:val="20"/>
                <w:highlight w:val="yellow"/>
                <w:u w:val="none"/>
              </w:rPr>
            </w:r>
            <w:r/>
          </w:p>
        </w:tc>
        <w:tc>
          <w:tcPr>
            <w:tcW w:w="1080" w:type="dxa"/>
            <w:vAlign w:val="center"/>
            <w:textDirection w:val="lrTb"/>
            <w:noWrap/>
          </w:tcPr>
          <w:p>
            <w:pPr>
              <w:jc w:val="center"/>
              <w:rPr>
                <w:rFonts w:hint="default" w:ascii="宋体" w:hAnsi="宋体" w:eastAsia="宋体" w:cs="宋体"/>
                <w:i w:val="0"/>
                <w:iCs w:val="0"/>
                <w:color w:val="auto"/>
                <w:sz w:val="20"/>
                <w:szCs w:val="20"/>
                <w:highlight w:val="yellow"/>
                <w:u w:val="none"/>
                <w:lang w:val="en-US" w:eastAsia="zh-CN"/>
              </w:rPr>
            </w:pPr>
            <w:r>
              <w:rPr>
                <w:rFonts w:hint="eastAsia" w:ascii="宋体" w:hAnsi="宋体" w:cs="宋体"/>
                <w:i w:val="0"/>
                <w:iCs w:val="0"/>
                <w:color w:val="auto"/>
                <w:sz w:val="20"/>
                <w:szCs w:val="20"/>
                <w:highlight w:val="yellow"/>
                <w:u w:val="none"/>
                <w:lang w:val="en-US" w:eastAsia="zh-CN"/>
              </w:rPr>
              <w:t xml:space="preserve">#4</w:t>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yellow"/>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6.本系统内置应用智慧商城，部署云端服务，支持一键下载更新，方便易用，告别物理传输时代。</w:t>
            </w:r>
            <w:r/>
          </w:p>
        </w:tc>
        <w:tc>
          <w:tcPr>
            <w:tcW w:w="2145" w:type="dxa"/>
            <w:vAlign w:val="center"/>
            <w:textDirection w:val="lrTb"/>
            <w:noWrap w:val="false"/>
          </w:tcPr>
          <w:p>
            <w:pPr>
              <w:numPr>
                <w:ilvl w:val="0"/>
                <w:numId w:val="0"/>
              </w:numPr>
              <w:jc w:val="left"/>
              <w:keepLines w:val="0"/>
              <w:keepNext w:val="0"/>
              <w:widowControl/>
              <w:rPr>
                <w:rFonts w:hint="default" w:ascii="宋体" w:hAnsi="宋体" w:eastAsia="宋体" w:cs="宋体"/>
                <w:i w:val="0"/>
                <w:iCs w:val="0"/>
                <w:color w:val="auto"/>
                <w:sz w:val="20"/>
                <w:szCs w:val="20"/>
                <w:highlight w:val="yellow"/>
                <w:lang w:val="en-US" w:eastAsia="zh-CN" w:bidi="ar"/>
              </w:rPr>
              <w:suppressLineNumbers w:val="0"/>
            </w:pPr>
            <w:r>
              <w:rPr>
                <w:rFonts w:hint="eastAsia" w:ascii="宋体" w:hAnsi="宋体" w:cs="宋体"/>
                <w:i w:val="0"/>
                <w:iCs w:val="0"/>
                <w:color w:val="auto"/>
                <w:sz w:val="20"/>
                <w:szCs w:val="20"/>
                <w:highlight w:val="yellow"/>
                <w:lang w:val="en-US" w:eastAsia="zh-CN" w:bidi="ar"/>
              </w:rPr>
              <w:t xml:space="preserve">投标时提供证明材料，证明材料包括国家相关部门认可的相关证书或产品说明书。</w:t>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异形儿童桌：尺寸：140×70×65</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椅子（6张）尺寸：65×40×40</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美术室：</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泥料瓷花认知板：1、尺寸：直径350mm,一组4个</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2、材质：木头、陶瓷</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三福瓶形状工具墙-2：1、“葫芦瓶”尺寸：112×65cm 工具展示</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2、包含工具展示套组</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陶艺-展示A柜：1、尺寸：83.6×41×130cm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2、侧板采用约15mm枫木纹双贴面胶合板，饰面胶合板甲醛释放量符合GB/T 39600-2021标准要求，甲醛释放量≤0.025mg/m³，符合Enf级；其他板材采用约16mm厚枫木纹双贴面刨花板，饰面刨花板甲醛释放量符合GB/T 39600-2021标准要求，甲醛释放量≤0.025mg/m³，符合Enf级；</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4、五金件选用环保五金，镉、铅、汞、六价铬含量符合GB/T 26572-2011标准要求</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5、开放式4层收纳架</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6、产品采用双贴面工艺，保持颜色一致、无色差及表面光滑平整边角安全防撞设计产品整体结构稳固，不易倾倒</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操作桌：1、尺寸：160×80×55.5cm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2、桌面采用约25mm厚枫木纹双贴面刨花板，其他部分采用约18mm厚枫木纹双贴面刨花板，饰面刨花板甲醛释放量符合GB/T 39600-2021标准要求，甲醛释放量≤0.025mg/m³，符合Enf级；  </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3、五金件选用环保五金，镉、铅、汞、六价铬含量符合GB/T 26572-2011标准要求   </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4、桌板左右两侧分别以双层柜作为支撑，提升活动桌的稳定性</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5、产品采用双贴面工艺，保持颜色一致、无色差及表面光滑平整边角安全防撞设计产品整体结构稳固，不易倾倒</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工作凳：1、尺寸：高度35cm，椅座25×25</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2、凳面采用15mm厚枫木纹双贴面胶合板，甲醛释放量符合GB/T 39600-2021标准要求，甲醛释放量≤0.025mg/m³，符合Enf级；</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3、椅架表面金属烤漆处理</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幼儿美术综合柜：1、尺寸：80.4×29.8×81.4cm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2、主框架采用约15mm厚环保枫木纹三聚氰胺</w:t>
            </w:r>
            <w:r>
              <w:rPr>
                <w:rFonts w:hint="eastAsia" w:ascii="宋体" w:hAnsi="宋体" w:cs="宋体"/>
                <w:i w:val="0"/>
                <w:iCs w:val="0"/>
                <w:color w:val="auto"/>
                <w:sz w:val="20"/>
                <w:szCs w:val="20"/>
                <w:highlight w:val="none"/>
                <w:u w:val="none"/>
                <w:lang w:val="en-US" w:eastAsia="zh-CN" w:bidi="ar"/>
              </w:rPr>
              <w:t xml:space="preserve">双贴面橡胶木</w:t>
            </w:r>
            <w:r>
              <w:rPr>
                <w:rFonts w:hint="eastAsia" w:ascii="宋体" w:hAnsi="宋体" w:eastAsia="宋体" w:cs="宋体"/>
                <w:i w:val="0"/>
                <w:iCs w:val="0"/>
                <w:color w:val="auto"/>
                <w:sz w:val="20"/>
                <w:szCs w:val="20"/>
                <w:highlight w:val="none"/>
                <w:u w:val="none"/>
                <w:lang w:val="en-US" w:eastAsia="zh-CN" w:bidi="ar"/>
              </w:rPr>
              <w:t xml:space="preserve">，甲醛释放量符合GB/T 39600-2021标准要求，甲醛释放量≤0.0</w:t>
            </w:r>
            <w:r>
              <w:rPr>
                <w:rFonts w:hint="eastAsia" w:ascii="宋体" w:hAnsi="宋体" w:cs="宋体"/>
                <w:i w:val="0"/>
                <w:iCs w:val="0"/>
                <w:color w:val="auto"/>
                <w:sz w:val="20"/>
                <w:szCs w:val="20"/>
                <w:highlight w:val="none"/>
                <w:u w:val="none"/>
                <w:lang w:val="en-US" w:eastAsia="zh-CN" w:bidi="ar"/>
              </w:rPr>
              <w:t xml:space="preserve">1</w:t>
            </w:r>
            <w:r>
              <w:rPr>
                <w:rFonts w:hint="eastAsia" w:ascii="宋体" w:hAnsi="宋体" w:eastAsia="宋体" w:cs="宋体"/>
                <w:i w:val="0"/>
                <w:iCs w:val="0"/>
                <w:color w:val="auto"/>
                <w:sz w:val="20"/>
                <w:szCs w:val="20"/>
                <w:highlight w:val="none"/>
                <w:u w:val="none"/>
                <w:lang w:val="en-US" w:eastAsia="zh-CN" w:bidi="ar"/>
              </w:rPr>
              <w:t xml:space="preserve">5mg/m³，符合Enf级；层板采用约15mm厚枫木纹三聚氰胺双贴面胶合板，甲醛释放量符合GB/T 39600-2021标准要求，甲醛释放量≤0.025mg/m³，符合Enf级，背板为5mm枫木纹三聚氰胺双贴面密度板，甲醛释放量符合GB/T 39600-2021标准要求，甲醛释放量≤0.025mg/m³，符合Enf级；                                                                             </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 五金件选用环保五金，镉、铅、汞、六价铬含量符合GB/T 26572-2011标准要求</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4、柜体内部格局分为三层边角安全防撞设计，结构稳固，不易倾倒，安全缝隙和孔洞均符合</w:t>
            </w:r>
            <w:r>
              <w:rPr>
                <w:rFonts w:hint="eastAsia" w:ascii="宋体" w:hAnsi="宋体" w:cs="宋体"/>
                <w:i w:val="0"/>
                <w:iCs w:val="0"/>
                <w:color w:val="auto"/>
                <w:sz w:val="20"/>
                <w:szCs w:val="20"/>
                <w:highlight w:val="yellow"/>
                <w:u w:val="none"/>
                <w:lang w:val="en-US" w:eastAsia="zh-CN" w:bidi="ar"/>
              </w:rPr>
              <w:t xml:space="preserve">国家相关</w:t>
            </w:r>
            <w:r>
              <w:rPr>
                <w:rFonts w:hint="eastAsia" w:ascii="宋体" w:hAnsi="宋体" w:eastAsia="宋体" w:cs="宋体"/>
                <w:i w:val="0"/>
                <w:iCs w:val="0"/>
                <w:color w:val="auto"/>
                <w:sz w:val="20"/>
                <w:szCs w:val="20"/>
                <w:highlight w:val="none"/>
                <w:u w:val="none"/>
                <w:lang w:val="en-US" w:eastAsia="zh-CN" w:bidi="ar"/>
              </w:rPr>
              <w:t xml:space="preserve">儿童家具通用技术条件的要求</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折叠式边柜：1、材质：橡木</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2、采用橡木，表面平整光滑，无结疤，整体结构结实耐用。油漆采用</w:t>
            </w:r>
            <w:r>
              <w:rPr>
                <w:rFonts w:hint="eastAsia" w:ascii="宋体" w:hAnsi="宋体" w:cs="宋体"/>
                <w:i w:val="0"/>
                <w:iCs w:val="0"/>
                <w:color w:val="auto"/>
                <w:sz w:val="20"/>
                <w:szCs w:val="20"/>
                <w:highlight w:val="none"/>
                <w:u w:val="none"/>
                <w:lang w:val="en-US" w:eastAsia="zh-CN" w:bidi="ar"/>
              </w:rPr>
              <w:t xml:space="preserve">哑光聚脂漆，</w:t>
            </w:r>
            <w:r>
              <w:rPr>
                <w:rFonts w:hint="eastAsia" w:ascii="宋体" w:hAnsi="宋体" w:eastAsia="宋体" w:cs="宋体"/>
                <w:i w:val="0"/>
                <w:iCs w:val="0"/>
                <w:color w:val="auto"/>
                <w:sz w:val="20"/>
                <w:szCs w:val="20"/>
                <w:highlight w:val="none"/>
                <w:u w:val="none"/>
                <w:lang w:val="en-US" w:eastAsia="zh-CN" w:bidi="ar"/>
              </w:rPr>
              <w:t xml:space="preserve">油漆无颗粒，无气泡，无渣点，颜色均匀。</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3、尺寸：80cm×34cm×100cm</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陈列架：1、尺寸：83.6×41×130cm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2、侧板采用约15mm枫木纹双贴面胶合板，饰面胶合板甲醛释放量符合GB/T 39600-2021标准要求，甲醛释放量≤0.025mg/m³，符合Enf级；</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3、其他板材采用约16mm厚枫木纹双贴面刨花板，饰面刨花板甲醛释放量符合GB/T 39600-2021标准要求，甲醛释放量≤0.025mg/m³，符合Enf级；</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4、五金件选用环保五金，镉、铅、汞、六价铬含量符合GB/T 26572-2011标准要求</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5、开放式4层收纳架</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6、采用踢脚板设计，既增加了稳定性，又可以防止杂物进入柜底</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7、产品采用双贴面工艺，保持颜色一致、无色差及表面光滑平整边角安全防撞设计，产品整体结构稳固，不易倾倒</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陈列架：1、尺寸：83.6×41×190cm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2、侧板采用约15mm枫木纹双贴面胶合板，饰面胶合板甲醛释放量符合GB/T 39600-2021标准要求，甲醛释放量≤0.025mg/m³，符合Enf级；</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3、其他板材采用约16mm厚枫木纹双贴面刨花板，饰面刨花板甲醛释放量符合GB/T 39600-2021标准要求，甲醛释放量≤0.025mg/m³，符合Enf级；</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4、五金件选用环保五金，镉、铅、汞、六价铬含量符合GB/T 26572-2011标准要求</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5、开放式5层收纳架</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6、采用踢脚板设计，既增加了稳定性，又可以防止杂物进入柜底</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7、产品采用双贴面工艺，保持颜色一致、无色差及表面光滑平整边角安全防撞设计，产品整体结构稳固，不易倾倒</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编织袈：材质：帆布</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尺寸：45×60cm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配件：魔术贴，加固提手</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承重：8–10kg</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长条绘画桌：180×60×52cm，多层实木板 + 防火 / 防涂鸦贴面（E0 级）</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实木方腿（5×5cm 及以上）或加厚钢管（≥1.2mm 壁厚，电泳防锈）</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必须加装防滑橡胶脚垫，防晃、防噪音、保护地板</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所有边角倒圆半径≥10mm，无毛刺、无尖锐五金突出物（符合《儿童家具通用技术条件》GB 28007）</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挂钩：约60×5.8×1.8cm原木制成，五个金属挂钩</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布织收纳筐：尺寸：35×25×17.5金属框架，丙丝带编织布料，两侧设计有提手</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幼儿专用罩衣：1、材质：防水布</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2、尺寸：ML码</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3、陶艺课使用，米黄色</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教师围裙：1、材质：防水布，米黄色</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2、尺寸：81×63cm ，防水效果好</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玻璃胶套装：超粘玻璃胶2支、胶枪1把</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KT胶：宽约2.0cm</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肌理擀泥杖：1、尺寸：150mm，一组12个</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2、用途：用于课程泥板制作中肌理应用</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唐代人物砖模具：1、尺寸100×80mm，一组5个</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2、用途：用于课程中人物形象制作，让学生了解历史用人物的形象动作及着装</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四神瓦当模具套组：1、尺寸：φ80mm，一组4个</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2、用途：用于课程中四神瓦当制作，了解古代瓦当用途及四神图案含义</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历代瓷瓶形状教学成型模具：1、尺寸：50×80mm，一组5个</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2、用途：用于课程陶瓷器型制作，让学生了解陶瓷的器型及其背后含义</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青铜器器型成型套组：1、尺寸：50×80mm，一组5个</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2、用途：用于课程青铜器器型制作，让学生了解青铜器的器型及其深厚文化</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无极变速拉坯机：1、工作电压：AC220±10%                                                                                                                                                                                                           2、外形尺寸：宽600×长500×高440mm±2%</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3、功    率：375W</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4、负载扭矩：50Nm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5、铝盘直径：φ320mm±2%</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6、铝盘跳动：≤0.1mm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7、噪    音：≤60dB</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产品特点:</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1、安全稳定：拉坯机采用国标正品直流电机，质量稳定使用寿命长，电源品字插头自带防漏电保护和过载保护功能，安全性极高，节能省电，大扭力输出，电机经过</w:t>
            </w:r>
            <w:r>
              <w:rPr>
                <w:rFonts w:hint="eastAsia" w:ascii="宋体" w:hAnsi="宋体" w:cs="宋体"/>
                <w:i w:val="0"/>
                <w:iCs w:val="0"/>
                <w:color w:val="auto"/>
                <w:sz w:val="20"/>
                <w:szCs w:val="20"/>
                <w:highlight w:val="none"/>
                <w:u w:val="none"/>
                <w:lang w:val="en-US" w:eastAsia="zh-CN" w:bidi="ar"/>
              </w:rPr>
              <w:t xml:space="preserve">至少</w:t>
            </w:r>
            <w:r>
              <w:rPr>
                <w:rFonts w:hint="eastAsia" w:ascii="宋体" w:hAnsi="宋体" w:eastAsia="宋体" w:cs="宋体"/>
                <w:i w:val="0"/>
                <w:iCs w:val="0"/>
                <w:color w:val="auto"/>
                <w:sz w:val="20"/>
                <w:szCs w:val="20"/>
                <w:highlight w:val="none"/>
                <w:u w:val="none"/>
                <w:lang w:val="en-US" w:eastAsia="zh-CN" w:bidi="ar"/>
              </w:rPr>
              <w:t xml:space="preserve">5万小时使用寿命测试</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2、电子控制采用智能CPU芯片控制，具有过载、过流、漏电、故障自诊断等多重监测保护拉坯机带有智能防止断电重来电飞车摔坯功能</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3、自主研发智能控制系统，速度反馈灵敏扭矩大，具有过载、过流、漏电、故障自诊断等多重监测保护；                                                                                                                                                                                     </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4、铝盘采用铝合金材料，化学成分应符合国家标准GB/T20975.25-2020《铝及铝合金化学分析方法》要求，同时满足以下元素含量限值：8%≤Si≤12%、Fe≤1.5%、Cu≤0.6%、Mn≤0.2%、0.1%≤Mg≤0.3%、Cr≤0.1%、Zn≤0.8%、Ti≤0.08%；</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5、拉坯机电源采用的航空插头应符合国家标准《GB/T 2423.7-2018 环境试验 第2部分：试验方法 试验Ed：自由跌落》要求；</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6、电子霍尔调速踏板应符合国家GB/T4208-2017《外壳防护等级（IP代码）》标准，依据GB/T4208-2017进行IP×2防水试验，被试品外壳在两个相互垂直平面上各倾斜15°（共四个测试方位），每个方位持续喷淋2.5分钟，总试验时间10±0.5分钟，经IP×2防水测试后，试验结果合格</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圆形作品托板：尺寸：φ150mm</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捏塑垫布：尺寸：320×210mm</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小泥拍：1、材质：木质</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2、尺寸：总长19.5cm，宽6.5cm；</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木质泥塑套装：1、材质：木制</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2、内涵：泥刮器、打孔器、泥刀等5件工具</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陶艺八件套：1、材质：木制</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2、内涵：泥刮器、打孔器、泥刀等8件工具</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公开课小罐颜料：6个一组</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陶瓷绘画专用色釉：60ml每瓶12色一套</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涂抹式浓缩透明釉：250ml每瓶</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冰裂效果浓缩釉：250ml每瓶</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彩色成型泥浆：60ml每瓶12色一套</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水桶：塑料材质,直径20cm</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陶艺专用蕾丝花边套组：尺寸：12×17cm</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触屏语音高功率高温电窑：外形尺寸：W660×L900×H1260mm±2%</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炉膛尺寸：W340×D370×H460mm±2%                                                                                                       </w:t>
            </w:r>
            <w:r>
              <w:rPr>
                <w:rFonts w:hint="eastAsia" w:ascii="宋体" w:hAnsi="宋体" w:eastAsia="宋体" w:cs="宋体"/>
                <w:i w:val="0"/>
                <w:iCs w:val="0"/>
                <w:color w:val="auto"/>
                <w:sz w:val="20"/>
                <w:szCs w:val="20"/>
                <w:highlight w:val="none"/>
                <w:u w:val="none"/>
                <w:lang w:val="en-US" w:eastAsia="zh-CN" w:bidi="ar"/>
              </w:rPr>
              <w:t xml:space="preserve">                                                                                      棚板：280×340mm±2% 1块/层                                                                                                                                                      </w:t>
            </w:r>
            <w:r>
              <w:rPr>
                <w:rFonts w:hint="eastAsia" w:ascii="宋体" w:hAnsi="宋体" w:eastAsia="宋体" w:cs="宋体"/>
                <w:i w:val="0"/>
                <w:iCs w:val="0"/>
                <w:color w:val="auto"/>
                <w:sz w:val="20"/>
                <w:szCs w:val="20"/>
                <w:highlight w:val="none"/>
                <w:u w:val="none"/>
                <w:lang w:val="en-US" w:eastAsia="zh-CN" w:bidi="ar"/>
              </w:rPr>
              <w:t xml:space="preserve">                                   内容积：0.058立方米±2%                                                                                                                                                                                                      开门方式：侧开门</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工作电压：220</w:t>
            </w:r>
            <w:r>
              <w:rPr>
                <w:rFonts w:hint="eastAsia" w:ascii="宋体" w:hAnsi="宋体" w:eastAsia="宋体" w:cs="宋体"/>
                <w:i w:val="0"/>
                <w:iCs w:val="0"/>
                <w:color w:val="auto"/>
                <w:sz w:val="20"/>
                <w:szCs w:val="20"/>
                <w:highlight w:val="none"/>
                <w:u w:val="none"/>
                <w:lang w:val="en-US" w:eastAsia="zh-CN" w:bidi="ar"/>
              </w:rPr>
              <w:t xml:space="preserve">V±10V（50HZ)，功率：≥6.5KW，相电流：≥29A                                                                                                                                                                                                                                  </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最高工作温度：≥1300℃</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常规工作温度：≥1240℃</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线径： ≥6平方国标铜芯线（地线≥4平方）</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控温方式：≥1点控温</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颜色：黑色</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1、智能温控，为自主设计研制而成，最高温度 1300 ℃，采用液晶屏中文控制面板，内置自主研发一键烧成控制系统让操作更加方便简洁a/可进行多种显示模式：数字、仪表、列表、</w:t>
            </w:r>
            <w:r>
              <w:rPr>
                <w:rFonts w:hint="eastAsia" w:ascii="宋体" w:hAnsi="宋体" w:eastAsia="宋体" w:cs="宋体"/>
                <w:i w:val="0"/>
                <w:iCs w:val="0"/>
                <w:color w:val="auto"/>
                <w:sz w:val="20"/>
                <w:szCs w:val="20"/>
                <w:highlight w:val="none"/>
                <w:u w:val="none"/>
                <w:lang w:val="en-US" w:eastAsia="zh-CN" w:bidi="ar"/>
              </w:rPr>
              <w:t xml:space="preserve">曲线等；b/可保存实验数据，并可将保存的实验数据导出至电脑或数据采集器，采集自动报警功能；c/可选择多种报警模式：声音报警、震动报警、荧光报警等；d/内置逻辑处理功能，配有逻辑端口；可自动开启风扇，灯光报警等；e/内置多种包含烤花、素烧、釉烧、紫砂等基本烧成程序，可设置自定义升温曲线，自定义升温曲线可以输入中文名称；f/内置测量电压、电流功能，工作时可显示实际电压、电流；g/液晶触控温控系统自带自主研发断电自动续烧系统，安全断电功能, 窑炉如出现电炉丝断线、热电偶损坏等情况的报错功能,延迟定时烧制设置功能；</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2、超大0.058m³内空，侧开门设计，装窑不在吃力；                   </w:t>
            </w:r>
            <w:r>
              <w:rPr>
                <w:rFonts w:hint="eastAsia" w:ascii="宋体" w:hAnsi="宋体" w:eastAsia="宋体" w:cs="宋体"/>
                <w:i w:val="0"/>
                <w:iCs w:val="0"/>
                <w:color w:val="auto"/>
                <w:sz w:val="20"/>
                <w:szCs w:val="20"/>
                <w:highlight w:val="none"/>
                <w:u w:val="none"/>
                <w:lang w:val="en-US" w:eastAsia="zh-CN" w:bidi="ar"/>
              </w:rPr>
              <w:t xml:space="preserve">                                                                                                                                                                    3、内部框架采用国标Q355B级钢材，钢材应符合国家标准GB/T228.1-2021《金属材料 拉伸试验 第1部分：室温试验方法》要求；                        </w:t>
            </w:r>
            <w:r>
              <w:rPr>
                <w:rFonts w:hint="eastAsia" w:ascii="宋体" w:hAnsi="宋体" w:eastAsia="宋体" w:cs="宋体"/>
                <w:i w:val="0"/>
                <w:iCs w:val="0"/>
                <w:color w:val="auto"/>
                <w:sz w:val="20"/>
                <w:szCs w:val="20"/>
                <w:highlight w:val="none"/>
                <w:u w:val="none"/>
                <w:lang w:val="en-US" w:eastAsia="zh-CN" w:bidi="ar"/>
              </w:rPr>
              <w:t xml:space="preserve">                                                                                                                                                                                   4、炉内保温层由莫来石砖和高品质节能隔热棉板组成，其中莫来石砖应符合国家GB/T21114-2019《耐火材料 ×射线荧光光谱化学分析 熔铸玻璃片法》标准</w:t>
            </w:r>
            <w:r>
              <w:rPr>
                <w:rFonts w:hint="eastAsia" w:ascii="宋体" w:hAnsi="宋体" w:eastAsia="宋体" w:cs="宋体"/>
                <w:i w:val="0"/>
                <w:iCs w:val="0"/>
                <w:color w:val="auto"/>
                <w:sz w:val="20"/>
                <w:szCs w:val="20"/>
                <w:highlight w:val="none"/>
                <w:u w:val="none"/>
                <w:lang w:val="en-US" w:eastAsia="zh-CN" w:bidi="ar"/>
              </w:rPr>
              <w:t xml:space="preserve">；                                                                                                                                        5、采用5面发热，受热更均匀电炉丝应符合国家SN/T3343-2012《不锈钢中铬、镍、钼、铜、锰、钛、铝、磷、硅、硫、钒、铌、钨含量的测定 电感耦合等离子体原子发射光谱法》、GB/T223.11-2008《钢铁及合金铬含量的测定》标准；</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6、内置刚玉管热电偶，准确测温灵敏控温；                                                                                                                                      </w:t>
            </w:r>
            <w:r>
              <w:rPr>
                <w:rFonts w:hint="eastAsia" w:ascii="宋体" w:hAnsi="宋体" w:eastAsia="宋体" w:cs="宋体"/>
                <w:i w:val="0"/>
                <w:iCs w:val="0"/>
                <w:color w:val="auto"/>
                <w:sz w:val="20"/>
                <w:szCs w:val="20"/>
                <w:highlight w:val="none"/>
                <w:u w:val="none"/>
                <w:lang w:val="en-US" w:eastAsia="zh-CN" w:bidi="ar"/>
              </w:rPr>
              <w:t xml:space="preserve">                   7、能进行工艺品陶和瓷制品的高中温烧制，炉内上下温差均匀等特点；                                                                                                                                                          8、不锈钢炉丝接线夹盐雾性能应符合国家GB/T10125-2021《人造气氛腐蚀试验 盐雾试验》标准；</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幼儿陶艺专用素坯：1、规格：20个/组</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2、规格：直径约7cm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3、材质：高白泥</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default" w:ascii="宋体" w:hAnsi="宋体" w:eastAsia="宋体" w:cs="宋体"/>
                <w:i w:val="0"/>
                <w:iCs w:val="0"/>
                <w:color w:val="auto"/>
                <w:sz w:val="20"/>
                <w:szCs w:val="20"/>
                <w:highlight w:val="none"/>
                <w:u w:val="none"/>
                <w:lang w:val="en-US"/>
              </w:rPr>
            </w:pPr>
            <w:r>
              <w:rPr>
                <w:rFonts w:hint="default" w:ascii="宋体" w:hAnsi="宋体" w:eastAsia="宋体" w:cs="宋体"/>
                <w:i w:val="0"/>
                <w:iCs w:val="0"/>
                <w:color w:val="auto"/>
                <w:sz w:val="20"/>
                <w:szCs w:val="20"/>
                <w:highlight w:val="none"/>
                <w:u w:val="none"/>
                <w:lang w:val="en-US"/>
              </w:rPr>
            </w:r>
            <w:r/>
          </w:p>
        </w:tc>
        <w:tc>
          <w:tcPr>
            <w:tcW w:w="5370" w:type="dxa"/>
            <w:vAlign w:val="center"/>
            <w:textDirection w:val="lrTb"/>
            <w:noWrap w:val="false"/>
          </w:tcPr>
          <w:p>
            <w:pPr>
              <w:pStyle w:val="851"/>
              <w:rPr>
                <w:rFonts w:hint="default"/>
                <w:highlight w:val="none"/>
                <w:lang w:val="en-US"/>
              </w:rPr>
            </w:pPr>
            <w:r>
              <w:rPr>
                <w:rFonts w:hint="eastAsia" w:ascii="宋体" w:hAnsi="宋体" w:eastAsia="宋体" w:cs="宋体"/>
                <w:i w:val="0"/>
                <w:iCs w:val="0"/>
                <w:color w:val="auto"/>
                <w:sz w:val="20"/>
                <w:szCs w:val="20"/>
                <w:highlight w:val="none"/>
                <w:u w:val="none"/>
                <w:lang w:val="en-US" w:eastAsia="zh-CN" w:bidi="ar"/>
              </w:rPr>
              <w:t xml:space="preserve">普通瓷泥：1、材质：高岭土、长石、瓷矿石等</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2、含量：≥200g/袋</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default" w:ascii="宋体" w:hAnsi="宋体" w:eastAsia="宋体" w:cs="宋体"/>
                <w:i w:val="0"/>
                <w:iCs w:val="0"/>
                <w:color w:val="auto"/>
                <w:sz w:val="20"/>
                <w:szCs w:val="20"/>
                <w:highlight w:val="none"/>
                <w:u w:val="none"/>
                <w:lang w:val="en-US"/>
              </w:rPr>
            </w:pPr>
            <w:r>
              <w:rPr>
                <w:rFonts w:hint="default" w:ascii="宋体" w:hAnsi="宋体" w:eastAsia="宋体" w:cs="宋体"/>
                <w:i w:val="0"/>
                <w:iCs w:val="0"/>
                <w:color w:val="auto"/>
                <w:sz w:val="20"/>
                <w:szCs w:val="20"/>
                <w:highlight w:val="none"/>
                <w:u w:val="none"/>
                <w:lang w:val="en-US"/>
              </w:rPr>
            </w:r>
            <w:r/>
          </w:p>
        </w:tc>
        <w:tc>
          <w:tcPr>
            <w:tcW w:w="5370" w:type="dxa"/>
            <w:vAlign w:val="center"/>
            <w:textDirection w:val="lrTb"/>
            <w:noWrap w:val="false"/>
          </w:tcPr>
          <w:p>
            <w:pPr>
              <w:jc w:val="left"/>
              <w:keepLines w:val="0"/>
              <w:keepNext w:val="0"/>
              <w:widowControl/>
              <w:rPr>
                <w:rFonts w:hint="eastAsia"/>
                <w:highlight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灰陶瓷泥：1、材质：高岭土、长石、瓷矿石等</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2、含量：≥200g/袋</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default" w:ascii="宋体" w:hAnsi="宋体" w:eastAsia="宋体" w:cs="宋体"/>
                <w:i w:val="0"/>
                <w:iCs w:val="0"/>
                <w:color w:val="auto"/>
                <w:sz w:val="20"/>
                <w:szCs w:val="20"/>
                <w:highlight w:val="none"/>
                <w:u w:val="none"/>
                <w:lang w:val="en-US"/>
              </w:rPr>
            </w:pPr>
            <w:r>
              <w:rPr>
                <w:rFonts w:hint="default" w:ascii="宋体" w:hAnsi="宋体" w:eastAsia="宋体" w:cs="宋体"/>
                <w:i w:val="0"/>
                <w:iCs w:val="0"/>
                <w:color w:val="auto"/>
                <w:sz w:val="20"/>
                <w:szCs w:val="20"/>
                <w:highlight w:val="none"/>
                <w:u w:val="none"/>
                <w:lang w:val="en-US"/>
              </w:rPr>
            </w:r>
            <w:r/>
          </w:p>
        </w:tc>
        <w:tc>
          <w:tcPr>
            <w:tcW w:w="5370" w:type="dxa"/>
            <w:vAlign w:val="center"/>
            <w:textDirection w:val="lrTb"/>
            <w:noWrap w:val="false"/>
          </w:tcPr>
          <w:p>
            <w:pPr>
              <w:jc w:val="left"/>
              <w:keepLines w:val="0"/>
              <w:keepNext w:val="0"/>
              <w:widowControl/>
              <w:rPr>
                <w:rFonts w:hint="eastAsia"/>
                <w:highlight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红陶瓷泥：1、材质：石英、云母</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2、含量：≥200g/袋</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塑钢转台：尺寸：转台上直径29.7cm，下底直径21cm，高12cm</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美术纸筒柜：尺寸：62.2×30×59cm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1、侧板采用约18mm厚枫木纹双贴面刨花板，底板、面板、踢脚板采用约16mm厚枫木纹双贴面刨花板，背板采用约5mm枫木纹双贴面密度板，甲醛释放量符合GB/T 39600-2021标准要求，甲醛释放量≤0.025mg/m³，符合Enf级；         </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2、五金件选用环保五金，镉、铅、汞、六价铬含量符合GB/T 26572-2011标准要求</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3、产品采用双贴面工艺，边角安全防撞设计，产品整体结构稳固，不易倾倒</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陈列架：尺寸：83.6×41×190cm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1、侧板采用约15mm枫木纹双贴面胶合板，饰面胶合板甲醛释放量符合GB/T 39600-2021标准要求，甲醛释放量≤0.025mg/m³，符合Enf级；</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2、其他板材采用约16mm厚枫木纹双贴面刨花板，饰面刨花板甲醛释放量符合GB/T 39600-2021标准要求，甲醛释放量≤0.025mg/m³，符合Enf级；</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3、五金件选用环保五金，镉、铅、汞、六价铬含量符合GB/T 26572-2011标准要求</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4、产品采用双贴面工艺，边角安全防撞设计，产品整体结构稳固，不易倾倒</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操作桌：尺寸：160×80×55.5cm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1、桌面采用约25mm厚枫木纹双贴面刨花板，其他部分采用约18mm厚枫木纹双贴面刨花板，饰面刨花板甲醛释放量符合GB/T 39600-2021标准要求，甲醛释放量≤0.025mg/m³，符合Enf级；</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2、五金件选用环保五金，镉、铅、汞、六价铬含量符合GB/T 26572-2011标准要求</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3、产品采用双贴面工艺，边角安全防撞设计，产品整体结构稳固，不易倾倒</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工作凳：尺寸：28×29×52cm，座高27cm</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材料柜：尺寸：W80×D30×H80cm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1、侧板</w:t>
            </w:r>
            <w:r>
              <w:rPr>
                <w:rFonts w:hint="eastAsia" w:ascii="宋体" w:hAnsi="宋体" w:eastAsia="宋体" w:cs="宋体"/>
                <w:i w:val="0"/>
                <w:iCs w:val="0"/>
                <w:color w:val="auto"/>
                <w:sz w:val="20"/>
                <w:szCs w:val="20"/>
                <w:highlight w:val="none"/>
                <w:u w:val="none"/>
                <w:lang w:val="en-US" w:eastAsia="zh-CN" w:bidi="ar"/>
              </w:rPr>
              <w:t xml:space="preserve">、顶板、上背板采用约18mm厚枫木纹双贴面松木，松木实木板甲醛释放量符合GB/T 39600-2021标准要求，甲醛释放量≤0.025mg/m³，符合Enf级；上方左侧层板采用约9mm厚枫木纹双贴面胶合板，上方右侧层板采用约15mm厚枫木纹双贴面胶合板，饰面胶合板甲醛释放量符合GB/T 39600-2021标准要求，甲醛释放量≤0.025mg/m³，符合Enf级；背板为5mm厚枫木纹双贴面密度板，饰面密度板甲醛释放量符合GB/T 39600-2021标准要求，甲醛释放量≤0.025mg/m³，符合Enf级；</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2、竖隔板、下层板、底板、踢脚板采用16mm厚枫木纹双贴面刨花板，饰面刨花板甲醛释放量符合GB/T 39600-2021标准要求，甲醛释放量≤0.025mg/m³，符合Enf级；PVC封边条封边，表面光滑无污点，花纹清晰均匀，色泽均匀无色差，转角过渡自然，耐干热性、耐磨性、耐开裂性、耐老化性、耐冷热循环性、耐光色牢度、甲醛释放量、氯乙烯单体、可迁移元素（铅、镉、铬、汞、砷、钡、锑、硒）含量、邻苯二甲酸酯总量、多溴联苯(PBB)、多溴联苯醚(PBDE)等符合</w:t>
            </w:r>
            <w:r>
              <w:rPr>
                <w:rFonts w:hint="eastAsia" w:ascii="宋体" w:hAnsi="宋体" w:cs="宋体"/>
                <w:i w:val="0"/>
                <w:iCs w:val="0"/>
                <w:color w:val="auto"/>
                <w:sz w:val="20"/>
                <w:szCs w:val="20"/>
                <w:highlight w:val="none"/>
                <w:u w:val="none"/>
                <w:lang w:val="en-US" w:eastAsia="zh-CN" w:bidi="ar"/>
              </w:rPr>
              <w:t xml:space="preserve">QB/T 4463-2025</w:t>
            </w:r>
            <w:r>
              <w:rPr>
                <w:rFonts w:hint="eastAsia" w:ascii="宋体" w:hAnsi="宋体" w:eastAsia="宋体" w:cs="宋体"/>
                <w:i w:val="0"/>
                <w:iCs w:val="0"/>
                <w:color w:val="auto"/>
                <w:sz w:val="20"/>
                <w:szCs w:val="20"/>
                <w:highlight w:val="none"/>
                <w:u w:val="none"/>
                <w:lang w:val="en-US" w:eastAsia="zh-CN" w:bidi="ar"/>
              </w:rPr>
              <w:t xml:space="preserve">标准要求</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3、五金件选用环保五金，镉、铅、汞、六价铬含量符合GB/T 26572-2011标准要求</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4、本款产品上部分为综合存放空间</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可放置画纸及幼儿作品</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插入画笔等物</w:t>
            </w:r>
            <w:r>
              <w:rPr>
                <w:rFonts w:hint="eastAsia" w:ascii="宋体" w:hAnsi="宋体" w:cs="宋体"/>
                <w:i w:val="0"/>
                <w:iCs w:val="0"/>
                <w:color w:val="auto"/>
                <w:sz w:val="20"/>
                <w:szCs w:val="20"/>
                <w:highlight w:val="none"/>
                <w:u w:val="none"/>
                <w:lang w:val="en-US" w:eastAsia="zh-CN" w:bidi="ar"/>
              </w:rPr>
              <w:t xml:space="preserve">和</w:t>
            </w:r>
            <w:r>
              <w:rPr>
                <w:rFonts w:hint="eastAsia" w:ascii="宋体" w:hAnsi="宋体" w:eastAsia="宋体" w:cs="宋体"/>
                <w:i w:val="0"/>
                <w:iCs w:val="0"/>
                <w:color w:val="auto"/>
                <w:sz w:val="20"/>
                <w:szCs w:val="20"/>
                <w:highlight w:val="none"/>
                <w:u w:val="none"/>
                <w:lang w:val="en-US" w:eastAsia="zh-CN" w:bidi="ar"/>
              </w:rPr>
              <w:t xml:space="preserve">用于放置颜料</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柜体下部分为</w:t>
            </w:r>
            <w:r>
              <w:rPr>
                <w:rFonts w:hint="eastAsia" w:ascii="宋体" w:hAnsi="宋体" w:cs="宋体"/>
                <w:i w:val="0"/>
                <w:iCs w:val="0"/>
                <w:color w:val="auto"/>
                <w:sz w:val="20"/>
                <w:szCs w:val="20"/>
                <w:highlight w:val="none"/>
                <w:u w:val="none"/>
                <w:lang w:val="en-US" w:eastAsia="zh-CN" w:bidi="ar"/>
              </w:rPr>
              <w:t xml:space="preserve">多</w:t>
            </w:r>
            <w:r>
              <w:rPr>
                <w:rFonts w:hint="eastAsia" w:ascii="宋体" w:hAnsi="宋体" w:eastAsia="宋体" w:cs="宋体"/>
                <w:i w:val="0"/>
                <w:iCs w:val="0"/>
                <w:color w:val="auto"/>
                <w:sz w:val="20"/>
                <w:szCs w:val="20"/>
                <w:highlight w:val="none"/>
                <w:u w:val="none"/>
                <w:lang w:val="en-US" w:eastAsia="zh-CN" w:bidi="ar"/>
              </w:rPr>
              <w:t xml:space="preserve">层格柜，</w:t>
            </w:r>
            <w:r>
              <w:rPr>
                <w:rFonts w:hint="eastAsia" w:ascii="宋体" w:hAnsi="宋体" w:cs="宋体"/>
                <w:i w:val="0"/>
                <w:iCs w:val="0"/>
                <w:color w:val="auto"/>
                <w:sz w:val="20"/>
                <w:szCs w:val="20"/>
                <w:highlight w:val="none"/>
                <w:u w:val="none"/>
                <w:lang w:val="en-US" w:eastAsia="zh-CN" w:bidi="ar"/>
              </w:rPr>
              <w:t xml:space="preserve">可</w:t>
            </w:r>
            <w:r>
              <w:rPr>
                <w:rFonts w:hint="eastAsia" w:ascii="宋体" w:hAnsi="宋体" w:eastAsia="宋体" w:cs="宋体"/>
                <w:i w:val="0"/>
                <w:iCs w:val="0"/>
                <w:color w:val="auto"/>
                <w:sz w:val="20"/>
                <w:szCs w:val="20"/>
                <w:highlight w:val="none"/>
                <w:u w:val="none"/>
                <w:lang w:val="en-US" w:eastAsia="zh-CN" w:bidi="ar"/>
              </w:rPr>
              <w:t xml:space="preserve">方便不同尺寸、规格物品的收纳、整理</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5、采用踢脚板设计，既增加了稳定性，又可以防止杂物进入柜底</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幼儿美术综合柜：尺寸：W60×D60×H64.7cm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1、顶板、侧板、层板、底板、左背板、下竖板采用约16mm厚枫木纹双贴面刨花板，甲醛释放量符合GB/T 39600-2021标准要求，甲醛释放量≤0.025mg/m³，符合Enf级；</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2、上竖隔板采用约9mm厚枫木纹双贴面胶合板，甲醛释放量符合GB/T 39600-2021标准要求，甲醛释放量≤0.025mg/m³，符合Enf级；</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3、五金件选用环保五金，镉、铅、汞、六价铬含量符合GB/T 26572-2011标准要求     </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4、柜体顶部9宫格储存空间，用于美术用品的摆放；柜体下方分为左右两列，左边为有背板三层柜，右边为无背板通透两层柜</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柜体底部配以4个塑料滑轮（其中2个带锁定），便于移动脚轮运行平稳无声，转动顺滑，轮面光洁，无裂纹、伤痕、毛边等缺陷，金属件表面光滑平整、无锈蚀、毛刺刃口、露底等缺陷，转动零部件转动灵活，无卡滞及松脱现象，抗冲击性能、动载荷、滚动阻力、旋转阻力、静载荷等符合QB/T 4765-2014标准要求         </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5、产品采用双贴面工艺，边角安全防撞设计，产品整体结构稳固，不易倾倒</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折叠式边柜：1、材质：橡木</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2、采用橡木，表面平整光滑，无结疤，整体结构结实耐用。油漆采用</w:t>
            </w:r>
            <w:r>
              <w:rPr>
                <w:rFonts w:hint="eastAsia" w:ascii="宋体" w:hAnsi="宋体" w:cs="宋体"/>
                <w:i w:val="0"/>
                <w:iCs w:val="0"/>
                <w:color w:val="auto"/>
                <w:sz w:val="20"/>
                <w:szCs w:val="20"/>
                <w:highlight w:val="none"/>
                <w:u w:val="none"/>
                <w:lang w:val="en-US" w:eastAsia="zh-CN" w:bidi="ar"/>
              </w:rPr>
              <w:t xml:space="preserve">哑光聚脂漆，</w:t>
            </w:r>
            <w:r>
              <w:rPr>
                <w:rFonts w:hint="eastAsia" w:ascii="宋体" w:hAnsi="宋体" w:eastAsia="宋体" w:cs="宋体"/>
                <w:i w:val="0"/>
                <w:iCs w:val="0"/>
                <w:color w:val="auto"/>
                <w:sz w:val="20"/>
                <w:szCs w:val="20"/>
                <w:highlight w:val="none"/>
                <w:u w:val="none"/>
                <w:lang w:val="en-US" w:eastAsia="zh-CN" w:bidi="ar"/>
              </w:rPr>
              <w:t xml:space="preserve">油漆无颗粒，无气泡，无渣点，颜色均匀。</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3、尺寸：80cm×34cm×100cm</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壁挂式画架：1、材质：实木</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2、尺寸：52cm×80cm×9.5cm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3、松木直拼板，含4个塑料杯和一卷画纸，装于墙面作画</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滑轨式作品展示墙：长120×6×2cm木条，含8个活动木夹子</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幼儿专用便携式沙画桌（不带支架版）：1、材质：航空箱板材料、防火防水面板、耐高温、防撞击、防潮</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2、表面采用圆角包角，作画不伤手</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3、可以连接电脑、充电宝、方便演示</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幼儿无尘画板：1、升降范围：66-115cm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2、含框板面：44×34cm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3、适合年龄：2-7岁</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4、16道工序手工打磨，亲肤无毛刺</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5、高度可调节</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6、幼儿绘画专用架</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桌面工具盒：1、桌面工具收纳材料盒</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2、尺寸为：20×21×8cm</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幼儿专用罩衣：1、材质：防水布</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2、尺寸：ML码</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教师围裙：1、材质：防水布，米黄色</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2、尺寸：81×63cm ，防水效果好，教师美育课必备品</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玻璃胶套装：超粘玻璃胶2支、含胶枪1把</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木工坊：</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单人操作台：尺寸：90×60×65cm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1、桌面及其围板采用约18mm厚木板，侧板、桌脚采用约15mm厚枫木纹双贴面胶合板，甲醛释放量符合GB/T39600-2021标准要求，甲醛释放量≤0.025mg/m³，符合Enf级； </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2、五金件选用环保五金，镉、铅、汞、六价铬含量符合GB/T 26572-2011标准要求</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桌面设计铝合金凹槽，尺寸为约L600×W84×H10mm，可接木屑且可取出，方便幼儿清洁桌面垃圾；两侧支板各开两个工具槽和两排共6个圆形孔洞，工具槽尺寸为W240×H36mm，圆形孔洞直径为16.5mm；本产品共配置12个球头挂杆及12个S形铁钩，可插入圆形孔洞，用于悬挂物品</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4、桌面下设层板，尺寸为L754×W283mm，板底离地高度为101mm，大储存空间，可按需放置各种规格收纳盒</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实木长条板凳：尺寸：90×30×40（cm）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采用约3.5cm厚松，天然环保</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新款大号展示架：尺寸：83.6×41×190cm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1、侧板采用约15mm枫木纹双贴面胶合板，饰面胶合板甲醛释放量符合GB/T 39600-2021标准要求，甲醛释放量≤0.025mg/m³，符合Enf级；木蜡油封边，成膜牢固，搅拌后均匀无硬块，细度、干燥时间、贮存稳定性、涂膜外观、光泽、硬度、附着力、耐干热性、耐水性、耐碱性、耐醇性、耐污染性（醋、茶）、挥发性有机化合物(VOC)含量、苯含量、甲苯二甲苯乙苯含量总和、卤代烃含量、可溶性重金属（铅、镉、铬、汞）含量符合GB/T 27811-2011标准要求</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2、底板、竖板、层板采约用16mm厚枫木纹双贴面刨花板，饰面刨花板甲醛释放量符合GB/T 39600-2021标准要求，甲醛释放量≤0.025mg/m³，符合Enf级；PVC封边条封边，表面光滑无污点，花纹清晰均匀，色泽均匀无色差，转角过渡自然，耐干热性、耐磨性、耐开裂性、耐老化性、耐冷热循环性、耐光色牢度、甲醛释放量、氯乙烯单体、可迁移元素（铅、镉、铬、汞、砷、钡、锑、硒）含量、邻苯二甲酸酯总量、多溴联苯(PBB)、多溴联苯醚(PBDE)等符合</w:t>
            </w:r>
            <w:r>
              <w:rPr>
                <w:rFonts w:hint="eastAsia" w:ascii="宋体" w:hAnsi="宋体" w:cs="宋体"/>
                <w:i w:val="0"/>
                <w:iCs w:val="0"/>
                <w:color w:val="auto"/>
                <w:sz w:val="20"/>
                <w:szCs w:val="20"/>
                <w:highlight w:val="none"/>
                <w:u w:val="none"/>
                <w:lang w:val="en-US" w:eastAsia="zh-CN" w:bidi="ar"/>
              </w:rPr>
              <w:t xml:space="preserve">QB/T 4463-2025</w:t>
            </w:r>
            <w:r>
              <w:rPr>
                <w:rFonts w:hint="eastAsia" w:ascii="宋体" w:hAnsi="宋体" w:eastAsia="宋体" w:cs="宋体"/>
                <w:i w:val="0"/>
                <w:iCs w:val="0"/>
                <w:color w:val="auto"/>
                <w:sz w:val="20"/>
                <w:szCs w:val="20"/>
                <w:highlight w:val="none"/>
                <w:u w:val="none"/>
                <w:lang w:val="en-US" w:eastAsia="zh-CN" w:bidi="ar"/>
              </w:rPr>
              <w:t xml:space="preserve">标准要求</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3、五金件选用环保五金，镉、铅、汞、六价铬含量符合GB/T 26572-2011标准要求</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4、本产品上部分为3层开放式置物架，下部分为3层教具盒柜，搭配透明PC教具盒，教具盒尺寸为26×35×10cm木棒采用直径约27×800mm的桦木实木</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展示架1.2米：尺寸：83.6×41×130cm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1、侧板采用约15mm枫木纹双贴面胶合板，饰面胶合板甲醛释放量符合GB/T 39600-2021标准要求，甲醛释放量≤0.025mg/m³，符合Enf级；木蜡油封边，成膜牢固，搅拌后均匀无硬块，细度、干燥时间、贮存稳定性、涂膜外观、光泽、硬度、附着力、耐干热性、耐水性、耐碱性、耐醇性、耐污染性（醋、茶）、挥发性有机化合物(VOC)含量、苯含量、甲苯二甲苯乙苯含量总和、卤代烃含量、可溶性重金属（铅、镉、铬、汞）含量符合GB/T 27811-2011标准要求</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2、其他板材采用约16mm厚枫木纹双贴面刨花板，饰面刨花板甲醛释放量符合GB/T 39600-2021标准要求，甲醛释放量≤0.025mg/m³，符合Enf级；PVC封边条封边，表面光滑无污点，花纹清晰均匀，色泽均匀无色差，转角过渡自然，耐干热性、耐磨性、耐开裂性、耐老化性、耐冷热循环性、耐光色牢度、甲醛释放量、氯乙烯单体、可迁移元素（铅、镉、铬、汞、砷、钡、锑、硒）含量、邻苯二甲酸酯总量、多溴联苯(PBB)、多溴联苯醚(PBDE)等符合</w:t>
            </w:r>
            <w:r>
              <w:rPr>
                <w:rFonts w:hint="eastAsia" w:ascii="宋体" w:hAnsi="宋体" w:cs="宋体"/>
                <w:i w:val="0"/>
                <w:iCs w:val="0"/>
                <w:color w:val="auto"/>
                <w:sz w:val="20"/>
                <w:szCs w:val="20"/>
                <w:highlight w:val="none"/>
                <w:u w:val="none"/>
                <w:lang w:val="en-US" w:eastAsia="zh-CN" w:bidi="ar"/>
              </w:rPr>
              <w:t xml:space="preserve">QB/T 4463-2025</w:t>
            </w:r>
            <w:r>
              <w:rPr>
                <w:rFonts w:hint="eastAsia" w:ascii="宋体" w:hAnsi="宋体" w:eastAsia="宋体" w:cs="宋体"/>
                <w:i w:val="0"/>
                <w:iCs w:val="0"/>
                <w:color w:val="auto"/>
                <w:sz w:val="20"/>
                <w:szCs w:val="20"/>
                <w:highlight w:val="none"/>
                <w:u w:val="none"/>
                <w:lang w:val="en-US" w:eastAsia="zh-CN" w:bidi="ar"/>
              </w:rPr>
              <w:t xml:space="preserve">标准要求</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3、五金件选用环保五金，镉、铅、汞、六价铬含量符合GB/T 26572-2011标准要求</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4、开放式4层收纳架</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机床：可单独组装钻床、锯床、磨轮、车床</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钻床：台面尺寸：90×90mm  远程桌面-主轴：0-36mm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锯床、磨轮：对于胶合板的厚度为6mm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表的大小：90×90mm  行程率：3.700分</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磁盘速度：3.700转   磁盘ø：32mm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车床：嫩枝直径达30mm   中心距：130mm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摆在床上：36mm</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机床润滑油：低噪音润滑油，200ml/罐，成分：锂皂基，产品粘度：3#，适用温度：-20到130度</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手钻：20×5.7×21,儿童专用手枪钻,7.2DC伏特低电压，0-500转/分钟，卡盘加紧尺寸为0.8mm-8mm，充电时长3-5小时，配备钻头2枚，3.5MM钻头一枚</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大童工具10件套：十件套，儿童专用定制46×6.8×36.5cm</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手套：11.8×1.5×19.5cm环保猪皮手套</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眼罩：PC镜框和PVC透明镜片组成</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白色修补胶：13×4.3×5.5cm</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12件套装雕刻刀：19.5×2.5共有12款不同刀头</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小锯套装：41.5×18.1×2.1cm</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U型锯：19×10.9×2.4cm含备用锯条</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迷你老虎钳：360度旋转微型台钳 铝合金材质轻巧方便</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木工刨子：21.1×14×18一套四款</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锤子：15cm×2cm</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卷尺：5米</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十字批：十字批</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一字批：一字批</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调色盘、画笔组合、颜料：丙烯颜料,含调色盘,小毛笔套装丙烯颜料,儿童专用环保颜料</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材料包1：18.3×18.3×2mm厚夹板,分23款不同图案,一包50张板材</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材料包2（无丝印：18.3×18.3×2mm厚夹板,无图案空白板材,可任意发挥绘画,一包50张板材</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材料包3（23款小配件）：18.3×18.3mm；里面包括23款材料</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材料包4（树枝圆片）：含4包原木片和6捆树枝</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大车床圆棒荷木：直径：3cm 长：10cm荷木</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一横切面中心点打孔直径:3mm,深:7mm</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伐木小车：彩盒包装、松、最高等级纯原塑料14×6.6×5.6cm</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颜料架：314×192×120mm</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笔架：200×200×80mm</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木工箱：34.5×28×25cm，共四层，表层可收纳螺丝钉子等小材料，下三层为抽屉式，木式轨道经久耐用</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插孔挂板：底板尺寸：120×80 配120粒木塞，可挂于墙上</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功能隔板：底板尺寸：120×80 五块隔板可挂工具，可挂于墙上</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挂钩：60×5.8×1.8cm原木制成，五个金属挂钩</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九宫盒：40×28×0.7外框由榉木制作而成，内框为卡槽夹板</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融合教室：</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手功能及思维训练组合箱：1、 组合箱分三层，中间层为固定的亚克力板，亚克力板均匀分布24个磁力孔</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2、组合箱尺寸30×20×4cm；材料为亚克力、实木夹板、和金属磁板</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3、手功能及思维训练组合箱由三层组成：（1）表面为透明亚克力材料，厚度约2mm；（2）中间层为亚克力板，均匀分布24个磁力孔；（3）底层为任务卡区域，任务卡尺寸25×15cm；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4、配有磁力笔1支，可将金属磁板吸入相应的亚克力24个磁力孔中5、配置任务卡数量不少于120张；尺寸23×12cm，任务卡排版中有磁力孔</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5、任务卡包含以下模式：（1）人物职业与对应物品模式；（2）动物与对应食物模模式；（3）找线条模式；（4）物品与关联模式；（5）形状配对模式；（6）影子配对模块；（7）物品补缺模式；（8）分类模式；（9）空间位置配对模式；（10）轻重选择配对模式</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髋关节旋转训练器：通过足的画圈运动，改善髋关节的旋转功能，用于髋关节活动受限的患者124×92×53cm，扶手高度调节范围，90～135cm</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PT训练床：用于PT训练患者床上活动 190×126×48cm, 床面高度48cm；</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平衡板（带扶手）：92×72×24cm，面板摆动角度-13°～+13°，额定载荷135kg，功能：偏瘫、脑瘫等运动失调患者进行平衡、协调训练</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组合皮软垫：适用于各种垫上运动，包括关节活动度、座位平衡、卧位医疗体操及卧位肌力训练，182×122×5cm</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儿童滚筒：尺寸：￠22×80cm，功能：训练上肢功能</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听力言语训练设备：一、辅助沟通模块：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1、沟通符号分为人物类、日常动作、实物、意见表达、情绪状态、玩具活动、地垫、衣物穿戴、日常用品、交通工具、天气、身体器官等20个大类，700个核心沟通词汇</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2、组句栏可以扩充到18个词汇，一次性发声沟通词汇18个词汇</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3、辅助沟通界面的背景为彩色，便于学生视觉区域归类</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二、噪声检测模块：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1、环境噪声监测：一键进行环境噪声监测得出分贝，并自动判别出检测噪声的类似环境</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2、系统可以建构出20种不同的噪声播放环境，满足学生的学习需求</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三、听觉感知功能模块：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1、在异同分辨、响度感知、时长感知、节拍感知、音高感知、旋律感知和空间感知模块的训练前，可以进行训练的噪声背景设置，噪声强度设置：无、弱、中和强四种模式选择</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在异同分辨、响度感知、时长感知、节拍感知、音高感知、旋律感知和空间感知模块的训练前，可以进行训练的噪声背景设置，噪声类型设置：白噪声、音乐噪声、人声噪声、街道噪声、校园噪声和风噪声六种模式选择</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四、语音识别训练模式：</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1、在韵母识别、声母识别、声调识别和词语识别模块中，可以进行训练的噪声背景设置，噪声强度设置：无、弱、中和强四种模式选择</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2、在韵母识别、声母识别、声调识别和词语识别模块中，可以进行训练的噪声背景设置，噪声类型设置：白噪声、音乐噪声、人声噪声、街道噪声、校园噪声和风噪声六种模式选择</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感知测试和语音测试模式：1、在感知测试和语音识别测试模块的训练前，可以建构模拟16种组合噪声类型的场景到语音播放中</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五、构音训练模块：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1、构音训练模块包含：构音一阶（y/w）、构音二阶（b/m/d/h）、构音三阶(p/t/g/k/n)、构音四阶(f/j/q/×)、构音五阶(L/z/s/r)和构音六阶(c/zh/ch/sh)，训练形式包含单字、词语和句子</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2、构音训练模块中单字训练，每次都会在题库中随机抽出10个汉字进行学习，单字训练内容包含y/w/b/m/d/h/p/t/g/k/n/f/j/q/×/L/z/s/r/c/zh/ch/sh，每个单字训练内容都有专业老师的针对该内容的讲解视频，并演示训练方法</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3、构音训练模块中的单字和词语都有口型对比视频</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六、激发反馈模块：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1、激发反馈模块有</w:t>
            </w:r>
            <w:r>
              <w:rPr>
                <w:rFonts w:hint="eastAsia" w:ascii="宋体" w:hAnsi="宋体" w:eastAsia="宋体" w:cs="宋体"/>
                <w:i w:val="0"/>
                <w:iCs w:val="0"/>
                <w:color w:val="auto"/>
                <w:sz w:val="20"/>
                <w:szCs w:val="20"/>
                <w:highlight w:val="none"/>
                <w:u w:val="none"/>
                <w:lang w:val="en-US" w:eastAsia="zh-CN" w:bidi="ar"/>
              </w:rPr>
              <w:t xml:space="preserve">低阶和高阶的内容，低阶内容包含：胡萝卜、梨、排骨、柠檬、猴子、猫、面包、火龙果、蜜蜂、牛、一、姨、已、亿、鸡、及、挤、继、咪、迷、米、秘、失、时、使、是、出、厨、楚、处、哥、隔、葛、各、沙、啥、傻、煞、磕、咳、可、克、书、熟、鼠、树、呲、辞、此、次、泼、婆、叵、迫、失、时、使、是、猪、竹、主、住、撸、卢、卤、录、须、徐、许、旭、逼、鼻、笔、必、批、皮、匹、屁高阶内容包含：吉他、零、彩、直升飞机、九、书包、小鸡、手提包、夹克、手表、梯形、海豚、螃蟹、球鞋、背包、跟、哏、艮、茛、掰、白、百、败、优、游、友、右、</w:t>
            </w:r>
            <w:r>
              <w:rPr>
                <w:rFonts w:hint="eastAsia" w:ascii="宋体" w:hAnsi="宋体" w:eastAsia="宋体" w:cs="宋体"/>
                <w:i w:val="0"/>
                <w:iCs w:val="0"/>
                <w:color w:val="auto"/>
                <w:sz w:val="20"/>
                <w:szCs w:val="20"/>
                <w:highlight w:val="none"/>
                <w:u w:val="none"/>
                <w:lang w:val="en-US" w:eastAsia="zh-CN" w:bidi="ar"/>
              </w:rPr>
              <w:t xml:space="preserve">虽、随、髓、岁、灰、回、悔、慧、轻、情、请、庆、分、坟、粉、粪、靴、学、雪、穴、音、银、饮、印、餐、残、惨、残、穿、船、喘、串、砰、鹏、捧、碰、喵、苗、秒、庙、妞、牛、扭、拗、接、杰、姐、借、 憨、韩、喊、汗、拈、粘、碾、念、糟、凿、枣、皂、深、神、沈、肾、包、薄、宝、豹、齁、猴、吼、厚、凹、熬、袄、澳、秧、羊、养、样、捞、劳、老、酪、方、房、仿、放、晕、云、允、运、飞、肥、匪、费、汪、王、往、忘、挑、条、挑、跳、招、着、找、照、嗨、还、海、害、嚷、瓤、壤、让、星、行、醒、兴、嘬、昨、左、坐、风、逢、讽、凤</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激发反馈模块预录制了标准化的训练内容音频，并与音频同步呈现音量和音调的动画视频，用户也可自主录制音频，录制音频的音调和音量可以用动画的形式呈现波形图，并自动匹配标准化的音调和音量动画，越接近得分越高，同时给出得分，使语训可视化</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七、硬件参数</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1、外型尺寸32×26×12cm±3%，外壳为ABS材料，可以防摔</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2、内置5600mAh电池</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3、电源按钮和音量按钮嵌入到外壳中，便于操作和防摔</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4、存储：32GB+云存储，可音视频播放及存储</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5、硬件内置双通道100dB高保真扬声器，出音口面向使用者方向，保障音频输出的</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6、硬件内置双麦克风列阵，保障高清录制语音</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7、振动试验要求：按照《GB/T 14727-2008  无线传输式聋儿听力言语训练设备通用技术条件》标准检测，将带有包装盒的设备紧固在振动台上，在频率20Hz、加速度3g、振幅为1.875mm的条件下，垂直、水平、侧向各振动10min，试验后在测试条件下其结构、性能均符合要求，各种功能应正常并符合初始测试要求</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8、外观结构要求：按照《GB/T 14727-2008  无线传输式聋儿听力言语训练设备通用技术条件》标准检测，文字、符号或标记应清晰、正确，产品表面无毛刺、飞边凹陷和划痕的缺陷</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拓展型--显示屏式电子沟通板：1.主界面由42个核心词汇构成，可自由组合词组、句子，并在播放栏进行播放</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2.可自由设置行×列的方式，行和列可从1扩展到12</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 系统包含4000份的沟通词汇，用户可完成替代性沟通</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4.沟通模板、背景、格子的颜色都可以进行自由设定</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5.版面排列可自由设置，可自主调整</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6.可进行模板的超链接的功能</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7. 可进行文字、语音速度、播放栏的设定</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系统硬件组成：</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 4核处理器；9.7寸屏幕；32GB；</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过河石：感统体能训练，过河石11件</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训练浪桥：1、A字架：长约190cm； 宽约170cm； 高约110cm，不锈钢材质，钢管直径约3cm，挂件钢管厚度：1.5mm，其他钢管厚度：1mm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2、吊缆：长度：160cm, 中间宽度：60cm；帆布+木质</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3、横抱筒：直径：18cm长度：58cm，外层PU革、内填充密度海绵，接口处配有拉链</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4、竖抱筒：直径：18cm长度：56cm，外层PU革、内填充密度海绵，接口处配有拉链</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5、可靠稳定性要求：在设备主架结构中间部分施加约200N±2%水平拉力或推力，设备不产生位移，符合相应的国家标准</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万象组合套装：1、半砖：高级塑胶PP/PE/ABS，数量12个</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2、全砖：高级塑胶PP/PE/ABS，数量8个</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3、平衡桥：高级塑胶PP/PE/ABS，数量4个</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4、体能环：高级塑胶PP/PE/ABS,直径35cm，数量：4个</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5、体能环：高级塑胶PP/PE/ABS，直径59cm，数量：4个</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6、体能棒：高级塑胶PP/PE/ABS，长35cm，数量：16根</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7、体能棒：高级塑胶PP/PE/ABS，长70cm，数量：8根</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8、棒夹：高级塑胶PP/PE/ABS，数量：12个</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9、环夹：高级塑胶PP/PE/ABS，数量：12个</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10、豆袋：布制+塑料粒子、数量：10个</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高跷组合：1、带踩压形状的塑料底座，合成橡胶的手柄由4个塑料部分制成</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2.尺寸：260×160×700mm；材料：PP 塑料, TPE合成橡胶</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3、静载强度要求：承载力2000±2%N并保持5分钟，静载试验后，不应有任何裂纹、破损等，符合相应的国家标准</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平衡触觉板：1、由塑料横杆组成的步道，8片曲线+8片直线,4个墩触觉板组合的步数.触点提供神经刺激讯号.加强儿童触觉学习,亦可与组合系列配合,做平衡动作训练</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2、产品规格；49长×13.5宽×8高</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刷身刷：进行触觉训练；包括2个刷身刷</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摇晃岛：1、可以设计有趣和挑战性的平衡训练，锻炼学生的平衡、本体感觉底部盘是处于活动的，需要学生专注在保持平衡，同时进行平衡游戏；底部的圆盘由2个硬的塑料部件，中间是厚的而且可以活动的橡胶链子连接，随着学生的重心改变而移动；货物尺寸：直径210mm、高度160m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2、活动部件间的间隙：应可插入直径约12mm的圆杆，符合相应的国家标准</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踩踏石：1、适合于训练小朋友的协调能力和感觉统合能力以及逻辑思维能力，以及培养儿童判断距离的能力可设计多种情景进行游戏防滑塑胶设计,确保安全</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2、规格：ø15cm，H7cm  承重100kg，3对/套</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悬浮板：1、可以提供不同的排列组合方式，为学生提供无限的乐趣，在游戏的过程中进行平衡训练可以全面培养学生的大肢体动作，有趣和安全的设计鼓励学生多进行锻炼表面为可接触性环保塑料，主材为塑料及钢材；接触面直径约32cm,高度约10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2、密封性能要求：将球体置于水下100mm处，气泡产生间隔大于1分钟，符合相应的国家标准</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3、气压下降率要求：施压约500N±1%,放置8小时，卸载后气压下降率应不大于15%，符合相应的国家标准</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船体套件：1、学生可以在曲型中使用各种方式进行训练，如凹面触觉板和独木桥触觉板等，还可以提供不同的排列组合方式，为学生提供无限的乐趣，在游戏的过程中进行触觉训练适合各种不能年龄段的学生进行康复训练；表面为可接触性环保塑料，主材为塑料及钢材；尺寸500×170×89m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2、机械性强度要求：主要受力位置施加静载荷2000N±2%并保持5分钟，卸载后无任何裂痕和破损，符合相应的国家标准</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滑板：1、应用于学生进行平衡、重心移动及本体感统刺激，同时具有防滑设计，可以进行全方位旋转训练</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2、表面为可接触性环保塑料和尼龙，带有弧形；防滑性：表面具有防滑纹 ，尺寸480×150×72mm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3、地面具有8个轮；两侧个4个轮子均匀分布在圆周上</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4、机械性强度要求：主要受力位置施加静载荷2000N±2%并保持5分钟，卸载后无任何裂痕和破损，符合相应的国家标准</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跳袋：材料色彩鲜艳仿皮布袋，仿皮布袋；锻炼孩子的平衡及本体觉能力尺寸：30×60cm</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卡片式电子沟通板：1、适用人群：用于儿童自闭症人群、智力障碍人群、发育迟缓人群等语言沟通交流障碍的功能障碍者</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2、录音：用户可自选卡片进行录音，所录声音不随电池用尽或关机而消失再次录音会覆盖该位置原有储存，本机储存芯片总录音时长为16分钟（4层页面设计）</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3、模式：共分为四种模式，模式一：12键模式，模式二：4键模式，模式三：2键模式，模式四：1键模式</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4、沟通卡：配置50张沟通卡片，插入卡片即可使用</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5、页面所在层设置：根据不同学生的需求我们可以设置录音和放音的所在层，页面上指示灯1/2/3/4分别对应4层页面</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6、沟通图库：配置沟通图库优盘，专业的图库数量2000份，便于老师制作个性化的沟通卡</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7、特殊开关模式：本机可使用3.5mm标准插头的特殊开关，按压特殊开关进行沟通，为肢体不便人士提供便利</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8、巡检成句模式：插好特殊开关，按特殊按钮，进入巡检成句模式，本机开始顺序播报，播报过程中，根据听到的想要表达的声音播报按压特殊开关，全部播报完毕后，本机按照使用者所选（特殊按钮选择位置顺序）组成整句，再次播报</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9、本沟通板可外接耳机或功放，以适用不同障碍人士要求使用</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配置：沟通板一台：沟通板面9.6英寸；沟通卡50张；特殊开关一台</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10、用户界面要求：按照《GB∕T 28922-2012 残疾人辅助器具日常生活的环境控制系统》标准检测，环境控制系统应满足特定用户指令的功能要求，所用方式应满足感觉、认知障碍者的需求</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11、输入要求：按照《GB∕T 28922-2012 残疾人辅助器具日常生活的环境控制系统》标准检测，在使用说明书中指出按键或开关的灵敏区域，及指示区域内触发按键和（或）开关的力的大小</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阳光隧道组合：1、布料采用加密涤塔夫+网布，钢丝从两层涤塔夫中间穿过，加厚设计，不用担心宝宝会被钢丝割到，充分锻炼孩子的攀爬能力天窗的设计，让老师们能看清幼儿情况</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2、该产品能够有效的刺激前庭平衡感适合于动作不协调，注意力不集中，平衡感差，容易跌倒的儿童</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3、钢丝+涤纶布；48×72cm（6通）</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独脚凳：1、进行感觉统合训练能促进大脑功能的发展和成熟，提高孩子的学习技能和体能</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2、材质：木质（椅面有一定柔软度，保护保护孩子脊柱）</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彩色球：1、环保塑料，直径约40cm，内置彩色球，可以发出响声</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2、密封性能要求：将球体置于水下100mm处，气泡产生间隔大于1分钟</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3、气压下降率要求：施压约500N±1%,放置8小时，卸载后气压下降率应不大于15%</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光面大笼球：1、材质：环保塑料</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2、负载：最大可承受100kg</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3、内容及尺寸：直径约52cm球一个；颜色：蓝色、红色、黄色不等</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羊角球：1、可进行下肢力度训练，也可以进行本体觉训练</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2、材质：环保塑料</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认知学习板：认知学习板训练学生的手眼协调、形状认知、事物认知、精细动作</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1、由英文大写字母和数字组成的双面钢珠写字板，两个面板上都有钢珠排布的图案</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2、磁性板标有笔画顺序，帮助学生用有趣的方式学字认字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3、数字板带有自主练习区，不少于32行6列共256颗钢珠组成</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4、写字板约30×23cm</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感知训练器：产品功能：1.训练学生手眼协调能力</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1、训练学生对手指力量的控制度</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2、训练学生手指灵活度</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延长学生专注力时间</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3、木质板面长：52cm，宽19cm，厚1.5cm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4、杯子数量12个</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5、弹射器：2个，弹力球：1个</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彩虹型--显示屏式电子沟通板：1、彩虹型--电子沟通板采用文字、符号、图形等视觉信息和声音相结合的形式，能够发出与视觉信息内容相对应的声音，辅助言语障碍者交流信息或训练沟通能力的电子辅助器具</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2、沟通模板可自由设定，最多可设置10种模式</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3、播放方式分为组合朗读和直接朗读，可满足不同沟通障碍者的需求</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4、系统自带数据库，共有23种类词汇，含530个核心词汇</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5、可进行版面之间的超链接功能，可极大扩充词汇内容</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6、系统自带各类沟通模板，共500张，便于用户使用；沟通素材可自主编辑录制及选用</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7、硬件：四核，16GB储存空间，8寸屏幕尺寸</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8、设计要求：按照《GB∕T 28922-2012 残疾人辅助器具日常生活的环境控制系统》标准检测，设备应能清楚识别设备是否处于编程模式，设备的设计应适其在断电情况下功能设置不遭到破坏</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团队协力板/4人：1、用于学生下肢平衡以及身体协调能力训练同时可进行团队训练，锻炼团体的凝聚力等</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2、环保塑料：39.5×12.5×2.5cm</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奥尔夫乐器：1、以节奏乐器为主，材质要求环保、无毒，分四类，皮革类：所有的鼓类</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2、2、原木铃鼓6寸、原木木鱼、单响筒、13摇铃、早午板、沙蛋、响板、三角铁、沙锤、打棒、带柄碰铃、双响筒、环保铃各6个</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3、产品设计合理，能够满足特殊教育随班就读学生的实际需求并保证学生使用安全</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咨询沙发：单人布艺一套；双人布艺沙发一套</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咨询配套茶几：实木茶几：圆形茶几，直径60cm</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早期行为干预卡片：1、早期行为干预卡片分为学会聆听、学会发声、情感体验、礼貌用语、文明行为、社会交往、换位思考、学会分享等9个篇章，可通过示范教学、情景模仿、角色扮演、正面强化、行为矫正等多种训练形式，引导教育和综合培养特殊需要儿童的行为素质</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2、每个主题均呈现为连续性卡片，将日常生活中经常发生的行为按事件先后顺序呈现给儿童，分步进行行为指导和干预</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3、每张卡片正面右上角均有该主题的图标，有助于儿童对每个主题的区分，并在排序卡片时给予提示主题卡片中含有正确行为与错误行为，可让儿童对正确行为与错误行为进行区分，以强化正确行为</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4、早期行为干预卡片适用于智力障碍、认知障碍、精神发育迟滞、孤独症谱系障碍、品行障碍、多动症等特殊儿童的早期行为干预本套卡片包括学会聆听、学会发声、情感体验、社会交往、乐于合作、礼貌用语、文明行为、换位思考和学会分享九个篇章，每个篇章均包含1-2个单元主题，并配套有使用说明手册</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0-3托幼教室：</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组合玩具柜：1.尺寸：4700*30*145mm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2.材质：橡木拼接板</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3.板子厚度：18mm</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keepLines w:val="0"/>
              <w:keepNext w:val="0"/>
              <w:widowControl/>
              <w:rPr>
                <w:rFonts w:hint="default" w:ascii="宋体" w:hAnsi="宋体" w:eastAsia="宋体" w:cs="宋体"/>
                <w:i w:val="0"/>
                <w:iCs w:val="0"/>
                <w:color w:val="auto"/>
                <w:sz w:val="20"/>
                <w:szCs w:val="20"/>
                <w:highlight w:val="none"/>
                <w:u w:val="none"/>
                <w:lang w:val="en-US"/>
              </w:rPr>
              <w:suppressLineNumbers w:val="0"/>
            </w:pPr>
            <w:r>
              <w:rPr>
                <w:rFonts w:hint="default" w:ascii="宋体" w:hAnsi="宋体" w:eastAsia="宋体" w:cs="宋体"/>
                <w:i w:val="0"/>
                <w:iCs w:val="0"/>
                <w:color w:val="auto"/>
                <w:sz w:val="20"/>
                <w:szCs w:val="20"/>
                <w:highlight w:val="none"/>
                <w:u w:val="none"/>
                <w:lang w:val="en-US"/>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幼儿沙发：1、92×45×45.9cm，面料：</w:t>
            </w:r>
            <w:r>
              <w:rPr>
                <w:rFonts w:hint="eastAsia" w:ascii="宋体" w:hAnsi="宋体" w:cs="宋体"/>
                <w:i w:val="0"/>
                <w:iCs w:val="0"/>
                <w:color w:val="auto"/>
                <w:sz w:val="20"/>
                <w:szCs w:val="20"/>
                <w:highlight w:val="none"/>
                <w:u w:val="none"/>
                <w:lang w:val="en-US" w:eastAsia="zh-CN" w:bidi="ar"/>
              </w:rPr>
              <w:t xml:space="preserve">皮料</w:t>
            </w:r>
            <w:r>
              <w:rPr>
                <w:rFonts w:hint="eastAsia" w:ascii="宋体" w:hAnsi="宋体" w:eastAsia="宋体" w:cs="宋体"/>
                <w:i w:val="0"/>
                <w:iCs w:val="0"/>
                <w:color w:val="auto"/>
                <w:sz w:val="20"/>
                <w:szCs w:val="20"/>
                <w:highlight w:val="none"/>
                <w:u w:val="none"/>
                <w:lang w:val="en-US" w:eastAsia="zh-CN" w:bidi="ar"/>
              </w:rPr>
              <w:t xml:space="preserve">，经防虫、防腐、分层、鞣制等数十道工序处理。</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木蜡油封边，搅拌后均匀无硬块，细度、干燥时间、贮存稳定性、涂膜外观、光泽、硬度、附着力、耐干热性、耐水性、耐碱性、耐醇性、耐污染性（醋、茶）、挥发性有机化合物(VOC)含量、苯含量、甲苯二甲苯乙苯含量总和、卤代烃含量、可溶性重金属（铅、镉、铬、汞）含量符合GB/T 27811-2011标准要求。    </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3、五金件选用环保五金，稳固不松动，镉、铅、汞、六价铬含量符合GB/T 26572-2011标准要求。     </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4、软垫采用环保耐磨PVC阻燃透气皮包覆，触感轻柔，绿色环保，耐磨耐用，皮革中P值、甲醛、可裂解出致癌芳香胺的偶氮染料、耐水色牢度、耐干摩擦色牢度度、无异味等各项指标均符合QB/T 4045-2010</w:t>
            </w:r>
            <w:r>
              <w:rPr>
                <w:rFonts w:hint="eastAsia" w:ascii="宋体" w:hAnsi="宋体" w:cs="宋体"/>
                <w:i w:val="0"/>
                <w:iCs w:val="0"/>
                <w:color w:val="auto"/>
                <w:sz w:val="20"/>
                <w:szCs w:val="20"/>
                <w:highlight w:val="none"/>
                <w:u w:val="none"/>
                <w:lang w:val="en-US" w:eastAsia="zh-CN" w:bidi="ar"/>
              </w:rPr>
              <w:t xml:space="preserve">标准规范</w:t>
            </w:r>
            <w:r>
              <w:rPr>
                <w:rFonts w:hint="eastAsia" w:ascii="宋体" w:hAnsi="宋体" w:eastAsia="宋体" w:cs="宋体"/>
                <w:i w:val="0"/>
                <w:iCs w:val="0"/>
                <w:color w:val="auto"/>
                <w:sz w:val="20"/>
                <w:szCs w:val="20"/>
                <w:highlight w:val="none"/>
                <w:u w:val="none"/>
                <w:lang w:val="en-US" w:eastAsia="zh-CN" w:bidi="ar"/>
              </w:rPr>
              <w:t xml:space="preserve">的要求。</w:t>
            </w:r>
            <w:r/>
          </w:p>
          <w:p>
            <w:pPr>
              <w:numPr>
                <w:ilvl w:val="0"/>
                <w:numId w:val="3"/>
              </w:numPr>
              <w:ind w:left="0" w:firstLine="0"/>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甲醛含量：达到国家E0级环保标准甲醛含量≤9mg/100g</w:t>
            </w:r>
            <w:r/>
          </w:p>
          <w:p>
            <w:pPr>
              <w:numPr>
                <w:ilvl w:val="0"/>
                <w:numId w:val="0"/>
              </w:numPr>
              <w:jc w:val="left"/>
              <w:keepLines w:val="0"/>
              <w:keepNext w:val="0"/>
              <w:widowControl/>
              <w:rPr>
                <w:rFonts w:hint="eastAsia"/>
                <w:highlight w:val="none"/>
              </w:rPr>
              <w:suppressLineNumbers w:val="0"/>
            </w:pPr>
            <w:r>
              <w:rPr>
                <w:rFonts w:hint="eastAsia" w:ascii="宋体" w:hAnsi="宋体" w:cs="宋体"/>
                <w:i w:val="0"/>
                <w:iCs w:val="0"/>
                <w:color w:val="auto"/>
                <w:sz w:val="20"/>
                <w:szCs w:val="20"/>
                <w:highlight w:val="none"/>
                <w:u w:val="none"/>
                <w:lang w:val="en-US" w:eastAsia="zh-CN" w:bidi="ar"/>
              </w:rPr>
              <w:t xml:space="preserve">6、</w:t>
            </w:r>
            <w:r>
              <w:rPr>
                <w:rFonts w:hint="eastAsia" w:ascii="宋体" w:hAnsi="宋体" w:eastAsia="宋体" w:cs="宋体"/>
                <w:i w:val="0"/>
                <w:iCs w:val="0"/>
                <w:color w:val="auto"/>
                <w:sz w:val="20"/>
                <w:szCs w:val="20"/>
                <w:highlight w:val="none"/>
                <w:lang w:val="en-US" w:eastAsia="zh-CN" w:bidi="ar"/>
              </w:rPr>
              <w:t xml:space="preserve">幼儿沙发填充高回弹海绵，韧性、缓冲回弹性能良好；海绵填充物危险杂质、含杂率、有害物质污染物、燃烧性能、异味、微生物卫生指标均执行 GB/T 30400-2013</w:t>
            </w:r>
            <w:r>
              <w:rPr>
                <w:rFonts w:hint="eastAsia" w:ascii="宋体" w:hAnsi="宋体" w:cs="宋体"/>
                <w:i w:val="0"/>
                <w:iCs w:val="0"/>
                <w:color w:val="auto"/>
                <w:sz w:val="20"/>
                <w:szCs w:val="20"/>
                <w:highlight w:val="none"/>
                <w:lang w:val="en-US" w:eastAsia="zh-CN" w:bidi="ar"/>
              </w:rPr>
              <w:t xml:space="preserve">标准。</w:t>
            </w:r>
            <w:r/>
          </w:p>
        </w:tc>
        <w:tc>
          <w:tcPr>
            <w:tcW w:w="2145" w:type="dxa"/>
            <w:vAlign w:val="center"/>
            <w:textDirection w:val="lrTb"/>
            <w:noWrap w:val="false"/>
          </w:tcPr>
          <w:p>
            <w:pPr>
              <w:numPr>
                <w:ilvl w:val="0"/>
                <w:numId w:val="0"/>
              </w:numPr>
              <w:jc w:val="left"/>
              <w:keepLines w:val="0"/>
              <w:keepNext w:val="0"/>
              <w:widowControl/>
              <w:rPr>
                <w:rFonts w:hint="eastAsia"/>
                <w:color w:val="auto"/>
                <w:highlight w:val="none"/>
                <w:lang w:val="en-US" w:eastAsia="zh-CN"/>
              </w:rPr>
              <w:suppressLineNumbers w:val="0"/>
            </w:pPr>
            <w:r>
              <w:rPr>
                <w:rFonts w:hint="eastAsia"/>
                <w:color w:val="auto"/>
                <w:highlight w:val="none"/>
                <w:lang w:val="en-US" w:eastAsia="zh-CN"/>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爬爬垫：材质：XPE</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尺寸：宽1800mm长50000mm厚25mm</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各式玩具（海洋球、推推车等等）：80mm海洋球200个，包含海绵软体围挡2.64*1.92m，730*300*330mm独轮小推车1辆，900*850*550mm推推车1辆，1950*1000*1050mm精灵钻洞1套，1000*400*1100mm人形墙1套，5930*200*200平衡独木桥1个</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玩具收纳室：</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器材架：全部采用冷轧钢</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美观大方、结构牢固、规格多样</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表面处理采用乳化剂和碱性助洗脱脂，磷酸除锈，钝化最后粉末喷涂，装饰防护性能好，附着力强</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1800*500*2000mm</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档案室：</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资料架：(1)采用鞍钢冷轧钢板具有抗腐蚀、抗冲击、抗老化、耐磨、经除油，除锈，酸洗，磷化，钝化等工序后模压成型；</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(2)静电喷涂，钢材使用马钢或者武钢，钢材经过酸洗磷化防锈去污处理，静电喷粉烤漆面；</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(3)850*390*1800</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小中大班桌面玩具、益智区、角色区材料：</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（一）益智区（小班）：</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多彩串珠：材质：桦木、禾木；包装尺寸：约13.1×13.1×18.3cm；产品尺寸：串珠约2.2cm内含：内含正方体36件、球形36件、圆柱体36件、绳子6件丰富多样的串珠，可以按颜色进行分类，可以进行计数，学习加减法等游戏，还可以创建各种图案，提高创意能力不仅如此，幼儿还可以通过串珠，锻炼小手精细动作，促进专注力的提高</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（二）建构区（小班）：</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ABS颗粒积木：材质：塑料（ABS）；包装尺寸：约26×23.3×19.3cm；产品尺寸：底板约12.7×12.7×1.4cm，最小约3.2×3.2×2.4cm内含：积木×103由5种不同配件及6种颜色组成，可进行分类、颜色、排序、计数等游戏，还可以搭建各种各样造型</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轮子水管：材质：塑料（ABS）；包装尺寸：约26×23×19cm；产品尺寸：直管长约7cm、直径约2.3cm内含：红色轮子4个，黄色直管10个，黄色弯管10个，绿色直管10个，绿色弯管10个，紫色十字4个，紫色T字4个，橙色十字4个，橙色T字4个适合幼儿操作、可以创造小人、车辆等形状、锻炼小手肌肉控制能力</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彩色磁力棒：材质：塑料、磁铁；包装尺寸：约26×23.3×10.5cm；产品尺寸：磁力棒最长约11.6cm、磁力棒最短约6.9cm、球4.5cm、操作卡20×14cm内含：磁力棒×32、球×10、操作卡×5大尺寸的磁力棒，大小适中，适合幼儿小手抓握圆润光滑，环保，无毒无异味磁力强劲，永磁体经久耐用，搭建造型更加稳固丰富的色彩及造型，配有操作图卡，帮助幼儿认知各种颜色、形状、搭建各种造型让幼儿在搭建中充分发挥想象力、创新能力和思维能力</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创意拼装条：材质：塑料(PP)；包装尺寸：约26×23×19cm；产品尺寸：半圆形拼条尺寸10×6cm内含：创意拼装条×120各种形状的拼装条可以灵活拼插，锻炼了幼儿的空间想象力，玩法多多，造型多多</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（三）科学区（小班）：</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手持放大镜：材质：ABS；包装尺寸：24×24.6×16.6cm；产品尺寸：镜面宽度带包边11.5cm、加手柄总长23cm内含：红放大镜×1、黄放大镜×1、蓝放大镜×1、绿放大镜×1、橙放大镜×1、紫放大镜 ×1工艺考究、适用于小组活动、是幼儿园开展科学活动的必备工具可选购收纳盒、培养幼儿随拿随放的好习惯</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双孔3×放大观察箱：材质：塑料（ABS、LDPE、PMM）；包装尺寸：约17×9.9×8.9cm；产品尺寸：20×13cm内含：观察箱×1幼儿能从3 倍观察孔观察捕捉到的昆虫植物防水及透气孔设计，不会伤害到小昆虫，让幼儿友善安全地观察大自然</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牙齿模型：材质：塑料(ABS/PVC)；包装尺寸：17×17.5×22.2cm；产品尺寸：牙齿模型约20×16×13cm，牙刷约22×2.1cm内含：牙齿模型×1，牙刷×1适合给幼儿演示刷牙的牙齿模型，了解牙齿的基本构造和基本功能，理解牙齿健康的重要性，了解有关换牙的知识，养成爱护牙齿的好习惯</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水底探测船：材质：塑料(TPE、PP、ABS)；包装尺寸：约27.4×22.9×7.1cm；产品尺寸：透明底船约25×13×6cm；内含：探测船×1船底部用固定3倍放大镜，可以在游泳池或是安全的小水池观察水底下放大的物品，能清楚看到细节</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（四）音乐区（小班）：</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羊皮单排铃鼓：材质：木制、皮制（仿羊皮）；包装尺寸：约19.4×5×19.5cm；产品尺寸：铃鼓直径约18cm内含：铃鼓×1边缘打磨光滑的铁铃，不会伤到幼儿的小手羊皮鼓面，触感细腻，品质上乘可用于音乐伴奏、器乐合奏等</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雪铃21铃：材质：桦木、人造皮、电镀铁；产品尺寸：棒形雪铃长约26.5cm内含：棒形雪铃×1棒形雪铃是木棒形状带着铃铛的打击乐器，轻轻晃动手臂，发出叮铃铃的响声，声音清脆而响亮，幼儿在自由操作的过程中感受音乐的韵律感，锻炼手腕和手臂力量</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碰钟：材质：黄铜；产品尺寸：直径约4.4cm内含：碰钟1对</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双音木鱼：材质：椿木；包装尺寸：双音木鱼约18.5×4cm；产品尺寸：双音木鱼约20×4cm内含：双音木鱼×1、敲棒×1 通过木制的敲棒击打而发音，它的音色接近于响板通过音律的快慢进行有节奏的敲打，提升幼儿的节奏感</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木制砂球：材质：桦木；产品尺寸：长约11.5cm内含：沙球×2精选木材，制作工艺考究，圆润打磨、无毛刺，贴心呵护幼儿的小手精致小巧的尺寸设计，方便幼儿灵活抓握可进行音律启蒙，同时也可锻炼幼儿的手眼协调能力和专注力</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响棒：材质：橡木；产品尺寸：约17.8×2cm内含：响棒×2精心打磨的节奏响棒，配合音乐可敲打出快慢不同的节奏，让幼儿在自由操作中充分感受音乐中节奏的快慢</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手鼓：材质：防皮、金属、橡木；产品尺寸：手鼓直径约14cm内含：手鼓×1，棒子×1平滑有微微弹性的鼓面，敲击起来使乐声更有质感鼓面强韧，不易破损在打鼓的过程中锻炼幼儿四肢协调能力，促进右脑潜能的开发和平衡左右脑发展</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木琴：材质：桦木；产品尺寸：木琴约42cm×21.5cm内含：木琴×1 、棒子×2实木琴片，更贴近自然质地坚固，不易开裂和变形，经久耐玩标准音阶，音乐启蒙不跑偏音色自然，带给幼儿准确的音乐启蒙两根实木敲棒，在双手敲打间培养幼儿手眼协调，也能促进左右大脑的开发</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（五）建构区（中班）：</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半球太阳花：材质：PP；包装尺寸：约26×23.3×19.3cm；产品尺寸：最大约6.5cm内含：积木×150</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大圆孔八角片：材质：塑料(PP)；包装尺寸：约26×23×10cm；产品尺寸：单件直径约6.5cm内含：红×28、黄×28、蓝×28、绿×28、紫×28、橘×28颜色多样，可制作不同的作品，锻炼幼儿动手能力与想象力</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多种连接块：材质：塑料（ABS）；包装尺寸：约26×23×10cm；产品尺寸：单个方块约2×2×2cm内含：红×30、黄×30、蓝×30、绿×30、紫×30、橘×30（其中方块90只，其他三个形状各30只）利用不同形状的连接，创作机器人、动物等造型，锻炼手眼协调</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工程建构棒：材质：塑料(PVC)；包装尺寸：约20.8×20.6×5.6cm；产品尺寸：约20.5×21×5cm内含：棍子、曲线和连接件等58个零件如何搭建出二维、三维立体作品呢？工程建构棒帮助幼儿在创造过程中学会解决问题，并发现建构中的乐趣，提升几何空间能力</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（六）扮演区（中班）：</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医生急救箱：材质：ABS；包装尺寸：约17×46.5cm内含：听诊器×1、剪刀×1、钳子×1、药瓶×1、温度计×1、镊子×1、手术刀×1、牙镜×1、针筒×1、眼镜×1、耳镜×1、 医药箱×1温度计中的刻罗盘可以360°任意转动，针筒柄在一定力度的作用下可以下压，松开后自动弹起，丰富的玩具材料可以帮助幼儿模仿医生工作，了解医生这一职业，也能让扮演情境更丰富</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布娃娃男女组：材质：布制；包装尺寸：约47×33×14cm；产品尺寸：娃娃高约41cm内含：娃娃×2，衣服×2，奶瓶×2，衣架×2新手爸爸妈妈，来帮布娃娃换尿布、穿衣服、戴帽子，透过实际的操作帮助幼儿学习关怀照顾他人</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蔬菜篮：材质：塑料（ABS、PVC、TPE）；包装尺寸：约14.7×14.7×14.7cm；产品尺寸：篮子高约10cm，直径约14cm内含：篮子×1、玉米×1、黄瓜×1、花椰菜×1、红椒×1、茄子×1、胡萝卜×1、黄椒×1、芦笋×1、土豆×1各种蔬菜，既可以让幼儿学习认识蔬菜名称、颜色，也可以作为扮演游戏的辅助材料，丰富游戏情节，体验互相交流的乐趣</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水果篮：材质：塑料；包装尺寸：约14×14×12.7cm；产品尺寸：篮子高约10cm，直径约14cm内含：篮子×1、苹果×1、草莓×1、柠檬×1、香蕉×1、李子×1、橘子×1、杏×1、葡萄×1、梨×1可以让幼儿学习认识水果名称、颜色，或是说说自己喜欢的水果；也可以作为扮演游戏的道具</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餐具仿真颜色41件套网袋：材质：塑料(PP)；包装尺寸：约22×16×17.5cm；产品尺寸：网袋装产品后的尺寸：高约20cm，盘子直径约21.5cm内含：模拟颜色41件套丰富多样的餐具，幼儿可以扮演家长，玩餐厅准备美食游戏，邀请亲朋好友一起来参加派对，准备好吃的食物和精致的碗盘摆饰</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面条机：材质：塑料（ABS）；包装尺寸：约33.5×13×24cm内含：面条桶×1、手柄×1、粗切面组件×1、细切面组件×1、面盘×1、圆形刀模×1、饺子制作模×1、饺子制作模×1丰富的材料可以让幼儿扮演面条制作师、玩面条加工厂的游戏，体验制作面条的愉悦心情</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（七）建构区（大班）：</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万能积木：材质：塑料(PE)；包装尺寸：26×23.3×19.3cm；产品尺寸：轮子直径约7.4cm、最小积木约4.4×4.4×1.5cm内含：万能积木×52多种形状的积木块，可以建立更多造型，做个机器人、搭个风车，让幼儿灵感不断，满足他们的奇思妙想</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建筑拼搭：材质：</w:t>
            </w:r>
            <w:r>
              <w:rPr>
                <w:rFonts w:hint="eastAsia" w:ascii="宋体" w:hAnsi="宋体" w:eastAsia="宋体" w:cs="宋体"/>
                <w:i w:val="0"/>
                <w:iCs w:val="0"/>
                <w:color w:val="auto"/>
                <w:sz w:val="20"/>
                <w:szCs w:val="20"/>
                <w:highlight w:val="none"/>
                <w:u w:val="none"/>
                <w:lang w:val="en-US" w:eastAsia="zh-CN" w:bidi="ar"/>
              </w:rPr>
              <w:t xml:space="preserve">塑料（ABS）；包装尺寸：约26×23×19cm；产品尺寸：单件最长约19cm内含：红长条5个，红立方体3个，红螺母16个，红螺栓13个，红色一共37个；黄色条子9个，黄立方体4个，黄螺母16个，黄螺栓13个，黄色一共42个；蓝色条子9个，蓝螺母15个，蓝螺栓18个，蓝扳手1个，蓝六角扳手1个，蓝色一共44个；绿长条5个，绿螺母15个，绿螺栓18个，绿色一共38个；黑色6个内含红、黄、蓝、绿色的长条、立方体、螺母、螺栓等材料、可以搭建挖掘机、机器人、动物等多种类的造型、满足幼儿自主搭建培养积极主动的良好习惯</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空心磁力片：材质： 塑料、磁铁</w:t>
            </w:r>
            <w:r>
              <w:rPr>
                <w:rFonts w:hint="eastAsia" w:ascii="宋体" w:hAnsi="宋体" w:eastAsia="宋体" w:cs="宋体"/>
                <w:i w:val="0"/>
                <w:iCs w:val="0"/>
                <w:color w:val="auto"/>
                <w:sz w:val="20"/>
                <w:szCs w:val="20"/>
                <w:highlight w:val="none"/>
                <w:u w:val="none"/>
                <w:lang w:val="en-US" w:eastAsia="zh-CN" w:bidi="ar"/>
              </w:rPr>
              <w:t xml:space="preserve">；包装尺寸：约26×23.3×10.5cm；产品尺寸：最大约12×6.4×5.9cm、最小约4.3×4.3cm、操作卡约20×14cm内含：新三角×24、新四角×24、新五角×2、新长三角×8、梯形×4、白卡块×10、操作卡片×5多道工序反复打磨，圆润光滑，保护幼儿的小手，圆角设计，轻巧薄款，让幼儿轻松抓握，易搭易拆，造型多变的空心磁力片，可以满足幼儿的奇思妙想，配有操作图卡，从基础形状拼搭，到简易立体造型拼搭，再到三维立体图形的拼搭，逐步建立幼儿的基础空间感知，配有磁力片收纳箱，培养幼儿养成自主收纳好习惯</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竹屋积木组：材质：竹制；包装尺寸：约27×26×9cm；产品尺寸：最长约20.3cm内含：竹制积木×42竹制积木，均采用环保材质，既环保耐用、又轻便大小、形状不同的竹子形柱子，屋顶和桥梁，可搭建出完美、逼真的大自然建筑场景，让幼儿在自然材料中亲近自然，幼儿在与材料互动中感知材料的亲自然性，发挥想象力和创造能力</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（八）扮演区（大班）：</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地板清洁组：材质：榉木，荷木，ABS，布制，包装尺寸：约：</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26.5×13.5×43cm，内含：扫帚×1，拖把×1，除尘掸×1，刷子×1，簸箕×1，收纳架×1</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科技收款机II代：材质：塑料,包装尺寸：约 28.6×25.1×15.7cm,内含：收款机 ×1，游戏纸币 ×30，塑料币 ×40，操作指南×1,液晶屏幕可实际计算的智能型收款机，钱币投掷孔，不含 3C 电池还可练习数字的计算</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熨斗架：尺寸：60×30×60cm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1、采用 18mm 厚环保三聚氰胺贴面胶合板，甲醛释放量符合 GB/T39600-2021 标准要求</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2、木蜡油封边，重金属钡、铅、镉、锑、</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硒、铬、汞、砷等含量符合</w:t>
            </w:r>
            <w:r>
              <w:rPr>
                <w:rFonts w:hint="eastAsia" w:ascii="宋体" w:hAnsi="宋体" w:cs="宋体"/>
                <w:i w:val="0"/>
                <w:iCs w:val="0"/>
                <w:color w:val="auto"/>
                <w:sz w:val="20"/>
                <w:szCs w:val="20"/>
                <w:highlight w:val="none"/>
                <w:u w:val="none"/>
                <w:lang w:val="en-US" w:eastAsia="zh-CN" w:bidi="ar"/>
              </w:rPr>
              <w:t xml:space="preserve">标准规范</w:t>
            </w:r>
            <w:r>
              <w:rPr>
                <w:rFonts w:hint="eastAsia" w:ascii="宋体" w:hAnsi="宋体" w:eastAsia="宋体" w:cs="宋体"/>
                <w:i w:val="0"/>
                <w:iCs w:val="0"/>
                <w:color w:val="auto"/>
                <w:sz w:val="20"/>
                <w:szCs w:val="20"/>
                <w:highlight w:val="none"/>
                <w:u w:val="none"/>
                <w:lang w:val="en-US" w:eastAsia="zh-CN" w:bidi="ar"/>
              </w:rPr>
              <w:t xml:space="preserve">的要求</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3、五金件选用环保五金，安全无毒符合</w:t>
            </w:r>
            <w:r>
              <w:rPr>
                <w:rFonts w:hint="eastAsia" w:ascii="宋体" w:hAnsi="宋体" w:cs="宋体"/>
                <w:i w:val="0"/>
                <w:iCs w:val="0"/>
                <w:color w:val="auto"/>
                <w:sz w:val="20"/>
                <w:szCs w:val="20"/>
                <w:highlight w:val="none"/>
                <w:u w:val="none"/>
                <w:lang w:val="en-US" w:eastAsia="zh-CN" w:bidi="ar"/>
              </w:rPr>
              <w:t xml:space="preserve">标准规范</w:t>
            </w:r>
            <w:r>
              <w:rPr>
                <w:rFonts w:hint="eastAsia" w:ascii="宋体" w:hAnsi="宋体" w:eastAsia="宋体" w:cs="宋体"/>
                <w:i w:val="0"/>
                <w:iCs w:val="0"/>
                <w:color w:val="auto"/>
                <w:sz w:val="20"/>
                <w:szCs w:val="20"/>
                <w:highlight w:val="none"/>
                <w:u w:val="none"/>
                <w:lang w:val="en-US" w:eastAsia="zh-CN" w:bidi="ar"/>
              </w:rPr>
              <w:t xml:space="preserve">的要求，钡、铅、镉、锑、硒、铬、汞、砷等含量控制指标完全符合要求</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厨师服4件套：材质：棉布，包装尺寸：约：58×43×2cm，内含：帽子 ×1、上衣 ×1、围裙 ×1、三角巾 ×1可以玩扮演厨师、开面包店、美食店等游戏活动，帮助幼儿了解厨师及相关的职业功能、特性，扩大幼儿的视野，培养社交能力</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（九）益智区（大班）：</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配对螺丝：材质：木制+塑料，包装尺寸：约：26×23.3×10.5cm，内含：木质×42 件，塑料×22 件，教具盒×1 个，操作卡×3 张</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（十）多元STEAM区（大班）：</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齿轮游戏-机器：材质：塑料,包装尺寸：约 36.8×27.9×10.2cm,内含：内含螺旋桨、链条、轮子、车轴等 112 个零件,包括特殊零件，例如螺旋桨、球、链条、滑轮、轮子和车轴等部件开放式的设计和可互换的零部件能使幼儿专注于探索和发现，帮助幼儿获得一系列STEAM 技能，如跨领域、动手做、生活应用、解决问题、五感学习，强调自我探索、 自主学习等</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齿轮游乐园：材质：ABS，包装尺寸：约：35.5×26×10.7cm，内含：积木×100+3 张学习卡</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简易机械原理组：材质：塑料,包装尺寸：约 36.8×24.1×10.9cm,内含：,通过杠杆、滑轮、斜面、轮轴，学习力量、装载、行动和距离的关系可搭配活动指南和机械动力组卡片使用</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工程剑桥组：材质：塑料,包装尺寸：35×26×21cm,内含：各种三角形片×50、各种空心方形片×44、实心方形片×8、小中长连接棒×8、滑轮×4、把手×2、各种方孔片×6、铰链×2、凸轮×4、底座×2、各种悬垂管及管柱×4,幼儿可参考说明书中 的世界著名的桥梁设计，掌握拼搭、架构、悬挂、悬臂和吊桥等建构技能，并鼓励幼儿挑战超出设定的形状和尝试表达出自己的创作</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（十一）室内建构积木：</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108片原木色卡扣积木：松木实木</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25×5×2.5cm</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398片积木2.2cm：1.长方形 60×7×2.2cm  松木 原色 8块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2.长方形 40×7×2.2cm  松木 原色 12块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3.长方形（薄）40×7×1.1cm 松木 原色 8块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4.长方形 30×7×2.2cm 松木 原色 14块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5.长方形 20×7×2.2cm 松木 原色 14块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6.长方形（薄）20×7×1.cm1 松木 原色 4块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7.长方形 5×7×2.2cm 松木 原色 48块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8.长方形 15×2.2×2.2cm 松木 原色 40块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9.三角形 15×7×2.2cm 松木 原色 40块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10.三角形 7×7×2.2cm 松木 原色 60块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11.圆柱形 15×5×5cm 松木 原色 8块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12.圆柱形 15×4×4cm 松木 原色 16块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13.圆柱形 10×4×4cm 松木 原色 16块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14.圆柱形 10×2.2×2.2cm 松木 原色 30块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15.七字形 15×7×2.2cm 松木 原色 16块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16.七字形内心 7.5×4.5×2.2cm 松木 原色 16块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17.半环形 30×15×2.2cm 松木 原色 8块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18.半环形 15×7.5×2.2cm 松木 原色 16块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19.半圆形 15×7.5×2.2cm 松木 原色 8块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20.半圆形 10×5×2.2cm 松木 原色 16块</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420件建构积木2.2cm：1.长方形 60×7×2.2cm 松木 原色 8块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2.长方形 40×7×2.2cm 松木 原色 12块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3.长方形（薄） 40×7×1.1cm 松木 原色 8块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4.长方形 30×7×2.2cm 松木 原色 14块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5.长方形 20×7×2.2cm 松木 原色 14块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6.长方形（薄） 20×7×1.1cm 松木 原色 4块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7.长方形 5×7×2.2cm 松木 原色 50块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8.长方形 15×2.2×2.2cm 松木 原色 40块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9.长方形 10×2.2×2.2cm 松木 原色 10块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10.三角形 15×7×2.2cm 松木 原色 40块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11.三角形 7×7×2.2cm 松木 原色 60块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12.圆柱形 15×5×5cm 松木 原色 8块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13.圆柱形 15×4×4cm 松木 原色 16块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14.圆柱形 10×4×4cm 松木 原色 16块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15.圆柱形 10×2.2×2.2cm 松木 原色 40块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16.七字形 15×7×2.2cm 松木 原色 16块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17.七字形内心 7.5×4.5×2.2cm 松木 原色 16块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18.半环形 30×15×2.2cm 松木 原色 8块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19.半环形 15×7.5×2.2cm 松木 原色 16块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20.半圆形 15×7.5×2.2cm 松木 原色 8块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21.半圆形 10×5×2.2cm 松木 原色 16块</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27片盒装镜面积木：6种形状，带镜面，带木制收纳盒</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松木+亚克力上漆</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bl>
    <w:p>
      <w:pPr>
        <w:pStyle w:val="851"/>
        <w:rPr>
          <w:rFonts w:hint="eastAsia"/>
        </w:rPr>
      </w:pPr>
      <w:r>
        <w:rPr>
          <w:rFonts w:hint="eastAsia"/>
        </w:rPr>
      </w:r>
      <w:r/>
    </w:p>
    <w:p>
      <w:pPr>
        <w:pStyle w:val="1029"/>
        <w:spacing w:before="240" w:after="240" w:line="360" w:lineRule="atLeast"/>
        <w:rPr>
          <w:rFonts w:hint="eastAsia" w:ascii="宋体" w:hAnsi="宋体" w:cs="宋体"/>
          <w:b/>
          <w:bCs/>
          <w:color w:val="auto"/>
          <w:sz w:val="24"/>
          <w:highlight w:val="none"/>
          <w:lang w:val="en-US" w:eastAsia="zh-CN"/>
        </w:rPr>
      </w:pPr>
      <w:r>
        <w:rPr>
          <w:rFonts w:hint="eastAsia" w:ascii="宋体" w:hAnsi="宋体" w:cs="宋体"/>
          <w:b/>
          <w:bCs/>
          <w:color w:val="auto"/>
          <w:sz w:val="24"/>
          <w:highlight w:val="none"/>
        </w:rPr>
        <w:t xml:space="preserve">“证明材料”要求如有要求，投标人未提供有效证明材料或证明材料中内容与所填报指标不一致的，该指标按不满足处理。</w:t>
      </w:r>
      <w:r/>
    </w:p>
    <w:p>
      <w:pPr>
        <w:pStyle w:val="1029"/>
        <w:spacing w:before="240" w:after="240" w:line="360" w:lineRule="atLeast"/>
        <w:rPr>
          <w:rFonts w:hint="eastAsia" w:ascii="宋体" w:hAnsi="宋体" w:eastAsia="宋体" w:cs="宋体"/>
          <w:color w:val="auto"/>
          <w:highlight w:val="none"/>
        </w:rPr>
      </w:pPr>
      <w:r>
        <w:rPr>
          <w:rFonts w:hint="eastAsia" w:ascii="宋体" w:hAnsi="宋体" w:eastAsia="宋体" w:cs="宋体"/>
          <w:b/>
          <w:bCs/>
          <w:color w:val="auto"/>
          <w:highlight w:val="none"/>
        </w:rPr>
        <w:t xml:space="preserve">五、采购标的需执行的国家相关标准、行业标准、地方标准或者其他标准、规范；</w:t>
      </w:r>
      <w:r/>
    </w:p>
    <w:p>
      <w:pPr>
        <w:pStyle w:val="1029"/>
        <w:ind w:firstLine="480"/>
        <w:jc w:val="both"/>
        <w:keepLines w:val="0"/>
        <w:keepNext w:val="0"/>
        <w:pageBreakBefore w:val="0"/>
        <w:spacing w:line="360" w:lineRule="atLeast"/>
        <w:rPr>
          <w:rStyle w:val="1030"/>
          <w:rFonts w:hint="eastAsia" w:ascii="宋体" w:hAnsi="宋体" w:eastAsia="宋体" w:cs="宋体"/>
          <w:b w:val="0"/>
          <w:bCs w:val="0"/>
          <w:color w:val="auto"/>
          <w:highlight w:val="none"/>
          <w:lang w:val="en-US" w:eastAsia="zh-CN"/>
        </w:rPr>
      </w:pPr>
      <w:r>
        <w:rPr>
          <w:rStyle w:val="1030"/>
          <w:rFonts w:hint="eastAsia" w:ascii="宋体" w:hAnsi="宋体" w:eastAsia="宋体" w:cs="宋体"/>
          <w:b w:val="0"/>
          <w:bCs w:val="0"/>
          <w:color w:val="auto"/>
          <w:highlight w:val="none"/>
          <w:lang w:val="en-US" w:eastAsia="zh-CN"/>
        </w:rPr>
        <w:t xml:space="preserve">均执行国家现行有关标准、相关行业规范：</w:t>
      </w:r>
      <w:r/>
    </w:p>
    <w:p>
      <w:pPr>
        <w:pStyle w:val="1029"/>
        <w:ind w:firstLine="480"/>
        <w:jc w:val="both"/>
        <w:keepLines w:val="0"/>
        <w:keepNext w:val="0"/>
        <w:pageBreakBefore w:val="0"/>
        <w:spacing w:line="360" w:lineRule="atLeast"/>
        <w:rPr>
          <w:rStyle w:val="1030"/>
          <w:rFonts w:hint="eastAsia" w:ascii="宋体" w:hAnsi="宋体" w:eastAsia="宋体" w:cs="宋体"/>
          <w:b w:val="0"/>
          <w:bCs w:val="0"/>
          <w:color w:val="auto"/>
          <w:highlight w:val="none"/>
          <w:lang w:val="en-US" w:eastAsia="zh-CN"/>
        </w:rPr>
      </w:pPr>
      <w:r>
        <w:rPr>
          <w:rStyle w:val="1030"/>
          <w:rFonts w:hint="eastAsia" w:ascii="宋体" w:hAnsi="宋体" w:eastAsia="宋体" w:cs="宋体"/>
          <w:b w:val="0"/>
          <w:bCs w:val="0"/>
          <w:color w:val="auto"/>
          <w:highlight w:val="none"/>
          <w:lang w:val="en-US" w:eastAsia="zh-CN"/>
        </w:rPr>
        <w:t xml:space="preserve">（1）</w:t>
      </w:r>
      <w:r>
        <w:rPr>
          <w:rStyle w:val="1030"/>
          <w:rFonts w:ascii="宋体" w:hAnsi="宋体" w:eastAsia="宋体" w:cs="宋体"/>
          <w:b w:val="0"/>
          <w:bCs w:val="0"/>
          <w:color w:val="auto"/>
          <w:highlight w:val="none"/>
          <w:lang w:val="en-US" w:eastAsia="zh-CN"/>
        </w:rPr>
        <w:t xml:space="preserve">家具类：GB/T 39600-2021《人造板及其制品甲醛释放量分级》（强制标准，涵盖甲醛释放量、结构安全、有害物质限量等核心要求）。</w:t>
      </w:r>
      <w:r/>
    </w:p>
    <w:p>
      <w:pPr>
        <w:pStyle w:val="1029"/>
        <w:ind w:firstLine="480"/>
        <w:jc w:val="both"/>
        <w:keepLines w:val="0"/>
        <w:keepNext w:val="0"/>
        <w:pageBreakBefore w:val="0"/>
        <w:spacing w:line="360" w:lineRule="atLeast"/>
        <w:rPr>
          <w:rStyle w:val="1030"/>
          <w:rFonts w:hint="eastAsia" w:ascii="宋体" w:hAnsi="宋体" w:eastAsia="宋体" w:cs="宋体"/>
          <w:b w:val="0"/>
          <w:bCs w:val="0"/>
          <w:color w:val="auto"/>
          <w:highlight w:val="none"/>
          <w:lang w:val="en-US" w:eastAsia="zh-CN"/>
        </w:rPr>
      </w:pPr>
      <w:r>
        <w:rPr>
          <w:rStyle w:val="1030"/>
          <w:rFonts w:hint="eastAsia" w:ascii="宋体" w:hAnsi="宋体" w:eastAsia="宋体" w:cs="宋体"/>
          <w:b w:val="0"/>
          <w:bCs w:val="0"/>
          <w:color w:val="auto"/>
          <w:highlight w:val="none"/>
          <w:lang w:val="en-US" w:eastAsia="zh-CN"/>
        </w:rPr>
        <w:t xml:space="preserve">（2）</w:t>
      </w:r>
      <w:r>
        <w:rPr>
          <w:rStyle w:val="1030"/>
          <w:rFonts w:ascii="宋体" w:hAnsi="宋体" w:eastAsia="宋体" w:cs="宋体"/>
          <w:b w:val="0"/>
          <w:bCs w:val="0"/>
          <w:color w:val="auto"/>
          <w:highlight w:val="none"/>
          <w:lang w:val="en-US" w:eastAsia="zh-CN"/>
        </w:rPr>
        <w:t xml:space="preserve">玩具类：GB 6675系列《玩具安全》（含GB 6675.1-2014机械与物理性能、GB 6675.2-2014阻燃性能、GB 6675.3-2014特定元素的迁移、GB 6675.4-2014邻苯二甲酸酯含量等）。</w:t>
      </w:r>
      <w:r/>
    </w:p>
    <w:p>
      <w:pPr>
        <w:pStyle w:val="1029"/>
        <w:ind w:firstLine="480"/>
        <w:jc w:val="both"/>
        <w:keepLines w:val="0"/>
        <w:keepNext w:val="0"/>
        <w:pageBreakBefore w:val="0"/>
        <w:spacing w:line="360" w:lineRule="atLeast"/>
        <w:rPr>
          <w:rStyle w:val="1030"/>
          <w:rFonts w:hint="eastAsia" w:ascii="宋体" w:hAnsi="宋体" w:eastAsia="宋体" w:cs="宋体"/>
          <w:b w:val="0"/>
          <w:bCs w:val="0"/>
          <w:color w:val="auto"/>
          <w:highlight w:val="none"/>
          <w:lang w:val="en-US" w:eastAsia="zh-CN"/>
        </w:rPr>
      </w:pPr>
      <w:r>
        <w:rPr>
          <w:rStyle w:val="1030"/>
          <w:rFonts w:hint="eastAsia" w:ascii="宋体" w:hAnsi="宋体" w:eastAsia="宋体" w:cs="宋体"/>
          <w:b w:val="0"/>
          <w:bCs w:val="0"/>
          <w:color w:val="auto"/>
          <w:highlight w:val="none"/>
          <w:lang w:val="en-US" w:eastAsia="zh-CN"/>
        </w:rPr>
        <w:t xml:space="preserve">（3）</w:t>
      </w:r>
      <w:r>
        <w:rPr>
          <w:rStyle w:val="1030"/>
          <w:rFonts w:ascii="宋体" w:hAnsi="宋体" w:eastAsia="宋体" w:cs="宋体"/>
          <w:b w:val="0"/>
          <w:bCs w:val="0"/>
          <w:color w:val="auto"/>
          <w:highlight w:val="none"/>
          <w:lang w:val="en-US" w:eastAsia="zh-CN"/>
        </w:rPr>
        <w:t xml:space="preserve">纺织类：GB 31701-2015《婴幼儿及儿童纺织产品安全技术规范》（适用于幼儿床品、毛巾、衣帽等纺织类附属产品）。</w:t>
      </w:r>
      <w:r/>
    </w:p>
    <w:p>
      <w:pPr>
        <w:pStyle w:val="1029"/>
        <w:ind w:firstLine="480"/>
        <w:jc w:val="both"/>
        <w:keepLines w:val="0"/>
        <w:keepNext w:val="0"/>
        <w:pageBreakBefore w:val="0"/>
        <w:spacing w:line="360" w:lineRule="atLeast"/>
        <w:rPr>
          <w:rStyle w:val="1030"/>
          <w:rFonts w:ascii="宋体" w:hAnsi="宋体" w:eastAsia="宋体" w:cs="宋体"/>
          <w:b w:val="0"/>
          <w:bCs w:val="0"/>
          <w:color w:val="auto"/>
          <w:highlight w:val="none"/>
          <w:lang w:val="en-US" w:eastAsia="zh-CN"/>
        </w:rPr>
      </w:pPr>
      <w:r>
        <w:rPr>
          <w:rStyle w:val="1030"/>
          <w:rFonts w:hint="eastAsia" w:ascii="宋体" w:hAnsi="宋体" w:eastAsia="宋体" w:cs="宋体"/>
          <w:b w:val="0"/>
          <w:bCs w:val="0"/>
          <w:color w:val="auto"/>
          <w:highlight w:val="none"/>
          <w:lang w:val="en-US" w:eastAsia="zh-CN"/>
        </w:rPr>
        <w:t xml:space="preserve">（4）</w:t>
      </w:r>
      <w:r>
        <w:rPr>
          <w:rStyle w:val="1030"/>
          <w:rFonts w:ascii="宋体" w:hAnsi="宋体" w:eastAsia="宋体" w:cs="宋体"/>
          <w:b w:val="0"/>
          <w:bCs w:val="0"/>
          <w:color w:val="auto"/>
          <w:highlight w:val="none"/>
          <w:lang w:val="en-US" w:eastAsia="zh-CN"/>
        </w:rPr>
        <w:t xml:space="preserve">设计规范：《托儿所、幼儿园建筑设计规范》（GB 50099-2013），确保家具、玩具摆放与区域规划符合幼儿园建筑安全要求。</w:t>
      </w:r>
      <w:r/>
    </w:p>
    <w:p>
      <w:pPr>
        <w:ind w:firstLine="482"/>
        <w:jc w:val="both"/>
        <w:keepLines w:val="0"/>
        <w:keepNext w:val="0"/>
        <w:pageBreakBefore w:val="0"/>
        <w:rPr>
          <w:rStyle w:val="1030"/>
          <w:rFonts w:hint="eastAsia" w:ascii="宋体" w:hAnsi="宋体" w:eastAsia="宋体" w:cs="宋体"/>
          <w:b w:val="0"/>
          <w:bCs w:val="0"/>
          <w:color w:val="auto"/>
          <w:highlight w:val="none"/>
          <w:lang w:val="en-US" w:eastAsia="zh-CN"/>
        </w:rPr>
      </w:pPr>
      <w:r>
        <w:rPr>
          <w:rFonts w:hint="eastAsia" w:ascii="宋体" w:hAnsi="宋体" w:cs="宋体"/>
          <w:b/>
          <w:bCs/>
          <w:color w:val="auto"/>
          <w:sz w:val="24"/>
          <w:highlight w:val="none"/>
          <w:lang w:val="en-US" w:eastAsia="zh-CN"/>
        </w:rPr>
        <w:t xml:space="preserve">注：</w:t>
      </w:r>
      <w:r>
        <w:rPr>
          <w:rFonts w:hint="eastAsia" w:ascii="宋体" w:hAnsi="宋体" w:cs="宋体"/>
          <w:b/>
          <w:bCs/>
          <w:color w:val="auto"/>
          <w:sz w:val="24"/>
          <w:highlight w:val="none"/>
        </w:rPr>
        <w:t xml:space="preserve">投标人提供的投标货物应符合绿色环保要求，所使用的主、辅材料应符合国家环保标准。如果以上所列的标准和规范，有新的版本或新的标准、规范，则按最新标准和规范执行。</w:t>
      </w:r>
      <w:r/>
    </w:p>
    <w:p>
      <w:pPr>
        <w:pStyle w:val="1029"/>
        <w:spacing w:before="240" w:after="240" w:line="360" w:lineRule="atLeast"/>
        <w:rPr>
          <w:rFonts w:hint="eastAsia" w:ascii="宋体" w:hAnsi="宋体" w:eastAsia="宋体" w:cs="宋体"/>
          <w:b/>
          <w:bCs/>
          <w:color w:val="auto"/>
          <w:highlight w:val="none"/>
          <w:lang w:val="en-US" w:eastAsia="zh-CN"/>
        </w:rPr>
      </w:pPr>
      <w:r>
        <w:rPr>
          <w:rFonts w:hint="eastAsia" w:ascii="宋体" w:hAnsi="宋体" w:eastAsia="宋体" w:cs="宋体"/>
          <w:b/>
          <w:bCs/>
          <w:color w:val="auto"/>
          <w:highlight w:val="none"/>
        </w:rPr>
        <w:t xml:space="preserve">六、</w:t>
      </w:r>
      <w:r>
        <w:rPr>
          <w:rFonts w:hint="eastAsia" w:ascii="宋体" w:hAnsi="宋体" w:eastAsia="宋体" w:cs="宋体"/>
          <w:b/>
          <w:bCs/>
          <w:color w:val="auto"/>
          <w:highlight w:val="none"/>
          <w:lang w:val="zh-CN" w:eastAsia="zh-CN"/>
        </w:rPr>
        <w:t xml:space="preserve">★</w:t>
      </w:r>
      <w:r>
        <w:rPr>
          <w:rFonts w:hint="eastAsia" w:ascii="宋体" w:hAnsi="宋体" w:eastAsia="宋体" w:cs="宋体"/>
          <w:b/>
          <w:bCs/>
          <w:color w:val="auto"/>
          <w:highlight w:val="none"/>
          <w:lang w:val="en-US" w:eastAsia="zh-CN"/>
        </w:rPr>
        <w:t xml:space="preserve">质量要求</w:t>
      </w:r>
      <w:r/>
    </w:p>
    <w:p>
      <w:pPr>
        <w:pStyle w:val="1029"/>
        <w:ind w:firstLine="420"/>
        <w:jc w:val="both"/>
        <w:spacing w:line="360" w:lineRule="atLeast"/>
        <w:rPr>
          <w:rStyle w:val="1030"/>
          <w:rFonts w:hint="eastAsia" w:ascii="宋体" w:hAnsi="宋体" w:eastAsia="宋体" w:cs="宋体"/>
          <w:b w:val="0"/>
          <w:bCs w:val="0"/>
          <w:color w:val="auto"/>
          <w:highlight w:val="none"/>
          <w:lang w:val="en-US" w:eastAsia="zh-CN"/>
        </w:rPr>
      </w:pPr>
      <w:r>
        <w:rPr>
          <w:rStyle w:val="1030"/>
          <w:rFonts w:hint="eastAsia" w:ascii="宋体" w:hAnsi="宋体" w:eastAsia="宋体" w:cs="宋体"/>
          <w:b w:val="0"/>
          <w:bCs w:val="0"/>
          <w:color w:val="auto"/>
          <w:highlight w:val="none"/>
          <w:lang w:val="en-US" w:eastAsia="zh-CN"/>
        </w:rPr>
        <w:t xml:space="preserve">投标人需在投标文件中针对以下要求做出响应承诺函，未做响应会被判定未实质性响应招标文件。</w:t>
      </w:r>
      <w:r/>
    </w:p>
    <w:p>
      <w:pPr>
        <w:pStyle w:val="1029"/>
        <w:ind w:firstLine="420"/>
        <w:jc w:val="both"/>
        <w:spacing w:line="360" w:lineRule="atLeast"/>
        <w:rPr>
          <w:rStyle w:val="1030"/>
          <w:rFonts w:hint="eastAsia" w:ascii="宋体" w:hAnsi="宋体" w:eastAsia="宋体" w:cs="宋体"/>
          <w:b w:val="0"/>
          <w:bCs w:val="0"/>
          <w:color w:val="auto"/>
          <w:highlight w:val="none"/>
          <w:lang w:val="en-US" w:eastAsia="zh-CN"/>
        </w:rPr>
      </w:pPr>
      <w:r>
        <w:rPr>
          <w:rStyle w:val="1030"/>
          <w:rFonts w:hint="eastAsia" w:ascii="宋体" w:hAnsi="宋体" w:eastAsia="宋体" w:cs="宋体"/>
          <w:b w:val="0"/>
          <w:bCs w:val="0"/>
          <w:color w:val="auto"/>
          <w:highlight w:val="none"/>
          <w:lang w:val="en-US" w:eastAsia="zh-CN"/>
        </w:rPr>
        <w:t xml:space="preserve">1、供货商应保证所供货物是全新的，未使用过的原装合格产品，并完全符合采购需求的质量、规格和性能的要求，供货商应保证其提供的货物在正确安装、正常使用和保养条件下，在其标称的使用寿命期内应具有满意的性能。在质量保证期限内，供货商应对由于设计、工艺或材料的缺陷及伴随服务而造成的任何不足或故障负责。</w:t>
      </w:r>
      <w:r/>
    </w:p>
    <w:p>
      <w:pPr>
        <w:pStyle w:val="1029"/>
        <w:ind w:firstLine="420"/>
        <w:jc w:val="both"/>
        <w:spacing w:line="360" w:lineRule="atLeast"/>
        <w:rPr>
          <w:rStyle w:val="1030"/>
          <w:rFonts w:hint="eastAsia" w:ascii="宋体" w:hAnsi="宋体" w:eastAsia="宋体" w:cs="宋体"/>
          <w:b w:val="0"/>
          <w:bCs w:val="0"/>
          <w:color w:val="auto"/>
          <w:highlight w:val="none"/>
          <w:lang w:val="en-US" w:eastAsia="zh-CN"/>
        </w:rPr>
      </w:pPr>
      <w:r>
        <w:rPr>
          <w:rStyle w:val="1030"/>
          <w:rFonts w:hint="eastAsia" w:ascii="宋体" w:hAnsi="宋体" w:eastAsia="宋体" w:cs="宋体"/>
          <w:b w:val="0"/>
          <w:bCs w:val="0"/>
          <w:color w:val="auto"/>
          <w:highlight w:val="none"/>
          <w:lang w:val="en-US" w:eastAsia="zh-CN"/>
        </w:rPr>
        <w:t xml:space="preserve">2、在货物到达使用单位后，供货方应2个工作日内派工程师和施工人员到达现场，在采购人技术人员在场的情况下开箱清点货物，组织安装、调试，并承担因此发生的一切费用。</w:t>
      </w:r>
      <w:r/>
    </w:p>
    <w:p>
      <w:pPr>
        <w:pStyle w:val="1029"/>
        <w:ind w:firstLine="420"/>
        <w:jc w:val="both"/>
        <w:spacing w:line="360" w:lineRule="atLeast"/>
        <w:rPr>
          <w:rStyle w:val="1030"/>
          <w:rFonts w:hint="eastAsia" w:ascii="宋体" w:hAnsi="宋体" w:eastAsia="宋体" w:cs="宋体"/>
          <w:b w:val="0"/>
          <w:bCs w:val="0"/>
          <w:color w:val="auto"/>
          <w:highlight w:val="none"/>
          <w:lang w:val="en-US" w:eastAsia="zh-CN"/>
        </w:rPr>
      </w:pPr>
      <w:r>
        <w:rPr>
          <w:rStyle w:val="1030"/>
          <w:rFonts w:hint="eastAsia" w:ascii="宋体" w:hAnsi="宋体" w:eastAsia="宋体" w:cs="宋体"/>
          <w:b w:val="0"/>
          <w:bCs w:val="0"/>
          <w:color w:val="auto"/>
          <w:highlight w:val="none"/>
          <w:lang w:val="en-US" w:eastAsia="zh-CN"/>
        </w:rPr>
        <w:t xml:space="preserve">3、供应商保证产品不存在因材质、设计、制造等问题所引起的缺陷，否则应无偿予以纠正；</w:t>
      </w:r>
      <w:r/>
    </w:p>
    <w:p>
      <w:pPr>
        <w:pStyle w:val="1029"/>
        <w:ind w:firstLine="420"/>
        <w:jc w:val="both"/>
        <w:spacing w:line="360" w:lineRule="atLeast"/>
        <w:rPr>
          <w:rStyle w:val="1030"/>
          <w:rFonts w:hint="eastAsia" w:ascii="宋体" w:hAnsi="宋体" w:eastAsia="宋体" w:cs="宋体"/>
          <w:b w:val="0"/>
          <w:bCs w:val="0"/>
          <w:color w:val="auto"/>
          <w:highlight w:val="none"/>
          <w:lang w:val="en-US" w:eastAsia="zh-CN"/>
        </w:rPr>
      </w:pPr>
      <w:r>
        <w:rPr>
          <w:rStyle w:val="1030"/>
          <w:rFonts w:hint="eastAsia" w:ascii="宋体" w:hAnsi="宋体" w:eastAsia="宋体" w:cs="宋体"/>
          <w:b w:val="0"/>
          <w:bCs w:val="0"/>
          <w:color w:val="auto"/>
          <w:highlight w:val="none"/>
          <w:lang w:val="en-US" w:eastAsia="zh-CN"/>
        </w:rPr>
        <w:t xml:space="preserve">4、供应商提供的设备发生非人为因素严重故障时，应当免费在七日内将补充或者更换的货物运抵发生故障的货物所在地，由此产生的一切相关费用由供应商承担。</w:t>
      </w:r>
      <w:r/>
    </w:p>
    <w:p>
      <w:pPr>
        <w:pStyle w:val="1029"/>
        <w:ind w:firstLine="420"/>
        <w:jc w:val="both"/>
        <w:spacing w:line="360" w:lineRule="atLeast"/>
        <w:rPr>
          <w:rStyle w:val="1030"/>
          <w:rFonts w:hint="eastAsia" w:ascii="宋体" w:hAnsi="宋体" w:eastAsia="宋体" w:cs="宋体"/>
          <w:b w:val="0"/>
          <w:bCs w:val="0"/>
          <w:color w:val="auto"/>
          <w:highlight w:val="none"/>
          <w:lang w:val="en-US" w:eastAsia="zh-CN"/>
        </w:rPr>
      </w:pPr>
      <w:r>
        <w:rPr>
          <w:rStyle w:val="1030"/>
          <w:rFonts w:hint="eastAsia" w:ascii="宋体" w:hAnsi="宋体" w:eastAsia="宋体" w:cs="宋体"/>
          <w:b w:val="0"/>
          <w:bCs w:val="0"/>
          <w:color w:val="auto"/>
          <w:highlight w:val="none"/>
          <w:lang w:val="en-US" w:eastAsia="zh-CN"/>
        </w:rPr>
        <w:t xml:space="preserve">5、中标供应商负责设备安装、调试，确保正常运行。安装过程中发生的意外事故等由中标供应商负责，与采购人无关。</w:t>
      </w:r>
      <w:r/>
    </w:p>
    <w:p>
      <w:pPr>
        <w:pStyle w:val="1029"/>
        <w:ind w:firstLine="420"/>
        <w:jc w:val="both"/>
        <w:spacing w:line="360" w:lineRule="atLeast"/>
        <w:rPr>
          <w:rStyle w:val="1030"/>
          <w:rFonts w:hint="eastAsia" w:ascii="宋体" w:hAnsi="宋体" w:eastAsia="宋体" w:cs="宋体"/>
          <w:b w:val="0"/>
          <w:bCs w:val="0"/>
          <w:color w:val="auto"/>
          <w:highlight w:val="none"/>
          <w:lang w:val="en-US" w:eastAsia="zh-CN"/>
        </w:rPr>
      </w:pPr>
      <w:r>
        <w:rPr>
          <w:rStyle w:val="1030"/>
          <w:rFonts w:hint="eastAsia" w:ascii="宋体" w:hAnsi="宋体" w:eastAsia="宋体" w:cs="宋体"/>
          <w:b w:val="0"/>
          <w:bCs w:val="0"/>
          <w:color w:val="auto"/>
          <w:highlight w:val="none"/>
          <w:lang w:val="en-US" w:eastAsia="zh-CN"/>
        </w:rPr>
        <w:t xml:space="preserve">6、供货安装中如涉及商品包装、快递包装及绿色建材的，其标准应不低于《关于印发&lt;商品包装政府采购需求标准（试行）&gt;、 &lt;快递包装政府采购需求标准（试行）&gt;的通知》、《绿色建筑和绿色建材政府采购需求标准》规定的要求。</w:t>
      </w:r>
      <w:r/>
    </w:p>
    <w:p>
      <w:pPr>
        <w:pStyle w:val="1029"/>
        <w:ind w:firstLine="420"/>
        <w:jc w:val="both"/>
        <w:spacing w:line="360" w:lineRule="atLeast"/>
        <w:rPr>
          <w:rStyle w:val="1030"/>
          <w:rFonts w:hint="eastAsia" w:ascii="宋体" w:hAnsi="宋体" w:eastAsia="宋体" w:cs="宋体"/>
          <w:b w:val="0"/>
          <w:bCs w:val="0"/>
          <w:color w:val="auto"/>
          <w:highlight w:val="none"/>
          <w:lang w:val="en-US" w:eastAsia="zh-CN"/>
        </w:rPr>
      </w:pPr>
      <w:r>
        <w:rPr>
          <w:rStyle w:val="1030"/>
          <w:rFonts w:hint="eastAsia" w:ascii="宋体" w:hAnsi="宋体" w:eastAsia="宋体" w:cs="宋体"/>
          <w:b w:val="0"/>
          <w:bCs w:val="0"/>
          <w:color w:val="auto"/>
          <w:highlight w:val="none"/>
          <w:lang w:val="en-US" w:eastAsia="zh-CN"/>
        </w:rPr>
        <w:t xml:space="preserve">7、投标文件中家具外形、内部造型尺寸、重量允许有±5％偏差。</w:t>
      </w:r>
      <w:r/>
    </w:p>
    <w:p>
      <w:pPr>
        <w:pStyle w:val="1029"/>
        <w:ind w:firstLine="420"/>
        <w:jc w:val="both"/>
        <w:spacing w:line="360" w:lineRule="atLeast"/>
        <w:rPr>
          <w:rStyle w:val="1030"/>
          <w:rFonts w:hint="eastAsia" w:ascii="宋体" w:hAnsi="宋体" w:eastAsia="宋体" w:cs="宋体"/>
          <w:b w:val="0"/>
          <w:bCs w:val="0"/>
          <w:color w:val="auto"/>
          <w:highlight w:val="none"/>
          <w:lang w:val="en-US" w:eastAsia="zh-CN"/>
        </w:rPr>
      </w:pPr>
      <w:r>
        <w:rPr>
          <w:rStyle w:val="1030"/>
          <w:rFonts w:hint="eastAsia" w:ascii="宋体" w:hAnsi="宋体" w:eastAsia="宋体" w:cs="宋体"/>
          <w:b w:val="0"/>
          <w:bCs w:val="0"/>
          <w:color w:val="auto"/>
          <w:highlight w:val="none"/>
          <w:lang w:val="en-US" w:eastAsia="zh-CN"/>
        </w:rPr>
        <w:t xml:space="preserve">8、中标后，家具类标的物材质不得改变。在中标单价不变的前提下，各标的物的款式及颜色由采购单位确定，同时中标标的物的规格尺寸在±5％范围内由采购单位确定，中标单位自行承担相关费用，采购单位不予考虑。</w:t>
      </w:r>
      <w:r/>
    </w:p>
    <w:p>
      <w:pPr>
        <w:pStyle w:val="1029"/>
        <w:spacing w:before="240" w:after="240" w:line="360" w:lineRule="atLeast"/>
        <w:rPr>
          <w:rFonts w:hint="eastAsia" w:ascii="宋体" w:hAnsi="宋体" w:eastAsia="宋体" w:cs="宋体"/>
          <w:b/>
          <w:bCs/>
          <w:color w:val="auto"/>
          <w:highlight w:val="none"/>
          <w:lang w:val="en-US" w:eastAsia="zh-CN"/>
        </w:rPr>
      </w:pPr>
      <w:r>
        <w:rPr>
          <w:rFonts w:hint="eastAsia" w:ascii="宋体" w:hAnsi="宋体" w:eastAsia="宋体" w:cs="宋体"/>
          <w:b/>
          <w:bCs/>
          <w:color w:val="auto"/>
          <w:highlight w:val="none"/>
          <w:lang w:val="en-US" w:eastAsia="zh-CN"/>
        </w:rPr>
        <w:t xml:space="preserve">七</w:t>
      </w:r>
      <w:r>
        <w:rPr>
          <w:rFonts w:hint="eastAsia" w:ascii="宋体" w:hAnsi="宋体" w:eastAsia="宋体" w:cs="宋体"/>
          <w:b/>
          <w:bCs/>
          <w:color w:val="auto"/>
          <w:highlight w:val="none"/>
        </w:rPr>
        <w:t xml:space="preserve">、</w:t>
      </w:r>
      <w:r>
        <w:rPr>
          <w:rFonts w:hint="eastAsia" w:ascii="宋体" w:hAnsi="宋体" w:eastAsia="宋体" w:cs="宋体"/>
          <w:b/>
          <w:bCs/>
          <w:color w:val="auto"/>
          <w:highlight w:val="none"/>
          <w:lang w:val="zh-CN" w:eastAsia="zh-CN"/>
        </w:rPr>
        <w:t xml:space="preserve">★售后服务要求</w:t>
      </w:r>
      <w:r/>
    </w:p>
    <w:p>
      <w:pPr>
        <w:pStyle w:val="1029"/>
        <w:ind w:firstLine="420"/>
        <w:jc w:val="both"/>
        <w:spacing w:line="360" w:lineRule="atLeast"/>
        <w:rPr>
          <w:rStyle w:val="1030"/>
          <w:rFonts w:hint="eastAsia" w:ascii="宋体" w:hAnsi="宋体" w:eastAsia="宋体" w:cs="宋体"/>
          <w:b w:val="0"/>
          <w:bCs w:val="0"/>
          <w:color w:val="auto"/>
          <w:highlight w:val="none"/>
          <w:lang w:val="en-US" w:eastAsia="zh-CN"/>
        </w:rPr>
      </w:pPr>
      <w:r>
        <w:rPr>
          <w:rStyle w:val="1030"/>
          <w:rFonts w:hint="eastAsia" w:ascii="宋体" w:hAnsi="宋体" w:eastAsia="宋体" w:cs="宋体"/>
          <w:b w:val="0"/>
          <w:bCs w:val="0"/>
          <w:color w:val="auto"/>
          <w:highlight w:val="none"/>
          <w:lang w:val="en-US" w:eastAsia="zh-CN"/>
        </w:rPr>
        <w:t xml:space="preserve">投标人需在投标文件中针对以下要求做出响应承诺函，未做响应会被判定未实质性响应招标文件。</w:t>
      </w:r>
      <w:r/>
    </w:p>
    <w:p>
      <w:pPr>
        <w:pStyle w:val="1029"/>
        <w:ind w:firstLine="420"/>
        <w:jc w:val="both"/>
        <w:spacing w:line="360" w:lineRule="atLeast"/>
        <w:rPr>
          <w:rStyle w:val="1030"/>
          <w:rFonts w:hint="eastAsia" w:ascii="宋体" w:hAnsi="宋体" w:eastAsia="宋体" w:cs="宋体"/>
          <w:b w:val="0"/>
          <w:bCs w:val="0"/>
          <w:color w:val="auto"/>
          <w:highlight w:val="none"/>
          <w:lang w:val="en-US" w:eastAsia="zh-CN"/>
        </w:rPr>
      </w:pPr>
      <w:r>
        <w:rPr>
          <w:rStyle w:val="1030"/>
          <w:rFonts w:hint="eastAsia" w:ascii="宋体" w:hAnsi="宋体" w:eastAsia="宋体" w:cs="宋体"/>
          <w:b w:val="0"/>
          <w:bCs w:val="0"/>
          <w:color w:val="auto"/>
          <w:highlight w:val="none"/>
          <w:lang w:val="en-US" w:eastAsia="zh-CN"/>
        </w:rPr>
        <w:t xml:space="preserve">1、质保期：3年免费质保。（自验收合格之日起算）质保期内应免费提供技术服务，技术服务包括系统的维护、维修（包括更换仪器及零配件等）和技术支持，终身支持进行必要的软件升级。在质保期内，供货方应对由于设计、工艺或材料的缺陷所发生的任何不足或故障负责，所需费用由供货方承担。</w:t>
      </w:r>
      <w:r/>
    </w:p>
    <w:p>
      <w:pPr>
        <w:pStyle w:val="1029"/>
        <w:ind w:firstLine="420"/>
        <w:jc w:val="both"/>
        <w:spacing w:line="360" w:lineRule="atLeast"/>
        <w:rPr>
          <w:rStyle w:val="1030"/>
          <w:rFonts w:hint="eastAsia" w:ascii="宋体" w:hAnsi="宋体" w:eastAsia="宋体" w:cs="宋体"/>
          <w:b w:val="0"/>
          <w:bCs w:val="0"/>
          <w:color w:val="auto"/>
          <w:highlight w:val="none"/>
          <w:lang w:val="en-US" w:eastAsia="zh-CN"/>
        </w:rPr>
      </w:pPr>
      <w:r>
        <w:rPr>
          <w:rStyle w:val="1030"/>
          <w:rFonts w:hint="eastAsia" w:ascii="宋体" w:hAnsi="宋体" w:eastAsia="宋体" w:cs="宋体"/>
          <w:b w:val="0"/>
          <w:bCs w:val="0"/>
          <w:color w:val="auto"/>
          <w:highlight w:val="none"/>
          <w:lang w:val="en-US" w:eastAsia="zh-CN"/>
        </w:rPr>
        <w:t xml:space="preserve">2、质保期内所有因更换或修理货物或部件而导致停止运行的时间应从其质保期内扣除；供货方在质保期内安装的任何零配件，必须是其投标设备生产制造厂商原产的或是经其认可的。</w:t>
      </w:r>
      <w:r/>
    </w:p>
    <w:p>
      <w:pPr>
        <w:pStyle w:val="1029"/>
        <w:ind w:firstLine="420"/>
        <w:jc w:val="both"/>
        <w:spacing w:line="360" w:lineRule="atLeast"/>
        <w:rPr>
          <w:rStyle w:val="1030"/>
          <w:rFonts w:hint="eastAsia" w:ascii="宋体" w:hAnsi="宋体" w:eastAsia="宋体" w:cs="宋体"/>
          <w:b w:val="0"/>
          <w:bCs w:val="0"/>
          <w:color w:val="auto"/>
          <w:highlight w:val="none"/>
          <w:lang w:val="en-US" w:eastAsia="zh-CN"/>
        </w:rPr>
      </w:pPr>
      <w:r>
        <w:rPr>
          <w:rStyle w:val="1030"/>
          <w:rFonts w:hint="eastAsia" w:ascii="宋体" w:hAnsi="宋体" w:eastAsia="宋体" w:cs="宋体"/>
          <w:b w:val="0"/>
          <w:bCs w:val="0"/>
          <w:color w:val="auto"/>
          <w:highlight w:val="none"/>
          <w:lang w:val="en-US" w:eastAsia="zh-CN"/>
        </w:rPr>
        <w:t xml:space="preserve">3、在质保期内，供货方有责任解决所销售设备和软件系统的任何问题。</w:t>
      </w:r>
      <w:r/>
    </w:p>
    <w:p>
      <w:pPr>
        <w:pStyle w:val="1029"/>
        <w:ind w:firstLine="420"/>
        <w:jc w:val="both"/>
        <w:spacing w:line="360" w:lineRule="atLeast"/>
        <w:rPr>
          <w:rStyle w:val="1030"/>
          <w:rFonts w:hint="eastAsia" w:ascii="宋体" w:hAnsi="宋体" w:eastAsia="宋体" w:cs="宋体"/>
          <w:b w:val="0"/>
          <w:bCs w:val="0"/>
          <w:color w:val="auto"/>
          <w:highlight w:val="none"/>
          <w:lang w:val="en-US" w:eastAsia="zh-CN"/>
        </w:rPr>
      </w:pPr>
      <w:r>
        <w:rPr>
          <w:rStyle w:val="1030"/>
          <w:rFonts w:hint="eastAsia" w:ascii="宋体" w:hAnsi="宋体" w:eastAsia="宋体" w:cs="宋体"/>
          <w:b w:val="0"/>
          <w:bCs w:val="0"/>
          <w:color w:val="auto"/>
          <w:highlight w:val="none"/>
          <w:lang w:val="en-US" w:eastAsia="zh-CN"/>
        </w:rPr>
        <w:t xml:space="preserve">4、质保期内提供免费上门维护、升级服务，提供报修电话，如设备出现故障，供货方在接到电话后，4小时内响应，24小时以内到现场处理，48小时内修复，现场不能修复的，必须无偿提供采购物品的备用件或整机等措施，以保证采购方的正常使用。出现故障后，供货方如未按上述要求进行响应，采购方可以采取必要的补救措施，由此产生的费用将由供货方承担。</w:t>
      </w:r>
      <w:r/>
    </w:p>
    <w:p>
      <w:pPr>
        <w:pStyle w:val="1029"/>
        <w:ind w:firstLine="420"/>
        <w:jc w:val="both"/>
        <w:spacing w:line="360" w:lineRule="atLeast"/>
        <w:rPr>
          <w:rStyle w:val="1030"/>
          <w:rFonts w:hint="eastAsia" w:ascii="宋体" w:hAnsi="宋体" w:eastAsia="宋体" w:cs="宋体"/>
          <w:b w:val="0"/>
          <w:bCs w:val="0"/>
          <w:color w:val="auto"/>
          <w:highlight w:val="none"/>
          <w:lang w:val="en-US" w:eastAsia="zh-CN"/>
        </w:rPr>
      </w:pPr>
      <w:r>
        <w:rPr>
          <w:rStyle w:val="1030"/>
          <w:rFonts w:hint="eastAsia" w:ascii="宋体" w:hAnsi="宋体" w:eastAsia="宋体" w:cs="宋体"/>
          <w:b w:val="0"/>
          <w:bCs w:val="0"/>
          <w:color w:val="auto"/>
          <w:highlight w:val="none"/>
          <w:lang w:val="en-US" w:eastAsia="zh-CN"/>
        </w:rPr>
        <w:t xml:space="preserve">5、质保期满后，每年定期上门免费维护至少1次。</w:t>
      </w:r>
      <w:r/>
    </w:p>
    <w:p>
      <w:pPr>
        <w:pStyle w:val="1029"/>
        <w:spacing w:before="240" w:after="240" w:line="360" w:lineRule="atLeast"/>
        <w:rPr>
          <w:rFonts w:hint="eastAsia" w:ascii="宋体" w:hAnsi="宋体" w:eastAsia="宋体" w:cs="宋体"/>
          <w:b/>
          <w:bCs/>
          <w:color w:val="auto"/>
          <w:highlight w:val="none"/>
          <w:lang w:val="zh-CN" w:eastAsia="zh-CN"/>
        </w:rPr>
      </w:pPr>
      <w:r>
        <w:rPr>
          <w:rFonts w:hint="eastAsia" w:ascii="宋体" w:hAnsi="宋体" w:eastAsia="宋体" w:cs="宋体"/>
          <w:b/>
          <w:bCs/>
          <w:color w:val="auto"/>
          <w:highlight w:val="none"/>
          <w:lang w:val="en-US" w:eastAsia="zh-CN"/>
        </w:rPr>
        <w:t xml:space="preserve">八</w:t>
      </w:r>
      <w:r>
        <w:rPr>
          <w:rFonts w:hint="eastAsia" w:ascii="宋体" w:hAnsi="宋体" w:eastAsia="宋体" w:cs="宋体"/>
          <w:b/>
          <w:bCs/>
          <w:color w:val="auto"/>
          <w:highlight w:val="none"/>
        </w:rPr>
        <w:t xml:space="preserve">、</w:t>
      </w:r>
      <w:r>
        <w:rPr>
          <w:rFonts w:hint="eastAsia" w:ascii="宋体" w:hAnsi="宋体" w:eastAsia="宋体" w:cs="宋体"/>
          <w:b/>
          <w:bCs/>
          <w:color w:val="auto"/>
          <w:highlight w:val="none"/>
          <w:lang w:val="zh-CN" w:eastAsia="zh-CN"/>
        </w:rPr>
        <w:t xml:space="preserve">★验收要求</w:t>
      </w:r>
      <w:r/>
    </w:p>
    <w:p>
      <w:pPr>
        <w:pStyle w:val="1029"/>
        <w:ind w:firstLine="420"/>
        <w:jc w:val="both"/>
        <w:spacing w:line="360" w:lineRule="atLeast"/>
        <w:rPr>
          <w:rStyle w:val="1030"/>
          <w:rFonts w:hint="eastAsia" w:ascii="宋体" w:hAnsi="宋体" w:eastAsia="宋体" w:cs="宋体"/>
          <w:b w:val="0"/>
          <w:bCs w:val="0"/>
          <w:color w:val="auto"/>
          <w:highlight w:val="none"/>
          <w:lang w:val="en-US" w:eastAsia="zh-CN"/>
        </w:rPr>
      </w:pPr>
      <w:r>
        <w:rPr>
          <w:rStyle w:val="1030"/>
          <w:rFonts w:hint="eastAsia" w:ascii="宋体" w:hAnsi="宋体" w:eastAsia="宋体" w:cs="宋体"/>
          <w:b w:val="0"/>
          <w:bCs w:val="0"/>
          <w:color w:val="auto"/>
          <w:highlight w:val="none"/>
          <w:lang w:val="en-US" w:eastAsia="zh-CN"/>
        </w:rPr>
        <w:t xml:space="preserve">投标人需在投标文件中针对以下要求做出响应承诺函，未做响应会被判定未实质性响应招标文件。</w:t>
      </w:r>
      <w:r/>
    </w:p>
    <w:p>
      <w:pPr>
        <w:pStyle w:val="1029"/>
        <w:ind w:firstLine="420"/>
        <w:jc w:val="both"/>
        <w:spacing w:line="360" w:lineRule="atLeast"/>
        <w:rPr>
          <w:rStyle w:val="1030"/>
          <w:rFonts w:hint="eastAsia" w:ascii="宋体" w:hAnsi="宋体" w:eastAsia="宋体" w:cs="宋体"/>
          <w:b w:val="0"/>
          <w:bCs w:val="0"/>
          <w:color w:val="auto"/>
          <w:highlight w:val="none"/>
          <w:lang w:val="en-US" w:eastAsia="zh-CN"/>
        </w:rPr>
      </w:pPr>
      <w:r>
        <w:rPr>
          <w:rStyle w:val="1030"/>
          <w:rFonts w:hint="eastAsia" w:ascii="宋体" w:hAnsi="宋体" w:eastAsia="宋体" w:cs="宋体"/>
          <w:b w:val="0"/>
          <w:bCs w:val="0"/>
          <w:color w:val="auto"/>
          <w:highlight w:val="none"/>
          <w:lang w:val="en-US" w:eastAsia="zh-CN"/>
        </w:rPr>
        <w:t xml:space="preserve">1、供应商负责设备供货、安装、调试，并确保所有产品能正常运行、使用。</w:t>
      </w:r>
      <w:r/>
    </w:p>
    <w:p>
      <w:pPr>
        <w:pStyle w:val="1029"/>
        <w:ind w:firstLine="420"/>
        <w:jc w:val="both"/>
        <w:spacing w:line="360" w:lineRule="atLeast"/>
        <w:rPr>
          <w:rStyle w:val="1030"/>
          <w:rFonts w:hint="eastAsia" w:ascii="宋体" w:hAnsi="宋体" w:eastAsia="宋体" w:cs="宋体"/>
          <w:b w:val="0"/>
          <w:bCs w:val="0"/>
          <w:color w:val="auto"/>
          <w:highlight w:val="none"/>
          <w:lang w:val="en-US" w:eastAsia="zh-CN"/>
        </w:rPr>
      </w:pPr>
      <w:r>
        <w:rPr>
          <w:rStyle w:val="1030"/>
          <w:rFonts w:hint="eastAsia" w:ascii="宋体" w:hAnsi="宋体" w:eastAsia="宋体" w:cs="宋体"/>
          <w:b w:val="0"/>
          <w:bCs w:val="0"/>
          <w:color w:val="auto"/>
          <w:highlight w:val="none"/>
          <w:lang w:val="en-US" w:eastAsia="zh-CN"/>
        </w:rPr>
        <w:t xml:space="preserve">2、设备安装调试后一个月内进行验收。设备安装后供应商应向采购人提供详细的验收材料。</w:t>
      </w:r>
      <w:r/>
    </w:p>
    <w:p>
      <w:pPr>
        <w:pStyle w:val="1029"/>
        <w:ind w:firstLine="420"/>
        <w:jc w:val="both"/>
        <w:spacing w:line="360" w:lineRule="atLeast"/>
        <w:rPr>
          <w:rStyle w:val="1030"/>
          <w:rFonts w:hint="eastAsia" w:ascii="宋体" w:hAnsi="宋体" w:eastAsia="宋体" w:cs="宋体"/>
          <w:b w:val="0"/>
          <w:bCs w:val="0"/>
          <w:color w:val="auto"/>
          <w:highlight w:val="none"/>
          <w:lang w:val="en-US" w:eastAsia="zh-CN"/>
        </w:rPr>
      </w:pPr>
      <w:r>
        <w:rPr>
          <w:rStyle w:val="1030"/>
          <w:rFonts w:hint="eastAsia" w:ascii="宋体" w:hAnsi="宋体" w:eastAsia="宋体" w:cs="宋体"/>
          <w:b w:val="0"/>
          <w:bCs w:val="0"/>
          <w:color w:val="auto"/>
          <w:highlight w:val="none"/>
          <w:lang w:val="en-US" w:eastAsia="zh-CN"/>
        </w:rPr>
        <w:t xml:space="preserve">3、如验收中出现不符合采购人招标文件、供应商投标文件及相关国家行业标准规范时，采购人给予供应商10天（包含非工作日）时间进行整改并再次验收，若验收再次不合格，采购人有权利单方面终止合同，并保留索赔权利。</w:t>
      </w:r>
      <w:r/>
    </w:p>
    <w:p>
      <w:pPr>
        <w:pStyle w:val="1029"/>
        <w:ind w:firstLine="420"/>
        <w:jc w:val="both"/>
        <w:spacing w:line="360" w:lineRule="atLeast"/>
        <w:rPr>
          <w:rStyle w:val="1030"/>
          <w:rFonts w:hint="eastAsia" w:ascii="宋体" w:hAnsi="宋体" w:eastAsia="宋体" w:cs="宋体"/>
          <w:b w:val="0"/>
          <w:bCs w:val="0"/>
          <w:color w:val="auto"/>
          <w:highlight w:val="none"/>
          <w:lang w:val="en-US" w:eastAsia="zh-CN"/>
        </w:rPr>
      </w:pPr>
      <w:r>
        <w:rPr>
          <w:rStyle w:val="1030"/>
          <w:rFonts w:hint="eastAsia" w:ascii="宋体" w:hAnsi="宋体" w:eastAsia="宋体" w:cs="宋体"/>
          <w:b w:val="0"/>
          <w:bCs w:val="0"/>
          <w:color w:val="auto"/>
          <w:highlight w:val="none"/>
          <w:lang w:val="en-US" w:eastAsia="zh-CN"/>
        </w:rPr>
        <w:t xml:space="preserve">4、验收过程中采购人如发现货物短缺、质次、损坏、与招标文件及质量要求和标准、产地和规格等不符合问题，由供应商立即无条件调换或补齐，同时由供应商承担因此而产生的工期延误等所造成的一切损失。</w:t>
      </w:r>
      <w:r/>
    </w:p>
    <w:p>
      <w:pPr>
        <w:pStyle w:val="1029"/>
        <w:spacing w:before="240" w:after="240" w:line="360" w:lineRule="atLeast"/>
        <w:rPr>
          <w:rFonts w:hint="eastAsia" w:ascii="宋体" w:hAnsi="宋体" w:eastAsia="宋体" w:cs="宋体"/>
          <w:b/>
          <w:bCs/>
          <w:color w:val="auto"/>
          <w:highlight w:val="none"/>
          <w:lang w:val="zh-CN" w:eastAsia="zh-CN"/>
        </w:rPr>
      </w:pPr>
      <w:r>
        <w:rPr>
          <w:rFonts w:hint="eastAsia" w:ascii="宋体" w:hAnsi="宋体" w:eastAsia="宋体" w:cs="宋体"/>
          <w:b/>
          <w:bCs/>
          <w:color w:val="auto"/>
          <w:highlight w:val="none"/>
          <w:lang w:val="en-US" w:eastAsia="zh-CN"/>
        </w:rPr>
        <w:t xml:space="preserve">九、</w:t>
      </w:r>
      <w:r>
        <w:rPr>
          <w:rFonts w:hint="eastAsia" w:ascii="宋体" w:hAnsi="宋体" w:eastAsia="宋体" w:cs="宋体"/>
          <w:b/>
          <w:bCs/>
          <w:color w:val="auto"/>
          <w:highlight w:val="none"/>
          <w:lang w:val="zh-CN" w:eastAsia="zh-CN"/>
        </w:rPr>
        <w:t xml:space="preserve">★服务期限及地点</w:t>
      </w:r>
      <w:r/>
    </w:p>
    <w:p>
      <w:pPr>
        <w:pStyle w:val="1029"/>
        <w:ind w:firstLine="420"/>
        <w:jc w:val="both"/>
        <w:spacing w:line="360" w:lineRule="atLeast"/>
        <w:rPr>
          <w:rStyle w:val="1030"/>
          <w:rFonts w:hint="eastAsia" w:ascii="宋体" w:hAnsi="宋体" w:eastAsia="宋体" w:cs="宋体"/>
          <w:b w:val="0"/>
          <w:bCs w:val="0"/>
          <w:color w:val="auto"/>
          <w:highlight w:val="none"/>
          <w:lang w:val="en-US" w:eastAsia="zh-CN"/>
        </w:rPr>
      </w:pPr>
      <w:r>
        <w:rPr>
          <w:rStyle w:val="1030"/>
          <w:rFonts w:hint="eastAsia" w:ascii="宋体" w:hAnsi="宋体" w:eastAsia="宋体" w:cs="宋体"/>
          <w:b w:val="0"/>
          <w:bCs w:val="0"/>
          <w:color w:val="auto"/>
          <w:highlight w:val="none"/>
          <w:lang w:val="en-US" w:eastAsia="zh-CN"/>
        </w:rPr>
        <w:t xml:space="preserve">投标人需在投标文件中针对以下要求做出响应承诺函，未做响应会被判定未实质性响应招标文件。</w:t>
      </w:r>
      <w:r/>
    </w:p>
    <w:p>
      <w:pPr>
        <w:pStyle w:val="1029"/>
        <w:ind w:firstLine="420"/>
        <w:jc w:val="both"/>
        <w:spacing w:line="360" w:lineRule="atLeast"/>
        <w:rPr>
          <w:rStyle w:val="1030"/>
          <w:rFonts w:hint="eastAsia" w:ascii="宋体" w:hAnsi="宋体" w:eastAsia="宋体" w:cs="宋体"/>
          <w:b w:val="0"/>
          <w:bCs w:val="0"/>
          <w:color w:val="auto"/>
          <w:highlight w:val="none"/>
          <w:lang w:val="en-US" w:eastAsia="zh-CN"/>
        </w:rPr>
      </w:pPr>
      <w:r>
        <w:rPr>
          <w:rStyle w:val="1030"/>
          <w:rFonts w:hint="eastAsia" w:ascii="宋体" w:hAnsi="宋体" w:eastAsia="宋体" w:cs="宋体"/>
          <w:b w:val="0"/>
          <w:bCs w:val="0"/>
          <w:color w:val="auto"/>
          <w:highlight w:val="none"/>
          <w:lang w:val="en-US" w:eastAsia="zh-CN"/>
        </w:rPr>
        <w:t xml:space="preserve">（1）交付时间：合同签订后45个日历天完工。</w:t>
      </w:r>
      <w:r/>
    </w:p>
    <w:p>
      <w:pPr>
        <w:pStyle w:val="1029"/>
        <w:ind w:firstLine="420"/>
        <w:jc w:val="both"/>
        <w:spacing w:line="360" w:lineRule="atLeast"/>
        <w:rPr>
          <w:rStyle w:val="1030"/>
          <w:rFonts w:hint="eastAsia" w:ascii="宋体" w:hAnsi="宋体" w:eastAsia="宋体" w:cs="宋体"/>
          <w:b w:val="0"/>
          <w:bCs w:val="0"/>
          <w:color w:val="auto"/>
          <w:highlight w:val="none"/>
          <w:lang w:val="en-US" w:eastAsia="zh-CN"/>
        </w:rPr>
      </w:pPr>
      <w:r>
        <w:rPr>
          <w:rStyle w:val="1030"/>
          <w:rFonts w:hint="eastAsia" w:ascii="宋体" w:hAnsi="宋体" w:eastAsia="宋体" w:cs="宋体"/>
          <w:b w:val="0"/>
          <w:bCs w:val="0"/>
          <w:color w:val="auto"/>
          <w:highlight w:val="none"/>
          <w:lang w:val="en-US" w:eastAsia="zh-CN"/>
        </w:rPr>
        <w:t xml:space="preserve">（2）送货地点：中标供应商负责将货物运到采购人指定地点，由中标供应商负责办理运输和装卸等，费用由中标供应商负责，由采购人组织验收，检验不合格或不符合质量要求，中标供应商除无条件退货、返工外，还应承担采购人的一切损失。</w:t>
      </w:r>
      <w:r/>
    </w:p>
    <w:p>
      <w:pPr>
        <w:pStyle w:val="1029"/>
        <w:ind w:firstLine="420"/>
        <w:jc w:val="both"/>
        <w:spacing w:line="360" w:lineRule="atLeast"/>
        <w:rPr>
          <w:rStyle w:val="1030"/>
          <w:rFonts w:hint="eastAsia" w:ascii="宋体" w:hAnsi="宋体" w:eastAsia="宋体" w:cs="宋体"/>
          <w:b w:val="0"/>
          <w:bCs w:val="0"/>
          <w:color w:val="auto"/>
          <w:highlight w:val="none"/>
          <w:lang w:val="en-US" w:eastAsia="zh-CN"/>
        </w:rPr>
      </w:pPr>
      <w:r>
        <w:rPr>
          <w:rFonts w:hint="eastAsia" w:ascii="宋体" w:hAnsi="宋体" w:eastAsia="宋体" w:cs="宋体"/>
          <w:b w:val="0"/>
          <w:bCs w:val="0"/>
          <w:color w:val="auto"/>
          <w:highlight w:val="none"/>
          <w:lang w:val="en-US" w:eastAsia="zh-CN"/>
        </w:rPr>
      </w:r>
      <w:r/>
    </w:p>
    <w:p>
      <w:pPr>
        <w:jc w:val="center"/>
        <w:rPr>
          <w:rFonts w:hint="eastAsia" w:ascii="宋体" w:hAnsi="宋体" w:eastAsia="宋体" w:cs="宋体"/>
          <w:color w:val="auto"/>
          <w:sz w:val="36"/>
          <w:szCs w:val="36"/>
          <w:highlight w:val="none"/>
        </w:rPr>
      </w:pPr>
      <w:r>
        <w:rPr>
          <w:rFonts w:hint="eastAsia" w:cs="宋体"/>
          <w:color w:val="auto"/>
          <w:sz w:val="22"/>
          <w:highlight w:val="none"/>
        </w:rPr>
        <w:br w:type="page" w:clear="all"/>
      </w:r>
      <w:r>
        <w:rPr>
          <w:rFonts w:hint="eastAsia" w:ascii="宋体" w:hAnsi="宋体" w:eastAsia="宋体" w:cs="宋体"/>
          <w:color w:val="auto"/>
          <w:sz w:val="36"/>
          <w:szCs w:val="36"/>
          <w:highlight w:val="none"/>
        </w:rPr>
        <w:t xml:space="preserve">第五部分    </w:t>
      </w:r>
      <w:bookmarkStart w:id="229" w:name="_Toc98669730"/>
      <w:r/>
      <w:bookmarkStart w:id="230" w:name="_Toc98669372"/>
      <w:r/>
      <w:bookmarkStart w:id="231" w:name="_Toc76955302"/>
      <w:r/>
      <w:bookmarkStart w:id="232" w:name="_Toc20821546"/>
      <w:r/>
      <w:bookmarkStart w:id="233" w:name="_Toc100386076"/>
      <w:r>
        <w:rPr>
          <w:rFonts w:hint="eastAsia" w:ascii="宋体" w:hAnsi="宋体" w:eastAsia="宋体" w:cs="宋体"/>
          <w:color w:val="auto"/>
          <w:sz w:val="36"/>
          <w:szCs w:val="36"/>
          <w:highlight w:val="none"/>
        </w:rPr>
        <w:t xml:space="preserve">评标办法和标准</w:t>
      </w:r>
      <w:r/>
    </w:p>
    <w:p>
      <w:pPr>
        <w:pStyle w:val="1022"/>
        <w:ind w:firstLine="446"/>
        <w:keepLines w:val="0"/>
        <w:keepNext w:val="0"/>
        <w:spacing w:before="200" w:after="200" w:line="360" w:lineRule="auto"/>
        <w:rPr>
          <w:rFonts w:hint="eastAsia" w:ascii="宋体" w:hAnsi="宋体" w:eastAsia="宋体" w:cs="宋体"/>
          <w:color w:val="auto"/>
          <w:sz w:val="30"/>
          <w:highlight w:val="none"/>
        </w:rPr>
      </w:pPr>
      <w:r>
        <w:rPr>
          <w:rFonts w:hint="eastAsia" w:ascii="宋体" w:hAnsi="宋体" w:eastAsia="宋体" w:cs="宋体"/>
          <w:color w:val="auto"/>
          <w:sz w:val="30"/>
          <w:highlight w:val="none"/>
        </w:rPr>
        <w:t xml:space="preserve">1.采购代理机构职责</w:t>
      </w:r>
      <w:r/>
    </w:p>
    <w:p>
      <w:pPr>
        <w:pStyle w:val="1023"/>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 采购代理机构负责组织评标工作，并履行下列职责：</w:t>
      </w:r>
      <w:r/>
    </w:p>
    <w:p>
      <w:pPr>
        <w:pStyle w:val="1023"/>
        <w:ind w:firstLine="36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（1）核对评审专家身份和采购人代表授权函，对评审专家在政府采购活动中的职责履行情况予以记录，并及时将有关违法违规行为向政府采购监管部门报告；</w:t>
      </w:r>
      <w:r/>
    </w:p>
    <w:p>
      <w:pPr>
        <w:pStyle w:val="1023"/>
        <w:ind w:firstLine="36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（2）宣布评标纪律；</w:t>
      </w:r>
      <w:r/>
    </w:p>
    <w:p>
      <w:pPr>
        <w:pStyle w:val="1023"/>
        <w:ind w:firstLine="36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（3）公布投标人名单，告知评审专家应当回避的情形；</w:t>
      </w:r>
      <w:r/>
    </w:p>
    <w:p>
      <w:pPr>
        <w:pStyle w:val="1023"/>
        <w:ind w:firstLine="36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（4）组织评标委员会推选评标组长，采购人代表不得担任组长；</w:t>
      </w:r>
      <w:r/>
    </w:p>
    <w:p>
      <w:pPr>
        <w:pStyle w:val="1023"/>
        <w:ind w:firstLine="36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（5）在评标期间采取必要的通讯管理措施，保证评标活动不受外界干扰；</w:t>
      </w:r>
      <w:r/>
    </w:p>
    <w:p>
      <w:pPr>
        <w:pStyle w:val="1023"/>
        <w:ind w:firstLine="36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（6）根据评标委员会的要求介绍政府采购相关政策法规、招标文件；</w:t>
      </w:r>
      <w:r/>
    </w:p>
    <w:p>
      <w:pPr>
        <w:pStyle w:val="1023"/>
        <w:ind w:firstLine="36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（7）维护评标秩序，监督评标委员会依照招标文件规定的评标程序、方法和标准进行独立评审，及时制止和纠正采购人代表、评审专家的倾向性言论或者违法违规行为；</w:t>
      </w:r>
      <w:r/>
    </w:p>
    <w:p>
      <w:pPr>
        <w:pStyle w:val="1023"/>
        <w:ind w:firstLine="36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8）核对评标结果，有《政府采购货物和服务招标投标管理办法》（财政部87号令）第六十四条规定情形的，要求评标委员会复核或者书面说明理由，评标委员会拒绝的，应予记录并向本级政府采购监管部门报告；</w:t>
      </w:r>
      <w:r/>
    </w:p>
    <w:p>
      <w:pPr>
        <w:pStyle w:val="1023"/>
        <w:ind w:firstLine="36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（9）评审工作完成后，按照规定向评审专家支付劳务报酬和异地评审差旅费，不得向评审专家以外的其他人员支付评审劳务报酬；</w:t>
      </w:r>
      <w:r/>
    </w:p>
    <w:p>
      <w:pPr>
        <w:pStyle w:val="1023"/>
        <w:ind w:firstLine="36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（10）处理与评标有关的其他事项。</w:t>
      </w:r>
      <w:r/>
    </w:p>
    <w:p>
      <w:pPr>
        <w:pStyle w:val="1022"/>
        <w:ind w:firstLine="446"/>
        <w:keepLines w:val="0"/>
        <w:keepNext w:val="0"/>
        <w:spacing w:before="200" w:after="200" w:line="360" w:lineRule="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2.评标委员会职责</w:t>
      </w:r>
      <w:r/>
    </w:p>
    <w:p>
      <w:pPr>
        <w:pStyle w:val="1022"/>
        <w:ind w:firstLine="480"/>
        <w:keepLines w:val="0"/>
        <w:keepNext w:val="0"/>
        <w:spacing w:before="0" w:after="0" w:line="360" w:lineRule="auto"/>
        <w:rPr>
          <w:rFonts w:hint="eastAsia" w:ascii="宋体" w:hAnsi="宋体" w:eastAsia="宋体" w:cs="宋体"/>
          <w:color w:val="auto"/>
          <w:sz w:val="24"/>
          <w:szCs w:val="24"/>
          <w:highlight w:val="none"/>
        </w:rPr>
      </w:pPr>
      <w:r>
        <w:rPr>
          <w:rFonts w:hint="eastAsia" w:ascii="宋体" w:hAnsi="宋体" w:eastAsia="宋体" w:cs="宋体"/>
          <w:b w:val="0"/>
          <w:color w:val="auto"/>
          <w:sz w:val="24"/>
          <w:szCs w:val="24"/>
          <w:highlight w:val="none"/>
        </w:rPr>
        <w:t xml:space="preserve">2.1 评标委员会负责具体评标事务，并独立履行下列职责： </w:t>
      </w:r>
      <w:r/>
    </w:p>
    <w:p>
      <w:pPr>
        <w:ind w:firstLine="42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（1）审查、评价投标文件是否符合招标文件的商务、技术等实质性要求；  </w:t>
      </w:r>
      <w:r/>
    </w:p>
    <w:p>
      <w:pPr>
        <w:ind w:firstLine="42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（2）要求投标人对投标文件有关事项作出澄清或者说明；  </w:t>
      </w:r>
      <w:r/>
    </w:p>
    <w:p>
      <w:pPr>
        <w:ind w:firstLine="42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（3）对投标文件进行比较和评价；  </w:t>
      </w:r>
      <w:r/>
    </w:p>
    <w:p>
      <w:pPr>
        <w:ind w:firstLine="42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（4）确定中标候选人名单，以及根据采购人委托直接确定中标人；  </w:t>
      </w:r>
      <w:r/>
    </w:p>
    <w:p>
      <w:pPr>
        <w:ind w:firstLine="42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（5）向采购人、采购代理机构或者有关部门报告评标中发现的违法行为。</w:t>
      </w:r>
      <w:r/>
    </w:p>
    <w:p>
      <w:pPr>
        <w:pStyle w:val="1022"/>
        <w:ind w:firstLine="446"/>
        <w:keepLines w:val="0"/>
        <w:keepNext w:val="0"/>
        <w:spacing w:before="200" w:after="200" w:line="360" w:lineRule="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3.评标注意事项</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3.1评标时，评标委员会各成员应当独立对每个投标人的投标文件进行评价，并汇总每个投标人的得分。</w:t>
      </w:r>
      <w:r/>
    </w:p>
    <w:p>
      <w:pPr>
        <w:ind w:left="1" w:firstLine="480"/>
        <w:spacing w:line="360" w:lineRule="auto"/>
        <w:rPr>
          <w:rFonts w:hint="eastAsia" w:ascii="宋体" w:hAnsi="宋体" w:eastAsia="宋体" w:cs="宋体"/>
          <w:b/>
          <w:color w:val="auto"/>
          <w:sz w:val="24"/>
          <w:highlight w:val="none"/>
          <w:u w:val="single"/>
        </w:rPr>
      </w:pPr>
      <w:r>
        <w:rPr>
          <w:rFonts w:hint="eastAsia" w:ascii="宋体" w:hAnsi="宋体" w:eastAsia="宋体" w:cs="宋体"/>
          <w:color w:val="auto"/>
          <w:sz w:val="24"/>
          <w:highlight w:val="none"/>
        </w:rPr>
        <w:t xml:space="preserve">3.2</w:t>
      </w:r>
      <w:r>
        <w:rPr>
          <w:rFonts w:hint="eastAsia" w:ascii="宋体" w:hAnsi="宋体" w:eastAsia="宋体" w:cs="宋体"/>
          <w:b/>
          <w:color w:val="auto"/>
          <w:sz w:val="24"/>
          <w:highlight w:val="none"/>
          <w:u w:val="single"/>
        </w:rPr>
        <w:t xml:space="preserve">评标委员会认为投标人的报价明显低于其他通过符合性审查投标人的报价，有可能影响服务质量或者不能诚信履约的，应当要求其在评标现场合理的时间内提供书面说明，必要时提交相关证明材料。投标人不能证明其报价合理性的，评标委员会应当将其作为无效投标处理。</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3.3对于投标文件中含义不明确、同类问题表述不一致或者有明显文字和计算错误的内容，评标委员会应当以书面形式要求投标人作出必要的澄清、说明或者补正。</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3.4评标委员会成员对需要共同认定的事项存在争议的，应当按照少数服从多数的原则作出结论。持不同意见的评标委员会成员应当在评标报告上签署不同意见及理由，否则视为同意评标报告。</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3.5评标委员会及其成员不得有下列行为：</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（1）确定参与评标至评标结束前私自接触投标人；</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（2）接受投标人提出的与投标文件不一致的澄清或者说明，《政府采购货物和服务招标投标管理办法》（财政部87号令）第五十一条规定的情形除外；</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（3）违反评标纪律发表倾向性意见或者征询采购人的倾向性意见；</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（4）对需要专业判断的主观评审因素协商评分；</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（5）在评标过程中擅离职守，影响评标程序正常进行；</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（6）记录、复制或者带走任何评标资料；</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（7）其他不遵守评标纪律的行为。</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评标委员会成员有上述第一至五项行为之一的，其评审意见无效，并不得获取评审劳务报酬和报销异地评审差旅费。</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3.6评标中因评标委员会成员缺席、回避或者健康等特殊原因导致评标委员会组成不符合相关法律法规规定的，采购人或采购代理机构将依法补足后继续评标，被更换的评标委员会成员所作出的评标意见无效。无法及时补足评标委员会成员的，采购人或采购代理机构将停止评标活动，封存所有投标文件和开标、评标资料，依法重新组建评标委员会进行评标，原评标委员会所作出的评标意见无效。采购人或采购代理机构将变更、重新组建评标委员会的情况予以记录，并随采购文件一并存档。</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3.7评标委员会发现招标文件存在歧义、重大缺陷导致评标工作无法进行，或者招标文件内容违反国家有关强制性规定的，应当停止评标工作，与采购人或采购代理机构沟通并作书面记录。采购人或采购代理机构确认后，应当修改招标文件，重新组织采购活动。</w:t>
      </w:r>
      <w:r/>
    </w:p>
    <w:p>
      <w:pPr>
        <w:pStyle w:val="1022"/>
        <w:ind w:firstLine="446"/>
        <w:keepLines w:val="0"/>
        <w:keepNext w:val="0"/>
        <w:spacing w:before="200" w:after="200" w:line="360" w:lineRule="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4.评标过程的保密</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4.1 评标开始后，至向中标的投标人授予合同时止，与审查、澄清、评价和比较投标的有关资料以及授标建议等，均不得向投标人以及与评标无关的其他人员透露。</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4.2 在评标过程中，如果投标人试图在投标文件审查、澄清、比较及授标建议等方面向采购人、采购代理机构或参加评标的人员施加任何影响，都将会导致其投标无效。</w:t>
      </w:r>
      <w:r/>
    </w:p>
    <w:p>
      <w:pPr>
        <w:ind w:left="1" w:firstLine="480"/>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4.3</w:t>
      </w:r>
      <w:r>
        <w:rPr>
          <w:rFonts w:hint="eastAsia" w:ascii="宋体" w:hAnsi="宋体" w:eastAsia="宋体" w:cs="宋体"/>
          <w:b/>
          <w:color w:val="auto"/>
          <w:sz w:val="24"/>
          <w:highlight w:val="none"/>
          <w:u w:val="single"/>
        </w:rPr>
        <w:t xml:space="preserve">评标应当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pStyle w:val="1022"/>
        <w:ind w:firstLine="446"/>
        <w:keepLines w:val="0"/>
        <w:keepNext w:val="0"/>
        <w:spacing w:before="200" w:after="200" w:line="360" w:lineRule="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5.报价前后不一致的处理原则</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5.1投标文件报价出现前后不一致的，按照下列规定修正：</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（1）投标文件中开标一览表内容与投标文件中相应内容不一致的，以开标一览表为准；</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（2）大写金额和小写金额不一致的，以大写金额为准；</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（3）单价金额小数点或者百分比有明显错位的，以开标一览表的总价为准，并修改单价；</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（4）总价金额与按单价汇总金额不一致的，以单价金额计算结果为准。</w:t>
      </w:r>
      <w:r/>
    </w:p>
    <w:p>
      <w:pPr>
        <w:ind w:left="1" w:firstLine="482"/>
        <w:spacing w:line="360" w:lineRule="auto"/>
        <w:rPr>
          <w:rFonts w:hint="eastAsia" w:ascii="宋体" w:hAnsi="宋体" w:eastAsia="宋体" w:cs="宋体"/>
          <w:color w:val="auto"/>
          <w:sz w:val="24"/>
          <w:highlight w:val="none"/>
        </w:rPr>
      </w:pPr>
      <w:r>
        <w:rPr>
          <w:rFonts w:hint="eastAsia" w:ascii="宋体" w:hAnsi="宋体" w:eastAsia="宋体" w:cs="宋体"/>
          <w:b/>
          <w:color w:val="auto"/>
          <w:sz w:val="24"/>
          <w:highlight w:val="none"/>
        </w:rPr>
        <w:t xml:space="preserve">同时出现两种以上不一致的，按上述规定排序在先的原则进行修正</w:t>
      </w:r>
      <w:r>
        <w:rPr>
          <w:rFonts w:hint="eastAsia" w:ascii="宋体" w:hAnsi="宋体" w:eastAsia="宋体" w:cs="宋体"/>
          <w:color w:val="auto"/>
          <w:sz w:val="24"/>
          <w:highlight w:val="none"/>
        </w:rPr>
        <w:t xml:space="preserve">，修正后的报价须经投标人确认后产生约束力，投标人确认应当以书面形式，并加盖公章，或者由法定代表人或其授权代表签字。投标人不确认的，其投标无效。</w:t>
      </w:r>
      <w:r/>
    </w:p>
    <w:p>
      <w:pPr>
        <w:ind w:firstLine="446"/>
        <w:jc w:val="left"/>
        <w:spacing w:before="200" w:after="200" w:line="360" w:lineRule="auto"/>
        <w:widowControl/>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t xml:space="preserve">6.投标人资格审查</w:t>
      </w:r>
      <w:r/>
    </w:p>
    <w:p>
      <w:pPr>
        <w:ind w:firstLine="48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6.1 采用资格后审方式</w:t>
      </w:r>
      <w:r/>
    </w:p>
    <w:p>
      <w:pPr>
        <w:ind w:firstLine="480"/>
        <w:jc w:val="left"/>
        <w:spacing w:line="360" w:lineRule="auto"/>
        <w:widowControl/>
        <w:rPr>
          <w:rFonts w:hint="eastAsia" w:ascii="宋体" w:hAnsi="宋体" w:eastAsia="宋体" w:cs="宋体"/>
          <w:b/>
          <w:color w:val="auto"/>
          <w:sz w:val="24"/>
          <w:highlight w:val="none"/>
        </w:rPr>
      </w:pPr>
      <w:r>
        <w:rPr>
          <w:rFonts w:hint="eastAsia" w:ascii="宋体" w:hAnsi="宋体" w:eastAsia="宋体" w:cs="宋体"/>
          <w:color w:val="auto"/>
          <w:sz w:val="24"/>
          <w:highlight w:val="none"/>
        </w:rPr>
        <w:t xml:space="preserve">开标结束后，采购人或代理机构将依法对投标人的资格进行审查。资格审查的内容如下：</w:t>
      </w:r>
      <w:r/>
    </w:p>
    <w:tbl>
      <w:tblPr>
        <w:tblStyle w:val="850"/>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53"/>
        <w:gridCol w:w="3559"/>
        <w:gridCol w:w="5471"/>
      </w:tblGrid>
      <w:tr>
        <w:trPr/>
        <w:tc>
          <w:tcPr>
            <w:tcW w:w="554" w:type="dxa"/>
            <w:vAlign w:val="center"/>
            <w:textDirection w:val="lrTb"/>
            <w:noWrap w:val="false"/>
          </w:tcPr>
          <w:p>
            <w:pPr>
              <w:jc w:val="center"/>
              <w:spacing w:line="360" w:lineRule="auto"/>
              <w:rPr>
                <w:rFonts w:hint="eastAsia" w:ascii="宋体" w:hAnsi="宋体" w:eastAsia="宋体" w:cs="宋体"/>
                <w:b/>
                <w:color w:val="auto"/>
                <w:sz w:val="24"/>
                <w:highlight w:val="none"/>
                <w:lang w:eastAsia="en-US"/>
              </w:rPr>
            </w:pPr>
            <w:r>
              <w:rPr>
                <w:rFonts w:hint="eastAsia" w:ascii="宋体" w:hAnsi="宋体" w:eastAsia="宋体" w:cs="宋体"/>
                <w:b/>
                <w:color w:val="auto"/>
                <w:sz w:val="24"/>
                <w:highlight w:val="none"/>
                <w:lang w:eastAsia="en-US"/>
              </w:rPr>
              <w:t xml:space="preserve">序号</w:t>
            </w:r>
            <w:r/>
          </w:p>
        </w:tc>
        <w:tc>
          <w:tcPr>
            <w:tcW w:w="3586" w:type="dxa"/>
            <w:vAlign w:val="center"/>
            <w:textDirection w:val="lrTb"/>
            <w:noWrap w:val="false"/>
          </w:tcPr>
          <w:p>
            <w:pPr>
              <w:jc w:val="center"/>
              <w:spacing w:line="360" w:lineRule="auto"/>
              <w:rPr>
                <w:rFonts w:hint="eastAsia" w:ascii="宋体" w:hAnsi="宋体" w:eastAsia="宋体" w:cs="宋体"/>
                <w:b/>
                <w:color w:val="auto"/>
                <w:sz w:val="24"/>
                <w:highlight w:val="none"/>
                <w:lang w:eastAsia="en-US"/>
              </w:rPr>
            </w:pPr>
            <w:r>
              <w:rPr>
                <w:rFonts w:hint="eastAsia" w:ascii="宋体" w:hAnsi="宋体" w:eastAsia="宋体" w:cs="宋体"/>
                <w:b/>
                <w:color w:val="auto"/>
                <w:sz w:val="24"/>
                <w:highlight w:val="none"/>
                <w:lang w:eastAsia="en-US"/>
              </w:rPr>
              <w:t xml:space="preserve">审查要素</w:t>
            </w:r>
            <w:r/>
          </w:p>
        </w:tc>
        <w:tc>
          <w:tcPr>
            <w:tcW w:w="5489" w:type="dxa"/>
            <w:vAlign w:val="center"/>
            <w:textDirection w:val="lrTb"/>
            <w:noWrap w:val="false"/>
          </w:tcPr>
          <w:p>
            <w:pPr>
              <w:jc w:val="center"/>
              <w:spacing w:line="360" w:lineRule="auto"/>
              <w:rPr>
                <w:rFonts w:hint="eastAsia" w:ascii="宋体" w:hAnsi="宋体" w:eastAsia="宋体" w:cs="宋体"/>
                <w:b/>
                <w:color w:val="auto"/>
                <w:sz w:val="24"/>
                <w:highlight w:val="none"/>
                <w:lang w:eastAsia="en-US"/>
              </w:rPr>
            </w:pPr>
            <w:r>
              <w:rPr>
                <w:rFonts w:hint="eastAsia" w:ascii="宋体" w:hAnsi="宋体" w:eastAsia="宋体" w:cs="宋体"/>
                <w:b/>
                <w:color w:val="auto"/>
                <w:sz w:val="24"/>
                <w:highlight w:val="none"/>
                <w:lang w:eastAsia="en-US"/>
              </w:rPr>
              <w:t xml:space="preserve">审查内容</w:t>
            </w:r>
            <w:r/>
          </w:p>
        </w:tc>
      </w:tr>
      <w:tr>
        <w:trPr/>
        <w:tc>
          <w:tcPr>
            <w:tcW w:w="554" w:type="dxa"/>
            <w:vAlign w:val="center"/>
            <w:textDirection w:val="lrTb"/>
            <w:noWrap w:val="false"/>
          </w:tcPr>
          <w:p>
            <w:pPr>
              <w:jc w:val="center"/>
              <w:spacing w:line="360" w:lineRule="auto"/>
              <w:rPr>
                <w:rFonts w:hint="eastAsia" w:ascii="宋体" w:hAnsi="宋体" w:eastAsia="宋体" w:cs="宋体"/>
                <w:color w:val="auto"/>
                <w:sz w:val="24"/>
                <w:highlight w:val="none"/>
                <w:lang w:eastAsia="en-US"/>
              </w:rPr>
            </w:pPr>
            <w:r>
              <w:rPr>
                <w:rFonts w:hint="eastAsia" w:ascii="宋体" w:hAnsi="宋体" w:eastAsia="宋体" w:cs="宋体"/>
                <w:color w:val="auto"/>
                <w:sz w:val="24"/>
                <w:highlight w:val="none"/>
                <w:lang w:eastAsia="en-US"/>
              </w:rPr>
              <w:t xml:space="preserve">1</w:t>
            </w:r>
            <w:r/>
          </w:p>
        </w:tc>
        <w:tc>
          <w:tcPr>
            <w:tcW w:w="3586" w:type="dxa"/>
            <w:vAlign w:val="center"/>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具有独立承担民事责任的能力</w:t>
            </w:r>
            <w:r/>
          </w:p>
        </w:tc>
        <w:tc>
          <w:tcPr>
            <w:tcW w:w="5489" w:type="dxa"/>
            <w:vAlign w:val="top"/>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szCs w:val="28"/>
                <w:highlight w:val="none"/>
              </w:rPr>
              <w:t xml:space="preserve">法人或者其他组织的营业执照等证明文件；自然人的身份证。</w:t>
            </w:r>
            <w:r/>
          </w:p>
        </w:tc>
      </w:tr>
      <w:tr>
        <w:trPr/>
        <w:tc>
          <w:tcPr>
            <w:tcW w:w="554" w:type="dxa"/>
            <w:vAlign w:val="center"/>
            <w:textDirection w:val="lrTb"/>
            <w:noWrap w:val="false"/>
          </w:tcPr>
          <w:p>
            <w:pPr>
              <w:jc w:val="center"/>
              <w:spacing w:line="360" w:lineRule="auto"/>
              <w:rPr>
                <w:rFonts w:hint="eastAsia" w:ascii="宋体" w:hAnsi="宋体" w:eastAsia="宋体" w:cs="宋体"/>
                <w:color w:val="auto"/>
                <w:sz w:val="24"/>
                <w:highlight w:val="none"/>
                <w:lang w:eastAsia="en-US"/>
              </w:rPr>
            </w:pPr>
            <w:r>
              <w:rPr>
                <w:rFonts w:hint="eastAsia" w:ascii="宋体" w:hAnsi="宋体" w:eastAsia="宋体" w:cs="宋体"/>
                <w:color w:val="auto"/>
                <w:sz w:val="24"/>
                <w:highlight w:val="none"/>
                <w:lang w:eastAsia="en-US"/>
              </w:rPr>
              <w:t xml:space="preserve">2</w:t>
            </w:r>
            <w:r/>
          </w:p>
        </w:tc>
        <w:tc>
          <w:tcPr>
            <w:tcW w:w="3586" w:type="dxa"/>
            <w:vAlign w:val="center"/>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具有良好的商业信誉和健全的财务会计制度</w:t>
            </w:r>
            <w:r/>
          </w:p>
        </w:tc>
        <w:tc>
          <w:tcPr>
            <w:tcW w:w="5489" w:type="dxa"/>
            <w:vAlign w:val="center"/>
            <w:textDirection w:val="lrTb"/>
            <w:noWrap w:val="false"/>
          </w:tcPr>
          <w:p>
            <w:pPr>
              <w:spacing w:line="360" w:lineRule="auto"/>
              <w:rPr>
                <w:rFonts w:hint="eastAsia" w:ascii="宋体" w:hAnsi="宋体" w:eastAsia="宋体" w:cs="宋体"/>
                <w:b/>
                <w:color w:val="auto"/>
                <w:sz w:val="24"/>
                <w:highlight w:val="none"/>
              </w:rPr>
            </w:pPr>
            <w:r>
              <w:rPr>
                <w:rFonts w:hint="eastAsia" w:ascii="宋体" w:hAnsi="宋体" w:eastAsia="宋体" w:cs="宋体"/>
                <w:color w:val="auto"/>
                <w:sz w:val="24"/>
                <w:highlight w:val="none"/>
                <w:lang w:val="en-US" w:eastAsia="zh-CN"/>
              </w:rPr>
              <w:t xml:space="preserve">2024</w:t>
            </w:r>
            <w:r>
              <w:rPr>
                <w:rFonts w:hint="eastAsia" w:ascii="宋体" w:hAnsi="宋体" w:eastAsia="宋体" w:cs="宋体"/>
                <w:color w:val="auto"/>
                <w:sz w:val="24"/>
                <w:highlight w:val="none"/>
              </w:rPr>
              <w:t xml:space="preserve">年度</w:t>
            </w:r>
            <w:r>
              <w:rPr>
                <w:rFonts w:hint="eastAsia" w:ascii="宋体" w:hAnsi="宋体" w:cs="宋体"/>
                <w:color w:val="auto"/>
                <w:sz w:val="24"/>
                <w:highlight w:val="none"/>
                <w:lang w:eastAsia="zh-CN"/>
              </w:rPr>
              <w:t xml:space="preserve">或</w:t>
            </w:r>
            <w:r>
              <w:rPr>
                <w:rFonts w:hint="eastAsia" w:ascii="宋体" w:hAnsi="宋体" w:cs="宋体"/>
                <w:color w:val="auto"/>
                <w:sz w:val="24"/>
                <w:highlight w:val="none"/>
                <w:lang w:val="en-US" w:eastAsia="zh-CN"/>
              </w:rPr>
              <w:t xml:space="preserve">2025年度</w:t>
            </w:r>
            <w:r>
              <w:rPr>
                <w:rFonts w:hint="eastAsia" w:ascii="宋体" w:hAnsi="宋体" w:eastAsia="宋体" w:cs="宋体"/>
                <w:color w:val="auto"/>
                <w:sz w:val="24"/>
                <w:highlight w:val="none"/>
              </w:rPr>
              <w:t xml:space="preserve">财务报告（成立不满一年的提供至少一个月），或银行出具的资信证明，或财政部门认可的政府采购专业担保机构出具的投标担保函等或资格承诺函。</w:t>
            </w:r>
            <w:r/>
          </w:p>
        </w:tc>
      </w:tr>
      <w:tr>
        <w:trPr/>
        <w:tc>
          <w:tcPr>
            <w:tcW w:w="554" w:type="dxa"/>
            <w:vAlign w:val="center"/>
            <w:textDirection w:val="lrTb"/>
            <w:noWrap w:val="false"/>
          </w:tcPr>
          <w:p>
            <w:pPr>
              <w:jc w:val="center"/>
              <w:spacing w:line="360" w:lineRule="auto"/>
              <w:rPr>
                <w:rFonts w:hint="eastAsia" w:ascii="宋体" w:hAnsi="宋体" w:eastAsia="宋体" w:cs="宋体"/>
                <w:color w:val="auto"/>
                <w:sz w:val="24"/>
                <w:highlight w:val="none"/>
                <w:lang w:eastAsia="en-US"/>
              </w:rPr>
            </w:pPr>
            <w:r>
              <w:rPr>
                <w:rFonts w:hint="eastAsia" w:ascii="宋体" w:hAnsi="宋体" w:eastAsia="宋体" w:cs="宋体"/>
                <w:color w:val="auto"/>
                <w:sz w:val="24"/>
                <w:highlight w:val="none"/>
                <w:lang w:eastAsia="en-US"/>
              </w:rPr>
              <w:t xml:space="preserve">3</w:t>
            </w:r>
            <w:r/>
          </w:p>
        </w:tc>
        <w:tc>
          <w:tcPr>
            <w:tcW w:w="3586" w:type="dxa"/>
            <w:vAlign w:val="center"/>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具有履行合同所必需的设备和专业技术能力</w:t>
            </w:r>
            <w:r/>
          </w:p>
        </w:tc>
        <w:tc>
          <w:tcPr>
            <w:tcW w:w="5489" w:type="dxa"/>
            <w:vAlign w:val="center"/>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提供具有履行合同所必需的设备和专业技术能力的书面声明或者提供资格承诺函。</w:t>
            </w:r>
            <w:r/>
          </w:p>
        </w:tc>
      </w:tr>
      <w:tr>
        <w:trPr/>
        <w:tc>
          <w:tcPr>
            <w:tcW w:w="554" w:type="dxa"/>
            <w:vAlign w:val="center"/>
            <w:textDirection w:val="lrTb"/>
            <w:noWrap w:val="false"/>
          </w:tcPr>
          <w:p>
            <w:pPr>
              <w:jc w:val="center"/>
              <w:spacing w:line="360" w:lineRule="auto"/>
              <w:rPr>
                <w:rFonts w:hint="eastAsia" w:ascii="宋体" w:hAnsi="宋体" w:eastAsia="宋体" w:cs="宋体"/>
                <w:color w:val="auto"/>
                <w:sz w:val="24"/>
                <w:highlight w:val="none"/>
                <w:lang w:eastAsia="en-US"/>
              </w:rPr>
            </w:pPr>
            <w:r>
              <w:rPr>
                <w:rFonts w:hint="eastAsia" w:ascii="宋体" w:hAnsi="宋体" w:eastAsia="宋体" w:cs="宋体"/>
                <w:color w:val="auto"/>
                <w:sz w:val="24"/>
                <w:highlight w:val="none"/>
                <w:lang w:eastAsia="en-US"/>
              </w:rPr>
              <w:t xml:space="preserve">4</w:t>
            </w:r>
            <w:r/>
          </w:p>
        </w:tc>
        <w:tc>
          <w:tcPr>
            <w:tcW w:w="3586" w:type="dxa"/>
            <w:vAlign w:val="center"/>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有依法缴纳税收和社会保障资金的良好记录</w:t>
            </w:r>
            <w:r/>
          </w:p>
        </w:tc>
        <w:tc>
          <w:tcPr>
            <w:tcW w:w="5489" w:type="dxa"/>
            <w:vAlign w:val="center"/>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参加本次政府采购活动前半年内（至少一个月）依法缴纳税收和社会保险资金的相关材料或资格承诺函。</w:t>
            </w:r>
            <w:r/>
          </w:p>
        </w:tc>
      </w:tr>
      <w:tr>
        <w:trPr/>
        <w:tc>
          <w:tcPr>
            <w:tcW w:w="554" w:type="dxa"/>
            <w:vAlign w:val="center"/>
            <w:textDirection w:val="lrTb"/>
            <w:noWrap w:val="false"/>
          </w:tcPr>
          <w:p>
            <w:pPr>
              <w:jc w:val="center"/>
              <w:spacing w:line="360" w:lineRule="auto"/>
              <w:rPr>
                <w:rFonts w:hint="eastAsia" w:ascii="宋体" w:hAnsi="宋体" w:eastAsia="宋体" w:cs="宋体"/>
                <w:color w:val="auto"/>
                <w:sz w:val="24"/>
                <w:highlight w:val="none"/>
                <w:lang w:eastAsia="en-US"/>
              </w:rPr>
            </w:pPr>
            <w:r>
              <w:rPr>
                <w:rFonts w:hint="eastAsia" w:ascii="宋体" w:hAnsi="宋体" w:eastAsia="宋体" w:cs="宋体"/>
                <w:color w:val="auto"/>
                <w:sz w:val="24"/>
                <w:highlight w:val="none"/>
                <w:lang w:eastAsia="en-US"/>
              </w:rPr>
              <w:t xml:space="preserve">5</w:t>
            </w:r>
            <w:r/>
          </w:p>
        </w:tc>
        <w:tc>
          <w:tcPr>
            <w:tcW w:w="3586" w:type="dxa"/>
            <w:vAlign w:val="center"/>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参加政府采购活动前三年内，在经营活动中没有重大违法记录</w:t>
            </w:r>
            <w:r/>
          </w:p>
        </w:tc>
        <w:tc>
          <w:tcPr>
            <w:tcW w:w="5489" w:type="dxa"/>
            <w:vAlign w:val="center"/>
            <w:textDirection w:val="lrTb"/>
            <w:noWrap w:val="false"/>
          </w:tcPr>
          <w:p>
            <w:pPr>
              <w:spacing w:line="360" w:lineRule="auto"/>
              <w:rPr>
                <w:rFonts w:hint="eastAsia" w:ascii="宋体" w:hAnsi="宋体" w:eastAsia="宋体" w:cs="宋体"/>
                <w:color w:val="auto"/>
                <w:sz w:val="24"/>
                <w:szCs w:val="28"/>
                <w:highlight w:val="none"/>
              </w:rPr>
            </w:pPr>
            <w:r>
              <w:rPr>
                <w:rFonts w:hint="eastAsia" w:ascii="宋体" w:hAnsi="宋体" w:eastAsia="宋体" w:cs="宋体"/>
                <w:color w:val="auto"/>
                <w:sz w:val="24"/>
                <w:highlight w:val="none"/>
              </w:rPr>
              <w:t xml:space="preserve">（1）投标函或资格承诺函。</w:t>
            </w:r>
            <w:r/>
          </w:p>
          <w:p>
            <w:pPr>
              <w:spacing w:line="360" w:lineRule="auto"/>
              <w:rPr>
                <w:rFonts w:hint="eastAsia" w:ascii="宋体" w:hAnsi="宋体" w:eastAsia="宋体" w:cs="宋体"/>
                <w:color w:val="auto"/>
                <w:sz w:val="24"/>
                <w:highlight w:val="none"/>
                <w:lang w:eastAsia="en-US"/>
              </w:rPr>
            </w:pP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2</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lang w:eastAsia="en-US"/>
              </w:rPr>
              <w:t xml:space="preserve">“信用中国”网站（www.creditchina.gov.cn）、中国政府采购网（www.ccgp.gov.cn）的查询结果未列入失信被执行人名单、重大税收违法案件当事人名单、政府采购严重违法失信行为名单，以现场查询为准。</w:t>
            </w:r>
            <w:r/>
          </w:p>
        </w:tc>
      </w:tr>
      <w:tr>
        <w:trPr/>
        <w:tc>
          <w:tcPr>
            <w:tcW w:w="554"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w:t>
            </w:r>
            <w:r/>
          </w:p>
        </w:tc>
        <w:tc>
          <w:tcPr>
            <w:tcW w:w="3586" w:type="dxa"/>
            <w:vAlign w:val="center"/>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落实政府采购政策需满足的资格要求</w:t>
            </w:r>
            <w:r/>
          </w:p>
        </w:tc>
        <w:tc>
          <w:tcPr>
            <w:tcW w:w="5489" w:type="dxa"/>
            <w:vAlign w:val="center"/>
            <w:textDirection w:val="lrTb"/>
            <w:noWrap w:val="false"/>
          </w:tcPr>
          <w:p>
            <w:pPr>
              <w:spacing w:line="360" w:lineRule="auto"/>
              <w:rPr>
                <w:rFonts w:hint="eastAsia"/>
                <w:color w:val="auto"/>
                <w:highlight w:val="none"/>
                <w:lang w:eastAsia="zh-CN"/>
              </w:rPr>
            </w:pPr>
            <w:r>
              <w:rPr>
                <w:rFonts w:hint="eastAsia" w:ascii="宋体" w:hAnsi="宋体" w:eastAsia="宋体" w:cs="Times New Roman"/>
                <w:bCs/>
                <w:color w:val="auto"/>
                <w:sz w:val="24"/>
                <w:szCs w:val="24"/>
                <w:highlight w:val="none"/>
                <w:lang w:val="en-US" w:eastAsia="en-US" w:bidi="ar-SA"/>
              </w:rPr>
              <w:t xml:space="preserve">本项目</w:t>
            </w:r>
            <w:r>
              <w:rPr>
                <w:rFonts w:hint="eastAsia" w:ascii="宋体" w:hAnsi="宋体" w:cs="Times New Roman"/>
                <w:bCs/>
                <w:color w:val="auto"/>
                <w:sz w:val="24"/>
                <w:szCs w:val="24"/>
                <w:highlight w:val="none"/>
                <w:lang w:val="en-US" w:eastAsia="zh-CN" w:bidi="ar-SA"/>
              </w:rPr>
              <w:t xml:space="preserve">属于不</w:t>
            </w:r>
            <w:r>
              <w:rPr>
                <w:rFonts w:hint="eastAsia" w:ascii="宋体" w:hAnsi="宋体" w:eastAsia="宋体" w:cs="Times New Roman"/>
                <w:bCs/>
                <w:color w:val="auto"/>
                <w:sz w:val="24"/>
                <w:szCs w:val="24"/>
                <w:highlight w:val="none"/>
                <w:lang w:val="en-US" w:eastAsia="en-US" w:bidi="ar-SA"/>
              </w:rPr>
              <w:t xml:space="preserve">专门面向中小企业采购的项目，提供中小企业声明函</w:t>
            </w:r>
            <w:r>
              <w:rPr>
                <w:rFonts w:hint="eastAsia" w:ascii="宋体" w:hAnsi="宋体" w:eastAsia="宋体" w:cs="Times New Roman"/>
                <w:bCs/>
                <w:color w:val="auto"/>
                <w:sz w:val="24"/>
                <w:szCs w:val="24"/>
                <w:highlight w:val="none"/>
                <w:lang w:val="en-US" w:eastAsia="zh-CN" w:bidi="ar-SA"/>
              </w:rPr>
              <w:t xml:space="preserve">。</w:t>
            </w:r>
            <w:r/>
          </w:p>
        </w:tc>
      </w:tr>
      <w:tr>
        <w:trPr/>
        <w:tc>
          <w:tcPr>
            <w:tcW w:w="554" w:type="dxa"/>
            <w:vAlign w:val="center"/>
            <w:textDirection w:val="lrTb"/>
            <w:noWrap w:val="false"/>
          </w:tcPr>
          <w:p>
            <w:pPr>
              <w:jc w:val="center"/>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7</w:t>
            </w:r>
            <w:r/>
          </w:p>
        </w:tc>
        <w:tc>
          <w:tcPr>
            <w:tcW w:w="3586" w:type="dxa"/>
            <w:vAlign w:val="center"/>
            <w:textDirection w:val="lrTb"/>
            <w:noWrap w:val="false"/>
          </w:tcPr>
          <w:p>
            <w:pPr>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不接受</w:t>
            </w:r>
            <w:r>
              <w:rPr>
                <w:rFonts w:hint="eastAsia" w:ascii="宋体" w:hAnsi="宋体" w:cs="宋体"/>
                <w:color w:val="auto"/>
                <w:sz w:val="24"/>
                <w:highlight w:val="none"/>
                <w:lang w:val="en-US" w:eastAsia="zh-CN"/>
              </w:rPr>
              <w:t xml:space="preserve">进口</w:t>
            </w:r>
            <w:r>
              <w:rPr>
                <w:rFonts w:hint="eastAsia" w:ascii="宋体" w:hAnsi="宋体" w:eastAsia="宋体" w:cs="宋体"/>
                <w:color w:val="auto"/>
                <w:sz w:val="24"/>
                <w:highlight w:val="none"/>
                <w:lang w:val="en-US" w:eastAsia="zh-CN"/>
              </w:rPr>
              <w:t xml:space="preserve">产品投标</w:t>
            </w:r>
            <w:r/>
          </w:p>
        </w:tc>
        <w:tc>
          <w:tcPr>
            <w:tcW w:w="5489" w:type="dxa"/>
            <w:vAlign w:val="center"/>
            <w:textDirection w:val="lrTb"/>
            <w:noWrap w:val="false"/>
          </w:tcPr>
          <w:p>
            <w:pPr>
              <w:spacing w:line="360" w:lineRule="auto"/>
              <w:rPr>
                <w:rFonts w:ascii="宋体" w:hAnsi="宋体" w:eastAsia="宋体" w:cs="宋体"/>
                <w:color w:val="auto"/>
                <w:sz w:val="24"/>
                <w:highlight w:val="none"/>
                <w:lang w:val="en-US" w:eastAsia="zh-CN"/>
              </w:rPr>
            </w:pPr>
            <w:r>
              <w:rPr>
                <w:rFonts w:hint="eastAsia" w:ascii="宋体" w:hAnsi="宋体" w:eastAsia="宋体" w:cs="Times New Roman"/>
                <w:bCs/>
                <w:color w:val="auto"/>
                <w:sz w:val="24"/>
                <w:szCs w:val="24"/>
                <w:highlight w:val="none"/>
                <w:lang w:val="en-US" w:eastAsia="zh-CN" w:bidi="ar-SA"/>
              </w:rPr>
              <w:t xml:space="preserve">确认投标品牌是否为</w:t>
            </w:r>
            <w:r>
              <w:rPr>
                <w:rFonts w:hint="eastAsia" w:ascii="宋体" w:hAnsi="宋体" w:cs="Times New Roman"/>
                <w:bCs/>
                <w:color w:val="auto"/>
                <w:sz w:val="24"/>
                <w:szCs w:val="24"/>
                <w:highlight w:val="none"/>
                <w:lang w:val="en-US" w:eastAsia="zh-CN" w:bidi="ar-SA"/>
              </w:rPr>
              <w:t xml:space="preserve">进口</w:t>
            </w:r>
            <w:r>
              <w:rPr>
                <w:rFonts w:hint="eastAsia" w:ascii="宋体" w:hAnsi="宋体" w:eastAsia="宋体" w:cs="Times New Roman"/>
                <w:bCs/>
                <w:color w:val="auto"/>
                <w:sz w:val="24"/>
                <w:szCs w:val="24"/>
                <w:highlight w:val="none"/>
                <w:lang w:val="en-US" w:eastAsia="zh-CN" w:bidi="ar-SA"/>
              </w:rPr>
              <w:t xml:space="preserve">品牌（供应商须提供《关于符合本国产品标准的声明函》）</w:t>
            </w:r>
            <w:r/>
          </w:p>
        </w:tc>
      </w:tr>
    </w:tbl>
    <w:p>
      <w:pPr>
        <w:ind w:firstLine="446"/>
        <w:jc w:val="left"/>
        <w:spacing w:before="200" w:after="200" w:line="360" w:lineRule="auto"/>
        <w:widowControl/>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t xml:space="preserve">7.投标人符合性审查</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7.1 评标委员会将对符合资格的投标人的投标文件进行符合性审查，审查内容主要是投标文件的有效性和对招标文件的响应程度，以确定是否满足招标文件的实质性要求。</w:t>
      </w:r>
      <w:r/>
    </w:p>
    <w:tbl>
      <w:tblPr>
        <w:tblStyle w:val="850"/>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19"/>
        <w:gridCol w:w="3202"/>
        <w:gridCol w:w="5462"/>
      </w:tblGrid>
      <w:tr>
        <w:trPr/>
        <w:tc>
          <w:tcPr>
            <w:tcW w:w="922" w:type="dxa"/>
            <w:vAlign w:val="top"/>
            <w:textDirection w:val="lrTb"/>
            <w:noWrap w:val="false"/>
          </w:tcPr>
          <w:p>
            <w:pPr>
              <w:jc w:val="center"/>
              <w:spacing w:line="360" w:lineRule="auto"/>
              <w:rPr>
                <w:rFonts w:hint="eastAsia" w:ascii="宋体" w:hAnsi="宋体" w:eastAsia="宋体" w:cs="宋体"/>
                <w:b/>
                <w:color w:val="auto"/>
                <w:sz w:val="24"/>
                <w:highlight w:val="none"/>
                <w:lang w:eastAsia="en-US"/>
              </w:rPr>
            </w:pPr>
            <w:r>
              <w:rPr>
                <w:rFonts w:hint="eastAsia" w:ascii="宋体" w:hAnsi="宋体" w:eastAsia="宋体" w:cs="宋体"/>
                <w:b/>
                <w:color w:val="auto"/>
                <w:sz w:val="24"/>
                <w:highlight w:val="none"/>
                <w:lang w:eastAsia="en-US"/>
              </w:rPr>
              <w:t xml:space="preserve">序号</w:t>
            </w:r>
            <w:r/>
          </w:p>
        </w:tc>
        <w:tc>
          <w:tcPr>
            <w:tcW w:w="3218" w:type="dxa"/>
            <w:vAlign w:val="top"/>
            <w:textDirection w:val="lrTb"/>
            <w:noWrap w:val="false"/>
          </w:tcPr>
          <w:p>
            <w:pPr>
              <w:jc w:val="center"/>
              <w:spacing w:line="360" w:lineRule="auto"/>
              <w:rPr>
                <w:rFonts w:hint="eastAsia" w:ascii="宋体" w:hAnsi="宋体" w:eastAsia="宋体" w:cs="宋体"/>
                <w:b/>
                <w:color w:val="auto"/>
                <w:sz w:val="24"/>
                <w:highlight w:val="none"/>
                <w:lang w:eastAsia="en-US"/>
              </w:rPr>
            </w:pPr>
            <w:r>
              <w:rPr>
                <w:rFonts w:hint="eastAsia" w:ascii="宋体" w:hAnsi="宋体" w:eastAsia="宋体" w:cs="宋体"/>
                <w:b/>
                <w:color w:val="auto"/>
                <w:sz w:val="24"/>
                <w:highlight w:val="none"/>
                <w:lang w:eastAsia="en-US"/>
              </w:rPr>
              <w:t xml:space="preserve">审查要素</w:t>
            </w:r>
            <w:r/>
          </w:p>
        </w:tc>
        <w:tc>
          <w:tcPr>
            <w:tcW w:w="5489" w:type="dxa"/>
            <w:vAlign w:val="top"/>
            <w:textDirection w:val="lrTb"/>
            <w:noWrap w:val="false"/>
          </w:tcPr>
          <w:p>
            <w:pPr>
              <w:jc w:val="center"/>
              <w:spacing w:line="360" w:lineRule="auto"/>
              <w:rPr>
                <w:rFonts w:hint="eastAsia" w:ascii="宋体" w:hAnsi="宋体" w:eastAsia="宋体" w:cs="宋体"/>
                <w:b/>
                <w:color w:val="auto"/>
                <w:sz w:val="24"/>
                <w:highlight w:val="none"/>
                <w:lang w:eastAsia="en-US"/>
              </w:rPr>
            </w:pPr>
            <w:r>
              <w:rPr>
                <w:rFonts w:hint="eastAsia" w:ascii="宋体" w:hAnsi="宋体" w:eastAsia="宋体" w:cs="宋体"/>
                <w:b/>
                <w:color w:val="auto"/>
                <w:sz w:val="24"/>
                <w:highlight w:val="none"/>
                <w:lang w:eastAsia="en-US"/>
              </w:rPr>
              <w:t xml:space="preserve">审查内容</w:t>
            </w:r>
            <w:r/>
          </w:p>
        </w:tc>
      </w:tr>
      <w:tr>
        <w:trPr>
          <w:cantSplit/>
        </w:trPr>
        <w:tc>
          <w:tcPr>
            <w:tcW w:w="922" w:type="dxa"/>
            <w:vAlign w:val="center"/>
            <w:vMerge w:val="restart"/>
            <w:textDirection w:val="lrTb"/>
            <w:noWrap w:val="false"/>
          </w:tcPr>
          <w:p>
            <w:pPr>
              <w:jc w:val="center"/>
              <w:spacing w:line="360" w:lineRule="auto"/>
              <w:rPr>
                <w:rFonts w:hint="eastAsia" w:ascii="宋体" w:hAnsi="宋体" w:eastAsia="宋体" w:cs="宋体"/>
                <w:color w:val="auto"/>
                <w:sz w:val="24"/>
                <w:highlight w:val="none"/>
                <w:lang w:eastAsia="en-US"/>
              </w:rPr>
            </w:pPr>
            <w:r>
              <w:rPr>
                <w:rFonts w:hint="eastAsia" w:ascii="宋体" w:hAnsi="宋体" w:eastAsia="宋体" w:cs="宋体"/>
                <w:color w:val="auto"/>
                <w:sz w:val="24"/>
                <w:highlight w:val="none"/>
                <w:lang w:eastAsia="en-US"/>
              </w:rPr>
              <w:t xml:space="preserve">1</w:t>
            </w:r>
            <w:r/>
          </w:p>
        </w:tc>
        <w:tc>
          <w:tcPr>
            <w:tcW w:w="3218" w:type="dxa"/>
            <w:vAlign w:val="center"/>
            <w:vMerge w:val="restart"/>
            <w:textDirection w:val="lrTb"/>
            <w:noWrap w:val="false"/>
          </w:tcPr>
          <w:p>
            <w:pPr>
              <w:spacing w:line="360" w:lineRule="auto"/>
              <w:rPr>
                <w:rFonts w:hint="eastAsia" w:ascii="宋体" w:hAnsi="宋体" w:eastAsia="宋体" w:cs="宋体"/>
                <w:color w:val="auto"/>
                <w:sz w:val="24"/>
                <w:highlight w:val="none"/>
                <w:lang w:eastAsia="en-US"/>
              </w:rPr>
            </w:pPr>
            <w:r>
              <w:rPr>
                <w:rFonts w:hint="eastAsia" w:ascii="宋体" w:hAnsi="宋体" w:eastAsia="宋体" w:cs="宋体"/>
                <w:color w:val="auto"/>
                <w:sz w:val="24"/>
                <w:highlight w:val="none"/>
                <w:lang w:eastAsia="en-US"/>
              </w:rPr>
              <w:t xml:space="preserve">投标文件有效性</w:t>
            </w:r>
            <w:r/>
          </w:p>
        </w:tc>
        <w:tc>
          <w:tcPr>
            <w:tcW w:w="5489" w:type="dxa"/>
            <w:vAlign w:val="center"/>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投标文件的有效电子签章。</w:t>
            </w:r>
            <w:r/>
          </w:p>
        </w:tc>
      </w:tr>
      <w:tr>
        <w:trPr>
          <w:cantSplit/>
          <w:trHeight w:val="569"/>
        </w:trPr>
        <w:tc>
          <w:tcPr>
            <w:tcW w:w="922" w:type="dxa"/>
            <w:vAlign w:val="center"/>
            <w:vMerge w:val="continue"/>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3218" w:type="dxa"/>
            <w:vAlign w:val="center"/>
            <w:vMerge w:val="continue"/>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5489" w:type="dxa"/>
            <w:vAlign w:val="center"/>
            <w:textDirection w:val="lrTb"/>
            <w:noWrap w:val="false"/>
          </w:tcPr>
          <w:p>
            <w:pPr>
              <w:spacing w:line="360" w:lineRule="auto"/>
              <w:rPr>
                <w:rFonts w:hint="eastAsia" w:ascii="宋体" w:hAnsi="宋体" w:eastAsia="宋体" w:cs="宋体"/>
                <w:color w:val="auto"/>
                <w:sz w:val="24"/>
                <w:highlight w:val="none"/>
                <w:lang w:eastAsia="en-US"/>
              </w:rPr>
            </w:pPr>
            <w:r>
              <w:rPr>
                <w:rFonts w:hint="eastAsia" w:ascii="宋体" w:hAnsi="宋体" w:eastAsia="宋体" w:cs="宋体"/>
                <w:color w:val="auto"/>
                <w:sz w:val="24"/>
                <w:highlight w:val="none"/>
                <w:lang w:eastAsia="en-US"/>
              </w:rPr>
              <w:t xml:space="preserve">投标报价。</w:t>
            </w:r>
            <w:r/>
          </w:p>
        </w:tc>
      </w:tr>
      <w:tr>
        <w:trPr>
          <w:cantSplit/>
          <w:trHeight w:val="602"/>
        </w:trPr>
        <w:tc>
          <w:tcPr>
            <w:tcW w:w="922" w:type="dxa"/>
            <w:vAlign w:val="center"/>
            <w:vMerge w:val="continue"/>
            <w:textDirection w:val="lrTb"/>
            <w:noWrap w:val="false"/>
          </w:tcPr>
          <w:p>
            <w:pPr>
              <w:jc w:val="center"/>
              <w:spacing w:line="360" w:lineRule="auto"/>
              <w:rPr>
                <w:rFonts w:hint="eastAsia" w:ascii="宋体" w:hAnsi="宋体" w:eastAsia="宋体" w:cs="宋体"/>
                <w:color w:val="auto"/>
                <w:sz w:val="24"/>
                <w:highlight w:val="none"/>
                <w:lang w:eastAsia="en-US"/>
              </w:rPr>
            </w:pPr>
            <w:r>
              <w:rPr>
                <w:rFonts w:hint="eastAsia" w:ascii="宋体" w:hAnsi="宋体" w:eastAsia="宋体" w:cs="宋体"/>
                <w:color w:val="auto"/>
                <w:sz w:val="24"/>
                <w:highlight w:val="none"/>
                <w:lang w:eastAsia="en-US"/>
              </w:rPr>
            </w:r>
            <w:r/>
          </w:p>
        </w:tc>
        <w:tc>
          <w:tcPr>
            <w:tcW w:w="3218" w:type="dxa"/>
            <w:vAlign w:val="center"/>
            <w:vMerge w:val="continue"/>
            <w:textDirection w:val="lrTb"/>
            <w:noWrap w:val="false"/>
          </w:tcPr>
          <w:p>
            <w:pPr>
              <w:spacing w:line="360" w:lineRule="auto"/>
              <w:rPr>
                <w:rFonts w:hint="eastAsia" w:ascii="宋体" w:hAnsi="宋体" w:eastAsia="宋体" w:cs="宋体"/>
                <w:color w:val="auto"/>
                <w:sz w:val="24"/>
                <w:highlight w:val="none"/>
                <w:lang w:eastAsia="en-US"/>
              </w:rPr>
            </w:pPr>
            <w:r>
              <w:rPr>
                <w:rFonts w:hint="eastAsia" w:ascii="宋体" w:hAnsi="宋体" w:eastAsia="宋体" w:cs="宋体"/>
                <w:color w:val="auto"/>
                <w:sz w:val="24"/>
                <w:highlight w:val="none"/>
                <w:lang w:eastAsia="en-US"/>
              </w:rPr>
            </w:r>
            <w:r/>
          </w:p>
        </w:tc>
        <w:tc>
          <w:tcPr>
            <w:tcW w:w="5489" w:type="dxa"/>
            <w:vAlign w:val="center"/>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未发现属无效投标的情形。</w:t>
            </w:r>
            <w:r/>
          </w:p>
        </w:tc>
      </w:tr>
      <w:tr>
        <w:trPr>
          <w:trHeight w:val="1424"/>
        </w:trPr>
        <w:tc>
          <w:tcPr>
            <w:tcW w:w="922" w:type="dxa"/>
            <w:vAlign w:val="center"/>
            <w:textDirection w:val="lrTb"/>
            <w:noWrap w:val="false"/>
          </w:tcPr>
          <w:p>
            <w:pPr>
              <w:jc w:val="center"/>
              <w:spacing w:line="360" w:lineRule="auto"/>
              <w:rPr>
                <w:rFonts w:hint="eastAsia" w:ascii="宋体" w:hAnsi="宋体" w:eastAsia="宋体" w:cs="宋体"/>
                <w:color w:val="auto"/>
                <w:sz w:val="24"/>
                <w:highlight w:val="none"/>
                <w:lang w:eastAsia="en-US"/>
              </w:rPr>
            </w:pPr>
            <w:r>
              <w:rPr>
                <w:rFonts w:hint="eastAsia" w:ascii="宋体" w:hAnsi="宋体" w:eastAsia="宋体" w:cs="宋体"/>
                <w:color w:val="auto"/>
                <w:sz w:val="24"/>
                <w:highlight w:val="none"/>
                <w:lang w:eastAsia="en-US"/>
              </w:rPr>
              <w:t xml:space="preserve">2</w:t>
            </w:r>
            <w:r/>
          </w:p>
        </w:tc>
        <w:tc>
          <w:tcPr>
            <w:tcW w:w="3218" w:type="dxa"/>
            <w:vAlign w:val="center"/>
            <w:textDirection w:val="lrTb"/>
            <w:noWrap w:val="false"/>
          </w:tcPr>
          <w:p>
            <w:pPr>
              <w:spacing w:line="360" w:lineRule="auto"/>
              <w:rPr>
                <w:rFonts w:hint="eastAsia" w:ascii="宋体" w:hAnsi="宋体" w:eastAsia="宋体" w:cs="宋体"/>
                <w:color w:val="auto"/>
                <w:sz w:val="24"/>
                <w:highlight w:val="none"/>
                <w:lang w:eastAsia="en-US"/>
              </w:rPr>
            </w:pPr>
            <w:r>
              <w:rPr>
                <w:rFonts w:hint="eastAsia" w:ascii="宋体" w:hAnsi="宋体" w:eastAsia="宋体" w:cs="宋体"/>
                <w:color w:val="auto"/>
                <w:sz w:val="24"/>
                <w:highlight w:val="none"/>
                <w:lang w:eastAsia="en-US"/>
              </w:rPr>
              <w:t xml:space="preserve">对招标文件响应程度</w:t>
            </w:r>
            <w:r/>
          </w:p>
        </w:tc>
        <w:tc>
          <w:tcPr>
            <w:tcW w:w="5489" w:type="dxa"/>
            <w:vAlign w:val="top"/>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审查投标文件，以确定其是否满足招标文件的实质性要求。不满足招标文件的实质性要求的，投标无效。</w:t>
            </w:r>
            <w:bookmarkEnd w:id="229"/>
            <w:r/>
            <w:bookmarkEnd w:id="230"/>
            <w:r/>
            <w:bookmarkEnd w:id="231"/>
            <w:r/>
            <w:bookmarkEnd w:id="232"/>
            <w:r/>
            <w:bookmarkEnd w:id="233"/>
            <w:r/>
            <w:r/>
          </w:p>
        </w:tc>
      </w:tr>
    </w:tbl>
    <w:p>
      <w:pPr>
        <w:ind w:firstLine="446"/>
        <w:jc w:val="left"/>
        <w:spacing w:before="200" w:after="200" w:line="360" w:lineRule="auto"/>
        <w:widowControl/>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t xml:space="preserve">8.商务和技术评估</w:t>
      </w:r>
      <w:r/>
    </w:p>
    <w:p>
      <w:pPr>
        <w:ind w:firstLine="42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8.1 </w:t>
      </w:r>
      <w:r>
        <w:rPr>
          <w:rFonts w:hint="eastAsia" w:ascii="宋体" w:hAnsi="宋体" w:eastAsia="宋体" w:cs="宋体"/>
          <w:b/>
          <w:color w:val="auto"/>
          <w:sz w:val="24"/>
          <w:highlight w:val="none"/>
        </w:rPr>
        <w:t xml:space="preserve">本项目采用综合评分法。</w:t>
      </w:r>
      <w:r/>
    </w:p>
    <w:tbl>
      <w:tblPr>
        <w:tblStyle w:val="850"/>
        <w:tblpPr w:horzAnchor="page" w:tblpXSpec="center" w:vertAnchor="text" w:tblpY="196" w:leftFromText="180" w:topFromText="0" w:rightFromText="180" w:bottomFromText="0"/>
        <w:tblW w:w="8959"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2011"/>
        <w:gridCol w:w="2315"/>
        <w:gridCol w:w="2315"/>
        <w:gridCol w:w="2318"/>
      </w:tblGrid>
      <w:tr>
        <w:trPr>
          <w:jc w:val="center"/>
          <w:trHeight w:val="518"/>
        </w:trPr>
        <w:tc>
          <w:tcPr>
            <w:tcW w:w="2011" w:type="dxa"/>
            <w:vAlign w:val="center"/>
            <w:textDirection w:val="lrTb"/>
            <w:noWrap w:val="false"/>
          </w:tcPr>
          <w:p>
            <w:pPr>
              <w:jc w:val="center"/>
              <w:spacing w:before="129" w:line="221" w:lineRule="auto"/>
              <w:widowControl/>
              <w:rPr>
                <w:rFonts w:ascii="宋体" w:hAnsi="宋体" w:cs="宋体"/>
                <w:color w:val="auto"/>
                <w:szCs w:val="21"/>
                <w:highlight w:val="none"/>
              </w:rPr>
            </w:pPr>
            <w:r>
              <w:rPr>
                <w:rFonts w:ascii="宋体" w:hAnsi="宋体" w:cs="宋体"/>
                <w:color w:val="auto"/>
                <w:spacing w:val="-1"/>
                <w:szCs w:val="21"/>
                <w:highlight w:val="none"/>
              </w:rPr>
              <w:t xml:space="preserve">评分项目</w:t>
            </w:r>
            <w:r/>
          </w:p>
        </w:tc>
        <w:tc>
          <w:tcPr>
            <w:tcW w:w="2315" w:type="dxa"/>
            <w:vAlign w:val="center"/>
            <w:textDirection w:val="lrTb"/>
            <w:noWrap w:val="false"/>
          </w:tcPr>
          <w:p>
            <w:pPr>
              <w:jc w:val="center"/>
              <w:spacing w:before="130" w:line="219" w:lineRule="auto"/>
              <w:widowControl/>
              <w:rPr>
                <w:rFonts w:ascii="宋体" w:hAnsi="宋体" w:cs="宋体"/>
                <w:color w:val="auto"/>
                <w:szCs w:val="21"/>
                <w:highlight w:val="none"/>
              </w:rPr>
            </w:pPr>
            <w:r>
              <w:rPr>
                <w:rFonts w:ascii="宋体" w:hAnsi="宋体" w:cs="宋体"/>
                <w:color w:val="auto"/>
                <w:spacing w:val="-2"/>
                <w:szCs w:val="21"/>
                <w:highlight w:val="none"/>
              </w:rPr>
              <w:t xml:space="preserve">技术</w:t>
            </w:r>
            <w:r>
              <w:rPr>
                <w:rFonts w:ascii="宋体" w:hAnsi="宋体" w:cs="宋体"/>
                <w:color w:val="auto"/>
                <w:spacing w:val="-1"/>
                <w:szCs w:val="21"/>
                <w:highlight w:val="none"/>
              </w:rPr>
              <w:t xml:space="preserve">评估</w:t>
            </w:r>
            <w:r/>
          </w:p>
        </w:tc>
        <w:tc>
          <w:tcPr>
            <w:tcW w:w="2315" w:type="dxa"/>
            <w:vAlign w:val="center"/>
            <w:textDirection w:val="lrTb"/>
            <w:noWrap w:val="false"/>
          </w:tcPr>
          <w:p>
            <w:pPr>
              <w:jc w:val="center"/>
              <w:spacing w:before="130" w:line="219" w:lineRule="auto"/>
              <w:widowControl/>
              <w:rPr>
                <w:rFonts w:ascii="宋体" w:hAnsi="宋体" w:cs="宋体"/>
                <w:color w:val="auto"/>
                <w:szCs w:val="21"/>
                <w:highlight w:val="none"/>
              </w:rPr>
            </w:pPr>
            <w:r>
              <w:rPr>
                <w:rFonts w:ascii="宋体" w:hAnsi="宋体" w:cs="宋体"/>
                <w:color w:val="auto"/>
                <w:spacing w:val="-3"/>
                <w:szCs w:val="21"/>
                <w:highlight w:val="none"/>
              </w:rPr>
              <w:t xml:space="preserve">商</w:t>
            </w:r>
            <w:r>
              <w:rPr>
                <w:rFonts w:ascii="宋体" w:hAnsi="宋体" w:cs="宋体"/>
                <w:color w:val="auto"/>
                <w:spacing w:val="-2"/>
                <w:szCs w:val="21"/>
                <w:highlight w:val="none"/>
              </w:rPr>
              <w:t xml:space="preserve">务评估</w:t>
            </w:r>
            <w:r/>
          </w:p>
        </w:tc>
        <w:tc>
          <w:tcPr>
            <w:tcW w:w="2318" w:type="dxa"/>
            <w:vAlign w:val="center"/>
            <w:textDirection w:val="lrTb"/>
            <w:noWrap w:val="false"/>
          </w:tcPr>
          <w:p>
            <w:pPr>
              <w:jc w:val="center"/>
              <w:spacing w:before="130" w:line="219" w:lineRule="auto"/>
              <w:widowControl/>
              <w:rPr>
                <w:rFonts w:ascii="宋体" w:hAnsi="宋体" w:cs="宋体"/>
                <w:color w:val="auto"/>
                <w:szCs w:val="21"/>
                <w:highlight w:val="none"/>
              </w:rPr>
            </w:pPr>
            <w:r>
              <w:rPr>
                <w:rFonts w:ascii="宋体" w:hAnsi="宋体" w:cs="宋体"/>
                <w:color w:val="auto"/>
                <w:spacing w:val="-2"/>
                <w:szCs w:val="21"/>
                <w:highlight w:val="none"/>
              </w:rPr>
              <w:t xml:space="preserve">价格</w:t>
            </w:r>
            <w:r>
              <w:rPr>
                <w:rFonts w:ascii="宋体" w:hAnsi="宋体" w:cs="宋体"/>
                <w:color w:val="auto"/>
                <w:spacing w:val="-1"/>
                <w:szCs w:val="21"/>
                <w:highlight w:val="none"/>
              </w:rPr>
              <w:t xml:space="preserve">评估</w:t>
            </w:r>
            <w:r/>
          </w:p>
        </w:tc>
      </w:tr>
      <w:tr>
        <w:trPr>
          <w:jc w:val="center"/>
          <w:trHeight w:val="536"/>
        </w:trPr>
        <w:tc>
          <w:tcPr>
            <w:tcW w:w="2011" w:type="dxa"/>
            <w:vAlign w:val="center"/>
            <w:textDirection w:val="lrTb"/>
            <w:noWrap w:val="false"/>
          </w:tcPr>
          <w:p>
            <w:pPr>
              <w:jc w:val="center"/>
              <w:spacing w:before="129" w:line="221" w:lineRule="auto"/>
              <w:widowControl/>
              <w:rPr>
                <w:rFonts w:ascii="宋体" w:hAnsi="宋体" w:cs="宋体"/>
                <w:color w:val="auto"/>
                <w:szCs w:val="21"/>
                <w:highlight w:val="none"/>
              </w:rPr>
            </w:pPr>
            <w:r>
              <w:rPr>
                <w:rFonts w:ascii="宋体" w:hAnsi="宋体" w:cs="宋体"/>
                <w:color w:val="auto"/>
                <w:spacing w:val="-3"/>
                <w:szCs w:val="21"/>
                <w:highlight w:val="none"/>
              </w:rPr>
              <w:t xml:space="preserve">分</w:t>
            </w:r>
            <w:r>
              <w:rPr>
                <w:rFonts w:ascii="宋体" w:hAnsi="宋体" w:cs="宋体"/>
                <w:color w:val="auto"/>
                <w:spacing w:val="-2"/>
                <w:szCs w:val="21"/>
                <w:highlight w:val="none"/>
              </w:rPr>
              <w:t xml:space="preserve">值</w:t>
            </w:r>
            <w:r/>
          </w:p>
        </w:tc>
        <w:tc>
          <w:tcPr>
            <w:tcW w:w="2315" w:type="dxa"/>
            <w:vAlign w:val="center"/>
            <w:textDirection w:val="lrTb"/>
            <w:noWrap w:val="false"/>
          </w:tcPr>
          <w:p>
            <w:pPr>
              <w:jc w:val="center"/>
              <w:spacing w:before="165" w:line="183" w:lineRule="auto"/>
              <w:widowControl/>
              <w:rPr>
                <w:rFonts w:ascii="宋体" w:hAnsi="宋体" w:cs="宋体"/>
                <w:color w:val="auto"/>
                <w:szCs w:val="21"/>
                <w:highlight w:val="none"/>
              </w:rPr>
            </w:pPr>
            <w:r>
              <w:rPr>
                <w:rFonts w:hint="eastAsia" w:ascii="宋体" w:hAnsi="宋体" w:cs="宋体"/>
                <w:color w:val="auto"/>
                <w:spacing w:val="-2"/>
                <w:szCs w:val="21"/>
                <w:highlight w:val="yellow"/>
                <w:lang w:val="en-US" w:eastAsia="zh-CN"/>
              </w:rPr>
              <w:t xml:space="preserve">40</w:t>
            </w:r>
            <w:r>
              <w:rPr>
                <w:rFonts w:ascii="宋体" w:hAnsi="宋体" w:cs="宋体"/>
                <w:color w:val="auto"/>
                <w:spacing w:val="-2"/>
                <w:szCs w:val="21"/>
                <w:highlight w:val="yellow"/>
              </w:rPr>
              <w:t xml:space="preserve">.00</w:t>
            </w:r>
            <w:r/>
          </w:p>
        </w:tc>
        <w:tc>
          <w:tcPr>
            <w:tcW w:w="2315" w:type="dxa"/>
            <w:vAlign w:val="center"/>
            <w:textDirection w:val="lrTb"/>
            <w:noWrap w:val="false"/>
          </w:tcPr>
          <w:p>
            <w:pPr>
              <w:jc w:val="center"/>
              <w:spacing w:before="165" w:line="183" w:lineRule="auto"/>
              <w:widowControl/>
              <w:rPr>
                <w:rFonts w:ascii="宋体" w:hAnsi="宋体" w:cs="宋体"/>
                <w:color w:val="auto"/>
                <w:szCs w:val="21"/>
                <w:highlight w:val="none"/>
              </w:rPr>
            </w:pPr>
            <w:r>
              <w:rPr>
                <w:rFonts w:hint="eastAsia" w:ascii="宋体" w:hAnsi="宋体" w:cs="宋体"/>
                <w:color w:val="auto"/>
                <w:spacing w:val="-2"/>
                <w:szCs w:val="21"/>
                <w:highlight w:val="yellow"/>
                <w:lang w:val="en-US" w:eastAsia="zh-CN"/>
              </w:rPr>
              <w:t xml:space="preserve">10</w:t>
            </w:r>
            <w:r>
              <w:rPr>
                <w:rFonts w:ascii="宋体" w:hAnsi="宋体" w:cs="宋体"/>
                <w:color w:val="auto"/>
                <w:spacing w:val="-2"/>
                <w:szCs w:val="21"/>
                <w:highlight w:val="yellow"/>
              </w:rPr>
              <w:t xml:space="preserve">.</w:t>
            </w:r>
            <w:r>
              <w:rPr>
                <w:rFonts w:ascii="宋体" w:hAnsi="宋体" w:cs="宋体"/>
                <w:color w:val="auto"/>
                <w:spacing w:val="-1"/>
                <w:szCs w:val="21"/>
                <w:highlight w:val="yellow"/>
              </w:rPr>
              <w:t xml:space="preserve">00</w:t>
            </w:r>
            <w:r/>
          </w:p>
        </w:tc>
        <w:tc>
          <w:tcPr>
            <w:tcW w:w="2318" w:type="dxa"/>
            <w:vAlign w:val="center"/>
            <w:textDirection w:val="lrTb"/>
            <w:noWrap w:val="false"/>
          </w:tcPr>
          <w:p>
            <w:pPr>
              <w:jc w:val="center"/>
              <w:spacing w:before="165" w:line="183" w:lineRule="auto"/>
              <w:widowControl/>
              <w:rPr>
                <w:rFonts w:ascii="宋体" w:hAnsi="宋体" w:cs="宋体"/>
                <w:color w:val="auto"/>
                <w:szCs w:val="21"/>
                <w:highlight w:val="none"/>
              </w:rPr>
            </w:pPr>
            <w:r>
              <w:rPr>
                <w:rFonts w:hint="eastAsia" w:ascii="宋体" w:hAnsi="宋体" w:cs="宋体"/>
                <w:color w:val="auto"/>
                <w:spacing w:val="-2"/>
                <w:szCs w:val="21"/>
                <w:highlight w:val="none"/>
              </w:rPr>
              <w:t xml:space="preserve">50</w:t>
            </w:r>
            <w:r>
              <w:rPr>
                <w:rFonts w:ascii="宋体" w:hAnsi="宋体" w:cs="宋体"/>
                <w:color w:val="auto"/>
                <w:spacing w:val="-2"/>
                <w:szCs w:val="21"/>
                <w:highlight w:val="none"/>
              </w:rPr>
              <w:t xml:space="preserve">.00</w:t>
            </w:r>
            <w:r/>
          </w:p>
        </w:tc>
      </w:tr>
    </w:tbl>
    <w:p>
      <w:pPr>
        <w:numPr>
          <w:ilvl w:val="0"/>
          <w:numId w:val="0"/>
        </w:numPr>
        <w:jc w:val="left"/>
        <w:spacing w:line="360" w:lineRule="auto"/>
        <w:widowControl/>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p>
      <w:pPr>
        <w:numPr>
          <w:ilvl w:val="0"/>
          <w:numId w:val="0"/>
        </w:numPr>
        <w:jc w:val="left"/>
        <w:spacing w:line="360" w:lineRule="auto"/>
        <w:widowControl/>
        <w:rPr>
          <w:rFonts w:hint="eastAsia" w:ascii="宋体" w:hAnsi="宋体" w:eastAsia="宋体" w:cs="宋体"/>
          <w:b/>
          <w:color w:val="auto"/>
          <w:sz w:val="24"/>
          <w:highlight w:val="none"/>
        </w:rPr>
      </w:pPr>
      <w:r>
        <w:rPr>
          <w:rFonts w:hint="eastAsia" w:ascii="宋体" w:hAnsi="宋体" w:cs="宋体"/>
          <w:b/>
          <w:color w:val="auto"/>
          <w:sz w:val="24"/>
          <w:highlight w:val="none"/>
          <w:lang w:eastAsia="zh-CN"/>
        </w:rPr>
        <w:t xml:space="preserve">（一）</w:t>
      </w:r>
      <w:r>
        <w:rPr>
          <w:rFonts w:hint="eastAsia" w:ascii="宋体" w:hAnsi="宋体" w:eastAsia="宋体" w:cs="宋体"/>
          <w:b/>
          <w:color w:val="auto"/>
          <w:sz w:val="24"/>
          <w:highlight w:val="none"/>
        </w:rPr>
        <w:t xml:space="preserve">技术评估</w:t>
      </w:r>
      <w:r/>
    </w:p>
    <w:tbl>
      <w:tblPr>
        <w:tblStyle w:val="850"/>
        <w:tblW w:w="4994"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867"/>
        <w:gridCol w:w="1130"/>
        <w:gridCol w:w="6706"/>
        <w:gridCol w:w="869"/>
      </w:tblGrid>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5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59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评审因素</w:t>
            </w:r>
            <w:r/>
          </w:p>
        </w:tc>
        <w:tc>
          <w:tcPr>
            <w:shd w:val="clear" w:color="auto" w:fill="auto"/>
            <w:tcBorders>
              <w:top w:val="single" w:color="000000" w:sz="4" w:space="0"/>
              <w:left w:val="single" w:color="000000" w:sz="4" w:space="0"/>
              <w:bottom w:val="single" w:color="000000" w:sz="4" w:space="0"/>
              <w:right w:val="single" w:color="000000" w:sz="4" w:space="0"/>
            </w:tcBorders>
            <w:tcW w:w="350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评审细则</w:t>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分值</w:t>
            </w:r>
            <w:r/>
          </w:p>
        </w:tc>
      </w:tr>
      <w:tr>
        <w:trPr>
          <w:trHeight w:val="270"/>
        </w:trPr>
        <w:tc>
          <w:tcPr>
            <w:gridSpan w:val="3"/>
            <w:shd w:val="clear" w:color="auto" w:fill="auto"/>
            <w:tcBorders>
              <w:top w:val="single" w:color="000000" w:sz="4" w:space="0"/>
              <w:left w:val="single" w:color="000000" w:sz="4" w:space="0"/>
              <w:bottom w:val="single" w:color="000000" w:sz="4" w:space="0"/>
              <w:right w:val="single" w:color="000000" w:sz="4" w:space="0"/>
            </w:tcBorders>
            <w:tcW w:w="454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1.技术参数评价</w:t>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cs="宋体"/>
                <w:i w:val="0"/>
                <w:iCs w:val="0"/>
                <w:color w:val="000000"/>
                <w:sz w:val="22"/>
                <w:szCs w:val="22"/>
                <w:highlight w:val="yellow"/>
                <w:u w:val="none"/>
                <w:lang w:val="en-US" w:eastAsia="zh-CN" w:bidi="ar"/>
              </w:rPr>
              <w:t xml:space="preserve">8</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453"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590"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技术参数响应</w:t>
            </w:r>
            <w:r/>
          </w:p>
        </w:tc>
        <w:tc>
          <w:tcPr>
            <w:shd w:val="clear" w:color="auto" w:fill="auto"/>
            <w:tcBorders>
              <w:top w:val="single" w:color="000000" w:sz="4" w:space="0"/>
              <w:left w:val="single" w:color="000000" w:sz="4" w:space="0"/>
              <w:bottom w:val="single" w:color="000000" w:sz="4" w:space="0"/>
              <w:right w:val="single" w:color="000000" w:sz="4" w:space="0"/>
            </w:tcBorders>
            <w:tcW w:w="3500" w:type="pct"/>
            <w:vAlign w:val="center"/>
            <w:textDirection w:val="lrTb"/>
            <w:noWrap w:val="false"/>
          </w:tcPr>
          <w:p>
            <w:pPr>
              <w:jc w:val="both"/>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评标委员会根据招标文件中的评审要点，对投标文件的技术参数等的响应情况进行评分，依据《技术响应及偏离表》等进行评价。</w:t>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cs="宋体"/>
                <w:i w:val="0"/>
                <w:iCs w:val="0"/>
                <w:color w:val="000000"/>
                <w:sz w:val="22"/>
                <w:szCs w:val="22"/>
                <w:highlight w:val="yellow"/>
                <w:u w:val="none"/>
                <w:lang w:val="en-US" w:eastAsia="zh-CN" w:bidi="ar"/>
              </w:rPr>
              <w:t xml:space="preserve">8</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53"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0"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500" w:type="pct"/>
            <w:vAlign w:val="center"/>
            <w:textDirection w:val="lrTb"/>
            <w:noWrap w:val="false"/>
          </w:tcPr>
          <w:p>
            <w:pPr>
              <w:jc w:val="both"/>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 代表实质性指标，不满足该指标项将导致投标无效；</w:t>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53"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0"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500" w:type="pct"/>
            <w:vAlign w:val="center"/>
            <w:textDirection w:val="lrTb"/>
            <w:noWrap w:val="false"/>
          </w:tcPr>
          <w:p>
            <w:pPr>
              <w:jc w:val="both"/>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2.“#”代表重要指标，每负偏离一项扣2分，正偏离不加分。</w:t>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90"/>
        </w:trPr>
        <w:tc>
          <w:tcPr>
            <w:gridSpan w:val="3"/>
            <w:shd w:val="clear" w:color="auto" w:fill="auto"/>
            <w:tcBorders>
              <w:top w:val="single" w:color="000000" w:sz="4" w:space="0"/>
              <w:left w:val="single" w:color="000000" w:sz="4" w:space="0"/>
              <w:bottom w:val="single" w:color="000000" w:sz="4" w:space="0"/>
              <w:right w:val="single" w:color="000000" w:sz="4" w:space="0"/>
            </w:tcBorders>
            <w:tcW w:w="454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2.技术方案</w:t>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45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59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项目实施方案评价</w:t>
            </w:r>
            <w:r/>
          </w:p>
        </w:tc>
        <w:tc>
          <w:tcPr>
            <w:shd w:val="clear" w:color="auto" w:fill="auto"/>
            <w:tcBorders>
              <w:top w:val="single" w:color="000000" w:sz="4" w:space="0"/>
              <w:left w:val="single" w:color="000000" w:sz="4" w:space="0"/>
              <w:bottom w:val="single" w:color="000000" w:sz="4" w:space="0"/>
              <w:right w:val="single" w:color="000000" w:sz="4" w:space="0"/>
            </w:tcBorders>
            <w:tcW w:w="3500" w:type="pct"/>
            <w:vAlign w:val="center"/>
            <w:textDirection w:val="lrTb"/>
            <w:noWrap w:val="false"/>
          </w:tcPr>
          <w:p>
            <w:pPr>
              <w:jc w:val="both"/>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投标人提供本项目具体实施方案，具备现场采购实施方案得0.5分，具备质量控制措施得0.5分，具备加工方案得0.5分，具备包装配送方案得0.5分。不提供不得分。</w:t>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45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59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售后服务方案评价</w:t>
            </w:r>
            <w:r/>
          </w:p>
        </w:tc>
        <w:tc>
          <w:tcPr>
            <w:shd w:val="clear" w:color="auto" w:fill="auto"/>
            <w:tcBorders>
              <w:top w:val="single" w:color="000000" w:sz="4" w:space="0"/>
              <w:left w:val="single" w:color="000000" w:sz="4" w:space="0"/>
              <w:bottom w:val="single" w:color="000000" w:sz="4" w:space="0"/>
              <w:right w:val="single" w:color="000000" w:sz="4" w:space="0"/>
            </w:tcBorders>
            <w:tcW w:w="3500" w:type="pct"/>
            <w:vAlign w:val="center"/>
            <w:textDirection w:val="lrTb"/>
            <w:noWrap w:val="false"/>
          </w:tcPr>
          <w:p>
            <w:pPr>
              <w:jc w:val="both"/>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根据投标人提供的售后服务方案综合评审，具备货物的技术服务得0.5分,售后服务的内容及措施得0.5分,具备维修服务的响应时间、响应方式得0.5分,具备解决问题迅速、设备保障措施得0.5分。不提供不得分。</w:t>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r>
      <w:tr>
        <w:trPr>
          <w:trHeight w:val="270"/>
        </w:trPr>
        <w:tc>
          <w:tcPr>
            <w:gridSpan w:val="3"/>
            <w:shd w:val="clear" w:color="auto" w:fill="auto"/>
            <w:tcBorders>
              <w:top w:val="single" w:color="000000" w:sz="4" w:space="0"/>
              <w:left w:val="single" w:color="000000" w:sz="4" w:space="0"/>
              <w:bottom w:val="single" w:color="000000" w:sz="4" w:space="0"/>
              <w:right w:val="single" w:color="000000" w:sz="4" w:space="0"/>
            </w:tcBorders>
            <w:tcW w:w="454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3.原材料评价</w:t>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tcPr>
          <w:p>
            <w:pPr>
              <w:jc w:val="center"/>
              <w:keepLines w:val="0"/>
              <w:keepNext w:val="0"/>
              <w:widowControl/>
              <w:rPr>
                <w:rFonts w:hint="default" w:ascii="宋体" w:hAnsi="宋体" w:eastAsia="宋体" w:cs="宋体"/>
                <w:i w:val="0"/>
                <w:iCs w:val="0"/>
                <w:color w:val="000000"/>
                <w:sz w:val="22"/>
                <w:szCs w:val="22"/>
                <w:u w:val="none"/>
                <w:lang w:val="en-US"/>
              </w:rPr>
              <w:suppressLineNumbers w:val="0"/>
            </w:pPr>
            <w:r>
              <w:rPr>
                <w:rFonts w:hint="eastAsia" w:ascii="宋体" w:hAnsi="宋体" w:cs="宋体"/>
                <w:i w:val="0"/>
                <w:iCs w:val="0"/>
                <w:color w:val="000000"/>
                <w:sz w:val="22"/>
                <w:szCs w:val="22"/>
                <w:highlight w:val="yellow"/>
                <w:u w:val="none"/>
                <w:lang w:val="en-US" w:eastAsia="zh-CN" w:bidi="ar"/>
              </w:rPr>
              <w:t xml:space="preserve">17</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453" w:type="pct"/>
            <w:vAlign w:val="center"/>
            <w:vMerge w:val="restart"/>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590"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highlight w:val="yellow"/>
                <w:u w:val="none"/>
                <w:lang w:val="en-US" w:eastAsia="zh-CN" w:bidi="ar"/>
              </w:rPr>
              <w:t xml:space="preserve">检测证明</w:t>
            </w:r>
            <w:r/>
          </w:p>
        </w:tc>
        <w:tc>
          <w:tcPr>
            <w:shd w:val="clear" w:color="auto" w:fill="auto"/>
            <w:tcBorders>
              <w:top w:val="single" w:color="000000" w:sz="4" w:space="0"/>
              <w:left w:val="single" w:color="000000" w:sz="4" w:space="0"/>
              <w:bottom w:val="single" w:color="000000" w:sz="4" w:space="0"/>
              <w:right w:val="single" w:color="000000" w:sz="4" w:space="0"/>
            </w:tcBorders>
            <w:tcW w:w="3500" w:type="pct"/>
            <w:vAlign w:val="center"/>
            <w:textDirection w:val="lrTb"/>
            <w:noWrap w:val="false"/>
          </w:tcPr>
          <w:p>
            <w:pPr>
              <w:jc w:val="left"/>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自由组合区角柜、幼儿美术综合柜</w:t>
            </w:r>
            <w:r>
              <w:rPr>
                <w:rStyle w:val="1044"/>
                <w:lang w:val="en-US" w:eastAsia="zh-CN" w:bidi="ar"/>
              </w:rPr>
              <w:t xml:space="preserve">中主框架采用的橡胶木按照GB/T39600-2021标准进行检测，检测项目包括：甲醛释放量≤0.015mg/m³，符合Enf级，判定合格满足以上要求。</w:t>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cs="宋体"/>
                <w:i w:val="0"/>
                <w:iCs w:val="0"/>
                <w:color w:val="000000"/>
                <w:sz w:val="22"/>
                <w:szCs w:val="22"/>
                <w:u w:val="none"/>
                <w:lang w:val="en-US" w:eastAsia="zh-CN" w:bidi="ar"/>
              </w:rPr>
              <w:t xml:space="preserve">2</w:t>
            </w:r>
            <w:r/>
          </w:p>
        </w:tc>
      </w:tr>
      <w:tr>
        <w:trPr>
          <w:trHeight w:val="1080"/>
        </w:trPr>
        <w:tc>
          <w:tcPr>
            <w:shd w:val="clear" w:color="auto" w:fill="auto"/>
            <w:tcBorders>
              <w:top w:val="single" w:color="000000" w:sz="4" w:space="0"/>
              <w:left w:val="single" w:color="000000" w:sz="4" w:space="0"/>
              <w:bottom w:val="single" w:color="000000" w:sz="4" w:space="0"/>
              <w:right w:val="single" w:color="000000" w:sz="4" w:space="0"/>
            </w:tcBorders>
            <w:tcW w:w="453" w:type="pct"/>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0"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500" w:type="pct"/>
            <w:vAlign w:val="center"/>
            <w:textDirection w:val="lrTb"/>
            <w:noWrap w:val="false"/>
          </w:tcPr>
          <w:p>
            <w:pPr>
              <w:jc w:val="left"/>
              <w:keepLines w:val="0"/>
              <w:keepNext w:val="0"/>
              <w:widowControl/>
              <w:rPr>
                <w:rFonts w:hint="eastAsia" w:ascii="宋体" w:hAnsi="宋体" w:eastAsia="宋体" w:cs="宋体"/>
                <w:b/>
                <w:bCs/>
                <w:i w:val="0"/>
                <w:iCs w:val="0"/>
                <w:color w:val="000000"/>
                <w:sz w:val="22"/>
                <w:szCs w:val="22"/>
                <w:u w:val="none"/>
              </w:rPr>
              <w:suppressLineNumbers w:val="0"/>
            </w:pPr>
            <w:r>
              <w:rPr>
                <w:rStyle w:val="1045"/>
                <w:lang w:val="en-US" w:eastAsia="zh-CN" w:bidi="ar"/>
              </w:rPr>
              <w:t xml:space="preserve">玩具柜（带轮）、儿童书柜（带轮）、美工材料柜（带轮）</w:t>
            </w:r>
            <w:r>
              <w:rPr>
                <w:rStyle w:val="1044"/>
                <w:lang w:val="en-US" w:eastAsia="zh-CN" w:bidi="ar"/>
              </w:rPr>
              <w:t xml:space="preserve">中滚轮按照QB/T 4765-2014标准进行检测，检测项目包括：主要尺寸[轮径≥20.0mm，轮宽-双联轮脚轮≥5.0mm，外角倒圆半径≥1.5mm]、外观、装配、抗冲击性能、动载荷、滚动阻力、旋转阻力、静载荷等检测指标，判定合格满足以上要求。</w:t>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cs="宋体"/>
                <w:i w:val="0"/>
                <w:iCs w:val="0"/>
                <w:color w:val="000000"/>
                <w:sz w:val="22"/>
                <w:szCs w:val="22"/>
                <w:u w:val="none"/>
                <w:lang w:val="en-US" w:eastAsia="zh-CN" w:bidi="ar"/>
              </w:rPr>
              <w:t xml:space="preserve">1</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453" w:type="pct"/>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0"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500" w:type="pct"/>
            <w:vAlign w:val="center"/>
            <w:textDirection w:val="lrTb"/>
            <w:noWrap w:val="false"/>
          </w:tcPr>
          <w:p>
            <w:pPr>
              <w:jc w:val="left"/>
              <w:keepLines w:val="0"/>
              <w:keepNext w:val="0"/>
              <w:widowControl/>
              <w:rPr>
                <w:rFonts w:hint="eastAsia" w:ascii="宋体" w:hAnsi="宋体" w:eastAsia="宋体" w:cs="宋体"/>
                <w:b/>
                <w:bCs/>
                <w:i w:val="0"/>
                <w:iCs w:val="0"/>
                <w:color w:val="000000"/>
                <w:sz w:val="22"/>
                <w:szCs w:val="22"/>
                <w:u w:val="none"/>
              </w:rPr>
              <w:suppressLineNumbers w:val="0"/>
            </w:pPr>
            <w:r>
              <w:rPr>
                <w:rStyle w:val="1045"/>
                <w:lang w:val="en-US" w:eastAsia="zh-CN" w:bidi="ar"/>
              </w:rPr>
              <w:t xml:space="preserve">玩具柜（带轮）、儿童书柜（带轮）、美工材料柜（带轮）</w:t>
            </w:r>
            <w:r>
              <w:rPr>
                <w:rStyle w:val="1044"/>
                <w:lang w:val="en-US" w:eastAsia="zh-CN" w:bidi="ar"/>
              </w:rPr>
              <w:t xml:space="preserve">中的PVC封边条须依据 QB/T4463-2025标准进行检测，检测项目包括：外观-塑料封边条、规格尺寸及其偏差和形状公差-形状公差、理化性能-塑料封边条[耐干热性，耐磨性，耐龟裂性≥4级，耐冷热循环性，耐光色牢度(灰色样卡)≥4级]、有害物质限量[甲醛释放量≤0.5mg/L，氯乙烯单体≤5mg/kg，可迁移元素(可溶性重金属)（铅、镉、铬、汞、砷、钡、锑、硒）含量符合，邻苯二甲酸酯含量符合，多溴联苯(PBB)符合，多溴联苯醚(PBDE)符合]等检测指标，判定合格满足以上要求。</w:t>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cs="宋体"/>
                <w:i w:val="0"/>
                <w:iCs w:val="0"/>
                <w:color w:val="000000"/>
                <w:sz w:val="22"/>
                <w:szCs w:val="22"/>
                <w:u w:val="none"/>
                <w:lang w:val="en-US" w:eastAsia="zh-CN" w:bidi="ar"/>
              </w:rPr>
              <w:t xml:space="preserve">1</w:t>
            </w:r>
            <w:r/>
          </w:p>
        </w:tc>
      </w:tr>
      <w:tr>
        <w:trPr>
          <w:trHeight w:val="2160"/>
        </w:trPr>
        <w:tc>
          <w:tcPr>
            <w:shd w:val="clear" w:color="auto" w:fill="auto"/>
            <w:tcBorders>
              <w:top w:val="single" w:color="000000" w:sz="4" w:space="0"/>
              <w:left w:val="single" w:color="000000" w:sz="4" w:space="0"/>
              <w:bottom w:val="single" w:color="000000" w:sz="4" w:space="0"/>
              <w:right w:val="single" w:color="000000" w:sz="4" w:space="0"/>
            </w:tcBorders>
            <w:tcW w:w="453" w:type="pct"/>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0"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500" w:type="pct"/>
            <w:vAlign w:val="center"/>
            <w:textDirection w:val="lrTb"/>
            <w:noWrap w:val="false"/>
          </w:tcPr>
          <w:p>
            <w:pPr>
              <w:jc w:val="left"/>
              <w:keepLines w:val="0"/>
              <w:keepNext w:val="0"/>
              <w:widowControl/>
              <w:rPr>
                <w:rFonts w:hint="eastAsia" w:ascii="宋体" w:hAnsi="宋体" w:eastAsia="宋体" w:cs="宋体"/>
                <w:b/>
                <w:bCs/>
                <w:i w:val="0"/>
                <w:iCs w:val="0"/>
                <w:color w:val="000000"/>
                <w:sz w:val="22"/>
                <w:szCs w:val="22"/>
                <w:u w:val="none"/>
              </w:rPr>
              <w:suppressLineNumbers w:val="0"/>
            </w:pPr>
            <w:r>
              <w:rPr>
                <w:rStyle w:val="1045"/>
                <w:lang w:val="en-US" w:eastAsia="zh-CN" w:bidi="ar"/>
              </w:rPr>
              <w:t xml:space="preserve">长桌（小班、中班、大班）、方桌（小班、中班、大班）</w:t>
            </w:r>
            <w:r>
              <w:rPr>
                <w:rStyle w:val="1044"/>
                <w:lang w:val="en-US" w:eastAsia="zh-CN" w:bidi="ar"/>
              </w:rPr>
              <w:t xml:space="preserve">所采用的木蜡油</w:t>
            </w:r>
            <w:r>
              <w:rPr>
                <w:rStyle w:val="1044"/>
                <w:lang w:val="en-US" w:eastAsia="zh-CN" w:bidi="ar"/>
              </w:rPr>
              <w:t xml:space="preserve">须依据 GB/T27811-2011标准进行检测，检测项目包括：在容器中状态，细度≤40μm；干燥时间[表干≤8h、实干≤24h]；贮存稳定性[结皮性-无结皮、沉降性-无异常]；涂膜外观正常；光泽(60°)；硬度 (擦伤)≥B；附着力(划格间距2mm)≤1级；耐干热性≤2级；耐水性无异常；耐碱性无异常；耐醇性无异常；耐污染性（醋、茶）无异常；挥发性有机化合物(VOC)含量≤450g/L；苯含量未检出；甲苯、二甲苯、乙苯含量总和未检出；卤代烃含量≤0.1%；可溶性重金属含量（铅、镉、铬、汞）未检出等检测指标。</w:t>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tcPr>
          <w:p>
            <w:pPr>
              <w:jc w:val="center"/>
              <w:keepLines w:val="0"/>
              <w:keepNext w:val="0"/>
              <w:widowControl/>
              <w:rPr>
                <w:rFonts w:hint="default" w:ascii="宋体" w:hAnsi="宋体" w:eastAsia="宋体" w:cs="宋体"/>
                <w:i w:val="0"/>
                <w:iCs w:val="0"/>
                <w:color w:val="000000"/>
                <w:sz w:val="22"/>
                <w:szCs w:val="22"/>
                <w:u w:val="none"/>
                <w:lang w:val="en-US"/>
              </w:rPr>
              <w:suppressLineNumbers w:val="0"/>
            </w:pPr>
            <w:r>
              <w:rPr>
                <w:rFonts w:hint="eastAsia" w:ascii="宋体" w:hAnsi="宋体" w:cs="宋体"/>
                <w:i w:val="0"/>
                <w:iCs w:val="0"/>
                <w:color w:val="000000"/>
                <w:sz w:val="22"/>
                <w:szCs w:val="22"/>
                <w:highlight w:val="yellow"/>
                <w:u w:val="none"/>
                <w:lang w:val="en-US" w:eastAsia="zh-CN" w:bidi="ar"/>
              </w:rPr>
              <w:t xml:space="preserve">1.5</w:t>
            </w:r>
            <w:r/>
          </w:p>
        </w:tc>
      </w:tr>
      <w:tr>
        <w:trPr>
          <w:trHeight w:val="1350"/>
        </w:trPr>
        <w:tc>
          <w:tcPr>
            <w:shd w:val="clear" w:color="auto" w:fill="auto"/>
            <w:tcBorders>
              <w:top w:val="single" w:color="000000" w:sz="4" w:space="0"/>
              <w:left w:val="single" w:color="000000" w:sz="4" w:space="0"/>
              <w:bottom w:val="single" w:color="000000" w:sz="4" w:space="0"/>
              <w:right w:val="single" w:color="000000" w:sz="4" w:space="0"/>
            </w:tcBorders>
            <w:tcW w:w="453" w:type="pct"/>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0"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50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Style w:val="1044"/>
                <w:lang w:val="en-US" w:eastAsia="zh-CN" w:bidi="ar"/>
              </w:rPr>
              <w:t xml:space="preserve">桌子塑料连接件适配幼儿园教室人员密集，园区日常洗手、洒水清洁易造成塑料件潮湿积污，</w:t>
            </w:r>
            <w:r>
              <w:rPr>
                <w:rStyle w:val="1045"/>
                <w:lang w:val="en-US" w:eastAsia="zh-CN" w:bidi="ar"/>
              </w:rPr>
              <w:t xml:space="preserve">长桌（小班、中班、大班）、方桌（小班、中班、大班）</w:t>
            </w:r>
            <w:r>
              <w:rPr>
                <w:rStyle w:val="1044"/>
                <w:lang w:val="en-US" w:eastAsia="zh-CN" w:bidi="ar"/>
              </w:rPr>
              <w:t xml:space="preserve">所采用的塑料连接件须依据GB/T 24128-2018标准规范要求开展塑料件连接件防霉检测试验，检测项目应均包含：黑曲霉、球毛壳霉、宛氏拟青霉、绳状青霉、长枝木霉长霉等级为0级。</w:t>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w:t>
            </w:r>
            <w:r/>
          </w:p>
        </w:tc>
      </w:tr>
      <w:tr>
        <w:trPr>
          <w:trHeight w:val="1890"/>
        </w:trPr>
        <w:tc>
          <w:tcPr>
            <w:shd w:val="clear" w:color="auto" w:fill="auto"/>
            <w:tcBorders>
              <w:top w:val="single" w:color="000000" w:sz="4" w:space="0"/>
              <w:left w:val="single" w:color="000000" w:sz="4" w:space="0"/>
              <w:bottom w:val="single" w:color="000000" w:sz="4" w:space="0"/>
              <w:right w:val="single" w:color="000000" w:sz="4" w:space="0"/>
            </w:tcBorders>
            <w:tcW w:w="453" w:type="pct"/>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0"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50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幼儿活泼好动，桌椅长期受反复摇晃、推拉冲击，桌体塑料连接件若发生老化、滑丝、松动、断裂，极易引发桌椅倾倒、幼儿磕碰受伤等安全事故，塑料连接件必须具备长期稳定的紧固性能与耐光照老化能力。</w:t>
            </w:r>
            <w:r>
              <w:rPr>
                <w:rStyle w:val="1045"/>
                <w:lang w:val="en-US" w:eastAsia="zh-CN" w:bidi="ar"/>
              </w:rPr>
              <w:t xml:space="preserve">长桌（小班、中班、大班）、方桌（小班、中班、大班）</w:t>
            </w:r>
            <w:r>
              <w:rPr>
                <w:rStyle w:val="1044"/>
                <w:lang w:val="en-US" w:eastAsia="zh-CN" w:bidi="ar"/>
              </w:rPr>
              <w:t xml:space="preserve">所采用的塑料连接件须依据 GB/T16422.2-2022 标准开展氙弧灯人工加速老化试验，《塑料实验室光源暴露试验方法 第 2 部分：氙弧灯》 完成氙灯人工加速老化测试，老化试验后连接件不得出现开裂、脆化、变形、滑丝松动、强度衰减等问题，结构紧固性能保持完好。</w:t>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453" w:type="pct"/>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0"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500" w:type="pct"/>
            <w:vAlign w:val="center"/>
            <w:textDirection w:val="lrTb"/>
            <w:noWrap w:val="false"/>
          </w:tcPr>
          <w:p>
            <w:pPr>
              <w:jc w:val="left"/>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户外大型运动组合器械</w:t>
            </w:r>
            <w:r>
              <w:rPr>
                <w:rStyle w:val="1044"/>
                <w:lang w:val="en-US" w:eastAsia="zh-CN" w:bidi="ar"/>
              </w:rPr>
              <w:t xml:space="preserve">的浸塑平台须依据GB/T 10125-2021标准规范要求进行盐雾检测试验，检测项目应均包含盐雾试验时间≥2100h，外观无明显变化，保护等级至少达到10级。</w:t>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453" w:type="pct"/>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0"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500" w:type="pct"/>
            <w:vAlign w:val="center"/>
            <w:textDirection w:val="lrTb"/>
            <w:noWrap w:val="false"/>
          </w:tcPr>
          <w:p>
            <w:pPr>
              <w:jc w:val="left"/>
              <w:keepLines w:val="0"/>
              <w:keepNext w:val="0"/>
              <w:widowControl/>
              <w:rPr>
                <w:rFonts w:hint="eastAsia" w:ascii="宋体" w:hAnsi="宋体" w:eastAsia="宋体" w:cs="宋体"/>
                <w:b/>
                <w:bCs/>
                <w:i w:val="0"/>
                <w:iCs w:val="0"/>
                <w:color w:val="000000"/>
                <w:sz w:val="22"/>
                <w:szCs w:val="22"/>
                <w:u w:val="none"/>
              </w:rPr>
              <w:suppressLineNumbers w:val="0"/>
            </w:pPr>
            <w:r>
              <w:rPr>
                <w:rStyle w:val="1045"/>
                <w:lang w:val="en-US" w:eastAsia="zh-CN" w:bidi="ar"/>
              </w:rPr>
              <w:t xml:space="preserve">公共区的布艺窗帘</w:t>
            </w:r>
            <w:r>
              <w:rPr>
                <w:rStyle w:val="1044"/>
                <w:lang w:val="en-US" w:eastAsia="zh-CN" w:bidi="ar"/>
              </w:rPr>
              <w:t xml:space="preserve">面料须依据GB/T 17591-2025标准规范要求进行燃烧检测试验，检测项目应均包含燃烧性能达到B1级，经过水洗不少于25次，干洗不少于10次，仍符合上述燃烧性能等级要求。</w:t>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cs="宋体"/>
                <w:i w:val="0"/>
                <w:iCs w:val="0"/>
                <w:color w:val="000000"/>
                <w:sz w:val="22"/>
                <w:szCs w:val="22"/>
                <w:u w:val="none"/>
                <w:lang w:val="en-US" w:eastAsia="zh-CN" w:bidi="ar"/>
              </w:rPr>
              <w:t xml:space="preserve">2</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453" w:type="pct"/>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0"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500" w:type="pct"/>
            <w:vAlign w:val="center"/>
            <w:textDirection w:val="lrTb"/>
            <w:noWrap w:val="false"/>
          </w:tcPr>
          <w:p>
            <w:pPr>
              <w:jc w:val="left"/>
              <w:keepLines w:val="0"/>
              <w:keepNext w:val="0"/>
              <w:widowControl/>
              <w:rPr>
                <w:rFonts w:hint="eastAsia" w:ascii="宋体" w:hAnsi="宋体" w:eastAsia="宋体" w:cs="宋体"/>
                <w:b/>
                <w:bCs/>
                <w:i w:val="0"/>
                <w:iCs w:val="0"/>
                <w:color w:val="000000"/>
                <w:sz w:val="22"/>
                <w:szCs w:val="22"/>
                <w:u w:val="none"/>
              </w:rPr>
              <w:suppressLineNumbers w:val="0"/>
            </w:pPr>
            <w:r>
              <w:rPr>
                <w:rStyle w:val="1045"/>
                <w:lang w:val="en-US" w:eastAsia="zh-CN" w:bidi="ar"/>
              </w:rPr>
              <w:t xml:space="preserve">窗帘</w:t>
            </w:r>
            <w:r>
              <w:rPr>
                <w:rStyle w:val="1044"/>
                <w:lang w:val="en-US" w:eastAsia="zh-CN" w:bidi="ar"/>
              </w:rPr>
              <w:t xml:space="preserve">面料须依据GB/T 5455-2014标准规范要求进行垂直燃烧检测试验，检测项目应均包含垂直燃烧测试：GB/T 5455-2014：损毁长度≤150mm，续燃时间≤5s，阴燃时间≤5s，无熔融滴落，判定合格。</w:t>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cs="宋体"/>
                <w:i w:val="0"/>
                <w:iCs w:val="0"/>
                <w:color w:val="000000"/>
                <w:sz w:val="22"/>
                <w:szCs w:val="22"/>
                <w:u w:val="none"/>
                <w:lang w:val="en-US" w:eastAsia="zh-CN" w:bidi="ar"/>
              </w:rPr>
              <w:t xml:space="preserve">2</w:t>
            </w:r>
            <w:r/>
          </w:p>
        </w:tc>
      </w:tr>
      <w:tr>
        <w:trPr>
          <w:trHeight w:val="1620"/>
        </w:trPr>
        <w:tc>
          <w:tcPr>
            <w:shd w:val="clear" w:color="auto" w:fill="auto"/>
            <w:tcBorders>
              <w:top w:val="single" w:color="000000" w:sz="4" w:space="0"/>
              <w:left w:val="single" w:color="000000" w:sz="4" w:space="0"/>
              <w:bottom w:val="single" w:color="000000" w:sz="4" w:space="0"/>
              <w:right w:val="single" w:color="000000" w:sz="4" w:space="0"/>
            </w:tcBorders>
            <w:tcW w:w="453" w:type="pct"/>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0"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500" w:type="pct"/>
            <w:vAlign w:val="center"/>
            <w:textDirection w:val="lrTb"/>
            <w:noWrap w:val="false"/>
          </w:tcPr>
          <w:p>
            <w:pPr>
              <w:jc w:val="left"/>
              <w:keepLines w:val="0"/>
              <w:keepNext w:val="0"/>
              <w:widowControl/>
              <w:rPr>
                <w:rFonts w:hint="eastAsia" w:ascii="宋体" w:hAnsi="宋体" w:eastAsia="宋体" w:cs="宋体"/>
                <w:b/>
                <w:bCs/>
                <w:i w:val="0"/>
                <w:iCs w:val="0"/>
                <w:color w:val="000000"/>
                <w:sz w:val="22"/>
                <w:szCs w:val="22"/>
                <w:u w:val="none"/>
              </w:rPr>
              <w:suppressLineNumbers w:val="0"/>
            </w:pPr>
            <w:r>
              <w:rPr>
                <w:rStyle w:val="1045"/>
                <w:lang w:val="en-US" w:eastAsia="zh-CN" w:bidi="ar"/>
              </w:rPr>
              <w:t xml:space="preserve">大报告厅座椅</w:t>
            </w:r>
            <w:r>
              <w:rPr>
                <w:rStyle w:val="1044"/>
                <w:lang w:val="en-US" w:eastAsia="zh-CN" w:bidi="ar"/>
              </w:rPr>
              <w:t xml:space="preserve">采用的海绵须依据GB/T 10802-2023标准进行检测，检测项目包括：表观密度：≥46kg/m³，密度偏差符合标准规定；</w:t>
            </w:r>
            <w:r>
              <w:rPr>
                <w:rStyle w:val="1044"/>
                <w:lang w:val="en-US" w:eastAsia="zh-CN" w:bidi="ar"/>
              </w:rPr>
              <w:br/>
            </w:r>
            <w:r>
              <w:rPr>
                <w:rStyle w:val="1044"/>
                <w:lang w:val="en-US" w:eastAsia="zh-CN" w:bidi="ar"/>
              </w:rPr>
              <w:t xml:space="preserve">回弹率：≥45%；</w:t>
            </w:r>
            <w:r>
              <w:rPr>
                <w:rStyle w:val="1044"/>
                <w:lang w:val="en-US" w:eastAsia="zh-CN" w:bidi="ar"/>
              </w:rPr>
              <w:br/>
            </w:r>
            <w:r>
              <w:rPr>
                <w:rStyle w:val="1044"/>
                <w:lang w:val="en-US" w:eastAsia="zh-CN" w:bidi="ar"/>
              </w:rPr>
              <w:t xml:space="preserve">75% 压缩永久变形：≤5%；</w:t>
            </w:r>
            <w:r>
              <w:rPr>
                <w:rStyle w:val="1044"/>
                <w:lang w:val="en-US" w:eastAsia="zh-CN" w:bidi="ar"/>
              </w:rPr>
              <w:br/>
            </w:r>
            <w:r>
              <w:rPr>
                <w:rStyle w:val="1044"/>
                <w:lang w:val="en-US" w:eastAsia="zh-CN" w:bidi="ar"/>
              </w:rPr>
              <w:t xml:space="preserve">湿热老化后拉伸强度：≥100kPa；</w:t>
            </w:r>
            <w:r>
              <w:rPr>
                <w:rStyle w:val="1044"/>
                <w:lang w:val="en-US" w:eastAsia="zh-CN" w:bidi="ar"/>
              </w:rPr>
              <w:br/>
            </w:r>
            <w:r>
              <w:rPr>
                <w:rStyle w:val="1044"/>
                <w:lang w:val="en-US" w:eastAsia="zh-CN" w:bidi="ar"/>
              </w:rPr>
              <w:t xml:space="preserve">干热老化后拉伸强度：≥100kPa。</w:t>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tcPr>
          <w:p>
            <w:pPr>
              <w:jc w:val="center"/>
              <w:keepLines w:val="0"/>
              <w:keepNext w:val="0"/>
              <w:widowControl/>
              <w:rPr>
                <w:rFonts w:hint="default" w:ascii="宋体" w:hAnsi="宋体" w:eastAsia="宋体" w:cs="宋体"/>
                <w:i w:val="0"/>
                <w:iCs w:val="0"/>
                <w:color w:val="000000"/>
                <w:sz w:val="22"/>
                <w:szCs w:val="22"/>
                <w:u w:val="none"/>
                <w:lang w:val="en-US"/>
              </w:rPr>
              <w:suppressLineNumbers w:val="0"/>
            </w:pPr>
            <w:r>
              <w:rPr>
                <w:rFonts w:hint="eastAsia" w:ascii="宋体" w:hAnsi="宋体" w:cs="宋体"/>
                <w:i w:val="0"/>
                <w:iCs w:val="0"/>
                <w:color w:val="000000"/>
                <w:sz w:val="22"/>
                <w:szCs w:val="22"/>
                <w:highlight w:val="yellow"/>
                <w:u w:val="none"/>
                <w:lang w:val="en-US" w:eastAsia="zh-CN" w:bidi="ar"/>
              </w:rPr>
              <w:t xml:space="preserve">1.5</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453" w:type="pct"/>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0"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500" w:type="pct"/>
            <w:vAlign w:val="center"/>
            <w:textDirection w:val="lrTb"/>
            <w:noWrap w:val="false"/>
          </w:tcPr>
          <w:p>
            <w:pPr>
              <w:jc w:val="left"/>
              <w:keepLines w:val="0"/>
              <w:keepNext w:val="0"/>
              <w:widowControl/>
              <w:rPr>
                <w:rFonts w:hint="eastAsia" w:ascii="宋体" w:hAnsi="宋体" w:eastAsia="宋体" w:cs="宋体"/>
                <w:b/>
                <w:bCs/>
                <w:i w:val="0"/>
                <w:iCs w:val="0"/>
                <w:color w:val="000000"/>
                <w:sz w:val="22"/>
                <w:szCs w:val="22"/>
                <w:u w:val="none"/>
              </w:rPr>
              <w:suppressLineNumbers w:val="0"/>
            </w:pPr>
            <w:r>
              <w:rPr>
                <w:rStyle w:val="1045"/>
                <w:lang w:val="en-US" w:eastAsia="zh-CN" w:bidi="ar"/>
              </w:rPr>
              <w:t xml:space="preserve">交通安全标志翻版墙</w:t>
            </w:r>
            <w:r>
              <w:rPr>
                <w:rStyle w:val="1044"/>
                <w:lang w:val="en-US" w:eastAsia="zh-CN" w:bidi="ar"/>
              </w:rPr>
              <w:t xml:space="preserve">中的翻牌材质采用亚克力（PMMA）板材，板材须依据 GB/T 2410-2008标准规范要求开展检测试验，检测项目为：亚克力板材透光率、雾度两项光学指标检测数据。</w:t>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cs="宋体"/>
                <w:i w:val="0"/>
                <w:iCs w:val="0"/>
                <w:color w:val="000000"/>
                <w:sz w:val="22"/>
                <w:szCs w:val="22"/>
                <w:u w:val="none"/>
                <w:lang w:val="en-US" w:eastAsia="zh-CN" w:bidi="ar"/>
              </w:rPr>
              <w:t xml:space="preserve">1</w:t>
            </w:r>
            <w:r/>
          </w:p>
        </w:tc>
      </w:tr>
      <w:tr>
        <w:trPr>
          <w:trHeight w:val="1620"/>
        </w:trPr>
        <w:tc>
          <w:tcPr>
            <w:shd w:val="clear" w:color="auto" w:fill="auto"/>
            <w:tcBorders>
              <w:top w:val="single" w:color="000000" w:sz="4" w:space="0"/>
              <w:left w:val="single" w:color="000000" w:sz="4" w:space="0"/>
              <w:bottom w:val="single" w:color="000000" w:sz="4" w:space="0"/>
              <w:right w:val="single" w:color="000000" w:sz="4" w:space="0"/>
            </w:tcBorders>
            <w:tcW w:w="453" w:type="pct"/>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0"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500" w:type="pct"/>
            <w:vAlign w:val="center"/>
            <w:textDirection w:val="lrTb"/>
            <w:noWrap w:val="false"/>
          </w:tcPr>
          <w:p>
            <w:pPr>
              <w:jc w:val="left"/>
              <w:keepLines w:val="0"/>
              <w:keepNext w:val="0"/>
              <w:widowControl/>
              <w:rPr>
                <w:rFonts w:hint="eastAsia" w:ascii="宋体" w:hAnsi="宋体" w:eastAsia="宋体" w:cs="宋体"/>
                <w:b/>
                <w:bCs/>
                <w:i w:val="0"/>
                <w:iCs w:val="0"/>
                <w:color w:val="000000"/>
                <w:sz w:val="22"/>
                <w:szCs w:val="22"/>
                <w:highlight w:val="yellow"/>
                <w:u w:val="none"/>
              </w:rPr>
              <w:suppressLineNumbers w:val="0"/>
            </w:pPr>
            <w:r>
              <w:rPr>
                <w:rStyle w:val="1045"/>
                <w:highlight w:val="none"/>
                <w:lang w:val="en-US" w:eastAsia="zh-CN" w:bidi="ar"/>
              </w:rPr>
              <w:t xml:space="preserve">幼儿沙发</w:t>
            </w:r>
            <w:r>
              <w:rPr>
                <w:rStyle w:val="1044"/>
                <w:highlight w:val="none"/>
                <w:lang w:val="en-US" w:eastAsia="zh-CN" w:bidi="ar"/>
              </w:rPr>
              <w:t xml:space="preserve">采用的海绵填充物须依据GB/T 30400-2013标准规范要求开展检测试验，检测项目为：1、危险杂质：不得含有金属屑、玻璃、硬质尖锐颗粒等任何危险杂质；2、含杂质率：填充物含杂质率≤1.0%；3、污染物：各类有毒有害物质限量符合标准限值要求；4、燃烧性能：试样燃烧面积≤7500mm²；5、气味：产品无刺激性异味；6、微生物指标：细菌菌落总数≤5000CFU/g，大肠杆菌不得检出。</w:t>
            </w:r>
            <w:r/>
          </w:p>
        </w:tc>
        <w:tc>
          <w:tcPr>
            <w:shd w:val="clear" w:color="auto" w:fill="auto"/>
            <w:tcBorders>
              <w:top w:val="single" w:color="000000" w:sz="4" w:space="0"/>
              <w:left w:val="single" w:color="000000" w:sz="4" w:space="0"/>
              <w:bottom w:val="single" w:color="auto" w:sz="4" w:space="0"/>
              <w:right w:val="single" w:color="000000" w:sz="4" w:space="0"/>
            </w:tcBorders>
            <w:tcW w:w="45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yellow"/>
                <w:u w:val="none"/>
              </w:rPr>
              <w:suppressLineNumbers w:val="0"/>
            </w:pPr>
            <w:r>
              <w:rPr>
                <w:rFonts w:hint="eastAsia" w:ascii="宋体" w:hAnsi="宋体" w:cs="宋体"/>
                <w:i w:val="0"/>
                <w:iCs w:val="0"/>
                <w:color w:val="000000"/>
                <w:sz w:val="22"/>
                <w:szCs w:val="22"/>
                <w:highlight w:val="none"/>
                <w:u w:val="none"/>
                <w:lang w:val="en-US" w:eastAsia="zh-CN" w:bidi="ar"/>
              </w:rPr>
              <w:t xml:space="preserve">1</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453" w:type="pct"/>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0"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50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备注：1、投标时须提供国家认证认可的第三方检测机构（</w:t>
            </w:r>
            <w:r>
              <w:rPr>
                <w:rFonts w:hint="eastAsia" w:ascii="宋体" w:hAnsi="宋体" w:cs="宋体"/>
                <w:i w:val="0"/>
                <w:iCs w:val="0"/>
                <w:color w:val="000000"/>
                <w:sz w:val="22"/>
                <w:szCs w:val="22"/>
                <w:u w:val="none"/>
                <w:lang w:val="en-US" w:eastAsia="zh-CN" w:bidi="ar"/>
              </w:rPr>
              <w:t xml:space="preserve">CMA或CNAS</w:t>
            </w:r>
            <w:r>
              <w:rPr>
                <w:rFonts w:hint="eastAsia" w:ascii="宋体" w:hAnsi="宋体" w:eastAsia="宋体" w:cs="宋体"/>
                <w:i w:val="0"/>
                <w:iCs w:val="0"/>
                <w:color w:val="000000"/>
                <w:sz w:val="22"/>
                <w:szCs w:val="22"/>
                <w:u w:val="none"/>
                <w:lang w:val="en-US" w:eastAsia="zh-CN" w:bidi="ar"/>
              </w:rPr>
              <w:t xml:space="preserve">）出具的对应的检测报告扫描件。（中标供应商签订合同前提交其投标文件中上报的检测报告的原件让采购人或者代理机构核查，核查不合格的上报监管部门。）</w:t>
            </w:r>
            <w:r/>
          </w:p>
        </w:tc>
        <w:tc>
          <w:tcPr>
            <w:shd w:val="clear" w:color="auto" w:fill="auto"/>
            <w:tcBorders>
              <w:top w:val="single" w:color="auto" w:sz="4" w:space="0"/>
              <w:left w:val="single" w:color="000000" w:sz="4" w:space="0"/>
              <w:bottom w:val="single" w:color="auto" w:sz="4" w:space="0"/>
              <w:right w:val="single" w:color="000000" w:sz="4" w:space="0"/>
            </w:tcBorders>
            <w:tcW w:w="454" w:type="pct"/>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453" w:type="pct"/>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0"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500" w:type="pct"/>
            <w:vAlign w:val="center"/>
            <w:textDirection w:val="lrTb"/>
            <w:noWrap w:val="false"/>
          </w:tcPr>
          <w:p>
            <w:pPr>
              <w:jc w:val="left"/>
              <w:keepLines w:val="0"/>
              <w:keepNext w:val="0"/>
              <w:widowControl/>
              <w:rPr>
                <w:rFonts w:hint="default" w:ascii="宋体" w:hAnsi="宋体" w:eastAsia="宋体" w:cs="宋体"/>
                <w:i w:val="0"/>
                <w:iCs w:val="0"/>
                <w:color w:val="000000"/>
                <w:sz w:val="22"/>
                <w:szCs w:val="22"/>
                <w:u w:val="none"/>
                <w:lang w:val="en-US"/>
              </w:rPr>
              <w:suppressLineNumbers w:val="0"/>
            </w:pPr>
            <w:r>
              <w:rPr>
                <w:rFonts w:hint="eastAsia" w:ascii="宋体" w:hAnsi="宋体" w:eastAsia="宋体" w:cs="宋体"/>
                <w:i w:val="0"/>
                <w:iCs w:val="0"/>
                <w:color w:val="000000"/>
                <w:sz w:val="22"/>
                <w:szCs w:val="22"/>
                <w:u w:val="none"/>
                <w:lang w:val="en-US" w:eastAsia="zh-CN" w:bidi="ar"/>
              </w:rPr>
              <w:t xml:space="preserve">2、上述内容均需在检测报告标记出对应位置，标记不清或模糊不清的不予认可。</w:t>
            </w:r>
            <w:r>
              <w:rPr>
                <w:rFonts w:hint="eastAsia" w:ascii="宋体" w:hAnsi="宋体" w:cs="宋体"/>
                <w:i w:val="0"/>
                <w:iCs w:val="0"/>
                <w:color w:val="000000"/>
                <w:sz w:val="22"/>
                <w:szCs w:val="22"/>
                <w:u w:val="none"/>
                <w:lang w:val="en-US" w:eastAsia="zh-CN" w:bidi="ar"/>
              </w:rPr>
              <w:t xml:space="preserve"> </w:t>
            </w:r>
            <w:r/>
          </w:p>
        </w:tc>
        <w:tc>
          <w:tcPr>
            <w:shd w:val="clear" w:color="auto" w:fill="auto"/>
            <w:tcBorders>
              <w:top w:val="single" w:color="auto" w:sz="4" w:space="0"/>
              <w:left w:val="single" w:color="000000" w:sz="4" w:space="0"/>
              <w:bottom w:val="single" w:color="000000" w:sz="4" w:space="0"/>
              <w:right w:val="single" w:color="000000" w:sz="4" w:space="0"/>
            </w:tcBorders>
            <w:tcW w:w="454" w:type="pct"/>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270"/>
        </w:trPr>
        <w:tc>
          <w:tcPr>
            <w:gridSpan w:val="3"/>
            <w:shd w:val="clear" w:color="auto" w:fill="auto"/>
            <w:tcBorders>
              <w:top w:val="single" w:color="000000" w:sz="4" w:space="0"/>
              <w:left w:val="single" w:color="000000" w:sz="4" w:space="0"/>
              <w:bottom w:val="single" w:color="000000" w:sz="4" w:space="0"/>
              <w:right w:val="single" w:color="000000" w:sz="4" w:space="0"/>
            </w:tcBorders>
            <w:tcW w:w="454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4.样品评价</w:t>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cs="宋体"/>
                <w:i w:val="0"/>
                <w:iCs w:val="0"/>
                <w:color w:val="000000"/>
                <w:sz w:val="22"/>
                <w:szCs w:val="22"/>
                <w:u w:val="none"/>
                <w:lang w:val="en-US" w:eastAsia="zh-CN" w:bidi="ar"/>
              </w:rPr>
              <w:t xml:space="preserve">1</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453"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590"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单人操作台</w:t>
            </w:r>
            <w:r/>
          </w:p>
        </w:tc>
        <w:tc>
          <w:tcPr>
            <w:shd w:val="clear" w:color="auto" w:fill="auto"/>
            <w:tcBorders>
              <w:top w:val="single" w:color="000000" w:sz="4" w:space="0"/>
              <w:left w:val="single" w:color="000000" w:sz="4" w:space="0"/>
              <w:bottom w:val="single" w:color="000000" w:sz="4" w:space="0"/>
              <w:right w:val="single" w:color="000000" w:sz="4" w:space="0"/>
            </w:tcBorders>
            <w:tcW w:w="3500" w:type="pct"/>
            <w:vAlign w:val="top"/>
            <w:textDirection w:val="lrTb"/>
            <w:noWrap w:val="false"/>
          </w:tcPr>
          <w:p>
            <w:pPr>
              <w:jc w:val="both"/>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根据招标文件采购需求中关于出样产品技术参数的要求，生产样品。评审委员会根据出样产品的技术参数和样图要求对实物样品进行评审。</w:t>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vMerge w:val="restart"/>
            <w:textDirection w:val="lrTb"/>
            <w:noWrap w:val="false"/>
          </w:tcPr>
          <w:p>
            <w:pPr>
              <w:jc w:val="center"/>
              <w:keepLines w:val="0"/>
              <w:keepNext w:val="0"/>
              <w:widowControl/>
              <w:rPr>
                <w:rFonts w:hint="default" w:ascii="宋体" w:hAnsi="宋体" w:eastAsia="宋体" w:cs="宋体"/>
                <w:i w:val="0"/>
                <w:iCs w:val="0"/>
                <w:color w:val="000000"/>
                <w:sz w:val="22"/>
                <w:szCs w:val="22"/>
                <w:u w:val="none"/>
                <w:lang w:val="en-US"/>
              </w:rPr>
              <w:suppressLineNumbers w:val="0"/>
            </w:pPr>
            <w:r>
              <w:rPr>
                <w:rFonts w:hint="eastAsia" w:ascii="宋体" w:hAnsi="宋体" w:cs="宋体"/>
                <w:i w:val="0"/>
                <w:iCs w:val="0"/>
                <w:color w:val="000000"/>
                <w:sz w:val="22"/>
                <w:szCs w:val="22"/>
                <w:u w:val="none"/>
                <w:lang w:val="en-US" w:eastAsia="zh-CN" w:bidi="ar"/>
              </w:rPr>
              <w:t xml:space="preserve">0.5</w:t>
            </w:r>
            <w:r/>
          </w:p>
        </w:tc>
      </w:tr>
      <w:tr>
        <w:trPr>
          <w:trHeight w:val="99"/>
        </w:trPr>
        <w:tc>
          <w:tcPr>
            <w:shd w:val="clear" w:color="auto" w:fill="auto"/>
            <w:tcBorders>
              <w:top w:val="single" w:color="000000" w:sz="4" w:space="0"/>
              <w:left w:val="single" w:color="000000" w:sz="4" w:space="0"/>
              <w:bottom w:val="single" w:color="000000" w:sz="4" w:space="0"/>
              <w:right w:val="single" w:color="000000" w:sz="4" w:space="0"/>
            </w:tcBorders>
            <w:tcW w:w="453"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0"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500" w:type="pct"/>
            <w:vAlign w:val="top"/>
            <w:textDirection w:val="lrTb"/>
            <w:noWrap w:val="false"/>
          </w:tcPr>
          <w:p>
            <w:pPr>
              <w:jc w:val="both"/>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产品稳固性：样品安全牢固的得0.5分。</w:t>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453"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590"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玩具柜（带轮）</w:t>
            </w:r>
            <w:r/>
          </w:p>
        </w:tc>
        <w:tc>
          <w:tcPr>
            <w:shd w:val="clear" w:color="auto" w:fill="auto"/>
            <w:tcBorders>
              <w:top w:val="single" w:color="000000" w:sz="4" w:space="0"/>
              <w:left w:val="single" w:color="000000" w:sz="4" w:space="0"/>
              <w:bottom w:val="single" w:color="000000" w:sz="4" w:space="0"/>
              <w:right w:val="single" w:color="000000" w:sz="4" w:space="0"/>
            </w:tcBorders>
            <w:tcW w:w="3500" w:type="pct"/>
            <w:vAlign w:val="top"/>
            <w:textDirection w:val="lrTb"/>
            <w:noWrap w:val="false"/>
          </w:tcPr>
          <w:p>
            <w:pPr>
              <w:jc w:val="both"/>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根据招标文件采购需求中关于出样产品技术参数的要求，生产样品。评审委员会根据出样产品的技术参数和样图要求对实物样品进行评审。</w:t>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vMerge w:val="restart"/>
            <w:textDirection w:val="lrTb"/>
            <w:noWrap w:val="false"/>
          </w:tcPr>
          <w:p>
            <w:pPr>
              <w:jc w:val="center"/>
              <w:keepLines w:val="0"/>
              <w:keepNext w:val="0"/>
              <w:widowControl/>
              <w:rPr>
                <w:rFonts w:hint="default" w:ascii="宋体" w:hAnsi="宋体" w:eastAsia="宋体" w:cs="宋体"/>
                <w:i w:val="0"/>
                <w:iCs w:val="0"/>
                <w:color w:val="000000"/>
                <w:sz w:val="22"/>
                <w:szCs w:val="22"/>
                <w:u w:val="none"/>
                <w:lang w:val="en-US"/>
              </w:rPr>
              <w:suppressLineNumbers w:val="0"/>
            </w:pPr>
            <w:r>
              <w:rPr>
                <w:rFonts w:hint="eastAsia" w:ascii="宋体" w:hAnsi="宋体" w:cs="宋体"/>
                <w:i w:val="0"/>
                <w:iCs w:val="0"/>
                <w:color w:val="000000"/>
                <w:sz w:val="22"/>
                <w:szCs w:val="22"/>
                <w:u w:val="none"/>
                <w:lang w:val="en-US" w:eastAsia="zh-CN" w:bidi="ar"/>
              </w:rPr>
              <w:t xml:space="preserve">0.5</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453"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0"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500" w:type="pct"/>
            <w:vAlign w:val="top"/>
            <w:textDirection w:val="lrTb"/>
            <w:noWrap w:val="false"/>
          </w:tcPr>
          <w:p>
            <w:pPr>
              <w:jc w:val="both"/>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产品稳固性：样品安全牢固的得0.5分。</w:t>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270"/>
        </w:trPr>
        <w:tc>
          <w:tcPr>
            <w:gridSpan w:val="3"/>
            <w:shd w:val="clear" w:color="auto" w:fill="auto"/>
            <w:tcBorders>
              <w:top w:val="single" w:color="000000" w:sz="4" w:space="0"/>
              <w:left w:val="single" w:color="000000" w:sz="4" w:space="0"/>
              <w:bottom w:val="single" w:color="000000" w:sz="4" w:space="0"/>
              <w:right w:val="single" w:color="000000" w:sz="4" w:space="0"/>
            </w:tcBorders>
            <w:tcW w:w="454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5.产品评价</w:t>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453"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590"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材料储物柜</w:t>
            </w:r>
            <w:r/>
          </w:p>
        </w:tc>
        <w:tc>
          <w:tcPr>
            <w:shd w:val="clear" w:color="auto" w:fill="auto"/>
            <w:tcBorders>
              <w:top w:val="single" w:color="000000" w:sz="4" w:space="0"/>
              <w:left w:val="single" w:color="000000" w:sz="4" w:space="0"/>
              <w:bottom w:val="single" w:color="000000" w:sz="4" w:space="0"/>
              <w:right w:val="single" w:color="000000" w:sz="4" w:space="0"/>
            </w:tcBorders>
            <w:tcW w:w="3500" w:type="pct"/>
            <w:vAlign w:val="top"/>
            <w:textDirection w:val="lrTb"/>
            <w:noWrap w:val="false"/>
          </w:tcPr>
          <w:p>
            <w:pPr>
              <w:jc w:val="both"/>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投标人根据采购需求提供以下投标产品详尽的设计方案，设计方案包括但不限于产品三视图、部件结构图、用料说明、技术工艺要求(如中标，该图纸作为验收依据)。</w:t>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453"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0"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500" w:type="pct"/>
            <w:vAlign w:val="top"/>
            <w:textDirection w:val="lrTb"/>
            <w:noWrap w:val="false"/>
          </w:tcPr>
          <w:p>
            <w:pPr>
              <w:jc w:val="both"/>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设计方案包括三视图、部件结构图、用料说明、技术工艺要求的，得2分；每缺一项的，扣0.5分。</w:t>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453"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590"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实物投影展示台系统</w:t>
            </w:r>
            <w:r/>
          </w:p>
        </w:tc>
        <w:tc>
          <w:tcPr>
            <w:shd w:val="clear" w:color="auto" w:fill="auto"/>
            <w:tcBorders>
              <w:top w:val="single" w:color="000000" w:sz="4" w:space="0"/>
              <w:left w:val="single" w:color="000000" w:sz="4" w:space="0"/>
              <w:bottom w:val="single" w:color="000000" w:sz="4" w:space="0"/>
              <w:right w:val="single" w:color="000000" w:sz="4" w:space="0"/>
            </w:tcBorders>
            <w:tcW w:w="3500" w:type="pct"/>
            <w:vAlign w:val="top"/>
            <w:textDirection w:val="lrTb"/>
            <w:noWrap w:val="false"/>
          </w:tcPr>
          <w:p>
            <w:pPr>
              <w:jc w:val="both"/>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供应商所投实物投影展示台系统具有图像增强功能，投标时提供图像增强系统软件著作权证书的得2分。</w:t>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453"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0"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500" w:type="pct"/>
            <w:vAlign w:val="top"/>
            <w:textDirection w:val="lrTb"/>
            <w:noWrap w:val="false"/>
          </w:tcPr>
          <w:p>
            <w:pPr>
              <w:jc w:val="both"/>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注：投标时需提供软件著作权证书扫描件，不提供不得分，提供的证书名称与招标文件要求的名称不一致时，但经评委会认定能实现同一功能的，也可以认为响应。</w:t>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453"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590"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VR课系统</w:t>
            </w:r>
            <w:r/>
          </w:p>
        </w:tc>
        <w:tc>
          <w:tcPr>
            <w:shd w:val="clear" w:color="auto" w:fill="auto"/>
            <w:tcBorders>
              <w:top w:val="single" w:color="000000" w:sz="4" w:space="0"/>
              <w:left w:val="single" w:color="000000" w:sz="4" w:space="0"/>
              <w:bottom w:val="single" w:color="000000" w:sz="4" w:space="0"/>
              <w:right w:val="single" w:color="000000" w:sz="4" w:space="0"/>
            </w:tcBorders>
            <w:tcW w:w="3500" w:type="pct"/>
            <w:vAlign w:val="top"/>
            <w:textDirection w:val="lrTb"/>
            <w:noWrap w:val="false"/>
          </w:tcPr>
          <w:p>
            <w:pPr>
              <w:jc w:val="both"/>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供应商所投VR课件系统自带知识库，为教学提供辅助，投标时提供知识库系统软件著作权证书的得2分。</w:t>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453"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0"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500" w:type="pct"/>
            <w:vAlign w:val="top"/>
            <w:textDirection w:val="lrTb"/>
            <w:noWrap w:val="false"/>
          </w:tcPr>
          <w:p>
            <w:pPr>
              <w:jc w:val="both"/>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注：投标时需提供软件著作权证书扫描件，不提供不得分，提供的证书名称与招标文件要求的名称不一致时，但经评委会认定能实现同一功能的，也可以认为响应。</w:t>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453"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590"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会议投屏系统</w:t>
            </w:r>
            <w:r/>
          </w:p>
        </w:tc>
        <w:tc>
          <w:tcPr>
            <w:shd w:val="clear" w:color="auto" w:fill="auto"/>
            <w:tcBorders>
              <w:top w:val="single" w:color="000000" w:sz="4" w:space="0"/>
              <w:left w:val="single" w:color="000000" w:sz="4" w:space="0"/>
              <w:bottom w:val="single" w:color="000000" w:sz="4" w:space="0"/>
              <w:right w:val="single" w:color="000000" w:sz="4" w:space="0"/>
            </w:tcBorders>
            <w:tcW w:w="3500" w:type="pct"/>
            <w:vAlign w:val="top"/>
            <w:textDirection w:val="lrTb"/>
            <w:noWrap w:val="false"/>
          </w:tcPr>
          <w:p>
            <w:pPr>
              <w:jc w:val="both"/>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供应商所投会议投屏系统具有终端安全检测与响应功能，投标时提供终端安全检测与响应软件著作权证书的得2分。</w:t>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453"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0"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500" w:type="pct"/>
            <w:vAlign w:val="top"/>
            <w:textDirection w:val="lrTb"/>
            <w:noWrap w:val="false"/>
          </w:tcPr>
          <w:p>
            <w:pPr>
              <w:jc w:val="both"/>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注：投标时需提供软件著作权证书扫描件，不提供不得分，提供的证书名称与招标文件要求的名称不一致时，但经评委会认定能实现同一功能的，也可以认为响应。</w:t>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270"/>
        </w:trPr>
        <w:tc>
          <w:tcPr>
            <w:gridSpan w:val="3"/>
            <w:shd w:val="clear" w:color="auto" w:fill="auto"/>
            <w:tcBorders>
              <w:top w:val="single" w:color="000000" w:sz="4" w:space="0"/>
              <w:left w:val="single" w:color="000000" w:sz="4" w:space="0"/>
              <w:bottom w:val="single" w:color="000000" w:sz="4" w:space="0"/>
              <w:right w:val="single" w:color="000000" w:sz="4" w:space="0"/>
            </w:tcBorders>
            <w:tcW w:w="454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cs="宋体"/>
                <w:i w:val="0"/>
                <w:iCs w:val="0"/>
                <w:color w:val="000000"/>
                <w:sz w:val="22"/>
                <w:szCs w:val="22"/>
                <w:u w:val="none"/>
                <w:lang w:val="en-US" w:eastAsia="zh-CN" w:bidi="ar"/>
              </w:rPr>
              <w:t xml:space="preserve">6</w:t>
            </w:r>
            <w:r>
              <w:rPr>
                <w:rFonts w:hint="eastAsia" w:ascii="宋体" w:hAnsi="宋体" w:eastAsia="宋体" w:cs="宋体"/>
                <w:i w:val="0"/>
                <w:iCs w:val="0"/>
                <w:color w:val="000000"/>
                <w:sz w:val="22"/>
                <w:szCs w:val="22"/>
                <w:u w:val="none"/>
                <w:lang w:val="en-US" w:eastAsia="zh-CN" w:bidi="ar"/>
              </w:rPr>
              <w:t xml:space="preserve">.演示</w:t>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r>
      <w:tr>
        <w:trPr>
          <w:trHeight w:val="1620"/>
        </w:trPr>
        <w:tc>
          <w:tcPr>
            <w:shd w:val="clear" w:color="auto" w:fill="auto"/>
            <w:tcBorders>
              <w:top w:val="single" w:color="000000" w:sz="4" w:space="0"/>
              <w:left w:val="single" w:color="000000" w:sz="4" w:space="0"/>
              <w:bottom w:val="single" w:color="000000" w:sz="4" w:space="0"/>
              <w:right w:val="single" w:color="000000" w:sz="4" w:space="0"/>
            </w:tcBorders>
            <w:tcW w:w="453" w:type="pct"/>
            <w:vAlign w:val="center"/>
            <w:textDirection w:val="lrTb"/>
            <w:noWrap/>
          </w:tcPr>
          <w:p>
            <w:pPr>
              <w:jc w:val="center"/>
              <w:keepLines w:val="0"/>
              <w:keepNext w:val="0"/>
              <w:widowControl/>
              <w:rPr>
                <w:rFonts w:hint="default" w:ascii="宋体" w:hAnsi="宋体" w:eastAsia="宋体" w:cs="宋体"/>
                <w:i w:val="0"/>
                <w:iCs w:val="0"/>
                <w:color w:val="000000"/>
                <w:sz w:val="22"/>
                <w:szCs w:val="22"/>
                <w:u w:val="none"/>
                <w:lang w:val="en-US"/>
              </w:rPr>
              <w:suppressLineNumbers w:val="0"/>
            </w:pPr>
            <w:r>
              <w:rPr>
                <w:rFonts w:hint="eastAsia" w:ascii="宋体" w:hAnsi="宋体" w:cs="宋体"/>
                <w:i w:val="0"/>
                <w:iCs w:val="0"/>
                <w:color w:val="000000"/>
                <w:sz w:val="22"/>
                <w:szCs w:val="22"/>
                <w:u w:val="none"/>
                <w:lang w:val="en-US" w:eastAsia="zh-CN" w:bidi="ar"/>
              </w:rPr>
              <w:t xml:space="preserve">6.1</w:t>
            </w:r>
            <w:r/>
          </w:p>
        </w:tc>
        <w:tc>
          <w:tcPr>
            <w:shd w:val="clear" w:color="auto" w:fill="auto"/>
            <w:tcBorders>
              <w:top w:val="single" w:color="000000" w:sz="4" w:space="0"/>
              <w:left w:val="single" w:color="000000" w:sz="4" w:space="0"/>
              <w:bottom w:val="single" w:color="000000" w:sz="4" w:space="0"/>
              <w:right w:val="single" w:color="000000" w:sz="4" w:space="0"/>
            </w:tcBorders>
            <w:tcW w:w="59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音频控制系统</w:t>
            </w:r>
            <w:r/>
          </w:p>
        </w:tc>
        <w:tc>
          <w:tcPr>
            <w:shd w:val="clear" w:color="auto" w:fill="auto"/>
            <w:tcBorders>
              <w:top w:val="single" w:color="000000" w:sz="4" w:space="0"/>
              <w:left w:val="single" w:color="000000" w:sz="4" w:space="0"/>
              <w:bottom w:val="single" w:color="000000" w:sz="4" w:space="0"/>
              <w:right w:val="single" w:color="000000" w:sz="4" w:space="0"/>
            </w:tcBorders>
            <w:tcW w:w="350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highlight w:val="yellow"/>
                <w:u w:val="none"/>
                <w:lang w:val="en-US" w:eastAsia="zh-CN" w:bidi="ar"/>
              </w:rPr>
              <w:t xml:space="preserve">平台集成全数字会议系统软件模块、反馈抑制器软件模块、数字音频处理器软件模块、数字专业功放软件模块、音箱处理器软件模块，各模块打开呈现在状态栏窗口，可快速管理和调用，满足以上其中一个模块功能得0.2分，满分1分；具备自动检测音频处理器、反馈抑制器数字功放、音箱处理器设备硬件版本、软件版本功能、检测到有新版本时提供更新提示，可对硬件进行升级；满足其中一个功能得0.2分，满分1分；以上总分2分。演示时需要展现所投标的品牌L0G0与上述功能涵盖。</w:t>
            </w:r>
            <w:bookmarkStart w:id="244" w:name="_GoBack"/>
            <w:r/>
            <w:bookmarkEnd w:id="244"/>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cs="宋体"/>
                <w:i w:val="0"/>
                <w:iCs w:val="0"/>
                <w:color w:val="000000"/>
                <w:sz w:val="22"/>
                <w:szCs w:val="22"/>
                <w:u w:val="none"/>
                <w:lang w:val="en-US" w:eastAsia="zh-CN" w:bidi="ar"/>
              </w:rPr>
              <w:t xml:space="preserve">2</w:t>
            </w:r>
            <w:r/>
          </w:p>
        </w:tc>
      </w:tr>
    </w:tbl>
    <w:p>
      <w:pPr>
        <w:numPr>
          <w:ilvl w:val="0"/>
          <w:numId w:val="0"/>
        </w:numPr>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numPr>
          <w:ilvl w:val="0"/>
          <w:numId w:val="0"/>
        </w:numPr>
        <w:jc w:val="left"/>
        <w:spacing w:line="360" w:lineRule="auto"/>
        <w:widowControl/>
        <w:rPr>
          <w:rFonts w:hint="eastAsia" w:ascii="宋体" w:hAnsi="宋体"/>
          <w:b/>
          <w:color w:val="auto"/>
          <w:sz w:val="24"/>
          <w:szCs w:val="22"/>
          <w:highlight w:val="none"/>
        </w:rPr>
      </w:pPr>
      <w:r>
        <w:rPr>
          <w:rFonts w:hint="eastAsia" w:ascii="宋体" w:hAnsi="宋体" w:cs="宋体"/>
          <w:b/>
          <w:bCs/>
          <w:color w:val="auto"/>
          <w:sz w:val="24"/>
          <w:szCs w:val="24"/>
          <w:highlight w:val="none"/>
          <w:lang w:eastAsia="zh-CN"/>
        </w:rPr>
        <w:t xml:space="preserve">（二）</w:t>
      </w:r>
      <w:r>
        <w:rPr>
          <w:rFonts w:hint="eastAsia" w:ascii="宋体" w:hAnsi="宋体" w:eastAsia="宋体" w:cs="宋体"/>
          <w:b/>
          <w:bCs/>
          <w:color w:val="auto"/>
          <w:sz w:val="24"/>
          <w:szCs w:val="24"/>
          <w:highlight w:val="none"/>
        </w:rPr>
        <w:t xml:space="preserve">商务评估</w:t>
      </w:r>
      <w:r/>
    </w:p>
    <w:tbl>
      <w:tblPr>
        <w:tblStyle w:val="850"/>
        <w:tblW w:w="4997"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871"/>
        <w:gridCol w:w="1132"/>
        <w:gridCol w:w="6700"/>
        <w:gridCol w:w="874"/>
      </w:tblGrid>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55" w:type="pct"/>
            <w:vAlign w:val="center"/>
            <w:textDirection w:val="lrTb"/>
            <w:noWrap w:val="false"/>
          </w:tcPr>
          <w:p>
            <w:pPr>
              <w:jc w:val="both"/>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评分因素</w:t>
            </w:r>
            <w:r/>
          </w:p>
        </w:tc>
        <w:tc>
          <w:tcPr>
            <w:shd w:val="clear" w:color="auto" w:fill="auto"/>
            <w:tcBorders>
              <w:top w:val="single" w:color="000000" w:sz="4" w:space="0"/>
              <w:left w:val="single" w:color="000000" w:sz="4" w:space="0"/>
              <w:bottom w:val="single" w:color="000000" w:sz="4" w:space="0"/>
              <w:right w:val="single" w:color="000000" w:sz="4" w:space="0"/>
            </w:tcBorders>
            <w:tcW w:w="349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评审细则</w:t>
            </w:r>
            <w:r/>
          </w:p>
        </w:tc>
        <w:tc>
          <w:tcPr>
            <w:shd w:val="clear" w:color="auto" w:fill="auto"/>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分值</w:t>
            </w:r>
            <w:r/>
          </w:p>
        </w:tc>
      </w:tr>
      <w:tr>
        <w:trPr>
          <w:trHeight w:val="270"/>
        </w:trPr>
        <w:tc>
          <w:tcPr>
            <w:gridSpan w:val="3"/>
            <w:shd w:val="clear" w:color="auto" w:fill="auto"/>
            <w:tcBorders>
              <w:top w:val="single" w:color="000000" w:sz="4" w:space="0"/>
              <w:left w:val="single" w:color="000000" w:sz="4" w:space="0"/>
              <w:bottom w:val="single" w:color="000000" w:sz="4" w:space="0"/>
              <w:right w:val="single" w:color="000000" w:sz="4" w:space="0"/>
            </w:tcBorders>
            <w:tcW w:w="454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t xml:space="preserve">.业绩</w:t>
            </w:r>
            <w:r/>
          </w:p>
        </w:tc>
        <w:tc>
          <w:tcPr>
            <w:shd w:val="clear" w:color="auto" w:fill="auto"/>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cs="宋体"/>
                <w:i w:val="0"/>
                <w:iCs w:val="0"/>
                <w:color w:val="000000"/>
                <w:sz w:val="22"/>
                <w:szCs w:val="22"/>
                <w:u w:val="none"/>
                <w:lang w:val="en-US" w:eastAsia="zh-CN" w:bidi="ar"/>
              </w:rPr>
              <w:t xml:space="preserve">2</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455"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经验</w:t>
            </w:r>
            <w:r/>
          </w:p>
        </w:tc>
        <w:tc>
          <w:tcPr>
            <w:shd w:val="clear" w:color="auto" w:fill="auto"/>
            <w:tcBorders>
              <w:top w:val="single" w:color="000000" w:sz="4" w:space="0"/>
              <w:left w:val="single" w:color="000000" w:sz="4" w:space="0"/>
              <w:bottom w:val="single" w:color="000000" w:sz="4" w:space="0"/>
              <w:right w:val="single" w:color="000000" w:sz="4" w:space="0"/>
            </w:tcBorders>
            <w:tcW w:w="3496" w:type="pct"/>
            <w:vAlign w:val="top"/>
            <w:textDirection w:val="lrTb"/>
            <w:noWrap w:val="false"/>
          </w:tcPr>
          <w:p>
            <w:pPr>
              <w:jc w:val="both"/>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供应商具有自2020年1月1日以来具有类似项目的成功案例(日期以合同签订为准)，每提供一个得</w:t>
            </w:r>
            <w:r>
              <w:rPr>
                <w:rFonts w:hint="eastAsia" w:ascii="宋体" w:hAnsi="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t xml:space="preserve">分，满分</w:t>
            </w:r>
            <w:r>
              <w:rPr>
                <w:rFonts w:hint="eastAsia" w:ascii="宋体" w:hAnsi="宋体" w:cs="宋体"/>
                <w:i w:val="0"/>
                <w:iCs w:val="0"/>
                <w:color w:val="000000"/>
                <w:sz w:val="22"/>
                <w:szCs w:val="22"/>
                <w:u w:val="none"/>
                <w:lang w:val="en-US" w:eastAsia="zh-CN" w:bidi="ar"/>
              </w:rPr>
              <w:t xml:space="preserve">2</w:t>
            </w:r>
            <w:r>
              <w:rPr>
                <w:rFonts w:hint="eastAsia" w:ascii="宋体" w:hAnsi="宋体" w:eastAsia="宋体" w:cs="宋体"/>
                <w:i w:val="0"/>
                <w:iCs w:val="0"/>
                <w:color w:val="000000"/>
                <w:sz w:val="22"/>
                <w:szCs w:val="22"/>
                <w:u w:val="none"/>
                <w:lang w:val="en-US" w:eastAsia="zh-CN" w:bidi="ar"/>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456"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cs="宋体"/>
                <w:i w:val="0"/>
                <w:iCs w:val="0"/>
                <w:color w:val="000000"/>
                <w:sz w:val="22"/>
                <w:szCs w:val="22"/>
                <w:u w:val="none"/>
                <w:lang w:val="en-US" w:eastAsia="zh-CN" w:bidi="ar"/>
              </w:rPr>
              <w:t xml:space="preserve">2</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55"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6" w:type="pct"/>
            <w:vAlign w:val="top"/>
            <w:textDirection w:val="lrTb"/>
            <w:noWrap w:val="false"/>
          </w:tcPr>
          <w:p>
            <w:pPr>
              <w:jc w:val="both"/>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注：1.供应商需提供合同扫描件，不提供不得分。</w:t>
            </w:r>
            <w:r/>
          </w:p>
        </w:tc>
        <w:tc>
          <w:tcPr>
            <w:shd w:val="clear" w:color="auto" w:fill="auto"/>
            <w:tcBorders>
              <w:top w:val="single" w:color="000000" w:sz="4" w:space="0"/>
              <w:left w:val="single" w:color="000000" w:sz="4" w:space="0"/>
              <w:bottom w:val="single" w:color="000000" w:sz="4" w:space="0"/>
              <w:right w:val="single" w:color="000000" w:sz="4" w:space="0"/>
            </w:tcBorders>
            <w:tcW w:w="456"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270"/>
        </w:trPr>
        <w:tc>
          <w:tcPr>
            <w:gridSpan w:val="3"/>
            <w:shd w:val="clear" w:color="auto" w:fill="auto"/>
            <w:tcBorders>
              <w:top w:val="single" w:color="000000" w:sz="4" w:space="0"/>
              <w:left w:val="single" w:color="000000" w:sz="4" w:space="0"/>
              <w:bottom w:val="single" w:color="000000" w:sz="4" w:space="0"/>
              <w:right w:val="single" w:color="000000" w:sz="4" w:space="0"/>
            </w:tcBorders>
            <w:tcW w:w="454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cs="宋体"/>
                <w:i w:val="0"/>
                <w:iCs w:val="0"/>
                <w:color w:val="000000"/>
                <w:sz w:val="22"/>
                <w:szCs w:val="22"/>
                <w:u w:val="none"/>
                <w:lang w:val="en-US" w:eastAsia="zh-CN" w:bidi="ar"/>
              </w:rPr>
              <w:t xml:space="preserve">2</w:t>
            </w:r>
            <w:r>
              <w:rPr>
                <w:rFonts w:hint="eastAsia" w:ascii="宋体" w:hAnsi="宋体" w:eastAsia="宋体" w:cs="宋体"/>
                <w:i w:val="0"/>
                <w:iCs w:val="0"/>
                <w:color w:val="000000"/>
                <w:sz w:val="22"/>
                <w:szCs w:val="22"/>
                <w:u w:val="none"/>
                <w:lang w:val="en-US" w:eastAsia="zh-CN" w:bidi="ar"/>
              </w:rPr>
              <w:t xml:space="preserve">.人员证书</w:t>
            </w:r>
            <w:r/>
          </w:p>
        </w:tc>
        <w:tc>
          <w:tcPr>
            <w:shd w:val="clear" w:color="auto" w:fill="auto"/>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45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cs="宋体"/>
                <w:i w:val="0"/>
                <w:iCs w:val="0"/>
                <w:color w:val="000000"/>
                <w:sz w:val="22"/>
                <w:szCs w:val="22"/>
                <w:u w:val="none"/>
                <w:lang w:val="en-US" w:eastAsia="zh-CN" w:bidi="ar"/>
              </w:rPr>
              <w:t xml:space="preserve">2</w:t>
            </w: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现场负责人</w:t>
            </w:r>
            <w:r/>
          </w:p>
        </w:tc>
        <w:tc>
          <w:tcPr>
            <w:shd w:val="clear" w:color="auto" w:fill="auto"/>
            <w:tcBorders>
              <w:top w:val="single" w:color="000000" w:sz="4" w:space="0"/>
              <w:left w:val="single" w:color="000000" w:sz="4" w:space="0"/>
              <w:bottom w:val="single" w:color="000000" w:sz="4" w:space="0"/>
              <w:right w:val="single" w:color="000000" w:sz="4" w:space="0"/>
            </w:tcBorders>
            <w:tcW w:w="3496" w:type="pct"/>
            <w:vAlign w:val="top"/>
            <w:textDirection w:val="lrTb"/>
            <w:noWrap w:val="false"/>
          </w:tcPr>
          <w:p>
            <w:pPr>
              <w:jc w:val="both"/>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现场负责人具备职业技能等级认证中级及以上证书（木工类），工程师及以上职称证书（智能化或电子信息相关专业），有一个得1.5分，满分3分。</w:t>
            </w:r>
            <w:r/>
          </w:p>
          <w:p>
            <w:pPr>
              <w:jc w:val="both"/>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cs="宋体"/>
                <w:color w:val="000000"/>
                <w:szCs w:val="21"/>
              </w:rPr>
              <w:t xml:space="preserve">（注：须提供以上人员相关证书扫描件；须提供投标人近三个月中任意一个月为以上人员缴纳的社保证明材料。未按要求提供不得分。）</w:t>
            </w:r>
            <w:r/>
          </w:p>
        </w:tc>
        <w:tc>
          <w:tcPr>
            <w:shd w:val="clear" w:color="auto" w:fill="auto"/>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45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cs="宋体"/>
                <w:i w:val="0"/>
                <w:iCs w:val="0"/>
                <w:color w:val="000000"/>
                <w:sz w:val="22"/>
                <w:szCs w:val="22"/>
                <w:u w:val="none"/>
                <w:lang w:val="en-US" w:eastAsia="zh-CN" w:bidi="ar"/>
              </w:rPr>
              <w:t xml:space="preserve">2</w:t>
            </w:r>
            <w:r>
              <w:rPr>
                <w:rFonts w:hint="eastAsia" w:ascii="宋体" w:hAnsi="宋体" w:eastAsia="宋体" w:cs="宋体"/>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cs="宋体"/>
                <w:i w:val="0"/>
                <w:iCs w:val="0"/>
                <w:color w:val="000000"/>
                <w:sz w:val="22"/>
                <w:szCs w:val="22"/>
                <w:u w:val="none"/>
                <w:lang w:val="en-US" w:eastAsia="zh-CN" w:bidi="ar"/>
              </w:rPr>
              <w:t xml:space="preserve">项目</w:t>
            </w:r>
            <w:r>
              <w:rPr>
                <w:rFonts w:hint="eastAsia" w:ascii="宋体" w:hAnsi="宋体" w:eastAsia="宋体" w:cs="宋体"/>
                <w:i w:val="0"/>
                <w:iCs w:val="0"/>
                <w:color w:val="000000"/>
                <w:sz w:val="22"/>
                <w:szCs w:val="22"/>
                <w:u w:val="none"/>
                <w:lang w:val="en-US" w:eastAsia="zh-CN" w:bidi="ar"/>
              </w:rPr>
              <w:t xml:space="preserve">实施人员</w:t>
            </w:r>
            <w:r/>
          </w:p>
        </w:tc>
        <w:tc>
          <w:tcPr>
            <w:shd w:val="clear" w:color="auto" w:fill="auto"/>
            <w:tcBorders>
              <w:top w:val="single" w:color="000000" w:sz="4" w:space="0"/>
              <w:left w:val="single" w:color="000000" w:sz="4" w:space="0"/>
              <w:bottom w:val="single" w:color="000000" w:sz="4" w:space="0"/>
              <w:right w:val="single" w:color="000000" w:sz="4" w:space="0"/>
            </w:tcBorders>
            <w:tcW w:w="3496" w:type="pct"/>
            <w:vAlign w:val="top"/>
            <w:textDirection w:val="lrTb"/>
            <w:noWrap w:val="false"/>
          </w:tcPr>
          <w:p>
            <w:pPr>
              <w:jc w:val="both"/>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项目实施人员具备职业技能等级认证证书的（木工类），有一个得1分，满分3分。</w:t>
            </w:r>
            <w:r/>
          </w:p>
          <w:p>
            <w:pPr>
              <w:jc w:val="both"/>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cs="宋体"/>
                <w:color w:val="000000"/>
                <w:szCs w:val="21"/>
              </w:rPr>
              <w:t xml:space="preserve">（注：须提供以上人员相关证书扫描件；须提供投标人近三个月中任意一个月为以上人员缴纳的社保证明材料。未按要求提供不得分。）</w:t>
            </w:r>
            <w:r/>
          </w:p>
        </w:tc>
        <w:tc>
          <w:tcPr>
            <w:shd w:val="clear" w:color="auto" w:fill="auto"/>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w:t>
            </w:r>
            <w:r/>
          </w:p>
        </w:tc>
      </w:tr>
      <w:tr>
        <w:trPr>
          <w:trHeight w:val="270"/>
        </w:trPr>
        <w:tc>
          <w:tcPr>
            <w:gridSpan w:val="3"/>
            <w:shd w:val="clear" w:color="auto" w:fill="auto"/>
            <w:tcBorders>
              <w:top w:val="single" w:color="000000" w:sz="4" w:space="0"/>
              <w:left w:val="single" w:color="000000" w:sz="4" w:space="0"/>
              <w:bottom w:val="single" w:color="000000" w:sz="4" w:space="0"/>
              <w:right w:val="single" w:color="000000" w:sz="4" w:space="0"/>
            </w:tcBorders>
            <w:tcW w:w="454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cs="宋体"/>
                <w:i w:val="0"/>
                <w:iCs w:val="0"/>
                <w:color w:val="000000"/>
                <w:sz w:val="22"/>
                <w:szCs w:val="22"/>
                <w:u w:val="none"/>
                <w:lang w:val="en-US" w:eastAsia="zh-CN" w:bidi="ar"/>
              </w:rPr>
              <w:t xml:space="preserve">3</w:t>
            </w:r>
            <w:r>
              <w:rPr>
                <w:rFonts w:hint="eastAsia" w:ascii="宋体" w:hAnsi="宋体" w:eastAsia="宋体" w:cs="宋体"/>
                <w:i w:val="0"/>
                <w:iCs w:val="0"/>
                <w:color w:val="000000"/>
                <w:sz w:val="22"/>
                <w:szCs w:val="22"/>
                <w:u w:val="none"/>
                <w:lang w:val="en-US" w:eastAsia="zh-CN" w:bidi="ar"/>
              </w:rPr>
              <w:t xml:space="preserve">.节能环保</w:t>
            </w:r>
            <w:r/>
          </w:p>
        </w:tc>
        <w:tc>
          <w:tcPr>
            <w:shd w:val="clear" w:color="auto" w:fill="auto"/>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455"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cs="宋体"/>
                <w:i w:val="0"/>
                <w:iCs w:val="0"/>
                <w:color w:val="000000"/>
                <w:sz w:val="22"/>
                <w:szCs w:val="22"/>
                <w:u w:val="none"/>
                <w:lang w:val="en-US" w:eastAsia="zh-CN" w:bidi="ar"/>
              </w:rPr>
              <w:t xml:space="preserve">3</w:t>
            </w: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节能环保认证</w:t>
            </w:r>
            <w:r/>
          </w:p>
        </w:tc>
        <w:tc>
          <w:tcPr>
            <w:shd w:val="clear" w:color="auto" w:fill="auto"/>
            <w:tcBorders>
              <w:top w:val="single" w:color="000000" w:sz="4" w:space="0"/>
              <w:left w:val="single" w:color="000000" w:sz="4" w:space="0"/>
              <w:bottom w:val="single" w:color="000000" w:sz="4" w:space="0"/>
              <w:right w:val="single" w:color="000000" w:sz="4" w:space="0"/>
            </w:tcBorders>
            <w:tcW w:w="3496" w:type="pct"/>
            <w:vAlign w:val="top"/>
            <w:textDirection w:val="lrTb"/>
            <w:noWrap w:val="false"/>
          </w:tcPr>
          <w:p>
            <w:pPr>
              <w:jc w:val="both"/>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1.所投产品中有属于财政部、发展改革委公布的“节能产品政府采购品目清单”范围内国家确定的认证机构出具的、处于有效期之内的该节能产品认证证书扫描件的得0.5分。</w:t>
            </w:r>
            <w:r/>
          </w:p>
        </w:tc>
        <w:tc>
          <w:tcPr>
            <w:shd w:val="clear" w:color="auto" w:fill="auto"/>
            <w:tcBorders>
              <w:top w:val="single" w:color="000000" w:sz="4" w:space="0"/>
              <w:left w:val="single" w:color="000000" w:sz="4" w:space="0"/>
              <w:bottom w:val="single" w:color="000000" w:sz="4" w:space="0"/>
              <w:right w:val="single" w:color="000000" w:sz="4" w:space="0"/>
            </w:tcBorders>
            <w:tcW w:w="456"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455"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6" w:type="pct"/>
            <w:vAlign w:val="top"/>
            <w:textDirection w:val="lrTb"/>
            <w:noWrap w:val="false"/>
          </w:tcPr>
          <w:p>
            <w:pPr>
              <w:jc w:val="both"/>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2.所投产品中有属于财政部、生态环境部公布的“环境标志产品政府采购品目清单”范围内国家确定的认证机构出具的、处于有效期内的该环保产品认证证书扫描件的得0.5分。</w:t>
            </w:r>
            <w:r/>
          </w:p>
        </w:tc>
        <w:tc>
          <w:tcPr>
            <w:shd w:val="clear" w:color="auto" w:fill="auto"/>
            <w:tcBorders>
              <w:top w:val="single" w:color="000000" w:sz="4" w:space="0"/>
              <w:left w:val="single" w:color="000000" w:sz="4" w:space="0"/>
              <w:bottom w:val="single" w:color="000000" w:sz="4" w:space="0"/>
              <w:right w:val="single" w:color="000000" w:sz="4" w:space="0"/>
            </w:tcBorders>
            <w:tcW w:w="456"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270"/>
        </w:trPr>
        <w:tc>
          <w:tcPr>
            <w:gridSpan w:val="3"/>
            <w:shd w:val="clear" w:color="auto" w:fill="auto"/>
            <w:tcBorders>
              <w:top w:val="single" w:color="000000" w:sz="4" w:space="0"/>
              <w:left w:val="single" w:color="000000" w:sz="4" w:space="0"/>
              <w:bottom w:val="single" w:color="000000" w:sz="4" w:space="0"/>
              <w:right w:val="single" w:color="000000" w:sz="4" w:space="0"/>
            </w:tcBorders>
            <w:tcW w:w="454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cs="宋体"/>
                <w:i w:val="0"/>
                <w:iCs w:val="0"/>
                <w:color w:val="000000"/>
                <w:sz w:val="22"/>
                <w:szCs w:val="22"/>
                <w:u w:val="none"/>
                <w:lang w:val="en-US" w:eastAsia="zh-CN" w:bidi="ar"/>
              </w:rPr>
              <w:t xml:space="preserve">4</w:t>
            </w:r>
            <w:r>
              <w:rPr>
                <w:rFonts w:hint="eastAsia" w:ascii="宋体" w:hAnsi="宋体" w:eastAsia="宋体" w:cs="宋体"/>
                <w:i w:val="0"/>
                <w:iCs w:val="0"/>
                <w:color w:val="000000"/>
                <w:sz w:val="22"/>
                <w:szCs w:val="22"/>
                <w:u w:val="none"/>
                <w:lang w:val="en-US" w:eastAsia="zh-CN" w:bidi="ar"/>
              </w:rPr>
              <w:t xml:space="preserve">.售后服务</w:t>
            </w:r>
            <w:r/>
          </w:p>
        </w:tc>
        <w:tc>
          <w:tcPr>
            <w:shd w:val="clear" w:color="auto" w:fill="auto"/>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55"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cs="宋体"/>
                <w:i w:val="0"/>
                <w:iCs w:val="0"/>
                <w:color w:val="000000"/>
                <w:sz w:val="22"/>
                <w:szCs w:val="22"/>
                <w:u w:val="none"/>
                <w:lang w:val="en-US" w:eastAsia="zh-CN" w:bidi="ar"/>
              </w:rPr>
              <w:t xml:space="preserve">4</w:t>
            </w: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服务承诺</w:t>
            </w:r>
            <w:r/>
          </w:p>
        </w:tc>
        <w:tc>
          <w:tcPr>
            <w:shd w:val="clear" w:color="auto" w:fill="auto"/>
            <w:tcBorders>
              <w:top w:val="single" w:color="000000" w:sz="4" w:space="0"/>
              <w:left w:val="single" w:color="000000" w:sz="4" w:space="0"/>
              <w:bottom w:val="single" w:color="000000" w:sz="4" w:space="0"/>
              <w:right w:val="single" w:color="000000" w:sz="4" w:space="0"/>
            </w:tcBorders>
            <w:tcW w:w="3496" w:type="pct"/>
            <w:vAlign w:val="top"/>
            <w:textDirection w:val="lrTb"/>
            <w:noWrap w:val="false"/>
          </w:tcPr>
          <w:p>
            <w:pPr>
              <w:jc w:val="both"/>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所供货物免费质保期为3年，每增加1年得0.5分，最高得分不超过1分。</w:t>
            </w:r>
            <w:r/>
          </w:p>
        </w:tc>
        <w:tc>
          <w:tcPr>
            <w:shd w:val="clear" w:color="auto" w:fill="auto"/>
            <w:tcBorders>
              <w:top w:val="single" w:color="000000" w:sz="4" w:space="0"/>
              <w:left w:val="single" w:color="000000" w:sz="4" w:space="0"/>
              <w:bottom w:val="single" w:color="000000" w:sz="4" w:space="0"/>
              <w:right w:val="single" w:color="000000" w:sz="4" w:space="0"/>
            </w:tcBorders>
            <w:tcW w:w="456"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55"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6" w:type="pct"/>
            <w:vAlign w:val="top"/>
            <w:textDirection w:val="lrTb"/>
            <w:noWrap w:val="false"/>
          </w:tcPr>
          <w:p>
            <w:pPr>
              <w:jc w:val="both"/>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注：提供承诺书并加盖公章，未提供不得分。</w:t>
            </w:r>
            <w:r/>
          </w:p>
        </w:tc>
        <w:tc>
          <w:tcPr>
            <w:shd w:val="clear" w:color="auto" w:fill="auto"/>
            <w:tcBorders>
              <w:top w:val="single" w:color="000000" w:sz="4" w:space="0"/>
              <w:left w:val="single" w:color="000000" w:sz="4" w:space="0"/>
              <w:bottom w:val="single" w:color="000000" w:sz="4" w:space="0"/>
              <w:right w:val="single" w:color="000000" w:sz="4" w:space="0"/>
            </w:tcBorders>
            <w:tcW w:w="456"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bl>
    <w:p>
      <w:pPr>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（三）价格评估</w:t>
      </w:r>
      <w:r/>
    </w:p>
    <w:tbl>
      <w:tblPr>
        <w:tblStyle w:val="850"/>
        <w:tblW w:w="9607"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641"/>
        <w:gridCol w:w="1113"/>
        <w:gridCol w:w="6919"/>
        <w:gridCol w:w="934"/>
      </w:tblGrid>
      <w:tr>
        <w:trPr>
          <w:jc w:val="center"/>
          <w:trHeight w:val="757"/>
        </w:trPr>
        <w:tc>
          <w:tcPr>
            <w:tcW w:w="641" w:type="dxa"/>
            <w:vAlign w:val="center"/>
            <w:textDirection w:val="lrTb"/>
            <w:noWrap w:val="false"/>
          </w:tcPr>
          <w:p>
            <w:pPr>
              <w:jc w:val="center"/>
              <w:spacing w:line="360" w:lineRule="exact"/>
              <w:widowControl/>
              <w:rPr>
                <w:rFonts w:hint="eastAsia" w:ascii="宋体" w:hAnsi="宋体" w:eastAsia="宋体" w:cs="宋体"/>
                <w:color w:val="auto"/>
                <w:spacing w:val="-2"/>
                <w:sz w:val="24"/>
                <w:szCs w:val="24"/>
                <w:highlight w:val="none"/>
                <w:lang w:eastAsia="en-US"/>
              </w:rPr>
            </w:pPr>
            <w:r>
              <w:rPr>
                <w:rFonts w:hint="eastAsia" w:ascii="宋体" w:hAnsi="宋体" w:eastAsia="宋体" w:cs="宋体"/>
                <w:color w:val="auto"/>
                <w:spacing w:val="-2"/>
                <w:sz w:val="24"/>
                <w:szCs w:val="24"/>
                <w:highlight w:val="none"/>
                <w:lang w:eastAsia="en-US"/>
              </w:rPr>
              <w:t xml:space="preserve">序号</w:t>
            </w:r>
            <w:r/>
          </w:p>
        </w:tc>
        <w:tc>
          <w:tcPr>
            <w:tcW w:w="1113" w:type="dxa"/>
            <w:vAlign w:val="center"/>
            <w:textDirection w:val="lrTb"/>
            <w:noWrap w:val="false"/>
          </w:tcPr>
          <w:p>
            <w:pPr>
              <w:jc w:val="center"/>
              <w:spacing w:line="360" w:lineRule="exact"/>
              <w:widowControl/>
              <w:rPr>
                <w:rFonts w:hint="eastAsia" w:ascii="宋体" w:hAnsi="宋体" w:eastAsia="宋体" w:cs="宋体"/>
                <w:color w:val="auto"/>
                <w:spacing w:val="-2"/>
                <w:sz w:val="24"/>
                <w:szCs w:val="24"/>
                <w:highlight w:val="none"/>
                <w:lang w:eastAsia="en-US"/>
              </w:rPr>
            </w:pPr>
            <w:r>
              <w:rPr>
                <w:rFonts w:hint="eastAsia" w:ascii="宋体" w:hAnsi="宋体" w:eastAsia="宋体" w:cs="宋体"/>
                <w:color w:val="auto"/>
                <w:spacing w:val="-2"/>
                <w:sz w:val="24"/>
                <w:szCs w:val="24"/>
                <w:highlight w:val="none"/>
                <w:lang w:eastAsia="en-US"/>
              </w:rPr>
              <w:t xml:space="preserve">评审因素</w:t>
            </w:r>
            <w:r/>
          </w:p>
        </w:tc>
        <w:tc>
          <w:tcPr>
            <w:tcW w:w="6919" w:type="dxa"/>
            <w:vAlign w:val="center"/>
            <w:textDirection w:val="lrTb"/>
            <w:noWrap w:val="false"/>
          </w:tcPr>
          <w:p>
            <w:pPr>
              <w:jc w:val="center"/>
              <w:spacing w:line="360" w:lineRule="exact"/>
              <w:widowControl/>
              <w:rPr>
                <w:rFonts w:hint="eastAsia" w:ascii="宋体" w:hAnsi="宋体" w:eastAsia="宋体" w:cs="宋体"/>
                <w:color w:val="auto"/>
                <w:spacing w:val="-2"/>
                <w:sz w:val="24"/>
                <w:szCs w:val="24"/>
                <w:highlight w:val="none"/>
                <w:lang w:eastAsia="en-US"/>
              </w:rPr>
            </w:pPr>
            <w:r>
              <w:rPr>
                <w:rFonts w:hint="eastAsia" w:ascii="宋体" w:hAnsi="宋体" w:eastAsia="宋体" w:cs="宋体"/>
                <w:color w:val="auto"/>
                <w:spacing w:val="-2"/>
                <w:sz w:val="24"/>
                <w:szCs w:val="24"/>
                <w:highlight w:val="none"/>
                <w:lang w:eastAsia="en-US"/>
              </w:rPr>
              <w:t xml:space="preserve">评审细则</w:t>
            </w:r>
            <w:r/>
          </w:p>
        </w:tc>
        <w:tc>
          <w:tcPr>
            <w:tcW w:w="934" w:type="dxa"/>
            <w:vAlign w:val="center"/>
            <w:textDirection w:val="lrTb"/>
            <w:noWrap w:val="false"/>
          </w:tcPr>
          <w:p>
            <w:pPr>
              <w:jc w:val="center"/>
              <w:spacing w:line="360" w:lineRule="exact"/>
              <w:widowControl/>
              <w:rPr>
                <w:rFonts w:hint="eastAsia" w:ascii="宋体" w:hAnsi="宋体" w:eastAsia="宋体" w:cs="宋体"/>
                <w:color w:val="auto"/>
                <w:spacing w:val="-2"/>
                <w:sz w:val="24"/>
                <w:szCs w:val="24"/>
                <w:highlight w:val="none"/>
                <w:lang w:eastAsia="en-US"/>
              </w:rPr>
            </w:pPr>
            <w:r>
              <w:rPr>
                <w:rFonts w:hint="eastAsia" w:ascii="宋体" w:hAnsi="宋体" w:eastAsia="宋体" w:cs="宋体"/>
                <w:color w:val="auto"/>
                <w:spacing w:val="-2"/>
                <w:sz w:val="24"/>
                <w:szCs w:val="24"/>
                <w:highlight w:val="none"/>
                <w:lang w:eastAsia="en-US"/>
              </w:rPr>
              <w:t xml:space="preserve">分值</w:t>
            </w:r>
            <w:r/>
          </w:p>
        </w:tc>
      </w:tr>
      <w:tr>
        <w:trPr>
          <w:jc w:val="center"/>
          <w:trHeight w:val="441"/>
        </w:trPr>
        <w:tc>
          <w:tcPr>
            <w:gridSpan w:val="3"/>
            <w:tcW w:w="8673" w:type="dxa"/>
            <w:vAlign w:val="top"/>
            <w:textDirection w:val="lrTb"/>
            <w:noWrap w:val="false"/>
          </w:tcPr>
          <w:p>
            <w:pPr>
              <w:jc w:val="center"/>
              <w:keepLines w:val="0"/>
              <w:keepNext w:val="0"/>
              <w:widowControl/>
              <w:rPr>
                <w:rFonts w:hint="eastAsia" w:ascii="宋体" w:hAnsi="宋体" w:eastAsia="宋体" w:cs="宋体"/>
                <w:color w:val="auto"/>
                <w:spacing w:val="-2"/>
                <w:sz w:val="24"/>
                <w:szCs w:val="24"/>
                <w:highlight w:val="none"/>
                <w:lang w:eastAsia="en-US"/>
              </w:rPr>
              <w:suppressLineNumbers w:val="0"/>
            </w:pPr>
            <w:r>
              <w:rPr>
                <w:rFonts w:hint="eastAsia" w:ascii="宋体" w:hAnsi="宋体" w:cs="宋体"/>
                <w:i w:val="0"/>
                <w:iCs w:val="0"/>
                <w:color w:val="auto"/>
                <w:sz w:val="22"/>
                <w:szCs w:val="22"/>
                <w:highlight w:val="none"/>
                <w:u w:val="none"/>
                <w:lang w:val="en-US" w:eastAsia="en-US" w:bidi="ar"/>
              </w:rPr>
              <w:t xml:space="preserve">投标报价得分</w:t>
            </w:r>
            <w:r/>
          </w:p>
        </w:tc>
        <w:tc>
          <w:tcPr>
            <w:tcW w:w="934" w:type="dxa"/>
            <w:vAlign w:val="top"/>
            <w:textDirection w:val="lrTb"/>
            <w:noWrap w:val="false"/>
          </w:tcPr>
          <w:p>
            <w:pPr>
              <w:jc w:val="center"/>
              <w:keepLines w:val="0"/>
              <w:keepNext w:val="0"/>
              <w:widowControl/>
              <w:rPr>
                <w:rFonts w:hint="eastAsia" w:ascii="宋体" w:hAnsi="宋体" w:eastAsia="宋体" w:cs="宋体"/>
                <w:color w:val="auto"/>
                <w:spacing w:val="-2"/>
                <w:sz w:val="24"/>
                <w:szCs w:val="24"/>
                <w:highlight w:val="none"/>
                <w:lang w:eastAsia="en-US"/>
              </w:rPr>
              <w:suppressLineNumbers w:val="0"/>
            </w:pPr>
            <w:r>
              <w:rPr>
                <w:rFonts w:hint="eastAsia" w:ascii="宋体" w:hAnsi="宋体" w:cs="宋体"/>
                <w:i w:val="0"/>
                <w:iCs w:val="0"/>
                <w:color w:val="auto"/>
                <w:sz w:val="22"/>
                <w:szCs w:val="22"/>
                <w:highlight w:val="none"/>
                <w:u w:val="none"/>
                <w:lang w:val="en-US" w:eastAsia="zh-CN" w:bidi="ar"/>
              </w:rPr>
              <w:t xml:space="preserve">50</w:t>
            </w:r>
            <w:r/>
          </w:p>
        </w:tc>
      </w:tr>
      <w:tr>
        <w:trPr>
          <w:jc w:val="center"/>
          <w:trHeight w:val="3036"/>
        </w:trPr>
        <w:tc>
          <w:tcPr>
            <w:tcW w:w="641" w:type="dxa"/>
            <w:vAlign w:val="center"/>
            <w:textDirection w:val="lrTb"/>
            <w:noWrap w:val="false"/>
          </w:tcPr>
          <w:p>
            <w:pPr>
              <w:jc w:val="center"/>
              <w:spacing w:line="360" w:lineRule="exact"/>
              <w:widowControl/>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2"/>
                <w:szCs w:val="22"/>
                <w:highlight w:val="none"/>
                <w:lang w:val="en-US" w:eastAsia="en-US"/>
              </w:rPr>
              <w:t xml:space="preserve">1.1</w:t>
            </w:r>
            <w:r/>
          </w:p>
        </w:tc>
        <w:tc>
          <w:tcPr>
            <w:tcW w:w="1113" w:type="dxa"/>
            <w:vAlign w:val="center"/>
            <w:textDirection w:val="lrTb"/>
            <w:noWrap w:val="false"/>
          </w:tcPr>
          <w:p>
            <w:pPr>
              <w:jc w:val="center"/>
              <w:spacing w:line="276" w:lineRule="auto"/>
              <w:rPr>
                <w:rFonts w:hint="eastAsia" w:ascii="宋体" w:hAnsi="宋体" w:eastAsia="宋体" w:cs="宋体"/>
                <w:color w:val="auto"/>
                <w:sz w:val="24"/>
                <w:szCs w:val="24"/>
                <w:highlight w:val="none"/>
                <w:lang w:val="en-US" w:eastAsia="en-US"/>
              </w:rPr>
            </w:pPr>
            <w:r>
              <w:rPr>
                <w:rFonts w:hint="eastAsia" w:ascii="宋体" w:hAnsi="宋体"/>
                <w:color w:val="auto"/>
                <w:sz w:val="21"/>
                <w:szCs w:val="21"/>
                <w:highlight w:val="none"/>
                <w:lang w:val="en-US" w:eastAsia="en-US"/>
              </w:rPr>
              <w:t xml:space="preserve">投标报价</w:t>
            </w:r>
            <w:r/>
          </w:p>
        </w:tc>
        <w:tc>
          <w:tcPr>
            <w:tcW w:w="6919" w:type="dxa"/>
            <w:vAlign w:val="center"/>
            <w:textDirection w:val="lrTb"/>
            <w:noWrap w:val="false"/>
          </w:tcPr>
          <w:p>
            <w:pPr>
              <w:spacing w:line="360" w:lineRule="exact"/>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综合评分法中的价格分采用低价优先法计算，满足招标文件要求且投标价格最低的投标报价为评标基准价，其价格分为满分50分。其他投标人的价格分统一按照下列公式计算:报价得分=（评标基准价/投标报价）×价格分值</w:t>
            </w:r>
            <w:r/>
          </w:p>
          <w:p>
            <w:pPr>
              <w:spacing w:line="360" w:lineRule="exact"/>
              <w:rPr>
                <w:rFonts w:hint="eastAsia" w:ascii="宋体" w:hAnsi="宋体" w:eastAsia="宋体" w:cs="宋体"/>
                <w:color w:val="auto"/>
                <w:spacing w:val="-2"/>
                <w:sz w:val="24"/>
                <w:szCs w:val="24"/>
                <w:highlight w:val="none"/>
              </w:rPr>
            </w:pPr>
            <w:r>
              <w:rPr>
                <w:rFonts w:hint="eastAsia" w:ascii="宋体" w:hAnsi="宋体" w:eastAsia="宋体" w:cs="宋体"/>
                <w:color w:val="auto"/>
                <w:sz w:val="22"/>
                <w:szCs w:val="22"/>
                <w:highlight w:val="none"/>
                <w:lang w:val="en-US" w:eastAsia="zh-CN"/>
              </w:rPr>
              <w:t xml:space="preserve">注：根据财政部、工信部《政府采购促进中小企业发展管理办法》要求，提供的货物全部由符合政策要求的中小企业制造， 对其价格给予10%的调减，以调减后的价 格计算价格分。《中小企业声明函》填写格式见第六部分投标文件格式。</w:t>
            </w:r>
            <w:r/>
          </w:p>
        </w:tc>
        <w:tc>
          <w:tcPr>
            <w:tcW w:w="934" w:type="dxa"/>
            <w:vAlign w:val="center"/>
            <w:textDirection w:val="lrTb"/>
            <w:noWrap w:val="false"/>
          </w:tcPr>
          <w:p>
            <w:pPr>
              <w:jc w:val="center"/>
              <w:keepLines w:val="0"/>
              <w:keepNext w:val="0"/>
              <w:widowControl/>
              <w:rPr>
                <w:rFonts w:hint="eastAsia" w:ascii="宋体" w:hAnsi="宋体" w:eastAsia="宋体" w:cs="宋体"/>
                <w:color w:val="auto"/>
                <w:spacing w:val="-2"/>
                <w:sz w:val="24"/>
                <w:szCs w:val="24"/>
                <w:highlight w:val="none"/>
                <w:lang w:eastAsia="en-US"/>
              </w:rPr>
              <w:suppressLineNumbers w:val="0"/>
            </w:pPr>
            <w:r>
              <w:rPr>
                <w:rFonts w:hint="eastAsia" w:ascii="宋体" w:hAnsi="宋体" w:cs="宋体"/>
                <w:i w:val="0"/>
                <w:iCs w:val="0"/>
                <w:color w:val="auto"/>
                <w:sz w:val="22"/>
                <w:szCs w:val="22"/>
                <w:highlight w:val="none"/>
                <w:u w:val="none"/>
                <w:lang w:val="en-US" w:eastAsia="zh-CN" w:bidi="ar"/>
              </w:rPr>
              <w:t xml:space="preserve">50</w:t>
            </w:r>
            <w:r>
              <w:rPr>
                <w:rFonts w:hint="eastAsia" w:ascii="宋体" w:hAnsi="宋体" w:cs="宋体"/>
                <w:i w:val="0"/>
                <w:iCs w:val="0"/>
                <w:color w:val="auto"/>
                <w:sz w:val="22"/>
                <w:szCs w:val="22"/>
                <w:highlight w:val="none"/>
                <w:u w:val="none"/>
                <w:lang w:val="en-US" w:eastAsia="en-US" w:bidi="ar"/>
              </w:rPr>
              <w:t xml:space="preserve">.0</w:t>
            </w:r>
            <w:r/>
          </w:p>
        </w:tc>
      </w:tr>
    </w:tbl>
    <w:p>
      <w:pPr>
        <w:pStyle w:val="1022"/>
        <w:ind w:firstLine="446"/>
        <w:keepLines w:val="0"/>
        <w:keepNext w:val="0"/>
        <w:spacing w:before="200" w:after="200" w:line="360" w:lineRule="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9.相同品牌产品的处理原则</w:t>
      </w:r>
      <w:r/>
    </w:p>
    <w:p>
      <w:pPr>
        <w:pStyle w:val="1022"/>
        <w:ind w:firstLine="473"/>
        <w:keepLines w:val="0"/>
        <w:keepNext w:val="0"/>
        <w:spacing w:before="0" w:after="0" w:line="360" w:lineRule="auto"/>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9.1非单一产品采购项目，采购人应当根据采购项目技术构成、产品价格比重等合理确定核心产品。本项目核心产品见投标人须知前附表。</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9.2使用综合评分法的采购项目，核心产品提供相同品牌产品且通过资格审查、符合性审查的不同投标人参加同一合同项下投标的，按一家投标</w:t>
      </w:r>
      <w:r>
        <w:rPr>
          <w:rFonts w:hint="eastAsia" w:ascii="宋体" w:hAnsi="宋体" w:eastAsia="宋体" w:cs="宋体"/>
          <w:color w:val="auto"/>
          <w:sz w:val="24"/>
          <w:highlight w:val="none"/>
        </w:rPr>
        <w:t xml:space="preserve">人计算，评审后得分最高的同品牌投标人获得中标候选人推荐资格；评审得分相同的，由采购人或者采购人委托评标委员会按照招标文件规定的方式确定一个投标人获得中标人推荐资格，招标文件未规定的采取随机抽取方式确定，其他同品牌投标人不作为中标候选人。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p>
    <w:p>
      <w:pPr>
        <w:pStyle w:val="1022"/>
        <w:ind w:firstLine="446"/>
        <w:keepLines w:val="0"/>
        <w:keepNext w:val="0"/>
        <w:spacing w:before="200" w:after="200" w:line="360" w:lineRule="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10.允许修改评标结果的情形</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10.1评标结果汇总完成后，除下列情形外，任何人不得修改评标结果：</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（1）分值汇总计算错误的；</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（2）分项评分超出评分标准范围的；</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（3）评标委员会成员对客观评审因素评分不一致的；</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（4）经评标委员会认定评分畸高、畸低的。</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评标报告签署前，经复核发现存在以上情形之一的，评标委员会应当当场修改评标结果，并在评标报告中记载；评标报告签署后，采购人或者采购代理机构发现存在以上情形之一的，应当组织原评标委员会进行重新评审，重新评审改变评标结果的，书面报告本级政府采购监管部门。</w:t>
      </w:r>
      <w:bookmarkStart w:id="234" w:name="_Toc98669361"/>
      <w:r/>
      <w:bookmarkEnd w:id="234"/>
      <w:r/>
      <w:bookmarkStart w:id="235" w:name="_Toc98669719"/>
      <w:r/>
      <w:bookmarkEnd w:id="235"/>
      <w:r/>
      <w:bookmarkStart w:id="236" w:name="_Toc92168030"/>
      <w:r/>
      <w:bookmarkEnd w:id="236"/>
      <w:r/>
      <w:bookmarkStart w:id="237" w:name="_Toc100386064"/>
      <w:r/>
      <w:bookmarkEnd w:id="237"/>
      <w:r/>
      <w:bookmarkStart w:id="238" w:name="_Toc20732998"/>
      <w:r/>
      <w:bookmarkEnd w:id="238"/>
      <w:r/>
      <w:r/>
    </w:p>
    <w:p>
      <w:pPr>
        <w:pStyle w:val="1022"/>
        <w:ind w:firstLine="446"/>
        <w:keepLines w:val="0"/>
        <w:keepNext w:val="0"/>
        <w:spacing w:before="200" w:after="200" w:line="360" w:lineRule="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11.推荐中标候选人</w:t>
      </w:r>
      <w:r/>
    </w:p>
    <w:p>
      <w:pPr>
        <w:ind w:firstLine="42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11.1采用综合评分法的，评标结果按评审后得分(得分保留到小数点后2位，四舍五入)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center"/>
        <w:spacing w:line="360" w:lineRule="auto"/>
        <w:rPr>
          <w:rFonts w:hint="eastAsia" w:ascii="宋体" w:hAnsi="宋体" w:eastAsia="宋体" w:cs="宋体"/>
          <w:b/>
          <w:color w:val="auto"/>
          <w:sz w:val="36"/>
          <w:szCs w:val="36"/>
          <w:highlight w:val="none"/>
          <w:lang w:val="en-US" w:eastAsia="en-US" w:bidi="ar-SA"/>
        </w:rPr>
      </w:pPr>
      <w:r>
        <w:rPr>
          <w:rFonts w:hint="eastAsia" w:ascii="宋体" w:hAnsi="宋体" w:eastAsia="宋体" w:cs="宋体"/>
          <w:b/>
          <w:color w:val="auto"/>
          <w:sz w:val="36"/>
          <w:szCs w:val="36"/>
          <w:highlight w:val="none"/>
          <w:lang w:val="en-US" w:eastAsia="en-US" w:bidi="ar-SA"/>
        </w:rPr>
        <w:br w:type="page" w:clear="all"/>
      </w:r>
      <w:r>
        <w:rPr>
          <w:rFonts w:hint="eastAsia" w:ascii="宋体" w:hAnsi="宋体" w:eastAsia="宋体" w:cs="宋体"/>
          <w:b/>
          <w:color w:val="auto"/>
          <w:sz w:val="36"/>
          <w:szCs w:val="36"/>
          <w:highlight w:val="none"/>
          <w:lang w:val="en-US" w:eastAsia="en-US" w:bidi="ar-SA"/>
        </w:rPr>
        <w:t xml:space="preserve">第六部分    投标文件（格式）</w:t>
      </w:r>
      <w:r/>
    </w:p>
    <w:p>
      <w:pPr>
        <w:jc w:val="center"/>
        <w:spacing w:line="360" w:lineRule="auto"/>
        <w:rPr>
          <w:rFonts w:hint="eastAsia" w:ascii="宋体" w:hAnsi="宋体" w:eastAsia="宋体" w:cs="宋体"/>
          <w:b/>
          <w:color w:val="auto"/>
          <w:sz w:val="72"/>
          <w:highlight w:val="none"/>
        </w:rPr>
      </w:pPr>
      <w:r>
        <w:rPr>
          <w:rFonts w:hint="eastAsia" w:ascii="宋体" w:hAnsi="宋体" w:eastAsia="宋体" w:cs="宋体"/>
          <w:b/>
          <w:color w:val="auto"/>
          <w:sz w:val="72"/>
          <w:highlight w:val="none"/>
        </w:rPr>
      </w:r>
      <w:r/>
    </w:p>
    <w:p>
      <w:pPr>
        <w:jc w:val="center"/>
        <w:spacing w:line="360" w:lineRule="auto"/>
        <w:rPr>
          <w:rFonts w:hint="eastAsia" w:ascii="宋体" w:hAnsi="宋体" w:eastAsia="宋体" w:cs="宋体"/>
          <w:color w:val="auto"/>
          <w:sz w:val="72"/>
          <w:highlight w:val="none"/>
        </w:rPr>
      </w:pPr>
      <w:r>
        <w:rPr>
          <w:rFonts w:hint="eastAsia" w:ascii="宋体" w:hAnsi="宋体" w:eastAsia="宋体" w:cs="宋体"/>
          <w:b/>
          <w:color w:val="auto"/>
          <w:sz w:val="72"/>
          <w:highlight w:val="none"/>
        </w:rPr>
        <w:t xml:space="preserve">投   标   文   件</w:t>
      </w:r>
      <w:r/>
    </w:p>
    <w:p>
      <w:pPr>
        <w:ind w:firstLine="723"/>
        <w:jc w:val="center"/>
        <w:spacing w:line="360" w:lineRule="auto"/>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ind w:firstLine="643"/>
        <w:spacing w:line="360" w:lineRule="auto"/>
        <w:rPr>
          <w:rFonts w:hint="eastAsia" w:ascii="宋体" w:hAnsi="宋体" w:eastAsia="宋体" w:cs="宋体"/>
          <w:b/>
          <w:color w:val="auto"/>
          <w:sz w:val="32"/>
          <w:highlight w:val="none"/>
        </w:rPr>
      </w:pPr>
      <w:r>
        <w:rPr>
          <w:rFonts w:hint="eastAsia" w:ascii="宋体" w:hAnsi="宋体" w:eastAsia="宋体" w:cs="宋体"/>
          <w:b/>
          <w:color w:val="auto"/>
          <w:sz w:val="32"/>
          <w:highlight w:val="none"/>
        </w:rPr>
      </w:r>
      <w:r/>
    </w:p>
    <w:p>
      <w:pPr>
        <w:ind w:firstLine="643"/>
        <w:spacing w:line="360" w:lineRule="auto"/>
        <w:rPr>
          <w:rFonts w:hint="eastAsia" w:ascii="宋体" w:hAnsi="宋体" w:eastAsia="宋体" w:cs="宋体"/>
          <w:b/>
          <w:color w:val="auto"/>
          <w:sz w:val="32"/>
          <w:highlight w:val="none"/>
        </w:rPr>
      </w:pPr>
      <w:r>
        <w:rPr>
          <w:rFonts w:hint="eastAsia" w:ascii="宋体" w:hAnsi="宋体" w:eastAsia="宋体" w:cs="宋体"/>
          <w:b/>
          <w:color w:val="auto"/>
          <w:sz w:val="32"/>
          <w:highlight w:val="none"/>
        </w:rPr>
      </w:r>
      <w:r/>
    </w:p>
    <w:p>
      <w:pPr>
        <w:jc w:val="center"/>
        <w:spacing w:line="360" w:lineRule="auto"/>
        <w:rPr>
          <w:rFonts w:hint="eastAsia" w:ascii="宋体" w:hAnsi="宋体" w:eastAsia="宋体" w:cs="宋体"/>
          <w:b/>
          <w:color w:val="auto"/>
          <w:sz w:val="32"/>
          <w:highlight w:val="none"/>
        </w:rPr>
      </w:pPr>
      <w:r>
        <w:rPr>
          <w:rFonts w:hint="eastAsia" w:ascii="宋体" w:hAnsi="宋体" w:eastAsia="宋体" w:cs="宋体"/>
          <w:b/>
          <w:color w:val="auto"/>
          <w:sz w:val="32"/>
          <w:highlight w:val="none"/>
        </w:rPr>
        <w:t xml:space="preserve">项目编号：</w:t>
      </w:r>
      <w:r>
        <w:rPr>
          <w:rFonts w:hint="eastAsia" w:ascii="宋体" w:hAnsi="宋体" w:eastAsia="宋体" w:cs="宋体"/>
          <w:b/>
          <w:color w:val="auto"/>
          <w:sz w:val="24"/>
          <w:highlight w:val="none"/>
          <w:u w:val="single"/>
        </w:rPr>
        <w:t xml:space="preserve">××××</w:t>
      </w:r>
      <w:r/>
    </w:p>
    <w:p>
      <w:pPr>
        <w:ind w:firstLine="560"/>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p>
      <w:pPr>
        <w:ind w:firstLine="560"/>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p>
      <w:pPr>
        <w:ind w:firstLine="560"/>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p>
      <w:pPr>
        <w:ind w:firstLine="562"/>
        <w:jc w:val="center"/>
        <w:spacing w:line="360" w:lineRule="auto"/>
        <w:rPr>
          <w:rFonts w:hint="eastAsia" w:ascii="宋体" w:hAnsi="宋体" w:eastAsia="宋体" w:cs="宋体"/>
          <w:b/>
          <w:color w:val="auto"/>
          <w:sz w:val="28"/>
          <w:highlight w:val="none"/>
        </w:rPr>
      </w:pPr>
      <w:r>
        <w:rPr>
          <w:rFonts w:hint="eastAsia" w:ascii="宋体" w:hAnsi="宋体" w:eastAsia="宋体" w:cs="宋体"/>
          <w:b/>
          <w:color w:val="auto"/>
          <w:sz w:val="28"/>
          <w:highlight w:val="none"/>
        </w:rPr>
      </w:r>
      <w:r/>
    </w:p>
    <w:p>
      <w:pPr>
        <w:jc w:val="center"/>
        <w:spacing w:line="36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项目名称：</w:t>
      </w:r>
      <w:r>
        <w:rPr>
          <w:rFonts w:hint="eastAsia" w:ascii="宋体" w:hAnsi="宋体" w:eastAsia="宋体" w:cs="宋体"/>
          <w:b/>
          <w:color w:val="auto"/>
          <w:sz w:val="24"/>
          <w:highlight w:val="none"/>
          <w:u w:val="single"/>
        </w:rPr>
        <w:t xml:space="preserve">××××</w:t>
      </w:r>
      <w:r/>
    </w:p>
    <w:p>
      <w:pPr>
        <w:pStyle w:val="1031"/>
        <w:ind w:firstLine="643"/>
        <w:spacing w:line="360" w:lineRule="auto"/>
        <w:rPr>
          <w:rFonts w:hint="eastAsia" w:ascii="宋体" w:hAnsi="宋体" w:eastAsia="宋体" w:cs="宋体"/>
          <w:b/>
          <w:color w:val="auto"/>
          <w:sz w:val="32"/>
          <w:highlight w:val="none"/>
        </w:rPr>
      </w:pPr>
      <w:r>
        <w:rPr>
          <w:rFonts w:hint="eastAsia" w:ascii="宋体" w:hAnsi="宋体" w:eastAsia="宋体" w:cs="宋体"/>
          <w:b/>
          <w:color w:val="auto"/>
          <w:sz w:val="32"/>
          <w:highlight w:val="none"/>
        </w:rPr>
      </w:r>
      <w:r/>
    </w:p>
    <w:p>
      <w:pPr>
        <w:pStyle w:val="1031"/>
        <w:ind w:firstLine="643"/>
        <w:spacing w:line="360" w:lineRule="auto"/>
        <w:rPr>
          <w:rFonts w:hint="eastAsia" w:ascii="宋体" w:hAnsi="宋体" w:eastAsia="宋体" w:cs="宋体"/>
          <w:b/>
          <w:color w:val="auto"/>
          <w:sz w:val="32"/>
          <w:highlight w:val="none"/>
        </w:rPr>
      </w:pPr>
      <w:r>
        <w:rPr>
          <w:rFonts w:hint="eastAsia" w:ascii="宋体" w:hAnsi="宋体" w:eastAsia="宋体" w:cs="宋体"/>
          <w:b/>
          <w:color w:val="auto"/>
          <w:sz w:val="32"/>
          <w:highlight w:val="none"/>
        </w:rPr>
      </w:r>
      <w:r/>
    </w:p>
    <w:p>
      <w:pPr>
        <w:jc w:val="center"/>
        <w:spacing w:line="360" w:lineRule="auto"/>
        <w:rPr>
          <w:rFonts w:hint="eastAsia" w:ascii="宋体" w:hAnsi="宋体" w:eastAsia="宋体" w:cs="宋体"/>
          <w:b/>
          <w:color w:val="auto"/>
          <w:sz w:val="32"/>
          <w:highlight w:val="none"/>
        </w:rPr>
      </w:pPr>
      <w:r>
        <w:rPr>
          <w:rFonts w:hint="eastAsia" w:ascii="宋体" w:hAnsi="宋体" w:eastAsia="宋体" w:cs="宋体"/>
          <w:b/>
          <w:color w:val="auto"/>
          <w:sz w:val="32"/>
          <w:highlight w:val="none"/>
        </w:rPr>
        <w:t xml:space="preserve">投 标 人（公章）：</w:t>
      </w:r>
      <w:r>
        <w:rPr>
          <w:rFonts w:hint="eastAsia" w:ascii="宋体" w:hAnsi="宋体" w:eastAsia="宋体" w:cs="宋体"/>
          <w:b/>
          <w:color w:val="auto"/>
          <w:sz w:val="24"/>
          <w:highlight w:val="none"/>
          <w:u w:val="single"/>
        </w:rPr>
        <w:t xml:space="preserve">××××</w:t>
      </w:r>
      <w:r/>
    </w:p>
    <w:p>
      <w:pPr>
        <w:ind w:firstLine="723"/>
        <w:jc w:val="center"/>
        <w:spacing w:line="360" w:lineRule="auto"/>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ind w:firstLine="723"/>
        <w:jc w:val="center"/>
        <w:spacing w:line="360" w:lineRule="auto"/>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ind w:firstLine="723"/>
        <w:jc w:val="center"/>
        <w:spacing w:line="360" w:lineRule="auto"/>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jc w:val="center"/>
        <w:spacing w:line="360" w:lineRule="auto"/>
        <w:rPr>
          <w:rFonts w:hint="eastAsia" w:ascii="宋体" w:hAnsi="宋体" w:eastAsia="宋体" w:cs="宋体"/>
          <w:b/>
          <w:color w:val="auto"/>
          <w:sz w:val="32"/>
          <w:highlight w:val="none"/>
        </w:rPr>
      </w:pPr>
      <w:r>
        <w:rPr>
          <w:rFonts w:hint="eastAsia" w:ascii="宋体" w:hAnsi="宋体" w:eastAsia="宋体" w:cs="宋体"/>
          <w:b/>
          <w:color w:val="auto"/>
          <w:sz w:val="24"/>
          <w:highlight w:val="none"/>
          <w:u w:val="single"/>
        </w:rPr>
        <w:t xml:space="preserve">××××</w:t>
      </w:r>
      <w:r>
        <w:rPr>
          <w:rFonts w:hint="eastAsia" w:ascii="宋体" w:hAnsi="宋体" w:eastAsia="宋体" w:cs="宋体"/>
          <w:b/>
          <w:color w:val="auto"/>
          <w:sz w:val="32"/>
          <w:highlight w:val="none"/>
        </w:rPr>
        <w:t xml:space="preserve">年</w:t>
      </w:r>
      <w:r>
        <w:rPr>
          <w:rFonts w:hint="eastAsia" w:ascii="宋体" w:hAnsi="宋体" w:eastAsia="宋体" w:cs="宋体"/>
          <w:b/>
          <w:color w:val="auto"/>
          <w:sz w:val="24"/>
          <w:highlight w:val="none"/>
          <w:u w:val="single"/>
        </w:rPr>
        <w:t xml:space="preserve">××</w:t>
      </w:r>
      <w:r>
        <w:rPr>
          <w:rFonts w:hint="eastAsia" w:ascii="宋体" w:hAnsi="宋体" w:eastAsia="宋体" w:cs="宋体"/>
          <w:b/>
          <w:color w:val="auto"/>
          <w:sz w:val="32"/>
          <w:highlight w:val="none"/>
        </w:rPr>
        <w:t xml:space="preserve">月</w:t>
      </w:r>
      <w:r>
        <w:rPr>
          <w:rFonts w:hint="eastAsia" w:ascii="宋体" w:hAnsi="宋体" w:eastAsia="宋体" w:cs="宋体"/>
          <w:b/>
          <w:color w:val="auto"/>
          <w:sz w:val="24"/>
          <w:highlight w:val="none"/>
          <w:u w:val="single"/>
        </w:rPr>
        <w:t xml:space="preserve">××</w:t>
      </w:r>
      <w:r>
        <w:rPr>
          <w:rFonts w:hint="eastAsia" w:ascii="宋体" w:hAnsi="宋体" w:eastAsia="宋体" w:cs="宋体"/>
          <w:b/>
          <w:color w:val="auto"/>
          <w:sz w:val="32"/>
          <w:highlight w:val="none"/>
        </w:rPr>
        <w:t xml:space="preserve">日</w:t>
      </w:r>
      <w:r/>
    </w:p>
    <w:p>
      <w:pPr>
        <w:pStyle w:val="1021"/>
        <w:ind w:firstLine="643"/>
        <w:spacing w:line="360" w:lineRule="auto"/>
        <w:rPr>
          <w:rFonts w:hint="eastAsia" w:ascii="宋体" w:hAnsi="宋体" w:eastAsia="宋体" w:cs="宋体"/>
          <w:color w:val="auto"/>
          <w:sz w:val="32"/>
          <w:highlight w:val="none"/>
        </w:rPr>
      </w:pPr>
      <w:r>
        <w:rPr>
          <w:rFonts w:hint="eastAsia" w:ascii="宋体" w:hAnsi="宋体" w:eastAsia="宋体" w:cs="宋体"/>
          <w:color w:val="auto"/>
          <w:sz w:val="32"/>
          <w:highlight w:val="none"/>
        </w:rPr>
        <w:t xml:space="preserve">一、资格部分</w:t>
      </w:r>
      <w:r/>
    </w:p>
    <w:p>
      <w:pPr>
        <w:pStyle w:val="1021"/>
        <w:ind w:firstLine="643"/>
        <w:spacing w:line="360" w:lineRule="auto"/>
        <w:rPr>
          <w:rFonts w:hint="eastAsia" w:ascii="宋体" w:hAnsi="宋体" w:eastAsia="宋体" w:cs="宋体"/>
          <w:color w:val="auto"/>
          <w:sz w:val="32"/>
          <w:highlight w:val="none"/>
        </w:rPr>
      </w:pPr>
      <w:r>
        <w:rPr>
          <w:rFonts w:hint="eastAsia" w:ascii="宋体" w:hAnsi="宋体" w:eastAsia="宋体" w:cs="宋体"/>
          <w:color w:val="auto"/>
          <w:sz w:val="32"/>
          <w:highlight w:val="none"/>
        </w:rPr>
        <w:t xml:space="preserve">（一）投标函</w:t>
      </w:r>
      <w:r/>
    </w:p>
    <w:p>
      <w:pPr>
        <w:spacing w:line="360" w:lineRule="auto"/>
        <w:rPr>
          <w:rFonts w:hint="eastAsia" w:ascii="宋体" w:hAnsi="宋体" w:eastAsia="宋体" w:cs="宋体"/>
          <w:b/>
          <w:bCs/>
          <w:color w:val="auto"/>
          <w:sz w:val="30"/>
          <w:highlight w:val="none"/>
        </w:rPr>
      </w:pPr>
      <w:r>
        <w:rPr>
          <w:rFonts w:hint="eastAsia" w:ascii="宋体" w:hAnsi="宋体" w:eastAsia="宋体" w:cs="宋体"/>
          <w:b/>
          <w:color w:val="auto"/>
          <w:sz w:val="24"/>
          <w:highlight w:val="none"/>
          <w:u w:val="single"/>
        </w:rPr>
        <w:t xml:space="preserve">致</w:t>
      </w:r>
      <w:r>
        <w:rPr>
          <w:rFonts w:hint="eastAsia" w:ascii="宋体" w:hAnsi="宋体" w:eastAsia="宋体" w:cs="宋体"/>
          <w:b/>
          <w:color w:val="auto"/>
          <w:sz w:val="24"/>
          <w:szCs w:val="22"/>
          <w:highlight w:val="none"/>
          <w:u w:val="single"/>
          <w:lang w:val="en-US" w:eastAsia="zh-CN" w:bidi="ar-SA"/>
        </w:rPr>
        <w:t xml:space="preserve">××××（采购代理机构）</w:t>
      </w:r>
      <w:r>
        <w:rPr>
          <w:rFonts w:hint="eastAsia" w:ascii="宋体" w:hAnsi="宋体" w:eastAsia="宋体" w:cs="宋体"/>
          <w:b/>
          <w:bCs/>
          <w:color w:val="auto"/>
          <w:sz w:val="30"/>
          <w:highlight w:val="none"/>
        </w:rPr>
        <w:t xml:space="preserve">：</w:t>
      </w:r>
      <w:r/>
    </w:p>
    <w:p>
      <w:pPr>
        <w:pStyle w:val="1031"/>
        <w:ind w:left="0" w:firstLine="560"/>
        <w:jc w:val="both"/>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4"/>
          <w:highlight w:val="none"/>
        </w:rPr>
        <w:t xml:space="preserve">根据贵方</w:t>
      </w:r>
      <w:r>
        <w:rPr>
          <w:rFonts w:hint="eastAsia" w:ascii="宋体" w:hAnsi="宋体" w:eastAsia="宋体" w:cs="宋体"/>
          <w:color w:val="auto"/>
          <w:sz w:val="28"/>
          <w:szCs w:val="28"/>
          <w:highlight w:val="none"/>
        </w:rPr>
        <w:t xml:space="preserve">关于</w:t>
      </w:r>
      <w:r>
        <w:rPr>
          <w:rFonts w:hint="eastAsia" w:ascii="宋体" w:hAnsi="宋体" w:eastAsia="宋体" w:cs="宋体"/>
          <w:b/>
          <w:color w:val="auto"/>
          <w:sz w:val="24"/>
          <w:szCs w:val="22"/>
          <w:highlight w:val="none"/>
          <w:u w:val="single"/>
          <w:lang w:val="en-US" w:eastAsia="zh-CN" w:bidi="ar-SA"/>
        </w:rPr>
        <w:t xml:space="preserve">××××（项目名称）（项目编号：××××）</w:t>
      </w:r>
      <w:r>
        <w:rPr>
          <w:rFonts w:hint="eastAsia" w:ascii="宋体" w:hAnsi="宋体" w:eastAsia="宋体" w:cs="宋体"/>
          <w:color w:val="auto"/>
          <w:sz w:val="28"/>
          <w:szCs w:val="24"/>
          <w:highlight w:val="none"/>
        </w:rPr>
        <w:t xml:space="preserve">的投标邀请</w:t>
      </w:r>
      <w:r>
        <w:rPr>
          <w:rFonts w:hint="eastAsia" w:ascii="宋体" w:hAnsi="宋体" w:eastAsia="宋体" w:cs="宋体"/>
          <w:color w:val="auto"/>
          <w:sz w:val="28"/>
          <w:szCs w:val="28"/>
          <w:highlight w:val="none"/>
        </w:rPr>
        <w:t xml:space="preserve">，我方已完全理解招标文件的所有内容。</w:t>
      </w:r>
      <w:r/>
    </w:p>
    <w:p>
      <w:pPr>
        <w:pStyle w:val="1032"/>
        <w:ind w:left="1" w:firstLine="56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据此函，我方兹宣布同意如下：</w:t>
      </w:r>
      <w:r/>
    </w:p>
    <w:p>
      <w:pPr>
        <w:ind w:firstLine="560"/>
        <w:spacing w:line="360" w:lineRule="auto"/>
        <w:tabs>
          <w:tab w:val="left" w:pos="1125"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1．按招标文件规定提供货物的唯一投标报价见开标一览表。</w:t>
      </w:r>
      <w:r>
        <w:rPr>
          <w:rFonts w:hint="eastAsia" w:ascii="宋体" w:hAnsi="宋体" w:eastAsia="宋体" w:cs="宋体"/>
          <w:color w:val="auto"/>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200025</wp:posOffset>
                </wp:positionH>
                <wp:positionV relativeFrom="paragraph">
                  <wp:posOffset>247650</wp:posOffset>
                </wp:positionV>
                <wp:extent cx="635" cy="0"/>
                <wp:effectExtent l="0" t="4445" r="0" b="5080"/>
                <wp:wrapNone/>
                <wp:docPr id="7" name="直接连接符 5"/>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w="1778">
                          <a:solidFill>
                            <a:srgbClr val="000000"/>
                          </a:solidFill>
                        </a:ln>
                      </wps:spPr>
                      <wps:bodyPr rot="0">
                        <a:prstTxWarp prst="textNoShape">
                          <a:avLst/>
                        </a:prstTxWarp>
                        <a:noAutofit/>
                      </wps:bodyPr>
                    </wps:wsp>
                  </a:graphicData>
                </a:graphic>
              </wp:anchor>
            </w:drawing>
          </mc:Choice>
          <mc:Fallback>
            <w:pict>
              <v:line id="shape 6" o:spid="_x0000_s6" style="position:absolute;left:0;text-align:left;z-index:251660288;mso-wrap-distance-left:9.0pt;mso-wrap-distance-top:0.0pt;mso-wrap-distance-right:9.0pt;mso-wrap-distance-bottom:0.0pt;visibility:visible;" from="15.8pt,19.5pt" to="15.8pt,19.5pt" fillcolor="#FFFFFF" strokecolor="#000000" strokeweight="0.14pt"/>
            </w:pict>
          </mc:Fallback>
        </mc:AlternateContent>
      </w:r>
      <w:r>
        <w:rPr>
          <w:rFonts w:hint="eastAsia" w:ascii="宋体" w:hAnsi="宋体" w:eastAsia="宋体" w:cs="宋体"/>
          <w:color w:val="auto"/>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2667000</wp:posOffset>
                </wp:positionH>
                <wp:positionV relativeFrom="paragraph">
                  <wp:posOffset>198120</wp:posOffset>
                </wp:positionV>
                <wp:extent cx="635" cy="0"/>
                <wp:effectExtent l="0" t="4445" r="0" b="5080"/>
                <wp:wrapNone/>
                <wp:docPr id="8" name="直接连接符 6"/>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w="1778">
                          <a:solidFill>
                            <a:srgbClr val="000000"/>
                          </a:solidFill>
                          <a:round/>
                        </a:ln>
                      </wps:spPr>
                      <wps:bodyPr rot="0">
                        <a:prstTxWarp prst="textNoShape">
                          <a:avLst/>
                        </a:prstTxWarp>
                        <a:noAutofit/>
                      </wps:bodyPr>
                    </wps:wsp>
                  </a:graphicData>
                </a:graphic>
              </wp:anchor>
            </w:drawing>
          </mc:Choice>
          <mc:Fallback>
            <w:pict>
              <v:line id="shape 7" o:spid="_x0000_s7" style="position:absolute;left:0;text-align:left;z-index:251659264;mso-wrap-distance-left:9.0pt;mso-wrap-distance-top:0.0pt;mso-wrap-distance-right:9.0pt;mso-wrap-distance-bottom:0.0pt;visibility:visible;" from="210.0pt,15.6pt" to="210.1pt,15.6pt" fillcolor="#FFFFFF" strokecolor="#000000" strokeweight="0.14pt"/>
            </w:pict>
          </mc:Fallback>
        </mc:AlternateContent>
      </w:r>
      <w:r>
        <w:rPr>
          <w:rFonts w:hint="eastAsia" w:ascii="宋体" w:hAnsi="宋体" w:eastAsia="宋体" w:cs="宋体"/>
          <w:color w:val="auto"/>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200025</wp:posOffset>
                </wp:positionH>
                <wp:positionV relativeFrom="paragraph">
                  <wp:posOffset>247650</wp:posOffset>
                </wp:positionV>
                <wp:extent cx="635" cy="0"/>
                <wp:effectExtent l="0" t="4445" r="0" b="5080"/>
                <wp:wrapNone/>
                <wp:docPr id="9" name="直接连接符 7"/>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w="1778">
                          <a:solidFill>
                            <a:srgbClr val="000000"/>
                          </a:solidFill>
                        </a:ln>
                      </wps:spPr>
                      <wps:bodyPr rot="0">
                        <a:prstTxWarp prst="textNoShape">
                          <a:avLst/>
                        </a:prstTxWarp>
                        <a:noAutofit/>
                      </wps:bodyPr>
                    </wps:wsp>
                  </a:graphicData>
                </a:graphic>
              </wp:anchor>
            </w:drawing>
          </mc:Choice>
          <mc:Fallback>
            <w:pict>
              <v:line id="shape 8" o:spid="_x0000_s8" style="position:absolute;left:0;text-align:left;z-index:251660288;mso-wrap-distance-left:9.0pt;mso-wrap-distance-top:0.0pt;mso-wrap-distance-right:9.0pt;mso-wrap-distance-bottom:0.0pt;visibility:visible;" from="15.8pt,19.5pt" to="15.8pt,19.5pt" fillcolor="#FFFFFF" strokecolor="#000000" strokeweight="0.14pt"/>
            </w:pict>
          </mc:Fallback>
        </mc:AlternateContent>
      </w:r>
      <w:r>
        <w:rPr>
          <w:rFonts w:hint="eastAsia" w:ascii="宋体" w:hAnsi="宋体" w:eastAsia="宋体" w:cs="宋体"/>
          <w:color w:val="auto"/>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2667000</wp:posOffset>
                </wp:positionH>
                <wp:positionV relativeFrom="paragraph">
                  <wp:posOffset>198120</wp:posOffset>
                </wp:positionV>
                <wp:extent cx="635" cy="0"/>
                <wp:effectExtent l="0" t="4445" r="0" b="5080"/>
                <wp:wrapNone/>
                <wp:docPr id="10" name="直接连接符 8"/>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w="1778">
                          <a:solidFill>
                            <a:srgbClr val="000000"/>
                          </a:solidFill>
                        </a:ln>
                      </wps:spPr>
                      <wps:bodyPr rot="0">
                        <a:prstTxWarp prst="textNoShape">
                          <a:avLst/>
                        </a:prstTxWarp>
                        <a:noAutofit/>
                      </wps:bodyPr>
                    </wps:wsp>
                  </a:graphicData>
                </a:graphic>
              </wp:anchor>
            </w:drawing>
          </mc:Choice>
          <mc:Fallback>
            <w:pict>
              <v:line id="shape 9" o:spid="_x0000_s9" style="position:absolute;left:0;text-align:left;z-index:251660288;mso-wrap-distance-left:9.0pt;mso-wrap-distance-top:0.0pt;mso-wrap-distance-right:9.0pt;mso-wrap-distance-bottom:0.0pt;visibility:visible;" from="210.0pt,15.6pt" to="210.1pt,15.6pt" fillcolor="#FFFFFF" strokecolor="#000000" strokeweight="0.14pt"/>
            </w:pict>
          </mc:Fallback>
        </mc:AlternateContent>
      </w:r>
      <w:r/>
    </w:p>
    <w:p>
      <w:pPr>
        <w:ind w:firstLine="560"/>
        <w:spacing w:line="360" w:lineRule="auto"/>
        <w:tabs>
          <w:tab w:val="left" w:pos="1125"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2667000</wp:posOffset>
                </wp:positionH>
                <wp:positionV relativeFrom="paragraph">
                  <wp:posOffset>247650</wp:posOffset>
                </wp:positionV>
                <wp:extent cx="635" cy="0"/>
                <wp:effectExtent l="0" t="4445" r="0" b="5080"/>
                <wp:wrapNone/>
                <wp:docPr id="11" name="直接连接符 9"/>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w="1778">
                          <a:solidFill>
                            <a:srgbClr val="000000"/>
                          </a:solidFill>
                        </a:ln>
                      </wps:spPr>
                      <wps:bodyPr rot="0">
                        <a:prstTxWarp prst="textNoShape">
                          <a:avLst/>
                        </a:prstTxWarp>
                        <a:noAutofit/>
                      </wps:bodyPr>
                    </wps:wsp>
                  </a:graphicData>
                </a:graphic>
              </wp:anchor>
            </w:drawing>
          </mc:Choice>
          <mc:Fallback>
            <w:pict>
              <v:line id="shape 10" o:spid="_x0000_s10" style="position:absolute;left:0;text-align:left;z-index:251660288;mso-wrap-distance-left:9.0pt;mso-wrap-distance-top:0.0pt;mso-wrap-distance-right:9.0pt;mso-wrap-distance-bottom:0.0pt;visibility:visible;" from="210.0pt,19.5pt" to="210.1pt,19.5pt" fillcolor="#FFFFFF" strokecolor="#000000" strokeweight="0.14pt"/>
            </w:pict>
          </mc:Fallback>
        </mc:AlternateContent>
      </w:r>
      <w:r>
        <w:rPr>
          <w:rFonts w:hint="eastAsia" w:ascii="宋体" w:hAnsi="宋体" w:eastAsia="宋体" w:cs="宋体"/>
          <w:color w:val="auto"/>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2667000</wp:posOffset>
                </wp:positionH>
                <wp:positionV relativeFrom="paragraph">
                  <wp:posOffset>247650</wp:posOffset>
                </wp:positionV>
                <wp:extent cx="635" cy="0"/>
                <wp:effectExtent l="0" t="4445" r="0" b="5080"/>
                <wp:wrapNone/>
                <wp:docPr id="12" name="直接连接符 10"/>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w="1778">
                          <a:solidFill>
                            <a:srgbClr val="000000"/>
                          </a:solidFill>
                        </a:ln>
                      </wps:spPr>
                      <wps:bodyPr rot="0">
                        <a:prstTxWarp prst="textNoShape">
                          <a:avLst/>
                        </a:prstTxWarp>
                        <a:noAutofit/>
                      </wps:bodyPr>
                    </wps:wsp>
                  </a:graphicData>
                </a:graphic>
              </wp:anchor>
            </w:drawing>
          </mc:Choice>
          <mc:Fallback>
            <w:pict>
              <v:line id="shape 11" o:spid="_x0000_s11" style="position:absolute;left:0;text-align:left;z-index:251660288;mso-wrap-distance-left:9.0pt;mso-wrap-distance-top:0.0pt;mso-wrap-distance-right:9.0pt;mso-wrap-distance-bottom:0.0pt;visibility:visible;" from="210.0pt,19.5pt" to="210.1pt,19.5pt" fillcolor="#FFFFFF" strokecolor="#000000" strokeweight="0.14pt"/>
            </w:pict>
          </mc:Fallback>
        </mc:AlternateContent>
      </w:r>
      <w:r>
        <w:rPr>
          <w:rFonts w:hint="eastAsia" w:ascii="宋体" w:hAnsi="宋体" w:eastAsia="宋体" w:cs="宋体"/>
          <w:color w:val="auto"/>
          <w:sz w:val="28"/>
          <w:szCs w:val="28"/>
          <w:highlight w:val="none"/>
        </w:rPr>
        <w:t xml:space="preserve">2．我方承诺根据招标文件的规定，完成合同义务，并承担责任（如有偏离，在投标文件中另作说明）。</w:t>
      </w:r>
      <w:r/>
    </w:p>
    <w:p>
      <w:pPr>
        <w:ind w:firstLine="560"/>
        <w:spacing w:line="360" w:lineRule="auto"/>
        <w:tabs>
          <w:tab w:val="left" w:pos="1125"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3．我方已</w:t>
      </w:r>
      <w:r>
        <w:rPr>
          <w:rFonts w:hint="eastAsia" w:ascii="宋体" w:hAnsi="宋体" w:eastAsia="宋体" w:cs="宋体"/>
          <w:color w:val="auto"/>
          <w:sz w:val="28"/>
          <w:highlight w:val="none"/>
        </w:rPr>
        <w:t xml:space="preserve">详读</w:t>
      </w:r>
      <w:r>
        <w:rPr>
          <w:rFonts w:hint="eastAsia" w:ascii="宋体" w:hAnsi="宋体" w:eastAsia="宋体" w:cs="宋体"/>
          <w:color w:val="auto"/>
          <w:sz w:val="28"/>
          <w:szCs w:val="28"/>
          <w:highlight w:val="none"/>
        </w:rPr>
        <w:t xml:space="preserve">全部招标文件，包括招标文件书面修改通知（如果有的话），我方完全理解并同意放弃对这方面不明及误解的权利。</w:t>
      </w:r>
      <w:r/>
    </w:p>
    <w:p>
      <w:pPr>
        <w:ind w:firstLine="560"/>
        <w:spacing w:line="360" w:lineRule="auto"/>
        <w:tabs>
          <w:tab w:val="left" w:pos="1125"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4．</w:t>
      </w:r>
      <w:r>
        <w:rPr>
          <w:rFonts w:hint="eastAsia" w:ascii="宋体" w:hAnsi="宋体" w:eastAsia="宋体" w:cs="宋体"/>
          <w:color w:val="auto"/>
          <w:sz w:val="28"/>
          <w:highlight w:val="none"/>
        </w:rPr>
        <w:t xml:space="preserve">我方已详读全部投标文件，保证提供的投标文件及所有材料的完整、真实、合法、有效性并对其负责，承诺在评审期间，如评标委员会对我方提出澄清要求，将及时作出响应，否则自行承担后果。</w:t>
      </w:r>
      <w:r/>
    </w:p>
    <w:p>
      <w:pPr>
        <w:ind w:firstLine="560"/>
        <w:spacing w:line="360" w:lineRule="auto"/>
        <w:tabs>
          <w:tab w:val="left" w:pos="1125"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5．我方同意从规定的招标日期起遵循本招标文件，并在规定的投标有效期期满之前均具有约束力。</w:t>
      </w:r>
      <w:r/>
    </w:p>
    <w:p>
      <w:pPr>
        <w:ind w:firstLine="560"/>
        <w:spacing w:line="360" w:lineRule="auto"/>
        <w:tabs>
          <w:tab w:val="left" w:pos="1125"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6．我方同意向贵方提供贵方可能要求的与本投标有关的任何证据或资料。</w:t>
      </w:r>
      <w:r/>
    </w:p>
    <w:p>
      <w:pPr>
        <w:ind w:firstLine="560"/>
        <w:spacing w:line="360" w:lineRule="auto"/>
        <w:tabs>
          <w:tab w:val="left" w:pos="1125"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7．我方知道如用虚假材料或恶意方式向贵方提出质疑，将承担相应的法律责任。同时承诺：我方如果有上述行为，将无条件承担贵方相关的调查论证费用。</w:t>
      </w:r>
      <w:r/>
    </w:p>
    <w:p>
      <w:pPr>
        <w:ind w:firstLine="560"/>
        <w:spacing w:line="360" w:lineRule="auto"/>
        <w:tabs>
          <w:tab w:val="left" w:pos="1125"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8．我方承诺：参加政府采购活动前三年内，在经营活动中没有重大违法记录。</w:t>
      </w:r>
      <w:r/>
    </w:p>
    <w:p>
      <w:pPr>
        <w:ind w:firstLine="560"/>
        <w:spacing w:line="360" w:lineRule="auto"/>
        <w:tabs>
          <w:tab w:val="left" w:pos="1125"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9．本次投标文件内容与招标文件内容偏离情况见偏离说明（如果有）。</w:t>
      </w:r>
      <w:r/>
    </w:p>
    <w:p>
      <w:pPr>
        <w:ind w:firstLine="560"/>
        <w:spacing w:line="360" w:lineRule="auto"/>
        <w:tabs>
          <w:tab w:val="left" w:pos="1125"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10．遵守招标文件中要求的收费项目和标准。</w:t>
      </w:r>
      <w:r/>
    </w:p>
    <w:p>
      <w:pPr>
        <w:ind w:firstLine="560"/>
        <w:spacing w:line="360" w:lineRule="auto"/>
        <w:tabs>
          <w:tab w:val="left" w:pos="1125"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11．与本投标有关的一切正式往来通讯请寄：</w:t>
      </w:r>
      <w:r/>
    </w:p>
    <w:p>
      <w:pPr>
        <w:pStyle w:val="1032"/>
        <w:ind w:firstLine="560"/>
        <w:spacing w:line="360" w:lineRule="auto"/>
        <w:rPr>
          <w:rFonts w:hint="eastAsia" w:ascii="宋体" w:hAnsi="宋体" w:eastAsia="宋体" w:cs="宋体"/>
          <w:color w:val="auto"/>
          <w:sz w:val="28"/>
          <w:szCs w:val="24"/>
          <w:highlight w:val="none"/>
        </w:rPr>
      </w:pPr>
      <w:r>
        <w:rPr>
          <w:rFonts w:hint="eastAsia" w:ascii="宋体" w:hAnsi="宋体" w:eastAsia="宋体" w:cs="宋体"/>
          <w:color w:val="auto"/>
          <w:sz w:val="28"/>
          <w:szCs w:val="24"/>
          <w:highlight w:val="none"/>
        </w:rPr>
        <w:t xml:space="preserve">地址： </w:t>
      </w:r>
      <w:r>
        <w:rPr>
          <w:rFonts w:hint="eastAsia" w:ascii="宋体" w:hAnsi="宋体" w:eastAsia="宋体" w:cs="宋体"/>
          <w:b/>
          <w:color w:val="auto"/>
          <w:sz w:val="24"/>
          <w:highlight w:val="none"/>
          <w:u w:val="single"/>
        </w:rPr>
        <w:t xml:space="preserve">××</w:t>
      </w:r>
      <w:r>
        <w:rPr>
          <w:rFonts w:hint="eastAsia" w:ascii="宋体" w:hAnsi="宋体" w:eastAsia="宋体" w:cs="宋体"/>
          <w:color w:val="auto"/>
          <w:sz w:val="28"/>
          <w:szCs w:val="24"/>
          <w:highlight w:val="none"/>
        </w:rPr>
        <w:t xml:space="preserve">                  电话： </w:t>
      </w:r>
      <w:r>
        <w:rPr>
          <w:rFonts w:hint="eastAsia" w:ascii="宋体" w:hAnsi="宋体" w:eastAsia="宋体" w:cs="宋体"/>
          <w:b/>
          <w:color w:val="auto"/>
          <w:sz w:val="24"/>
          <w:highlight w:val="none"/>
          <w:u w:val="single"/>
        </w:rPr>
        <w:t xml:space="preserve">××</w:t>
      </w:r>
      <w:r/>
    </w:p>
    <w:p>
      <w:pPr>
        <w:pStyle w:val="1032"/>
        <w:ind w:firstLine="560"/>
        <w:spacing w:line="360" w:lineRule="auto"/>
        <w:rPr>
          <w:rFonts w:hint="eastAsia" w:ascii="宋体" w:hAnsi="宋体" w:eastAsia="宋体" w:cs="宋体"/>
          <w:color w:val="auto"/>
          <w:sz w:val="28"/>
          <w:szCs w:val="24"/>
          <w:highlight w:val="none"/>
        </w:rPr>
      </w:pPr>
      <w:r>
        <w:rPr>
          <w:rFonts w:hint="eastAsia" w:ascii="宋体" w:hAnsi="宋体" w:eastAsia="宋体" w:cs="宋体"/>
          <w:color w:val="auto"/>
          <w:sz w:val="28"/>
          <w:szCs w:val="24"/>
          <w:highlight w:val="none"/>
        </w:rPr>
        <w:t xml:space="preserve">传真：</w:t>
      </w:r>
      <w:r>
        <w:rPr>
          <w:rFonts w:hint="eastAsia" w:ascii="宋体" w:hAnsi="宋体" w:eastAsia="宋体" w:cs="宋体"/>
          <w:b/>
          <w:color w:val="auto"/>
          <w:sz w:val="24"/>
          <w:highlight w:val="none"/>
          <w:u w:val="single"/>
        </w:rPr>
        <w:t xml:space="preserve">×× </w:t>
      </w:r>
      <w:r>
        <w:rPr>
          <w:rFonts w:hint="eastAsia" w:ascii="宋体" w:hAnsi="宋体" w:eastAsia="宋体" w:cs="宋体"/>
          <w:color w:val="auto"/>
          <w:sz w:val="28"/>
          <w:szCs w:val="24"/>
          <w:highlight w:val="none"/>
        </w:rPr>
        <w:t xml:space="preserve">                邮政编码：</w:t>
      </w:r>
      <w:r>
        <w:rPr>
          <w:rFonts w:hint="eastAsia" w:ascii="宋体" w:hAnsi="宋体" w:eastAsia="宋体" w:cs="宋体"/>
          <w:b/>
          <w:color w:val="auto"/>
          <w:sz w:val="24"/>
          <w:highlight w:val="none"/>
          <w:u w:val="single"/>
        </w:rPr>
        <w:t xml:space="preserve">××</w:t>
      </w:r>
      <w:r/>
    </w:p>
    <w:p>
      <w:pPr>
        <w:pStyle w:val="1032"/>
        <w:ind w:firstLine="560"/>
        <w:spacing w:line="360" w:lineRule="auto"/>
        <w:rPr>
          <w:rFonts w:hint="eastAsia" w:ascii="宋体" w:hAnsi="宋体" w:eastAsia="宋体" w:cs="宋体"/>
          <w:color w:val="auto"/>
          <w:sz w:val="28"/>
          <w:szCs w:val="24"/>
          <w:highlight w:val="none"/>
        </w:rPr>
      </w:pPr>
      <w:r>
        <w:rPr>
          <w:rFonts w:hint="eastAsia" w:ascii="宋体" w:hAnsi="宋体" w:eastAsia="宋体" w:cs="宋体"/>
          <w:color w:val="auto"/>
          <w:sz w:val="28"/>
          <w:szCs w:val="24"/>
          <w:highlight w:val="none"/>
        </w:rPr>
        <w:t xml:space="preserve">投标人（公章）：</w:t>
      </w:r>
      <w:r>
        <w:rPr>
          <w:rFonts w:hint="eastAsia" w:ascii="宋体" w:hAnsi="宋体" w:eastAsia="宋体" w:cs="宋体"/>
          <w:b/>
          <w:color w:val="auto"/>
          <w:sz w:val="24"/>
          <w:highlight w:val="none"/>
          <w:u w:val="single"/>
        </w:rPr>
        <w:t xml:space="preserve">××</w:t>
      </w:r>
      <w:r/>
    </w:p>
    <w:p>
      <w:pPr>
        <w:pStyle w:val="1032"/>
        <w:ind w:firstLine="560"/>
        <w:spacing w:line="360" w:lineRule="auto"/>
        <w:rPr>
          <w:rFonts w:hint="eastAsia" w:ascii="宋体" w:hAnsi="宋体" w:eastAsia="宋体" w:cs="宋体"/>
          <w:color w:val="auto"/>
          <w:sz w:val="28"/>
          <w:szCs w:val="24"/>
          <w:highlight w:val="none"/>
        </w:rPr>
      </w:pPr>
      <w:r>
        <w:rPr>
          <w:rFonts w:hint="eastAsia" w:ascii="宋体" w:hAnsi="宋体" w:eastAsia="宋体" w:cs="宋体"/>
          <w:color w:val="auto"/>
          <w:sz w:val="28"/>
          <w:highlight w:val="none"/>
        </w:rPr>
        <w:t xml:space="preserve">法定代表人签字或盖章</w:t>
      </w:r>
      <w:r>
        <w:rPr>
          <w:rFonts w:hint="eastAsia" w:ascii="宋体" w:hAnsi="宋体" w:eastAsia="宋体" w:cs="宋体"/>
          <w:color w:val="auto"/>
          <w:sz w:val="28"/>
          <w:szCs w:val="24"/>
          <w:highlight w:val="none"/>
        </w:rPr>
        <w:t xml:space="preserve">： </w:t>
      </w:r>
      <w:r>
        <w:rPr>
          <w:rFonts w:hint="eastAsia" w:ascii="宋体" w:hAnsi="宋体" w:eastAsia="宋体" w:cs="宋体"/>
          <w:b/>
          <w:color w:val="auto"/>
          <w:sz w:val="24"/>
          <w:highlight w:val="none"/>
          <w:u w:val="single"/>
        </w:rPr>
        <w:t xml:space="preserve">××</w:t>
      </w:r>
      <w:r/>
    </w:p>
    <w:p>
      <w:pPr>
        <w:pStyle w:val="1032"/>
        <w:ind w:right="1060" w:firstLine="560"/>
        <w:jc w:val="right"/>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highlight w:val="none"/>
        </w:rPr>
        <w:t xml:space="preserve">日期： </w:t>
      </w:r>
      <w:r>
        <w:rPr>
          <w:rFonts w:hint="eastAsia" w:ascii="宋体" w:hAnsi="宋体" w:eastAsia="宋体" w:cs="宋体"/>
          <w:b/>
          <w:color w:val="auto"/>
          <w:sz w:val="24"/>
          <w:highlight w:val="none"/>
          <w:u w:val="single"/>
        </w:rPr>
        <w:t xml:space="preserve">××××</w:t>
      </w:r>
      <w:r>
        <w:rPr>
          <w:rFonts w:hint="eastAsia" w:ascii="宋体" w:hAnsi="宋体" w:eastAsia="宋体" w:cs="宋体"/>
          <w:color w:val="auto"/>
          <w:sz w:val="28"/>
          <w:highlight w:val="none"/>
        </w:rPr>
        <w:t xml:space="preserve">年</w:t>
      </w:r>
      <w:r>
        <w:rPr>
          <w:rFonts w:hint="eastAsia" w:ascii="宋体" w:hAnsi="宋体" w:eastAsia="宋体" w:cs="宋体"/>
          <w:b/>
          <w:color w:val="auto"/>
          <w:sz w:val="24"/>
          <w:highlight w:val="none"/>
          <w:u w:val="single"/>
        </w:rPr>
        <w:t xml:space="preserve">××</w:t>
      </w:r>
      <w:r>
        <w:rPr>
          <w:rFonts w:hint="eastAsia" w:ascii="宋体" w:hAnsi="宋体" w:eastAsia="宋体" w:cs="宋体"/>
          <w:color w:val="auto"/>
          <w:sz w:val="28"/>
          <w:highlight w:val="none"/>
        </w:rPr>
        <w:t xml:space="preserve">月</w:t>
      </w:r>
      <w:r>
        <w:rPr>
          <w:rFonts w:hint="eastAsia" w:ascii="宋体" w:hAnsi="宋体" w:eastAsia="宋体" w:cs="宋体"/>
          <w:b/>
          <w:color w:val="auto"/>
          <w:sz w:val="24"/>
          <w:highlight w:val="none"/>
          <w:u w:val="single"/>
        </w:rPr>
        <w:t xml:space="preserve">××</w:t>
      </w:r>
      <w:r>
        <w:rPr>
          <w:rFonts w:hint="eastAsia" w:ascii="宋体" w:hAnsi="宋体" w:eastAsia="宋体" w:cs="宋体"/>
          <w:color w:val="auto"/>
          <w:sz w:val="28"/>
          <w:highlight w:val="none"/>
        </w:rPr>
        <w:t xml:space="preserve">日</w:t>
      </w:r>
      <w:r/>
    </w:p>
    <w:p>
      <w:pPr>
        <w:pStyle w:val="1021"/>
        <w:ind w:firstLine="883"/>
        <w:spacing w:line="360" w:lineRule="auto"/>
        <w:rPr>
          <w:rFonts w:hint="eastAsia" w:ascii="宋体" w:hAnsi="宋体" w:eastAsia="宋体" w:cs="宋体"/>
          <w:color w:val="auto"/>
          <w:sz w:val="32"/>
          <w:highlight w:val="none"/>
        </w:rPr>
      </w:pPr>
      <w:r>
        <w:rPr>
          <w:rFonts w:hint="eastAsia" w:ascii="宋体" w:hAnsi="宋体" w:eastAsia="宋体" w:cs="宋体"/>
          <w:color w:val="auto"/>
          <w:highlight w:val="none"/>
        </w:rPr>
        <w:br w:type="page" w:clear="all"/>
      </w:r>
      <w:r>
        <w:rPr>
          <w:rFonts w:hint="eastAsia" w:ascii="宋体" w:hAnsi="宋体" w:eastAsia="宋体" w:cs="宋体"/>
          <w:color w:val="auto"/>
          <w:sz w:val="32"/>
          <w:highlight w:val="none"/>
        </w:rPr>
        <w:t xml:space="preserve">（二）独立承担民事责任的能力</w:t>
      </w:r>
      <w:r/>
    </w:p>
    <w:p>
      <w:pPr>
        <w:ind w:firstLine="560"/>
        <w:jc w:val="cente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560"/>
        <w:jc w:val="left"/>
        <w:spacing w:line="360" w:lineRule="auto"/>
        <w:rPr>
          <w:rFonts w:hint="eastAsia" w:ascii="宋体" w:hAnsi="宋体" w:eastAsia="宋体" w:cs="宋体"/>
          <w:b/>
          <w:color w:val="auto"/>
          <w:sz w:val="32"/>
          <w:szCs w:val="20"/>
          <w:highlight w:val="none"/>
          <w:lang w:val="en-US" w:eastAsia="zh-CN" w:bidi="ar-SA"/>
        </w:rPr>
      </w:pPr>
      <w:r>
        <w:rPr>
          <w:rFonts w:hint="eastAsia" w:ascii="宋体" w:hAnsi="宋体" w:eastAsia="宋体" w:cs="宋体"/>
          <w:color w:val="auto"/>
          <w:sz w:val="28"/>
          <w:szCs w:val="28"/>
          <w:highlight w:val="none"/>
        </w:rPr>
        <w:t xml:space="preserve">提供法人或者其他组织的营业执照等证明文件复印件；投标人为自然人的，提供其身份证复印件</w:t>
      </w:r>
      <w:r>
        <w:rPr>
          <w:rFonts w:hint="eastAsia" w:ascii="宋体" w:hAnsi="宋体" w:cs="宋体"/>
          <w:color w:val="auto"/>
          <w:sz w:val="28"/>
          <w:szCs w:val="28"/>
          <w:highlight w:val="none"/>
          <w:lang w:eastAsia="zh-CN"/>
        </w:rPr>
        <w:t xml:space="preserve">。</w:t>
      </w:r>
      <w:r>
        <w:rPr>
          <w:rFonts w:hint="eastAsia" w:ascii="宋体" w:hAnsi="宋体" w:eastAsia="宋体" w:cs="宋体"/>
          <w:color w:val="auto"/>
          <w:sz w:val="28"/>
          <w:szCs w:val="28"/>
          <w:highlight w:val="none"/>
        </w:rPr>
        <w:br w:type="page" w:clear="all"/>
      </w:r>
      <w:r>
        <w:rPr>
          <w:rFonts w:hint="eastAsia" w:ascii="宋体" w:hAnsi="宋体" w:eastAsia="宋体" w:cs="宋体"/>
          <w:b/>
          <w:color w:val="auto"/>
          <w:sz w:val="32"/>
          <w:szCs w:val="32"/>
          <w:highlight w:val="none"/>
          <w:lang w:val="en-US" w:eastAsia="zh-CN" w:bidi="ar-SA"/>
        </w:rPr>
        <w:t xml:space="preserve">（三）良好的商业信誉和健全的财务会计制度</w:t>
      </w:r>
      <w:r/>
    </w:p>
    <w:p>
      <w:pPr>
        <w:ind w:firstLine="56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56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提供</w:t>
      </w:r>
      <w:r>
        <w:rPr>
          <w:rFonts w:hint="eastAsia" w:ascii="宋体" w:hAnsi="宋体" w:eastAsia="宋体" w:cs="宋体"/>
          <w:color w:val="auto"/>
          <w:sz w:val="28"/>
          <w:szCs w:val="28"/>
          <w:highlight w:val="none"/>
          <w:lang w:val="en-US" w:eastAsia="zh-CN"/>
        </w:rPr>
        <w:t xml:space="preserve">2024</w:t>
      </w:r>
      <w:r>
        <w:rPr>
          <w:rFonts w:hint="eastAsia" w:ascii="宋体" w:hAnsi="宋体" w:eastAsia="宋体" w:cs="宋体"/>
          <w:color w:val="auto"/>
          <w:sz w:val="28"/>
          <w:szCs w:val="28"/>
          <w:highlight w:val="none"/>
        </w:rPr>
        <w:t xml:space="preserve">年</w:t>
      </w:r>
      <w:r>
        <w:rPr>
          <w:rFonts w:hint="eastAsia" w:ascii="宋体" w:hAnsi="宋体" w:cs="宋体"/>
          <w:color w:val="auto"/>
          <w:sz w:val="28"/>
          <w:szCs w:val="28"/>
          <w:highlight w:val="none"/>
          <w:lang w:eastAsia="zh-CN"/>
        </w:rPr>
        <w:t xml:space="preserve">或</w:t>
      </w:r>
      <w:r>
        <w:rPr>
          <w:rFonts w:hint="eastAsia" w:ascii="宋体" w:hAnsi="宋体" w:cs="宋体"/>
          <w:color w:val="auto"/>
          <w:sz w:val="28"/>
          <w:szCs w:val="28"/>
          <w:highlight w:val="none"/>
          <w:lang w:val="en-US" w:eastAsia="zh-CN"/>
        </w:rPr>
        <w:t xml:space="preserve">2025年</w:t>
      </w:r>
      <w:r>
        <w:rPr>
          <w:rFonts w:hint="eastAsia" w:ascii="宋体" w:hAnsi="宋体" w:eastAsia="宋体" w:cs="宋体"/>
          <w:color w:val="auto"/>
          <w:sz w:val="28"/>
          <w:szCs w:val="28"/>
          <w:highlight w:val="none"/>
        </w:rPr>
        <w:t xml:space="preserve">度财务报告、成立不满一年的提供至少一个月财务报告，或银行出具的资信证明，或财政部门认可的政府采购专业担保机构出具的投标担保函等，或提供</w:t>
      </w:r>
      <w:bookmarkStart w:id="239" w:name="_Hlk131494070"/>
      <w:r>
        <w:rPr>
          <w:rFonts w:hint="eastAsia" w:ascii="宋体" w:hAnsi="宋体" w:eastAsia="宋体" w:cs="宋体"/>
          <w:color w:val="auto"/>
          <w:sz w:val="28"/>
          <w:szCs w:val="28"/>
          <w:highlight w:val="none"/>
        </w:rPr>
        <w:t xml:space="preserve">资格承诺函</w:t>
      </w:r>
      <w:bookmarkEnd w:id="239"/>
      <w:r/>
      <w:bookmarkStart w:id="240" w:name="_Hlk131494108"/>
      <w:r>
        <w:rPr>
          <w:rFonts w:hint="eastAsia" w:ascii="宋体" w:hAnsi="宋体" w:eastAsia="宋体" w:cs="宋体"/>
          <w:color w:val="auto"/>
          <w:sz w:val="28"/>
          <w:szCs w:val="28"/>
          <w:highlight w:val="none"/>
        </w:rPr>
        <w:t xml:space="preserve">）</w:t>
      </w:r>
      <w:bookmarkEnd w:id="240"/>
      <w:r>
        <w:rPr>
          <w:rFonts w:hint="eastAsia" w:ascii="宋体" w:hAnsi="宋体" w:eastAsia="宋体" w:cs="宋体"/>
          <w:color w:val="auto"/>
          <w:sz w:val="28"/>
          <w:szCs w:val="28"/>
          <w:highlight w:val="none"/>
        </w:rPr>
        <w:t xml:space="preserve">。</w:t>
      </w:r>
      <w:r/>
    </w:p>
    <w:p>
      <w:pPr>
        <w:rPr>
          <w:rFonts w:hint="eastAsia" w:ascii="宋体" w:hAnsi="宋体" w:eastAsia="宋体" w:cs="宋体"/>
          <w:color w:val="auto"/>
          <w:sz w:val="32"/>
          <w:highlight w:val="none"/>
        </w:rPr>
      </w:pPr>
      <w:r>
        <w:rPr>
          <w:rFonts w:hint="eastAsia" w:ascii="宋体" w:hAnsi="宋体" w:eastAsia="宋体" w:cs="宋体"/>
          <w:color w:val="auto"/>
          <w:sz w:val="32"/>
          <w:highlight w:val="none"/>
        </w:rPr>
        <w:br w:type="page" w:clear="all"/>
      </w:r>
      <w:r/>
    </w:p>
    <w:p>
      <w:pPr>
        <w:pStyle w:val="1021"/>
        <w:numPr>
          <w:ilvl w:val="0"/>
          <w:numId w:val="4"/>
        </w:numPr>
        <w:ind w:firstLine="643"/>
        <w:spacing w:line="360" w:lineRule="auto"/>
        <w:rPr>
          <w:rFonts w:hint="eastAsia" w:ascii="宋体" w:hAnsi="宋体" w:eastAsia="宋体" w:cs="宋体"/>
          <w:color w:val="auto"/>
          <w:sz w:val="32"/>
          <w:highlight w:val="none"/>
        </w:rPr>
      </w:pPr>
      <w:r>
        <w:rPr>
          <w:rFonts w:hint="eastAsia" w:ascii="宋体" w:hAnsi="宋体" w:eastAsia="宋体" w:cs="宋体"/>
          <w:color w:val="auto"/>
          <w:sz w:val="32"/>
          <w:highlight w:val="none"/>
        </w:rPr>
        <w:t xml:space="preserve">履行合同所必需的设备和专业技术能力</w:t>
      </w:r>
      <w:r/>
    </w:p>
    <w:p>
      <w:pPr>
        <w:pStyle w:val="1033"/>
        <w:jc w:val="cente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具备履行合同所必需的设备和专业技术能力的书面声明</w:t>
      </w:r>
      <w:r/>
    </w:p>
    <w:p>
      <w:pPr>
        <w:pStyle w:val="1033"/>
        <w:ind w:firstLine="48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Style w:val="1033"/>
        <w:ind w:firstLine="48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我单位郑重声明：我单位具备履行本项采购合同所必需的设备和专业技术能力，为履行本项采购合同我公司具备如下主要设备和主要专业技术能力： </w:t>
      </w:r>
      <w:r/>
    </w:p>
    <w:p>
      <w:pPr>
        <w:pStyle w:val="1033"/>
        <w:ind w:firstLine="48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主要设备有： </w:t>
      </w:r>
      <w:r/>
    </w:p>
    <w:p>
      <w:pPr>
        <w:pStyle w:val="1033"/>
        <w:ind w:firstLine="48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主要专业技术能力有：</w:t>
      </w:r>
      <w:r/>
    </w:p>
    <w:p>
      <w:pPr>
        <w:pStyle w:val="1033"/>
        <w:ind w:firstLine="48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Style w:val="1033"/>
        <w:ind w:firstLine="48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Style w:val="1033"/>
        <w:ind w:firstLine="480"/>
        <w:jc w:val="right"/>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供应商名称(公章)： </w:t>
      </w:r>
      <w:r/>
    </w:p>
    <w:p>
      <w:pPr>
        <w:pStyle w:val="1033"/>
        <w:ind w:firstLine="720"/>
        <w:jc w:val="center"/>
        <w:spacing w:line="360" w:lineRule="auto"/>
        <w:rPr>
          <w:rFonts w:hint="eastAsia" w:ascii="宋体" w:hAnsi="宋体" w:eastAsia="宋体" w:cs="宋体"/>
          <w:color w:val="auto"/>
          <w:sz w:val="28"/>
          <w:szCs w:val="24"/>
          <w:highlight w:val="none"/>
          <w:u w:val="single"/>
        </w:rPr>
      </w:pPr>
      <w:r>
        <w:rPr>
          <w:rFonts w:hint="eastAsia" w:ascii="宋体" w:hAnsi="宋体" w:eastAsia="宋体" w:cs="宋体"/>
          <w:color w:val="auto"/>
          <w:sz w:val="28"/>
          <w:szCs w:val="28"/>
          <w:highlight w:val="none"/>
        </w:rPr>
        <w:t xml:space="preserve">                                            日期： 年 月 日</w:t>
      </w:r>
      <w:r/>
    </w:p>
    <w:p>
      <w:pPr>
        <w:jc w:val="center"/>
        <w:widowControl/>
        <w:rPr>
          <w:rFonts w:hint="eastAsia" w:ascii="宋体" w:hAnsi="宋体" w:eastAsia="宋体" w:cs="宋体"/>
          <w:b/>
          <w:color w:val="auto"/>
          <w:sz w:val="32"/>
          <w:szCs w:val="20"/>
          <w:highlight w:val="none"/>
          <w:lang w:val="en-US" w:eastAsia="zh-CN" w:bidi="ar-SA"/>
        </w:rPr>
      </w:pPr>
      <w:r>
        <w:rPr>
          <w:rFonts w:hint="eastAsia" w:ascii="宋体" w:hAnsi="宋体" w:eastAsia="宋体" w:cs="宋体"/>
          <w:b/>
          <w:color w:val="auto"/>
          <w:sz w:val="32"/>
          <w:szCs w:val="20"/>
          <w:highlight w:val="none"/>
        </w:rPr>
        <w:br w:type="page" w:clear="all"/>
      </w:r>
      <w:r>
        <w:rPr>
          <w:rFonts w:hint="eastAsia" w:ascii="宋体" w:hAnsi="宋体" w:eastAsia="宋体" w:cs="宋体"/>
          <w:b/>
          <w:color w:val="auto"/>
          <w:sz w:val="32"/>
          <w:szCs w:val="20"/>
          <w:highlight w:val="none"/>
          <w:lang w:val="en-US" w:eastAsia="zh-CN" w:bidi="ar-SA"/>
        </w:rPr>
        <w:t xml:space="preserve">（五）依法缴纳税收和社会保障资金的良好记录</w:t>
      </w:r>
      <w:r/>
    </w:p>
    <w:p>
      <w:pPr>
        <w:pStyle w:val="1021"/>
        <w:ind w:firstLine="560"/>
        <w:jc w:val="both"/>
        <w:spacing w:line="360"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提供参加本次政府采购活动前半年内至少一个月依法缴纳税收和社会保险的凭据，或提供资格承诺函。</w:t>
      </w:r>
      <w:r/>
    </w:p>
    <w:p>
      <w:pPr>
        <w:pStyle w:val="1021"/>
        <w:ind w:firstLine="560"/>
        <w:spacing w:line="360"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br w:type="page" w:clear="all"/>
      </w:r>
      <w:r/>
    </w:p>
    <w:p>
      <w:pPr>
        <w:pStyle w:val="1022"/>
        <w:ind w:firstLine="643"/>
        <w:jc w:val="center"/>
        <w:keepLines w:val="0"/>
        <w:keepNext w:val="0"/>
        <w:spacing w:before="0" w:after="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w:t>
      </w:r>
      <w:r>
        <w:rPr>
          <w:rFonts w:hint="eastAsia" w:ascii="宋体" w:hAnsi="宋体" w:eastAsia="宋体" w:cs="宋体"/>
          <w:color w:val="auto"/>
          <w:highlight w:val="none"/>
          <w:lang w:val="en-US" w:eastAsia="zh-CN"/>
        </w:rPr>
        <w:t xml:space="preserve">六</w:t>
      </w:r>
      <w:r>
        <w:rPr>
          <w:rFonts w:hint="eastAsia" w:ascii="宋体" w:hAnsi="宋体" w:eastAsia="宋体" w:cs="宋体"/>
          <w:color w:val="auto"/>
          <w:highlight w:val="none"/>
        </w:rPr>
        <w:t xml:space="preserve">）参加政府采购活动前三年内，在经营活动中没有重大违法记录</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60" w:lineRule="auto"/>
        <w:rPr>
          <w:rFonts w:hint="eastAsia" w:ascii="宋体" w:hAnsi="宋体" w:eastAsia="宋体" w:cs="宋体"/>
          <w:color w:val="auto"/>
          <w:sz w:val="24"/>
          <w:szCs w:val="28"/>
          <w:highlight w:val="none"/>
        </w:rPr>
      </w:pPr>
      <w:r>
        <w:rPr>
          <w:rFonts w:hint="eastAsia" w:ascii="宋体" w:hAnsi="宋体" w:eastAsia="宋体" w:cs="宋体"/>
          <w:color w:val="auto"/>
          <w:sz w:val="24"/>
          <w:highlight w:val="none"/>
        </w:rPr>
        <w:t xml:space="preserve">（1）投标函或资格承诺函。</w:t>
      </w:r>
      <w:r/>
    </w:p>
    <w:p>
      <w:pPr>
        <w:pStyle w:val="1022"/>
        <w:jc w:val="both"/>
        <w:keepLines w:val="0"/>
        <w:keepNext w:val="0"/>
        <w:spacing w:before="0" w:after="0" w:line="360" w:lineRule="auto"/>
        <w:rPr>
          <w:rFonts w:hint="eastAsia"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en-US" w:bidi="ar-SA"/>
        </w:rPr>
        <w:t xml:space="preserve">（2）“信用中国”网站（www.creditchina.gov.cn）、中国政府采购网（www.ccgp.gov.cn）的查询结果未列入失信被执行人名单、重大税收违法案件当事人名单、政府采购严重违法失信行为名单，以现场查询为准。</w:t>
      </w:r>
      <w:r/>
    </w:p>
    <w:p>
      <w:pPr>
        <w:pStyle w:val="1022"/>
        <w:ind w:firstLine="643"/>
        <w:jc w:val="center"/>
        <w:keepLines w:val="0"/>
        <w:keepNext w:val="0"/>
        <w:spacing w:before="0" w:after="0"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22"/>
        <w:ind w:firstLine="643"/>
        <w:jc w:val="center"/>
        <w:keepLines w:val="0"/>
        <w:keepNext w:val="0"/>
        <w:spacing w:before="0" w:after="0"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22"/>
        <w:ind w:firstLine="643"/>
        <w:jc w:val="center"/>
        <w:keepLines w:val="0"/>
        <w:keepNext w:val="0"/>
        <w:spacing w:before="0" w:after="0"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22"/>
        <w:ind w:firstLine="643"/>
        <w:jc w:val="center"/>
        <w:keepLines w:val="0"/>
        <w:keepNext w:val="0"/>
        <w:spacing w:before="0" w:after="0"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22"/>
        <w:ind w:firstLine="643"/>
        <w:jc w:val="center"/>
        <w:keepLines w:val="0"/>
        <w:keepNext w:val="0"/>
        <w:spacing w:before="0" w:after="0"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22"/>
        <w:ind w:firstLine="643"/>
        <w:jc w:val="center"/>
        <w:keepLines w:val="0"/>
        <w:keepNext w:val="0"/>
        <w:spacing w:before="0" w:after="0"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22"/>
        <w:ind w:firstLine="643"/>
        <w:jc w:val="center"/>
        <w:keepLines w:val="0"/>
        <w:keepNext w:val="0"/>
        <w:spacing w:before="0" w:after="0"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22"/>
        <w:ind w:firstLine="643"/>
        <w:jc w:val="center"/>
        <w:keepLines w:val="0"/>
        <w:keepNext w:val="0"/>
        <w:spacing w:before="0" w:after="0"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22"/>
        <w:ind w:firstLine="643"/>
        <w:jc w:val="center"/>
        <w:keepLines w:val="0"/>
        <w:keepNext w:val="0"/>
        <w:spacing w:before="0" w:after="0"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22"/>
        <w:ind w:firstLine="643"/>
        <w:jc w:val="center"/>
        <w:keepLines w:val="0"/>
        <w:keepNext w:val="0"/>
        <w:spacing w:before="0" w:after="0"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22"/>
        <w:ind w:firstLine="643"/>
        <w:jc w:val="center"/>
        <w:keepLines w:val="0"/>
        <w:keepNext w:val="0"/>
        <w:spacing w:before="0" w:after="0"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22"/>
        <w:ind w:firstLine="643"/>
        <w:jc w:val="center"/>
        <w:keepLines w:val="0"/>
        <w:keepNext w:val="0"/>
        <w:spacing w:before="0" w:after="0"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22"/>
        <w:ind w:firstLine="643"/>
        <w:jc w:val="center"/>
        <w:keepLines w:val="0"/>
        <w:keepNext w:val="0"/>
        <w:spacing w:before="0" w:after="0"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22"/>
        <w:ind w:firstLine="643"/>
        <w:jc w:val="center"/>
        <w:keepLines w:val="0"/>
        <w:keepNext w:val="0"/>
        <w:spacing w:before="0" w:after="0"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22"/>
        <w:ind w:firstLine="643"/>
        <w:jc w:val="center"/>
        <w:keepLines w:val="0"/>
        <w:keepNext w:val="0"/>
        <w:spacing w:before="0" w:after="0"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22"/>
        <w:jc w:val="both"/>
        <w:keepLines w:val="0"/>
        <w:keepNext w:val="0"/>
        <w:spacing w:before="0" w:after="0"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22"/>
        <w:ind w:firstLine="643"/>
        <w:jc w:val="center"/>
        <w:keepLines w:val="0"/>
        <w:keepNext w:val="0"/>
        <w:spacing w:before="0" w:after="0"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22"/>
        <w:ind w:firstLine="643"/>
        <w:jc w:val="center"/>
        <w:keepLines w:val="0"/>
        <w:keepNext w:val="0"/>
        <w:spacing w:before="0" w:after="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w:t>
      </w:r>
      <w:r>
        <w:rPr>
          <w:rFonts w:hint="eastAsia" w:ascii="宋体" w:hAnsi="宋体" w:eastAsia="宋体" w:cs="宋体"/>
          <w:color w:val="auto"/>
          <w:highlight w:val="none"/>
          <w:lang w:val="en-US" w:eastAsia="zh-CN"/>
        </w:rPr>
        <w:t xml:space="preserve">七</w:t>
      </w:r>
      <w:r>
        <w:rPr>
          <w:rFonts w:hint="eastAsia" w:ascii="宋体" w:hAnsi="宋体" w:eastAsia="宋体" w:cs="宋体"/>
          <w:color w:val="auto"/>
          <w:highlight w:val="none"/>
        </w:rPr>
        <w:t xml:space="preserve">）落实政府采购政策需满足的资格要求</w:t>
      </w:r>
      <w:r/>
    </w:p>
    <w:p>
      <w:pPr>
        <w:pStyle w:val="1022"/>
        <w:ind w:firstLine="643"/>
        <w:jc w:val="center"/>
        <w:keepLines w:val="0"/>
        <w:keepNext w:val="0"/>
        <w:spacing w:before="0" w:after="0" w:line="36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1022"/>
        <w:ind w:firstLine="643"/>
        <w:jc w:val="center"/>
        <w:keepLines w:val="0"/>
        <w:keepNext w:val="0"/>
        <w:spacing w:before="0" w:after="0" w:line="36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中小企业声明函（货物类）</w:t>
      </w:r>
      <w:r/>
    </w:p>
    <w:p>
      <w:pPr>
        <w:pStyle w:val="1023"/>
        <w:ind w:firstLine="584"/>
        <w:jc w:val="left"/>
        <w:spacing w:line="560" w:lineRule="exact"/>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 xml:space="preserve">本公司（联合体）郑重声明，根据《政府采购促进中小企业发展管理办法》（财库﹝2020﹞46 号）的规定，本公司（联合体）参加</w:t>
      </w:r>
      <w:r>
        <w:rPr>
          <w:rFonts w:hint="eastAsia" w:ascii="宋体" w:hAnsi="宋体" w:eastAsia="宋体" w:cs="宋体"/>
          <w:color w:val="auto"/>
          <w:spacing w:val="6"/>
          <w:sz w:val="24"/>
          <w:szCs w:val="24"/>
          <w:highlight w:val="none"/>
          <w:u w:val="single"/>
        </w:rPr>
        <w:t xml:space="preserve">（单位名称）</w:t>
      </w:r>
      <w:r>
        <w:rPr>
          <w:rFonts w:hint="eastAsia" w:ascii="宋体" w:hAnsi="宋体" w:eastAsia="宋体" w:cs="宋体"/>
          <w:color w:val="auto"/>
          <w:spacing w:val="6"/>
          <w:sz w:val="24"/>
          <w:szCs w:val="24"/>
          <w:highlight w:val="none"/>
        </w:rPr>
        <w:t xml:space="preserve">的</w:t>
      </w:r>
      <w:r>
        <w:rPr>
          <w:rFonts w:hint="eastAsia" w:ascii="宋体" w:hAnsi="宋体" w:eastAsia="宋体" w:cs="宋体"/>
          <w:color w:val="auto"/>
          <w:spacing w:val="6"/>
          <w:sz w:val="24"/>
          <w:szCs w:val="24"/>
          <w:highlight w:val="none"/>
          <w:u w:val="single"/>
        </w:rPr>
        <w:t xml:space="preserve">（项目名称）</w:t>
      </w:r>
      <w:r>
        <w:rPr>
          <w:rFonts w:hint="eastAsia" w:ascii="宋体" w:hAnsi="宋体" w:eastAsia="宋体" w:cs="宋体"/>
          <w:color w:val="auto"/>
          <w:spacing w:val="6"/>
          <w:sz w:val="24"/>
          <w:szCs w:val="24"/>
          <w:highlight w:val="none"/>
        </w:rPr>
        <w:t xml:space="preserve">采购活动，提供的货物全部由符合政策要求的中小企业制造。相关企业（含联合体中的中小企业、签订分包意向协议的中小企业）的具体情况如下：  </w:t>
      </w:r>
      <w:r/>
    </w:p>
    <w:p>
      <w:pPr>
        <w:pStyle w:val="1023"/>
        <w:ind w:firstLine="584"/>
        <w:jc w:val="left"/>
        <w:spacing w:line="560" w:lineRule="exact"/>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 xml:space="preserve">1.</w:t>
      </w:r>
      <w:r>
        <w:rPr>
          <w:rFonts w:hint="eastAsia" w:ascii="宋体" w:hAnsi="宋体" w:eastAsia="宋体" w:cs="宋体"/>
          <w:color w:val="auto"/>
          <w:spacing w:val="6"/>
          <w:sz w:val="24"/>
          <w:szCs w:val="24"/>
          <w:highlight w:val="none"/>
          <w:u w:val="single"/>
        </w:rPr>
        <w:t xml:space="preserve">（标的名称）</w:t>
      </w:r>
      <w:r>
        <w:rPr>
          <w:rFonts w:hint="eastAsia" w:ascii="宋体" w:hAnsi="宋体" w:eastAsia="宋体" w:cs="宋体"/>
          <w:color w:val="auto"/>
          <w:spacing w:val="6"/>
          <w:sz w:val="24"/>
          <w:szCs w:val="24"/>
          <w:highlight w:val="none"/>
        </w:rPr>
        <w:t xml:space="preserve">，属于</w:t>
      </w:r>
      <w:r>
        <w:rPr>
          <w:rFonts w:hint="eastAsia" w:ascii="宋体" w:hAnsi="宋体" w:eastAsia="宋体" w:cs="宋体"/>
          <w:color w:val="auto"/>
          <w:spacing w:val="6"/>
          <w:sz w:val="24"/>
          <w:szCs w:val="24"/>
          <w:highlight w:val="none"/>
          <w:u w:val="single"/>
        </w:rPr>
        <w:t xml:space="preserve">（采购文件中明确的所属行业）</w:t>
      </w:r>
      <w:r>
        <w:rPr>
          <w:rFonts w:hint="eastAsia" w:ascii="宋体" w:hAnsi="宋体" w:eastAsia="宋体" w:cs="宋体"/>
          <w:color w:val="auto"/>
          <w:spacing w:val="6"/>
          <w:sz w:val="24"/>
          <w:szCs w:val="24"/>
          <w:highlight w:val="none"/>
        </w:rPr>
        <w:t xml:space="preserve">行业；制造商为</w:t>
      </w:r>
      <w:r>
        <w:rPr>
          <w:rFonts w:hint="eastAsia" w:ascii="宋体" w:hAnsi="宋体" w:eastAsia="宋体" w:cs="宋体"/>
          <w:color w:val="auto"/>
          <w:spacing w:val="6"/>
          <w:sz w:val="24"/>
          <w:szCs w:val="24"/>
          <w:highlight w:val="none"/>
          <w:u w:val="single"/>
        </w:rPr>
        <w:t xml:space="preserve">（企业名称）</w:t>
      </w:r>
      <w:r>
        <w:rPr>
          <w:rFonts w:hint="eastAsia" w:ascii="宋体" w:hAnsi="宋体" w:eastAsia="宋体" w:cs="宋体"/>
          <w:color w:val="auto"/>
          <w:spacing w:val="6"/>
          <w:sz w:val="24"/>
          <w:szCs w:val="24"/>
          <w:highlight w:val="none"/>
        </w:rPr>
        <w:t xml:space="preserve">，从业人员</w:t>
      </w:r>
      <w:r>
        <w:rPr>
          <w:rFonts w:hint="eastAsia" w:ascii="宋体" w:hAnsi="宋体" w:cs="宋体"/>
          <w:color w:val="auto"/>
          <w:spacing w:val="6"/>
          <w:sz w:val="24"/>
          <w:szCs w:val="24"/>
          <w:highlight w:val="none"/>
          <w:u w:val="single"/>
          <w:lang w:val="en-US" w:eastAsia="zh-CN"/>
        </w:rPr>
        <w:t xml:space="preserve">  </w:t>
      </w:r>
      <w:r>
        <w:rPr>
          <w:rFonts w:hint="eastAsia" w:ascii="宋体" w:hAnsi="宋体" w:eastAsia="宋体" w:cs="宋体"/>
          <w:color w:val="auto"/>
          <w:spacing w:val="6"/>
          <w:sz w:val="24"/>
          <w:szCs w:val="24"/>
          <w:highlight w:val="none"/>
          <w:u w:val="single"/>
        </w:rPr>
        <w:t xml:space="preserve">人</w:t>
      </w:r>
      <w:r>
        <w:rPr>
          <w:rFonts w:hint="eastAsia" w:ascii="宋体" w:hAnsi="宋体" w:eastAsia="宋体" w:cs="宋体"/>
          <w:color w:val="auto"/>
          <w:spacing w:val="6"/>
          <w:sz w:val="24"/>
          <w:szCs w:val="24"/>
          <w:highlight w:val="none"/>
        </w:rPr>
        <w:t xml:space="preserve">，营业收入为</w:t>
      </w:r>
      <w:r>
        <w:rPr>
          <w:rFonts w:hint="eastAsia" w:ascii="宋体" w:hAnsi="宋体" w:cs="宋体"/>
          <w:color w:val="auto"/>
          <w:spacing w:val="6"/>
          <w:sz w:val="24"/>
          <w:szCs w:val="24"/>
          <w:highlight w:val="none"/>
          <w:u w:val="single"/>
          <w:lang w:val="en-US" w:eastAsia="zh-CN"/>
        </w:rPr>
        <w:t xml:space="preserve">   </w:t>
      </w:r>
      <w:r>
        <w:rPr>
          <w:rFonts w:hint="eastAsia" w:ascii="宋体" w:hAnsi="宋体" w:eastAsia="宋体" w:cs="宋体"/>
          <w:color w:val="auto"/>
          <w:spacing w:val="6"/>
          <w:sz w:val="24"/>
          <w:szCs w:val="24"/>
          <w:highlight w:val="none"/>
          <w:u w:val="single"/>
        </w:rPr>
        <w:t xml:space="preserve">万元</w:t>
      </w:r>
      <w:r>
        <w:rPr>
          <w:rFonts w:hint="eastAsia" w:ascii="宋体" w:hAnsi="宋体" w:eastAsia="宋体" w:cs="宋体"/>
          <w:color w:val="auto"/>
          <w:spacing w:val="6"/>
          <w:sz w:val="24"/>
          <w:szCs w:val="24"/>
          <w:highlight w:val="none"/>
        </w:rPr>
        <w:t xml:space="preserve">，资产总额</w:t>
      </w:r>
      <w:r>
        <w:rPr>
          <w:rFonts w:hint="eastAsia" w:ascii="宋体" w:hAnsi="宋体" w:eastAsia="宋体" w:cs="宋体"/>
          <w:color w:val="auto"/>
          <w:spacing w:val="6"/>
          <w:sz w:val="24"/>
          <w:szCs w:val="24"/>
          <w:highlight w:val="none"/>
          <w:u w:val="single"/>
        </w:rPr>
        <w:t xml:space="preserve">为</w:t>
      </w:r>
      <w:r>
        <w:rPr>
          <w:rFonts w:hint="eastAsia" w:ascii="宋体" w:hAnsi="宋体" w:cs="宋体"/>
          <w:color w:val="auto"/>
          <w:spacing w:val="6"/>
          <w:sz w:val="24"/>
          <w:szCs w:val="24"/>
          <w:highlight w:val="none"/>
          <w:u w:val="single"/>
          <w:lang w:val="en-US" w:eastAsia="zh-CN"/>
        </w:rPr>
        <w:t xml:space="preserve">   </w:t>
      </w:r>
      <w:r>
        <w:rPr>
          <w:rFonts w:hint="eastAsia" w:ascii="宋体" w:hAnsi="宋体" w:eastAsia="宋体" w:cs="宋体"/>
          <w:color w:val="auto"/>
          <w:spacing w:val="6"/>
          <w:sz w:val="24"/>
          <w:szCs w:val="24"/>
          <w:highlight w:val="none"/>
          <w:u w:val="single"/>
        </w:rPr>
        <w:t xml:space="preserve">万元</w:t>
      </w:r>
      <w:r>
        <w:rPr>
          <w:rFonts w:hint="eastAsia" w:ascii="宋体" w:hAnsi="宋体" w:eastAsia="宋体" w:cs="宋体"/>
          <w:color w:val="auto"/>
          <w:spacing w:val="6"/>
          <w:sz w:val="24"/>
          <w:szCs w:val="24"/>
          <w:highlight w:val="none"/>
        </w:rPr>
        <w:t xml:space="preserve">，属于</w:t>
      </w:r>
      <w:bookmarkStart w:id="241" w:name="_Hlk133157441"/>
      <w:r>
        <w:rPr>
          <w:rFonts w:hint="eastAsia" w:ascii="宋体" w:hAnsi="宋体" w:eastAsia="宋体" w:cs="宋体"/>
          <w:color w:val="auto"/>
          <w:spacing w:val="6"/>
          <w:sz w:val="24"/>
          <w:szCs w:val="24"/>
          <w:highlight w:val="none"/>
          <w:u w:val="single"/>
        </w:rPr>
        <w:t xml:space="preserve">（中型企业、小型企业、微型企业）</w:t>
      </w:r>
      <w:bookmarkEnd w:id="241"/>
      <w:r>
        <w:rPr>
          <w:rFonts w:hint="eastAsia" w:ascii="宋体" w:hAnsi="宋体" w:eastAsia="宋体" w:cs="宋体"/>
          <w:color w:val="auto"/>
          <w:spacing w:val="6"/>
          <w:sz w:val="24"/>
          <w:szCs w:val="24"/>
          <w:highlight w:val="none"/>
        </w:rPr>
        <w:t xml:space="preserve">；  </w:t>
      </w:r>
      <w:r/>
    </w:p>
    <w:p>
      <w:pPr>
        <w:pStyle w:val="1023"/>
        <w:ind w:firstLine="584"/>
        <w:jc w:val="left"/>
        <w:spacing w:line="560" w:lineRule="exact"/>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 xml:space="preserve">2.</w:t>
      </w:r>
      <w:r>
        <w:rPr>
          <w:rFonts w:hint="eastAsia" w:ascii="宋体" w:hAnsi="宋体" w:eastAsia="宋体" w:cs="宋体"/>
          <w:color w:val="auto"/>
          <w:spacing w:val="6"/>
          <w:sz w:val="24"/>
          <w:szCs w:val="24"/>
          <w:highlight w:val="none"/>
          <w:u w:val="single"/>
        </w:rPr>
        <w:t xml:space="preserve">（标的名称）</w:t>
      </w:r>
      <w:r>
        <w:rPr>
          <w:rFonts w:hint="eastAsia" w:ascii="宋体" w:hAnsi="宋体" w:eastAsia="宋体" w:cs="宋体"/>
          <w:color w:val="auto"/>
          <w:spacing w:val="6"/>
          <w:sz w:val="24"/>
          <w:szCs w:val="24"/>
          <w:highlight w:val="none"/>
        </w:rPr>
        <w:t xml:space="preserve">，属于</w:t>
      </w:r>
      <w:r>
        <w:rPr>
          <w:rFonts w:hint="eastAsia" w:ascii="宋体" w:hAnsi="宋体" w:eastAsia="宋体" w:cs="宋体"/>
          <w:color w:val="auto"/>
          <w:spacing w:val="6"/>
          <w:sz w:val="24"/>
          <w:szCs w:val="24"/>
          <w:highlight w:val="none"/>
          <w:u w:val="single"/>
        </w:rPr>
        <w:t xml:space="preserve">（采购文件中明确的所属行业）</w:t>
      </w:r>
      <w:r>
        <w:rPr>
          <w:rFonts w:hint="eastAsia" w:ascii="宋体" w:hAnsi="宋体" w:eastAsia="宋体" w:cs="宋体"/>
          <w:color w:val="auto"/>
          <w:spacing w:val="6"/>
          <w:sz w:val="24"/>
          <w:szCs w:val="24"/>
          <w:highlight w:val="none"/>
        </w:rPr>
        <w:t xml:space="preserve">行业；制造商为</w:t>
      </w:r>
      <w:r>
        <w:rPr>
          <w:rFonts w:hint="eastAsia" w:ascii="宋体" w:hAnsi="宋体" w:eastAsia="宋体" w:cs="宋体"/>
          <w:color w:val="auto"/>
          <w:spacing w:val="6"/>
          <w:sz w:val="24"/>
          <w:szCs w:val="24"/>
          <w:highlight w:val="none"/>
          <w:u w:val="single"/>
        </w:rPr>
        <w:t xml:space="preserve">（企业名称）</w:t>
      </w:r>
      <w:r>
        <w:rPr>
          <w:rFonts w:hint="eastAsia" w:ascii="宋体" w:hAnsi="宋体" w:eastAsia="宋体" w:cs="宋体"/>
          <w:color w:val="auto"/>
          <w:spacing w:val="6"/>
          <w:sz w:val="24"/>
          <w:szCs w:val="24"/>
          <w:highlight w:val="none"/>
        </w:rPr>
        <w:t xml:space="preserve">，从业人员</w:t>
      </w:r>
      <w:r>
        <w:rPr>
          <w:rFonts w:hint="eastAsia" w:ascii="宋体" w:hAnsi="宋体" w:cs="宋体"/>
          <w:color w:val="auto"/>
          <w:spacing w:val="6"/>
          <w:sz w:val="24"/>
          <w:szCs w:val="24"/>
          <w:highlight w:val="none"/>
          <w:u w:val="single"/>
          <w:lang w:val="en-US" w:eastAsia="zh-CN"/>
        </w:rPr>
        <w:t xml:space="preserve">  </w:t>
      </w:r>
      <w:r>
        <w:rPr>
          <w:rFonts w:hint="eastAsia" w:ascii="宋体" w:hAnsi="宋体" w:eastAsia="宋体" w:cs="宋体"/>
          <w:color w:val="auto"/>
          <w:spacing w:val="6"/>
          <w:sz w:val="24"/>
          <w:szCs w:val="24"/>
          <w:highlight w:val="none"/>
          <w:u w:val="single"/>
        </w:rPr>
        <w:t xml:space="preserve">人</w:t>
      </w:r>
      <w:r>
        <w:rPr>
          <w:rFonts w:hint="eastAsia" w:ascii="宋体" w:hAnsi="宋体" w:eastAsia="宋体" w:cs="宋体"/>
          <w:color w:val="auto"/>
          <w:spacing w:val="6"/>
          <w:sz w:val="24"/>
          <w:szCs w:val="24"/>
          <w:highlight w:val="none"/>
        </w:rPr>
        <w:t xml:space="preserve">，营业收入为</w:t>
      </w:r>
      <w:r>
        <w:rPr>
          <w:rFonts w:hint="eastAsia" w:ascii="宋体" w:hAnsi="宋体" w:cs="宋体"/>
          <w:color w:val="auto"/>
          <w:spacing w:val="6"/>
          <w:sz w:val="24"/>
          <w:szCs w:val="24"/>
          <w:highlight w:val="none"/>
          <w:u w:val="single"/>
          <w:lang w:val="en-US" w:eastAsia="zh-CN"/>
        </w:rPr>
        <w:t xml:space="preserve">   </w:t>
      </w:r>
      <w:r>
        <w:rPr>
          <w:rFonts w:hint="eastAsia" w:ascii="宋体" w:hAnsi="宋体" w:eastAsia="宋体" w:cs="宋体"/>
          <w:color w:val="auto"/>
          <w:spacing w:val="6"/>
          <w:sz w:val="24"/>
          <w:szCs w:val="24"/>
          <w:highlight w:val="none"/>
          <w:u w:val="single"/>
        </w:rPr>
        <w:t xml:space="preserve">万元</w:t>
      </w:r>
      <w:r>
        <w:rPr>
          <w:rFonts w:hint="eastAsia" w:ascii="宋体" w:hAnsi="宋体" w:eastAsia="宋体" w:cs="宋体"/>
          <w:color w:val="auto"/>
          <w:spacing w:val="6"/>
          <w:sz w:val="24"/>
          <w:szCs w:val="24"/>
          <w:highlight w:val="none"/>
        </w:rPr>
        <w:t xml:space="preserve">，资产总额</w:t>
      </w:r>
      <w:r>
        <w:rPr>
          <w:rFonts w:hint="eastAsia" w:ascii="宋体" w:hAnsi="宋体" w:eastAsia="宋体" w:cs="宋体"/>
          <w:color w:val="auto"/>
          <w:spacing w:val="6"/>
          <w:sz w:val="24"/>
          <w:szCs w:val="24"/>
          <w:highlight w:val="none"/>
          <w:u w:val="single"/>
        </w:rPr>
        <w:t xml:space="preserve">为</w:t>
      </w:r>
      <w:r>
        <w:rPr>
          <w:rFonts w:hint="eastAsia" w:ascii="宋体" w:hAnsi="宋体" w:cs="宋体"/>
          <w:color w:val="auto"/>
          <w:spacing w:val="6"/>
          <w:sz w:val="24"/>
          <w:szCs w:val="24"/>
          <w:highlight w:val="none"/>
          <w:u w:val="single"/>
          <w:lang w:val="en-US" w:eastAsia="zh-CN"/>
        </w:rPr>
        <w:t xml:space="preserve">   </w:t>
      </w:r>
      <w:r>
        <w:rPr>
          <w:rFonts w:hint="eastAsia" w:ascii="宋体" w:hAnsi="宋体" w:eastAsia="宋体" w:cs="宋体"/>
          <w:color w:val="auto"/>
          <w:spacing w:val="6"/>
          <w:sz w:val="24"/>
          <w:szCs w:val="24"/>
          <w:highlight w:val="none"/>
          <w:u w:val="single"/>
        </w:rPr>
        <w:t xml:space="preserve">万元</w:t>
      </w:r>
      <w:r>
        <w:rPr>
          <w:rFonts w:hint="eastAsia" w:ascii="宋体" w:hAnsi="宋体" w:eastAsia="宋体" w:cs="宋体"/>
          <w:color w:val="auto"/>
          <w:spacing w:val="6"/>
          <w:sz w:val="24"/>
          <w:szCs w:val="24"/>
          <w:highlight w:val="none"/>
        </w:rPr>
        <w:t xml:space="preserve">，属于</w:t>
      </w:r>
      <w:r>
        <w:rPr>
          <w:rFonts w:hint="eastAsia" w:ascii="宋体" w:hAnsi="宋体" w:eastAsia="宋体" w:cs="宋体"/>
          <w:color w:val="auto"/>
          <w:spacing w:val="6"/>
          <w:sz w:val="24"/>
          <w:szCs w:val="24"/>
          <w:highlight w:val="none"/>
          <w:u w:val="single"/>
        </w:rPr>
        <w:t xml:space="preserve">（中型企业、小型企业、微型企业）</w:t>
      </w:r>
      <w:r>
        <w:rPr>
          <w:rFonts w:hint="eastAsia" w:ascii="宋体" w:hAnsi="宋体" w:eastAsia="宋体" w:cs="宋体"/>
          <w:color w:val="auto"/>
          <w:spacing w:val="6"/>
          <w:sz w:val="24"/>
          <w:szCs w:val="24"/>
          <w:highlight w:val="none"/>
        </w:rPr>
        <w:t xml:space="preserve">； </w:t>
      </w:r>
      <w:r/>
    </w:p>
    <w:p>
      <w:pPr>
        <w:pStyle w:val="1023"/>
        <w:ind w:firstLine="584"/>
        <w:jc w:val="left"/>
        <w:spacing w:line="560" w:lineRule="exact"/>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 xml:space="preserve">  ……  </w:t>
      </w:r>
      <w:r/>
    </w:p>
    <w:p>
      <w:pPr>
        <w:pStyle w:val="1023"/>
        <w:ind w:firstLine="584"/>
        <w:jc w:val="left"/>
        <w:spacing w:line="560" w:lineRule="exact"/>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 xml:space="preserve">以上企业，不属于大企业的分支机构，不存在控股股东为大企业的情形，也不存在与大企业的负责人为同一人的情形。</w:t>
      </w:r>
      <w:r/>
    </w:p>
    <w:p>
      <w:pPr>
        <w:pStyle w:val="1023"/>
        <w:ind w:firstLine="584"/>
        <w:jc w:val="left"/>
        <w:spacing w:line="560" w:lineRule="exact"/>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 xml:space="preserve">本企业对上述声明内容的真实性负责。如有虚假，将依法承担相应责任。  </w:t>
      </w:r>
      <w:r/>
    </w:p>
    <w:p>
      <w:pPr>
        <w:pStyle w:val="1023"/>
        <w:ind w:firstLine="584"/>
        <w:jc w:val="left"/>
        <w:spacing w:line="560" w:lineRule="exact"/>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 xml:space="preserve">企业名称（盖章）：  </w:t>
      </w:r>
      <w:r/>
    </w:p>
    <w:p>
      <w:pPr>
        <w:pStyle w:val="1023"/>
        <w:ind w:firstLine="584"/>
        <w:jc w:val="left"/>
        <w:spacing w:line="560" w:lineRule="exact"/>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 xml:space="preserve">日 期：</w:t>
      </w:r>
      <w:r/>
    </w:p>
    <w:p>
      <w:pPr>
        <w:pStyle w:val="1023"/>
        <w:ind w:firstLine="584"/>
        <w:jc w:val="left"/>
        <w:spacing w:line="240" w:lineRule="auto"/>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r>
      <w:r/>
    </w:p>
    <w:p>
      <w:pPr>
        <w:pStyle w:val="1023"/>
        <w:ind w:firstLine="584"/>
        <w:jc w:val="left"/>
        <w:spacing w:line="240" w:lineRule="auto"/>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r>
      <w:r/>
    </w:p>
    <w:p>
      <w:pPr>
        <w:pStyle w:val="1023"/>
        <w:ind w:firstLine="584"/>
        <w:jc w:val="left"/>
        <w:spacing w:line="240" w:lineRule="auto"/>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 xml:space="preserve">注：</w:t>
      </w:r>
      <w:bookmarkStart w:id="242" w:name="_Hlk136448448"/>
      <w:r>
        <w:rPr>
          <w:rFonts w:hint="eastAsia" w:ascii="宋体" w:hAnsi="宋体" w:eastAsia="宋体" w:cs="宋体"/>
          <w:color w:val="auto"/>
          <w:spacing w:val="6"/>
          <w:sz w:val="24"/>
          <w:szCs w:val="24"/>
          <w:highlight w:val="none"/>
        </w:rPr>
        <w:t xml:space="preserve">1.从业人员、营业收入、资产总额填报上一年度数据，无上一年度数据的新成立企业可不填报。</w:t>
      </w:r>
      <w:bookmarkEnd w:id="242"/>
      <w:r/>
      <w:r/>
    </w:p>
    <w:p>
      <w:pPr>
        <w:pStyle w:val="1023"/>
        <w:ind w:firstLine="1168"/>
        <w:jc w:val="left"/>
        <w:spacing w:line="240" w:lineRule="auto"/>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 xml:space="preserve">2.本声明函中“属于（中型企业、小型企业、微型企业）”的内容，必须且只能选择其中之一填写。</w:t>
      </w:r>
      <w:r/>
    </w:p>
    <w:p>
      <w:pPr>
        <w:ind w:firstLine="1008"/>
        <w:jc w:val="left"/>
        <w:spacing w:line="240" w:lineRule="auto"/>
        <w:widowControl/>
        <w:rPr>
          <w:rFonts w:hint="eastAsia" w:ascii="宋体" w:hAnsi="宋体" w:eastAsia="宋体" w:cs="宋体"/>
          <w:b/>
          <w:color w:val="auto"/>
          <w:sz w:val="28"/>
          <w:szCs w:val="18"/>
          <w:highlight w:val="none"/>
        </w:rPr>
      </w:pPr>
      <w:r/>
      <w:bookmarkStart w:id="243" w:name="_Hlk136448662"/>
      <w:r>
        <w:rPr>
          <w:rFonts w:hint="eastAsia" w:ascii="宋体" w:hAnsi="宋体" w:eastAsia="宋体" w:cs="宋体"/>
          <w:color w:val="auto"/>
          <w:spacing w:val="6"/>
          <w:sz w:val="24"/>
          <w:szCs w:val="24"/>
          <w:highlight w:val="none"/>
        </w:rPr>
        <w:t xml:space="preserve">3.供应商应当根据采购文件中明确的所属行业，认真对照《关于印发中小企业划型标准规定的通知》（工信部联企业[2011]300号）提供声明函。 供应商提供声明函内容不实的，属于提供虚假材料谋取中标、成交，依照《中华人民共和国政府采购法》等国家有关规定追究相应责任。</w:t>
      </w:r>
      <w:bookmarkEnd w:id="243"/>
      <w:r/>
      <w:r/>
    </w:p>
    <w:p>
      <w:pPr>
        <w:jc w:val="center"/>
        <w:spacing w:before="313" w:line="226" w:lineRule="auto"/>
        <w:rPr>
          <w:rFonts w:hint="eastAsia" w:ascii="宋体" w:hAnsi="宋体" w:cs="宋体"/>
          <w:color w:val="auto"/>
          <w:sz w:val="29"/>
          <w:szCs w:val="29"/>
          <w:highlight w:val="none"/>
        </w:rPr>
      </w:pPr>
      <w:r>
        <w:rPr>
          <w:rFonts w:hint="eastAsia" w:ascii="宋体" w:hAnsi="宋体" w:cs="宋体"/>
          <w:color w:val="auto"/>
          <w:sz w:val="28"/>
          <w:szCs w:val="28"/>
          <w:highlight w:val="none"/>
        </w:rPr>
        <w:br w:type="page" w:clear="all"/>
      </w:r>
      <w:r>
        <w:rPr>
          <w:rFonts w:ascii="宋体" w:hAnsi="宋体" w:cs="宋体"/>
          <w:color w:val="auto"/>
          <w:spacing w:val="18"/>
          <w:sz w:val="29"/>
          <w:szCs w:val="29"/>
          <w:highlight w:val="none"/>
        </w:rPr>
        <w:t xml:space="preserve">《</w:t>
      </w:r>
      <w:r>
        <w:rPr>
          <w:rFonts w:ascii="宋体" w:hAnsi="宋体" w:cs="宋体"/>
          <w:color w:val="auto"/>
          <w:spacing w:val="9"/>
          <w:sz w:val="29"/>
          <w:szCs w:val="29"/>
          <w:highlight w:val="none"/>
        </w:rPr>
        <w:t xml:space="preserve">中小企业声明函》填写说明</w:t>
      </w:r>
      <w:r/>
    </w:p>
    <w:p>
      <w:pPr>
        <w:ind w:right="70" w:firstLine="16"/>
        <w:spacing w:before="186" w:line="309" w:lineRule="auto"/>
        <w:widowControl/>
        <w:rPr>
          <w:rFonts w:hint="eastAsia" w:ascii="宋体" w:hAnsi="宋体" w:cs="宋体"/>
          <w:color w:val="auto"/>
          <w:sz w:val="24"/>
          <w:highlight w:val="none"/>
        </w:rPr>
      </w:pPr>
      <w:r>
        <w:rPr>
          <w:rFonts w:ascii="宋体" w:hAnsi="宋体" w:cs="宋体"/>
          <w:color w:val="auto"/>
          <w:spacing w:val="12"/>
          <w:sz w:val="24"/>
          <w:highlight w:val="none"/>
        </w:rPr>
        <w:t xml:space="preserve">1</w:t>
      </w:r>
      <w:r>
        <w:rPr>
          <w:rFonts w:ascii="宋体" w:hAnsi="宋体" w:cs="宋体"/>
          <w:color w:val="auto"/>
          <w:spacing w:val="7"/>
          <w:sz w:val="24"/>
          <w:highlight w:val="none"/>
        </w:rPr>
        <w:t xml:space="preserve">、</w:t>
      </w:r>
      <w:r>
        <w:rPr>
          <w:rFonts w:ascii="宋体" w:hAnsi="宋体" w:cs="宋体"/>
          <w:color w:val="auto"/>
          <w:spacing w:val="6"/>
          <w:sz w:val="24"/>
          <w:highlight w:val="none"/>
        </w:rPr>
        <w:t xml:space="preserve">请各投标供应商按照本项目类别 (详见</w:t>
      </w:r>
      <w:r>
        <w:rPr>
          <w:rFonts w:hint="eastAsia" w:ascii="宋体" w:hAnsi="宋体" w:cs="宋体"/>
          <w:color w:val="auto"/>
          <w:spacing w:val="6"/>
          <w:sz w:val="24"/>
          <w:highlight w:val="none"/>
        </w:rPr>
        <w:t xml:space="preserve">采购</w:t>
      </w:r>
      <w:r>
        <w:rPr>
          <w:rFonts w:ascii="宋体" w:hAnsi="宋体" w:cs="宋体"/>
          <w:color w:val="auto"/>
          <w:spacing w:val="6"/>
          <w:sz w:val="24"/>
          <w:highlight w:val="none"/>
        </w:rPr>
        <w:t xml:space="preserve">需求) 选择对应的《中小企业</w:t>
      </w:r>
      <w:r>
        <w:rPr>
          <w:rFonts w:ascii="宋体" w:hAnsi="宋体" w:cs="宋体"/>
          <w:color w:val="auto"/>
          <w:spacing w:val="18"/>
          <w:sz w:val="24"/>
          <w:highlight w:val="none"/>
        </w:rPr>
        <w:t xml:space="preserve">声明函</w:t>
      </w:r>
      <w:r>
        <w:rPr>
          <w:rFonts w:ascii="宋体" w:hAnsi="宋体" w:cs="宋体"/>
          <w:color w:val="auto"/>
          <w:spacing w:val="12"/>
          <w:sz w:val="24"/>
          <w:highlight w:val="none"/>
        </w:rPr>
        <w:t xml:space="preserve">》</w:t>
      </w:r>
      <w:r>
        <w:rPr>
          <w:rFonts w:ascii="宋体" w:hAnsi="宋体" w:cs="宋体"/>
          <w:color w:val="auto"/>
          <w:spacing w:val="9"/>
          <w:sz w:val="24"/>
          <w:highlight w:val="none"/>
        </w:rPr>
        <w:t xml:space="preserve">进行填写，例如本项目属于货物类，则只需将本项提供的全部货物填写在《中小企</w:t>
      </w:r>
      <w:r>
        <w:rPr>
          <w:rFonts w:ascii="宋体" w:hAnsi="宋体" w:cs="宋体"/>
          <w:color w:val="auto"/>
          <w:spacing w:val="-4"/>
          <w:sz w:val="24"/>
          <w:highlight w:val="none"/>
        </w:rPr>
        <w:t xml:space="preserve">业声明函</w:t>
      </w:r>
      <w:r>
        <w:rPr>
          <w:rFonts w:ascii="宋体" w:hAnsi="宋体" w:cs="宋体"/>
          <w:color w:val="auto"/>
          <w:spacing w:val="-2"/>
          <w:sz w:val="24"/>
          <w:highlight w:val="none"/>
        </w:rPr>
        <w:t xml:space="preserve">》(货物)即可</w:t>
      </w:r>
      <w:r>
        <w:rPr>
          <w:rFonts w:hint="eastAsia" w:ascii="宋体" w:hAnsi="宋体" w:cs="宋体"/>
          <w:color w:val="auto"/>
          <w:spacing w:val="-2"/>
          <w:sz w:val="24"/>
          <w:highlight w:val="none"/>
        </w:rPr>
        <w:t xml:space="preserve">，</w:t>
      </w:r>
      <w:r>
        <w:rPr>
          <w:rFonts w:ascii="宋体" w:hAnsi="宋体" w:cs="宋体"/>
          <w:color w:val="auto"/>
          <w:spacing w:val="-2"/>
          <w:sz w:val="24"/>
          <w:highlight w:val="none"/>
        </w:rPr>
        <w:t xml:space="preserve">以此类推。</w:t>
      </w:r>
      <w:r/>
    </w:p>
    <w:p>
      <w:pPr>
        <w:ind w:right="70" w:firstLine="16"/>
        <w:spacing w:before="186" w:line="309" w:lineRule="auto"/>
        <w:widowControl/>
        <w:rPr>
          <w:rFonts w:hint="eastAsia" w:ascii="宋体" w:hAnsi="宋体" w:cs="宋体"/>
          <w:color w:val="auto"/>
          <w:spacing w:val="9"/>
          <w:sz w:val="24"/>
          <w:highlight w:val="none"/>
        </w:rPr>
      </w:pPr>
      <w:r>
        <w:rPr>
          <w:rFonts w:ascii="宋体" w:hAnsi="宋体" w:cs="宋体"/>
          <w:color w:val="auto"/>
          <w:spacing w:val="9"/>
          <w:sz w:val="24"/>
          <w:highlight w:val="none"/>
        </w:rPr>
        <w:t xml:space="preserve">2、采购标的对应的中小企业划分标准所属行业，以</w:t>
      </w:r>
      <w:r>
        <w:rPr>
          <w:rFonts w:hint="eastAsia" w:ascii="宋体" w:hAnsi="宋体" w:cs="宋体"/>
          <w:color w:val="auto"/>
          <w:spacing w:val="9"/>
          <w:sz w:val="24"/>
          <w:highlight w:val="none"/>
        </w:rPr>
        <w:t xml:space="preserve">采购</w:t>
      </w:r>
      <w:r>
        <w:rPr>
          <w:rFonts w:ascii="宋体" w:hAnsi="宋体" w:cs="宋体"/>
          <w:color w:val="auto"/>
          <w:spacing w:val="9"/>
          <w:sz w:val="24"/>
          <w:highlight w:val="none"/>
        </w:rPr>
        <w:t xml:space="preserve">需求中的项目所属行业为准。</w:t>
      </w:r>
      <w:r/>
    </w:p>
    <w:p>
      <w:pPr>
        <w:ind w:right="18" w:firstLine="5"/>
        <w:spacing w:before="132" w:line="328" w:lineRule="auto"/>
        <w:widowControl/>
        <w:rPr>
          <w:rFonts w:hint="eastAsia" w:ascii="宋体" w:hAnsi="宋体" w:cs="宋体"/>
          <w:color w:val="auto"/>
          <w:sz w:val="24"/>
          <w:highlight w:val="none"/>
        </w:rPr>
      </w:pPr>
      <w:r>
        <w:rPr>
          <w:rFonts w:ascii="宋体" w:hAnsi="宋体" w:cs="宋体"/>
          <w:color w:val="auto"/>
          <w:spacing w:val="18"/>
          <w:sz w:val="24"/>
          <w:highlight w:val="none"/>
        </w:rPr>
        <w:t xml:space="preserve">3、</w:t>
      </w:r>
      <w:r>
        <w:rPr>
          <w:rFonts w:ascii="宋体" w:hAnsi="宋体" w:cs="宋体"/>
          <w:color w:val="auto"/>
          <w:spacing w:val="10"/>
          <w:sz w:val="24"/>
          <w:highlight w:val="none"/>
        </w:rPr>
        <w:t xml:space="preserve">本</w:t>
      </w:r>
      <w:r>
        <w:rPr>
          <w:rFonts w:ascii="宋体" w:hAnsi="宋体" w:cs="宋体"/>
          <w:color w:val="auto"/>
          <w:spacing w:val="9"/>
          <w:sz w:val="24"/>
          <w:highlight w:val="none"/>
        </w:rPr>
        <w:t xml:space="preserve">办法所称中小企业，是指在中华人民共和国境内依法设立，依据国务院批准的中小企业</w:t>
      </w:r>
      <w:r>
        <w:rPr>
          <w:rFonts w:ascii="宋体" w:hAnsi="宋体" w:cs="宋体"/>
          <w:color w:val="auto"/>
          <w:spacing w:val="18"/>
          <w:sz w:val="24"/>
          <w:highlight w:val="none"/>
        </w:rPr>
        <w:t xml:space="preserve">划分标</w:t>
      </w:r>
      <w:r>
        <w:rPr>
          <w:rFonts w:ascii="宋体" w:hAnsi="宋体" w:cs="宋体"/>
          <w:color w:val="auto"/>
          <w:spacing w:val="12"/>
          <w:sz w:val="24"/>
          <w:highlight w:val="none"/>
        </w:rPr>
        <w:t xml:space="preserve">准</w:t>
      </w:r>
      <w:r>
        <w:rPr>
          <w:rFonts w:ascii="宋体" w:hAnsi="宋体" w:cs="宋体"/>
          <w:color w:val="auto"/>
          <w:spacing w:val="9"/>
          <w:sz w:val="24"/>
          <w:highlight w:val="none"/>
        </w:rPr>
        <w:t xml:space="preserve">确定的中型企业、小型企业和微型企业，但与大企业的负责人为同一人，或者与大</w:t>
      </w:r>
      <w:r>
        <w:rPr>
          <w:rFonts w:ascii="宋体" w:hAnsi="宋体" w:cs="宋体"/>
          <w:color w:val="auto"/>
          <w:spacing w:val="16"/>
          <w:sz w:val="24"/>
          <w:highlight w:val="none"/>
        </w:rPr>
        <w:t xml:space="preserve">企业</w:t>
      </w:r>
      <w:r>
        <w:rPr>
          <w:rFonts w:ascii="宋体" w:hAnsi="宋体" w:cs="宋体"/>
          <w:color w:val="auto"/>
          <w:spacing w:val="9"/>
          <w:sz w:val="24"/>
          <w:highlight w:val="none"/>
        </w:rPr>
        <w:t xml:space="preserve">存</w:t>
      </w:r>
      <w:r>
        <w:rPr>
          <w:rFonts w:ascii="宋体" w:hAnsi="宋体" w:cs="宋体"/>
          <w:color w:val="auto"/>
          <w:spacing w:val="8"/>
          <w:sz w:val="24"/>
          <w:highlight w:val="none"/>
        </w:rPr>
        <w:t xml:space="preserve">在直接控股、管理关系的除外。符合中小企业划分标准的个体工商户，视同中小企业；</w:t>
      </w:r>
      <w:r>
        <w:rPr>
          <w:rFonts w:ascii="宋体" w:hAnsi="宋体" w:cs="宋体"/>
          <w:color w:val="auto"/>
          <w:spacing w:val="18"/>
          <w:sz w:val="24"/>
          <w:highlight w:val="none"/>
        </w:rPr>
        <w:t xml:space="preserve">事业单</w:t>
      </w:r>
      <w:r>
        <w:rPr>
          <w:rFonts w:ascii="宋体" w:hAnsi="宋体" w:cs="宋体"/>
          <w:color w:val="auto"/>
          <w:spacing w:val="12"/>
          <w:sz w:val="24"/>
          <w:highlight w:val="none"/>
        </w:rPr>
        <w:t xml:space="preserve">位</w:t>
      </w:r>
      <w:r>
        <w:rPr>
          <w:rFonts w:ascii="宋体" w:hAnsi="宋体" w:cs="宋体"/>
          <w:color w:val="auto"/>
          <w:spacing w:val="9"/>
          <w:sz w:val="24"/>
          <w:highlight w:val="none"/>
        </w:rPr>
        <w:t xml:space="preserve">、团体组织等非企业性质的政府采购供应商，不属于中小企业划型标准确定的中小</w:t>
      </w:r>
      <w:r>
        <w:rPr>
          <w:rFonts w:ascii="宋体" w:hAnsi="宋体" w:cs="宋体"/>
          <w:color w:val="auto"/>
          <w:spacing w:val="4"/>
          <w:sz w:val="24"/>
          <w:highlight w:val="none"/>
        </w:rPr>
        <w:t xml:space="preserve">企</w:t>
      </w:r>
      <w:r>
        <w:rPr>
          <w:rFonts w:ascii="宋体" w:hAnsi="宋体" w:cs="宋体"/>
          <w:color w:val="auto"/>
          <w:spacing w:val="3"/>
          <w:sz w:val="24"/>
          <w:highlight w:val="none"/>
        </w:rPr>
        <w:t xml:space="preserve">业。</w:t>
      </w:r>
      <w:r/>
    </w:p>
    <w:p>
      <w:pPr>
        <w:ind w:right="70"/>
        <w:spacing w:before="123" w:line="289" w:lineRule="auto"/>
        <w:widowControl/>
        <w:rPr>
          <w:rFonts w:hint="eastAsia" w:ascii="宋体" w:hAnsi="宋体" w:cs="宋体"/>
          <w:color w:val="auto"/>
          <w:sz w:val="24"/>
          <w:highlight w:val="none"/>
        </w:rPr>
      </w:pPr>
      <w:r>
        <w:rPr>
          <w:rFonts w:ascii="宋体" w:hAnsi="宋体" w:cs="宋体"/>
          <w:color w:val="auto"/>
          <w:spacing w:val="18"/>
          <w:sz w:val="24"/>
          <w:highlight w:val="none"/>
        </w:rPr>
        <w:t xml:space="preserve">4、</w:t>
      </w:r>
      <w:r>
        <w:rPr>
          <w:rFonts w:ascii="宋体" w:hAnsi="宋体" w:cs="宋体"/>
          <w:color w:val="auto"/>
          <w:spacing w:val="15"/>
          <w:sz w:val="24"/>
          <w:highlight w:val="none"/>
        </w:rPr>
        <w:t xml:space="preserve">从</w:t>
      </w:r>
      <w:r>
        <w:rPr>
          <w:rFonts w:ascii="宋体" w:hAnsi="宋体" w:cs="宋体"/>
          <w:color w:val="auto"/>
          <w:spacing w:val="9"/>
          <w:sz w:val="24"/>
          <w:highlight w:val="none"/>
        </w:rPr>
        <w:t xml:space="preserve">业人员、营业收入、资产总额填报上一年度数据，无上一年度数据的新成立企业可不填</w:t>
      </w:r>
      <w:r>
        <w:rPr>
          <w:rFonts w:ascii="宋体" w:hAnsi="宋体" w:cs="宋体"/>
          <w:color w:val="auto"/>
          <w:spacing w:val="1"/>
          <w:sz w:val="24"/>
          <w:highlight w:val="none"/>
        </w:rPr>
        <w:t xml:space="preserve">报。</w:t>
      </w:r>
      <w:r/>
    </w:p>
    <w:p>
      <w:pPr>
        <w:ind w:left="14" w:right="70" w:hanging="9"/>
        <w:spacing w:before="132" w:line="291" w:lineRule="auto"/>
        <w:widowControl/>
        <w:rPr>
          <w:rFonts w:hint="eastAsia" w:ascii="宋体" w:hAnsi="宋体" w:cs="宋体"/>
          <w:color w:val="auto"/>
          <w:sz w:val="24"/>
          <w:highlight w:val="none"/>
        </w:rPr>
      </w:pPr>
      <w:r>
        <w:rPr>
          <w:rFonts w:ascii="宋体" w:hAnsi="宋体" w:cs="宋体"/>
          <w:color w:val="auto"/>
          <w:spacing w:val="18"/>
          <w:sz w:val="24"/>
          <w:highlight w:val="none"/>
        </w:rPr>
        <w:t xml:space="preserve">5、</w:t>
      </w:r>
      <w:r>
        <w:rPr>
          <w:rFonts w:ascii="宋体" w:hAnsi="宋体" w:cs="宋体"/>
          <w:color w:val="auto"/>
          <w:spacing w:val="10"/>
          <w:sz w:val="24"/>
          <w:highlight w:val="none"/>
        </w:rPr>
        <w:t xml:space="preserve">投</w:t>
      </w:r>
      <w:r>
        <w:rPr>
          <w:rFonts w:ascii="宋体" w:hAnsi="宋体" w:cs="宋体"/>
          <w:color w:val="auto"/>
          <w:spacing w:val="9"/>
          <w:sz w:val="24"/>
          <w:highlight w:val="none"/>
        </w:rPr>
        <w:t xml:space="preserve">标供应商未按照上述格式正确填写《中小企业声明函》的，视为未提供《中小企业声明</w:t>
      </w:r>
      <w:r>
        <w:rPr>
          <w:rFonts w:ascii="宋体" w:hAnsi="宋体" w:cs="宋体"/>
          <w:color w:val="auto"/>
          <w:spacing w:val="14"/>
          <w:sz w:val="24"/>
          <w:highlight w:val="none"/>
        </w:rPr>
        <w:t xml:space="preserve">函</w:t>
      </w:r>
      <w:r>
        <w:rPr>
          <w:rFonts w:ascii="宋体" w:hAnsi="宋体" w:cs="宋体"/>
          <w:color w:val="auto"/>
          <w:spacing w:val="10"/>
          <w:sz w:val="24"/>
          <w:highlight w:val="none"/>
        </w:rPr>
        <w:t xml:space="preserve">》</w:t>
      </w:r>
      <w:r>
        <w:rPr>
          <w:rFonts w:ascii="宋体" w:hAnsi="宋体" w:cs="宋体"/>
          <w:color w:val="auto"/>
          <w:spacing w:val="7"/>
          <w:sz w:val="24"/>
          <w:highlight w:val="none"/>
        </w:rPr>
        <w:t xml:space="preserve">，不享受中小企业扶持政策。</w:t>
      </w:r>
      <w:r/>
    </w:p>
    <w:p>
      <w:pPr>
        <w:ind w:left="21"/>
        <w:spacing w:before="66" w:line="228" w:lineRule="auto"/>
        <w:widowControl/>
        <w:rPr>
          <w:rFonts w:hint="eastAsia" w:ascii="宋体" w:hAnsi="宋体" w:cs="宋体"/>
          <w:b/>
          <w:color w:val="auto"/>
          <w:sz w:val="24"/>
          <w:highlight w:val="none"/>
        </w:rPr>
      </w:pPr>
      <w:r>
        <w:rPr>
          <w:rFonts w:hint="eastAsia" w:ascii="宋体" w:hAnsi="宋体" w:cs="宋体"/>
          <w:b/>
          <w:color w:val="auto"/>
          <w:spacing w:val="7"/>
          <w:sz w:val="24"/>
          <w:highlight w:val="none"/>
        </w:rPr>
        <w:t xml:space="preserve">《</w:t>
      </w:r>
      <w:r>
        <w:rPr>
          <w:rFonts w:ascii="宋体" w:hAnsi="宋体" w:cs="宋体"/>
          <w:b/>
          <w:color w:val="auto"/>
          <w:spacing w:val="7"/>
          <w:sz w:val="24"/>
          <w:highlight w:val="none"/>
        </w:rPr>
        <w:t xml:space="preserve">中小企业划型标准规</w:t>
      </w:r>
      <w:r>
        <w:rPr>
          <w:rFonts w:ascii="宋体" w:hAnsi="宋体" w:cs="宋体"/>
          <w:b/>
          <w:color w:val="auto"/>
          <w:spacing w:val="6"/>
          <w:sz w:val="24"/>
          <w:highlight w:val="none"/>
        </w:rPr>
        <w:t xml:space="preserve">定</w:t>
      </w:r>
      <w:r>
        <w:rPr>
          <w:rFonts w:hint="eastAsia" w:ascii="宋体" w:hAnsi="宋体" w:cs="宋体"/>
          <w:b/>
          <w:color w:val="auto"/>
          <w:spacing w:val="6"/>
          <w:sz w:val="24"/>
          <w:highlight w:val="none"/>
        </w:rPr>
        <w:t xml:space="preserve">》</w:t>
      </w:r>
      <w:r/>
    </w:p>
    <w:p>
      <w:pPr>
        <w:ind w:right="174" w:firstLine="4"/>
        <w:spacing w:before="135" w:line="288" w:lineRule="auto"/>
        <w:widowControl/>
        <w:rPr>
          <w:rFonts w:hint="eastAsia" w:ascii="宋体" w:hAnsi="宋体" w:cs="宋体"/>
          <w:color w:val="auto"/>
          <w:sz w:val="24"/>
          <w:highlight w:val="none"/>
        </w:rPr>
      </w:pPr>
      <w:r>
        <w:rPr>
          <w:rFonts w:ascii="宋体" w:hAnsi="宋体" w:cs="宋体"/>
          <w:color w:val="auto"/>
          <w:spacing w:val="18"/>
          <w:sz w:val="24"/>
          <w:highlight w:val="none"/>
        </w:rPr>
        <w:t xml:space="preserve">一、</w:t>
      </w:r>
      <w:r>
        <w:rPr>
          <w:rFonts w:ascii="宋体" w:hAnsi="宋体" w:cs="宋体"/>
          <w:color w:val="auto"/>
          <w:spacing w:val="17"/>
          <w:sz w:val="24"/>
          <w:highlight w:val="none"/>
        </w:rPr>
        <w:t xml:space="preserve">根</w:t>
      </w:r>
      <w:r>
        <w:rPr>
          <w:rFonts w:ascii="宋体" w:hAnsi="宋体" w:cs="宋体"/>
          <w:color w:val="auto"/>
          <w:spacing w:val="9"/>
          <w:sz w:val="24"/>
          <w:highlight w:val="none"/>
        </w:rPr>
        <w:t xml:space="preserve">据《中华人民共和国中小企业促进法》和《国务院关于进一步促进中小企业发展的若</w:t>
      </w:r>
      <w:r>
        <w:rPr>
          <w:rFonts w:ascii="宋体" w:hAnsi="宋体" w:cs="宋体"/>
          <w:color w:val="auto"/>
          <w:spacing w:val="2"/>
          <w:sz w:val="24"/>
          <w:highlight w:val="none"/>
        </w:rPr>
        <w:t xml:space="preserve">干意见》(国发〔20</w:t>
      </w:r>
      <w:r>
        <w:rPr>
          <w:rFonts w:ascii="宋体" w:hAnsi="宋体" w:cs="宋体"/>
          <w:color w:val="auto"/>
          <w:spacing w:val="1"/>
          <w:sz w:val="24"/>
          <w:highlight w:val="none"/>
        </w:rPr>
        <w:t xml:space="preserve">09〕36号)，制定本规定。</w:t>
      </w:r>
      <w:r/>
    </w:p>
    <w:p>
      <w:pPr>
        <w:ind w:left="10" w:right="209" w:hanging="5"/>
        <w:spacing w:before="133" w:line="290" w:lineRule="auto"/>
        <w:widowControl/>
        <w:rPr>
          <w:rFonts w:hint="eastAsia" w:ascii="宋体" w:hAnsi="宋体" w:cs="宋体"/>
          <w:color w:val="auto"/>
          <w:sz w:val="24"/>
          <w:highlight w:val="none"/>
        </w:rPr>
      </w:pPr>
      <w:r>
        <w:rPr>
          <w:rFonts w:ascii="宋体" w:hAnsi="宋体" w:cs="宋体"/>
          <w:color w:val="auto"/>
          <w:spacing w:val="16"/>
          <w:sz w:val="24"/>
          <w:highlight w:val="none"/>
        </w:rPr>
        <w:t xml:space="preserve">二、中</w:t>
      </w:r>
      <w:r>
        <w:rPr>
          <w:rFonts w:ascii="宋体" w:hAnsi="宋体" w:cs="宋体"/>
          <w:color w:val="auto"/>
          <w:spacing w:val="15"/>
          <w:sz w:val="24"/>
          <w:highlight w:val="none"/>
        </w:rPr>
        <w:t xml:space="preserve">小</w:t>
      </w:r>
      <w:r>
        <w:rPr>
          <w:rFonts w:ascii="宋体" w:hAnsi="宋体" w:cs="宋体"/>
          <w:color w:val="auto"/>
          <w:spacing w:val="8"/>
          <w:sz w:val="24"/>
          <w:highlight w:val="none"/>
        </w:rPr>
        <w:t xml:space="preserve">企业划分为中型、小型、微型三种类型，具体标准根据企业从业人员、营业收入、</w:t>
      </w:r>
      <w:r>
        <w:rPr>
          <w:rFonts w:ascii="宋体" w:hAnsi="宋体" w:cs="宋体"/>
          <w:color w:val="auto"/>
          <w:spacing w:val="12"/>
          <w:sz w:val="24"/>
          <w:highlight w:val="none"/>
        </w:rPr>
        <w:t xml:space="preserve">资</w:t>
      </w:r>
      <w:r>
        <w:rPr>
          <w:rFonts w:ascii="宋体" w:hAnsi="宋体" w:cs="宋体"/>
          <w:color w:val="auto"/>
          <w:spacing w:val="8"/>
          <w:sz w:val="24"/>
          <w:highlight w:val="none"/>
        </w:rPr>
        <w:t xml:space="preserve">产总额等指标，结合行业特点制定。</w:t>
      </w:r>
      <w:r/>
    </w:p>
    <w:p>
      <w:pPr>
        <w:spacing w:before="136" w:line="330" w:lineRule="auto"/>
        <w:widowControl/>
        <w:rPr>
          <w:rFonts w:hint="eastAsia" w:ascii="宋体" w:hAnsi="宋体" w:cs="宋体"/>
          <w:color w:val="auto"/>
          <w:sz w:val="24"/>
          <w:highlight w:val="none"/>
        </w:rPr>
      </w:pPr>
      <w:r>
        <w:rPr>
          <w:rFonts w:ascii="宋体" w:hAnsi="宋体" w:cs="宋体"/>
          <w:color w:val="auto"/>
          <w:spacing w:val="11"/>
          <w:sz w:val="24"/>
          <w:highlight w:val="none"/>
        </w:rPr>
        <w:t xml:space="preserve">三</w:t>
      </w:r>
      <w:r>
        <w:rPr>
          <w:rFonts w:ascii="宋体" w:hAnsi="宋体" w:cs="宋体"/>
          <w:color w:val="auto"/>
          <w:spacing w:val="6"/>
          <w:sz w:val="24"/>
          <w:highlight w:val="none"/>
        </w:rPr>
        <w:t xml:space="preserve">、本规定适用的行业包括：农、林、牧、渔业，工业 (包括采矿业，制造业，电力、热力、</w:t>
      </w:r>
      <w:r>
        <w:rPr>
          <w:rFonts w:ascii="宋体" w:hAnsi="宋体" w:cs="宋体"/>
          <w:color w:val="auto"/>
          <w:sz w:val="24"/>
          <w:highlight w:val="none"/>
        </w:rPr>
        <w:t xml:space="preserve"> </w:t>
      </w:r>
      <w:r>
        <w:rPr>
          <w:rFonts w:ascii="宋体" w:hAnsi="宋体" w:cs="宋体"/>
          <w:color w:val="auto"/>
          <w:spacing w:val="12"/>
          <w:sz w:val="24"/>
          <w:highlight w:val="none"/>
        </w:rPr>
        <w:t xml:space="preserve">燃</w:t>
      </w:r>
      <w:r>
        <w:rPr>
          <w:rFonts w:ascii="宋体" w:hAnsi="宋体" w:cs="宋体"/>
          <w:color w:val="auto"/>
          <w:spacing w:val="9"/>
          <w:sz w:val="24"/>
          <w:highlight w:val="none"/>
        </w:rPr>
        <w:t xml:space="preserve">气及水生产和供应业)，建筑业，批发业，零售业，交通运输业(不含铁路运输业)，仓</w:t>
      </w:r>
      <w:r>
        <w:rPr>
          <w:rFonts w:ascii="宋体" w:hAnsi="宋体" w:cs="宋体"/>
          <w:color w:val="auto"/>
          <w:spacing w:val="18"/>
          <w:sz w:val="24"/>
          <w:highlight w:val="none"/>
        </w:rPr>
        <w:t xml:space="preserve">储</w:t>
      </w:r>
      <w:r>
        <w:rPr>
          <w:rFonts w:ascii="宋体" w:hAnsi="宋体" w:cs="宋体"/>
          <w:color w:val="auto"/>
          <w:spacing w:val="12"/>
          <w:sz w:val="24"/>
          <w:highlight w:val="none"/>
        </w:rPr>
        <w:t xml:space="preserve">业</w:t>
      </w:r>
      <w:r>
        <w:rPr>
          <w:rFonts w:ascii="宋体" w:hAnsi="宋体" w:cs="宋体"/>
          <w:color w:val="auto"/>
          <w:spacing w:val="9"/>
          <w:sz w:val="24"/>
          <w:highlight w:val="none"/>
        </w:rPr>
        <w:t xml:space="preserve">，邮政业，住宿业，餐饮业，信息传输业(包括电信、互联网和相关服务)，软件和信</w:t>
      </w:r>
      <w:r>
        <w:rPr>
          <w:rFonts w:ascii="宋体" w:hAnsi="宋体" w:cs="宋体"/>
          <w:color w:val="auto"/>
          <w:spacing w:val="18"/>
          <w:sz w:val="24"/>
          <w:highlight w:val="none"/>
        </w:rPr>
        <w:t xml:space="preserve">息技</w:t>
      </w:r>
      <w:r>
        <w:rPr>
          <w:rFonts w:ascii="宋体" w:hAnsi="宋体" w:cs="宋体"/>
          <w:color w:val="auto"/>
          <w:spacing w:val="12"/>
          <w:sz w:val="24"/>
          <w:highlight w:val="none"/>
        </w:rPr>
        <w:t xml:space="preserve">术</w:t>
      </w:r>
      <w:r>
        <w:rPr>
          <w:rFonts w:ascii="宋体" w:hAnsi="宋体" w:cs="宋体"/>
          <w:color w:val="auto"/>
          <w:spacing w:val="9"/>
          <w:sz w:val="24"/>
          <w:highlight w:val="none"/>
        </w:rPr>
        <w:t xml:space="preserve">服务业，房地产开发经营，物业管理，租赁和商务服务业，其他未列明行业 (包括科</w:t>
      </w:r>
      <w:r>
        <w:rPr>
          <w:rFonts w:ascii="宋体" w:hAnsi="宋体" w:cs="宋体"/>
          <w:color w:val="auto"/>
          <w:spacing w:val="18"/>
          <w:sz w:val="24"/>
          <w:highlight w:val="none"/>
        </w:rPr>
        <w:t xml:space="preserve">学研究</w:t>
      </w:r>
      <w:r>
        <w:rPr>
          <w:rFonts w:ascii="宋体" w:hAnsi="宋体" w:cs="宋体"/>
          <w:color w:val="auto"/>
          <w:spacing w:val="12"/>
          <w:sz w:val="24"/>
          <w:highlight w:val="none"/>
        </w:rPr>
        <w:t xml:space="preserve">和</w:t>
      </w:r>
      <w:r>
        <w:rPr>
          <w:rFonts w:ascii="宋体" w:hAnsi="宋体" w:cs="宋体"/>
          <w:color w:val="auto"/>
          <w:spacing w:val="9"/>
          <w:sz w:val="24"/>
          <w:highlight w:val="none"/>
        </w:rPr>
        <w:t xml:space="preserve">技术服务业，水利、环境和公共设施管理业，居民服务、修理和其他服务业，社会</w:t>
      </w:r>
      <w:r>
        <w:rPr>
          <w:rFonts w:ascii="宋体" w:hAnsi="宋体" w:cs="宋体"/>
          <w:color w:val="auto"/>
          <w:spacing w:val="13"/>
          <w:sz w:val="24"/>
          <w:highlight w:val="none"/>
        </w:rPr>
        <w:t xml:space="preserve">工</w:t>
      </w:r>
      <w:r>
        <w:rPr>
          <w:rFonts w:ascii="宋体" w:hAnsi="宋体" w:cs="宋体"/>
          <w:color w:val="auto"/>
          <w:spacing w:val="8"/>
          <w:sz w:val="24"/>
          <w:highlight w:val="none"/>
        </w:rPr>
        <w:t xml:space="preserve">作，文化、体育和娱乐业等)。</w:t>
      </w:r>
      <w:r/>
    </w:p>
    <w:p>
      <w:pPr>
        <w:ind w:left="21"/>
        <w:spacing w:before="132" w:line="231" w:lineRule="auto"/>
        <w:widowControl/>
        <w:rPr>
          <w:rFonts w:hint="eastAsia" w:ascii="宋体" w:hAnsi="宋体" w:cs="宋体"/>
          <w:color w:val="auto"/>
          <w:sz w:val="24"/>
          <w:highlight w:val="none"/>
        </w:rPr>
      </w:pPr>
      <w:r>
        <w:rPr>
          <w:rFonts w:ascii="宋体" w:hAnsi="宋体" w:cs="宋体"/>
          <w:color w:val="auto"/>
          <w:spacing w:val="9"/>
          <w:sz w:val="24"/>
          <w:highlight w:val="none"/>
        </w:rPr>
        <w:t xml:space="preserve">四</w:t>
      </w:r>
      <w:r>
        <w:rPr>
          <w:rFonts w:ascii="宋体" w:hAnsi="宋体" w:cs="宋体"/>
          <w:color w:val="auto"/>
          <w:spacing w:val="6"/>
          <w:sz w:val="24"/>
          <w:highlight w:val="none"/>
        </w:rPr>
        <w:t xml:space="preserve">、各行业划型标准为：</w:t>
      </w:r>
      <w:r/>
    </w:p>
    <w:p>
      <w:pPr>
        <w:ind w:left="4" w:right="69" w:firstLine="7"/>
        <w:spacing w:before="129" w:line="310" w:lineRule="auto"/>
        <w:widowControl/>
        <w:rPr>
          <w:rFonts w:hint="eastAsia" w:ascii="宋体" w:hAnsi="宋体" w:cs="宋体"/>
          <w:color w:val="auto"/>
          <w:sz w:val="24"/>
          <w:highlight w:val="none"/>
        </w:rPr>
      </w:pPr>
      <w:r>
        <w:rPr>
          <w:rFonts w:hint="eastAsia" w:ascii="宋体" w:hAnsi="宋体" w:cs="宋体"/>
          <w:color w:val="auto"/>
          <w:spacing w:val="6"/>
          <w:sz w:val="24"/>
          <w:highlight w:val="none"/>
        </w:rPr>
        <w:t xml:space="preserve">（</w:t>
      </w:r>
      <w:r>
        <w:rPr>
          <w:rFonts w:ascii="宋体" w:hAnsi="宋体" w:cs="宋体"/>
          <w:color w:val="auto"/>
          <w:spacing w:val="6"/>
          <w:sz w:val="24"/>
          <w:highlight w:val="none"/>
        </w:rPr>
        <w:t xml:space="preserve">一</w:t>
      </w:r>
      <w:r>
        <w:rPr>
          <w:rFonts w:hint="eastAsia" w:ascii="宋体" w:hAnsi="宋体" w:cs="宋体"/>
          <w:color w:val="auto"/>
          <w:spacing w:val="6"/>
          <w:sz w:val="24"/>
          <w:highlight w:val="none"/>
        </w:rPr>
        <w:t xml:space="preserve">）</w:t>
      </w:r>
      <w:r>
        <w:rPr>
          <w:rFonts w:ascii="宋体" w:hAnsi="宋体" w:cs="宋体"/>
          <w:color w:val="auto"/>
          <w:spacing w:val="6"/>
          <w:sz w:val="24"/>
          <w:highlight w:val="none"/>
        </w:rPr>
        <w:t xml:space="preserve">农、林、牧、渔</w:t>
      </w:r>
      <w:r>
        <w:rPr>
          <w:rFonts w:ascii="宋体" w:hAnsi="宋体" w:cs="宋体"/>
          <w:color w:val="auto"/>
          <w:spacing w:val="3"/>
          <w:sz w:val="24"/>
          <w:highlight w:val="none"/>
        </w:rPr>
        <w:t xml:space="preserve">业。营业收入20000万元以下的为中小微型企业。其中，营业收入500</w:t>
      </w:r>
      <w:r>
        <w:rPr>
          <w:rFonts w:ascii="宋体" w:hAnsi="宋体" w:cs="宋体"/>
          <w:color w:val="auto"/>
          <w:spacing w:val="8"/>
          <w:sz w:val="24"/>
          <w:highlight w:val="none"/>
        </w:rPr>
        <w:t xml:space="preserve">万</w:t>
      </w:r>
      <w:r>
        <w:rPr>
          <w:rFonts w:ascii="宋体" w:hAnsi="宋体" w:cs="宋体"/>
          <w:color w:val="auto"/>
          <w:spacing w:val="7"/>
          <w:sz w:val="24"/>
          <w:highlight w:val="none"/>
        </w:rPr>
        <w:t xml:space="preserve">元</w:t>
      </w:r>
      <w:r>
        <w:rPr>
          <w:rFonts w:ascii="宋体" w:hAnsi="宋体" w:cs="宋体"/>
          <w:color w:val="auto"/>
          <w:spacing w:val="4"/>
          <w:sz w:val="24"/>
          <w:highlight w:val="none"/>
        </w:rPr>
        <w:t xml:space="preserve">及以上的为中型企业，营业收入50万元及以上的为小型企业，营业收入50万元以下的</w:t>
      </w:r>
      <w:r>
        <w:rPr>
          <w:rFonts w:ascii="宋体" w:hAnsi="宋体" w:cs="宋体"/>
          <w:color w:val="auto"/>
          <w:spacing w:val="8"/>
          <w:sz w:val="24"/>
          <w:highlight w:val="none"/>
        </w:rPr>
        <w:t xml:space="preserve">为</w:t>
      </w:r>
      <w:r>
        <w:rPr>
          <w:rFonts w:ascii="宋体" w:hAnsi="宋体" w:cs="宋体"/>
          <w:color w:val="auto"/>
          <w:spacing w:val="6"/>
          <w:sz w:val="24"/>
          <w:highlight w:val="none"/>
        </w:rPr>
        <w:t xml:space="preserve">微型企业。</w:t>
      </w:r>
      <w:r/>
    </w:p>
    <w:p>
      <w:pPr>
        <w:ind w:right="173"/>
        <w:spacing w:before="54" w:line="351" w:lineRule="auto"/>
        <w:widowControl/>
        <w:rPr>
          <w:rFonts w:hint="eastAsia" w:ascii="宋体" w:hAnsi="宋体" w:cs="宋体"/>
          <w:color w:val="auto"/>
          <w:spacing w:val="5"/>
          <w:sz w:val="24"/>
          <w:highlight w:val="none"/>
        </w:rPr>
      </w:pPr>
      <w:r>
        <w:rPr>
          <w:rFonts w:hint="eastAsia" w:ascii="宋体" w:hAnsi="宋体" w:cs="宋体"/>
          <w:color w:val="auto"/>
          <w:spacing w:val="6"/>
          <w:sz w:val="24"/>
          <w:highlight w:val="none"/>
        </w:rPr>
        <w:t xml:space="preserve">（</w:t>
      </w:r>
      <w:r>
        <w:rPr>
          <w:rFonts w:ascii="宋体" w:hAnsi="宋体" w:cs="宋体"/>
          <w:color w:val="auto"/>
          <w:spacing w:val="6"/>
          <w:sz w:val="24"/>
          <w:highlight w:val="none"/>
        </w:rPr>
        <w:t xml:space="preserve">二</w:t>
      </w:r>
      <w:r>
        <w:rPr>
          <w:rFonts w:hint="eastAsia" w:ascii="宋体" w:hAnsi="宋体" w:cs="宋体"/>
          <w:color w:val="auto"/>
          <w:spacing w:val="6"/>
          <w:sz w:val="24"/>
          <w:highlight w:val="none"/>
        </w:rPr>
        <w:t xml:space="preserve">）</w:t>
      </w:r>
      <w:r>
        <w:rPr>
          <w:rFonts w:ascii="宋体" w:hAnsi="宋体" w:cs="宋体"/>
          <w:color w:val="auto"/>
          <w:spacing w:val="6"/>
          <w:sz w:val="24"/>
          <w:highlight w:val="none"/>
        </w:rPr>
        <w:t xml:space="preserve">工业。从业人员1000人以下或营业收入40000万元以下的为中小微型企业。其中</w:t>
      </w:r>
      <w:r>
        <w:rPr>
          <w:rFonts w:ascii="宋体" w:hAnsi="宋体" w:cs="宋体"/>
          <w:color w:val="auto"/>
          <w:spacing w:val="3"/>
          <w:sz w:val="24"/>
          <w:highlight w:val="none"/>
        </w:rPr>
        <w:t xml:space="preserve">，</w:t>
      </w:r>
      <w:r>
        <w:rPr>
          <w:rFonts w:ascii="宋体" w:hAnsi="宋体" w:cs="宋体"/>
          <w:color w:val="auto"/>
          <w:sz w:val="24"/>
          <w:highlight w:val="none"/>
        </w:rPr>
        <w:t xml:space="preserve">从</w:t>
      </w:r>
      <w:r>
        <w:rPr>
          <w:rFonts w:ascii="宋体" w:hAnsi="宋体" w:cs="宋体"/>
          <w:color w:val="auto"/>
          <w:spacing w:val="2"/>
          <w:sz w:val="24"/>
          <w:highlight w:val="none"/>
        </w:rPr>
        <w:t xml:space="preserve">业人员300人及以上，且营业收入2000万元及以上的</w:t>
      </w:r>
      <w:r>
        <w:rPr>
          <w:rFonts w:ascii="宋体" w:hAnsi="宋体" w:cs="宋体"/>
          <w:color w:val="auto"/>
          <w:spacing w:val="1"/>
          <w:sz w:val="24"/>
          <w:highlight w:val="none"/>
        </w:rPr>
        <w:t xml:space="preserve">为中型企业；从业人员20人及以上，</w:t>
      </w:r>
      <w:r>
        <w:rPr>
          <w:rFonts w:ascii="宋体" w:hAnsi="宋体" w:cs="宋体"/>
          <w:color w:val="auto"/>
          <w:spacing w:val="2"/>
          <w:sz w:val="24"/>
          <w:highlight w:val="none"/>
        </w:rPr>
        <w:t xml:space="preserve">且营业收入300万元及以上的为小型企业；从业人员20人以下或营业收入300万元以</w:t>
      </w:r>
      <w:r>
        <w:rPr>
          <w:rFonts w:ascii="宋体" w:hAnsi="宋体" w:cs="宋体"/>
          <w:color w:val="auto"/>
          <w:sz w:val="24"/>
          <w:highlight w:val="none"/>
        </w:rPr>
        <w:t xml:space="preserve">下的为</w:t>
      </w:r>
      <w:r>
        <w:rPr>
          <w:rFonts w:ascii="宋体" w:hAnsi="宋体" w:cs="宋体"/>
          <w:color w:val="auto"/>
          <w:spacing w:val="6"/>
          <w:sz w:val="24"/>
          <w:highlight w:val="none"/>
        </w:rPr>
        <w:t xml:space="preserve">微型企业</w:t>
      </w:r>
      <w:r>
        <w:rPr>
          <w:rFonts w:ascii="宋体" w:hAnsi="宋体" w:cs="宋体"/>
          <w:color w:val="auto"/>
          <w:spacing w:val="5"/>
          <w:sz w:val="24"/>
          <w:highlight w:val="none"/>
        </w:rPr>
        <w:t xml:space="preserve">。</w:t>
      </w:r>
      <w:r/>
    </w:p>
    <w:p>
      <w:pPr>
        <w:ind w:right="173"/>
        <w:spacing w:before="54" w:line="351" w:lineRule="auto"/>
        <w:widowControl/>
        <w:rPr>
          <w:rFonts w:hint="eastAsia" w:ascii="宋体" w:hAnsi="宋体" w:cs="宋体"/>
          <w:color w:val="auto"/>
          <w:sz w:val="24"/>
          <w:highlight w:val="none"/>
        </w:rPr>
      </w:pPr>
      <w:r>
        <w:rPr>
          <w:rFonts w:hint="eastAsia" w:ascii="宋体" w:hAnsi="宋体" w:cs="宋体"/>
          <w:color w:val="auto"/>
          <w:spacing w:val="10"/>
          <w:sz w:val="24"/>
          <w:highlight w:val="none"/>
        </w:rPr>
        <w:t xml:space="preserve">（</w:t>
      </w:r>
      <w:r>
        <w:rPr>
          <w:rFonts w:ascii="宋体" w:hAnsi="宋体" w:cs="宋体"/>
          <w:color w:val="auto"/>
          <w:spacing w:val="10"/>
          <w:sz w:val="24"/>
          <w:highlight w:val="none"/>
        </w:rPr>
        <w:t xml:space="preserve">三</w:t>
      </w:r>
      <w:r>
        <w:rPr>
          <w:rFonts w:hint="eastAsia" w:ascii="宋体" w:hAnsi="宋体" w:cs="宋体"/>
          <w:color w:val="auto"/>
          <w:spacing w:val="10"/>
          <w:sz w:val="24"/>
          <w:highlight w:val="none"/>
        </w:rPr>
        <w:t xml:space="preserve">）</w:t>
      </w:r>
      <w:r>
        <w:rPr>
          <w:rFonts w:ascii="宋体" w:hAnsi="宋体" w:cs="宋体"/>
          <w:color w:val="auto"/>
          <w:spacing w:val="10"/>
          <w:sz w:val="24"/>
          <w:highlight w:val="none"/>
        </w:rPr>
        <w:t xml:space="preserve">建筑</w:t>
      </w:r>
      <w:r>
        <w:rPr>
          <w:rFonts w:ascii="宋体" w:hAnsi="宋体" w:cs="宋体"/>
          <w:color w:val="auto"/>
          <w:spacing w:val="9"/>
          <w:sz w:val="24"/>
          <w:highlight w:val="none"/>
        </w:rPr>
        <w:t xml:space="preserve">业</w:t>
      </w:r>
      <w:r>
        <w:rPr>
          <w:rFonts w:ascii="宋体" w:hAnsi="宋体" w:cs="宋体"/>
          <w:color w:val="auto"/>
          <w:spacing w:val="5"/>
          <w:sz w:val="24"/>
          <w:highlight w:val="none"/>
        </w:rPr>
        <w:t xml:space="preserve">。营业收入80000万元以下或资产总额80000万元以下的为中小微型企业。其</w:t>
      </w:r>
      <w:r>
        <w:rPr>
          <w:rFonts w:ascii="宋体" w:hAnsi="宋体" w:cs="宋体"/>
          <w:color w:val="auto"/>
          <w:spacing w:val="4"/>
          <w:sz w:val="24"/>
          <w:highlight w:val="none"/>
        </w:rPr>
        <w:t xml:space="preserve">中，营业收入6000万元及以上</w:t>
      </w:r>
      <w:r>
        <w:rPr>
          <w:rFonts w:ascii="宋体" w:hAnsi="宋体" w:cs="宋体"/>
          <w:color w:val="auto"/>
          <w:spacing w:val="3"/>
          <w:sz w:val="24"/>
          <w:highlight w:val="none"/>
        </w:rPr>
        <w:t xml:space="preserve">，</w:t>
      </w:r>
      <w:r>
        <w:rPr>
          <w:rFonts w:ascii="宋体" w:hAnsi="宋体" w:cs="宋体"/>
          <w:color w:val="auto"/>
          <w:spacing w:val="2"/>
          <w:sz w:val="24"/>
          <w:highlight w:val="none"/>
        </w:rPr>
        <w:t xml:space="preserve">且资产总额5000万元及以上的为中型企业；营业收入300</w:t>
      </w:r>
      <w:r>
        <w:rPr>
          <w:rFonts w:ascii="宋体" w:hAnsi="宋体" w:cs="宋体"/>
          <w:color w:val="auto"/>
          <w:spacing w:val="5"/>
          <w:sz w:val="24"/>
          <w:highlight w:val="none"/>
        </w:rPr>
        <w:t xml:space="preserve">万</w:t>
      </w:r>
      <w:r>
        <w:rPr>
          <w:rFonts w:ascii="宋体" w:hAnsi="宋体" w:cs="宋体"/>
          <w:color w:val="auto"/>
          <w:spacing w:val="4"/>
          <w:sz w:val="24"/>
          <w:highlight w:val="none"/>
        </w:rPr>
        <w:t xml:space="preserve">元及以上，且资产总额300万元及以上的为小型企业；营业收入300万元以下或资产总额</w:t>
      </w:r>
      <w:r>
        <w:rPr>
          <w:rFonts w:ascii="宋体" w:hAnsi="宋体" w:cs="宋体"/>
          <w:color w:val="auto"/>
          <w:spacing w:val="6"/>
          <w:sz w:val="24"/>
          <w:highlight w:val="none"/>
        </w:rPr>
        <w:t xml:space="preserve">30</w:t>
      </w:r>
      <w:r>
        <w:rPr>
          <w:rFonts w:ascii="宋体" w:hAnsi="宋体" w:cs="宋体"/>
          <w:color w:val="auto"/>
          <w:spacing w:val="4"/>
          <w:sz w:val="24"/>
          <w:highlight w:val="none"/>
        </w:rPr>
        <w:t xml:space="preserve">0</w:t>
      </w:r>
      <w:r>
        <w:rPr>
          <w:rFonts w:ascii="宋体" w:hAnsi="宋体" w:cs="宋体"/>
          <w:color w:val="auto"/>
          <w:spacing w:val="3"/>
          <w:sz w:val="24"/>
          <w:highlight w:val="none"/>
        </w:rPr>
        <w:t xml:space="preserve">万元以下的为微型企业。</w:t>
      </w:r>
      <w:r/>
    </w:p>
    <w:p>
      <w:pPr>
        <w:ind w:right="174" w:firstLine="10"/>
        <w:spacing w:before="2" w:line="350" w:lineRule="auto"/>
        <w:widowControl/>
        <w:rPr>
          <w:rFonts w:hint="eastAsia" w:ascii="宋体" w:hAnsi="宋体" w:cs="宋体"/>
          <w:color w:val="auto"/>
          <w:sz w:val="24"/>
          <w:highlight w:val="none"/>
        </w:rPr>
      </w:pPr>
      <w:r>
        <w:rPr>
          <w:rFonts w:ascii="宋体" w:hAnsi="宋体" w:cs="宋体"/>
          <w:color w:val="auto"/>
          <w:spacing w:val="6"/>
          <w:sz w:val="24"/>
          <w:highlight w:val="none"/>
        </w:rPr>
        <w:t xml:space="preserve"> </w:t>
      </w:r>
      <w:r>
        <w:rPr>
          <w:rFonts w:hint="eastAsia" w:ascii="宋体" w:hAnsi="宋体" w:cs="宋体"/>
          <w:color w:val="auto"/>
          <w:spacing w:val="6"/>
          <w:sz w:val="24"/>
          <w:highlight w:val="none"/>
        </w:rPr>
        <w:t xml:space="preserve">（</w:t>
      </w:r>
      <w:r>
        <w:rPr>
          <w:rFonts w:ascii="宋体" w:hAnsi="宋体" w:cs="宋体"/>
          <w:color w:val="auto"/>
          <w:spacing w:val="6"/>
          <w:sz w:val="24"/>
          <w:highlight w:val="none"/>
        </w:rPr>
        <w:t xml:space="preserve">四</w:t>
      </w:r>
      <w:r>
        <w:rPr>
          <w:rFonts w:hint="eastAsia" w:ascii="宋体" w:hAnsi="宋体" w:cs="宋体"/>
          <w:color w:val="auto"/>
          <w:spacing w:val="6"/>
          <w:sz w:val="24"/>
          <w:highlight w:val="none"/>
        </w:rPr>
        <w:t xml:space="preserve">）</w:t>
      </w:r>
      <w:r>
        <w:rPr>
          <w:rFonts w:ascii="宋体" w:hAnsi="宋体" w:cs="宋体"/>
          <w:color w:val="auto"/>
          <w:spacing w:val="6"/>
          <w:sz w:val="24"/>
          <w:highlight w:val="none"/>
        </w:rPr>
        <w:t xml:space="preserve">批发业。从业人员200人以下或营业收入40000万元以下的为中小微型企业。其</w:t>
      </w:r>
      <w:r>
        <w:rPr>
          <w:rFonts w:ascii="宋体" w:hAnsi="宋体" w:cs="宋体"/>
          <w:color w:val="auto"/>
          <w:spacing w:val="3"/>
          <w:sz w:val="24"/>
          <w:highlight w:val="none"/>
        </w:rPr>
        <w:t xml:space="preserve">中</w:t>
      </w:r>
      <w:r>
        <w:rPr>
          <w:rFonts w:ascii="宋体" w:hAnsi="宋体" w:cs="宋体"/>
          <w:color w:val="auto"/>
          <w:sz w:val="24"/>
          <w:highlight w:val="none"/>
        </w:rPr>
        <w:t xml:space="preserve">，</w:t>
      </w:r>
      <w:r>
        <w:rPr>
          <w:rFonts w:ascii="宋体" w:hAnsi="宋体" w:cs="宋体"/>
          <w:color w:val="auto"/>
          <w:spacing w:val="2"/>
          <w:sz w:val="24"/>
          <w:highlight w:val="none"/>
        </w:rPr>
        <w:t xml:space="preserve">从业人员20人及以上，且营业收入5000万元及以上的为中型企业；从业人员5人</w:t>
      </w:r>
      <w:r>
        <w:rPr>
          <w:rFonts w:ascii="宋体" w:hAnsi="宋体" w:cs="宋体"/>
          <w:color w:val="auto"/>
          <w:spacing w:val="1"/>
          <w:sz w:val="24"/>
          <w:highlight w:val="none"/>
        </w:rPr>
        <w:t xml:space="preserve">及</w:t>
      </w:r>
      <w:r>
        <w:rPr>
          <w:rFonts w:ascii="宋体" w:hAnsi="宋体" w:cs="宋体"/>
          <w:color w:val="auto"/>
          <w:sz w:val="24"/>
          <w:highlight w:val="none"/>
        </w:rPr>
        <w:t xml:space="preserve">以上，</w:t>
      </w:r>
      <w:r>
        <w:rPr>
          <w:rFonts w:ascii="宋体" w:hAnsi="宋体" w:cs="宋体"/>
          <w:color w:val="auto"/>
          <w:spacing w:val="2"/>
          <w:sz w:val="24"/>
          <w:highlight w:val="none"/>
        </w:rPr>
        <w:t xml:space="preserve">且营业收入1000万元及以上的为小型企业；从业人员5人以下或营业收入1000</w:t>
      </w:r>
      <w:r>
        <w:rPr>
          <w:rFonts w:ascii="宋体" w:hAnsi="宋体" w:cs="宋体"/>
          <w:color w:val="auto"/>
          <w:spacing w:val="1"/>
          <w:sz w:val="24"/>
          <w:highlight w:val="none"/>
        </w:rPr>
        <w:t xml:space="preserve">万</w:t>
      </w:r>
      <w:r>
        <w:rPr>
          <w:rFonts w:ascii="宋体" w:hAnsi="宋体" w:cs="宋体"/>
          <w:color w:val="auto"/>
          <w:sz w:val="24"/>
          <w:highlight w:val="none"/>
        </w:rPr>
        <w:t xml:space="preserve">元以下的</w:t>
      </w:r>
      <w:r>
        <w:rPr>
          <w:rFonts w:ascii="宋体" w:hAnsi="宋体" w:cs="宋体"/>
          <w:color w:val="auto"/>
          <w:spacing w:val="7"/>
          <w:sz w:val="24"/>
          <w:highlight w:val="none"/>
        </w:rPr>
        <w:t xml:space="preserve">为微型企业</w:t>
      </w:r>
      <w:r>
        <w:rPr>
          <w:rFonts w:ascii="宋体" w:hAnsi="宋体" w:cs="宋体"/>
          <w:color w:val="auto"/>
          <w:spacing w:val="5"/>
          <w:sz w:val="24"/>
          <w:highlight w:val="none"/>
        </w:rPr>
        <w:t xml:space="preserve">。</w:t>
      </w:r>
      <w:r/>
    </w:p>
    <w:p>
      <w:pPr>
        <w:ind w:right="70" w:firstLine="10"/>
        <w:spacing w:before="2" w:line="350" w:lineRule="auto"/>
        <w:widowControl/>
        <w:rPr>
          <w:rFonts w:hint="eastAsia" w:ascii="宋体" w:hAnsi="宋体" w:cs="宋体"/>
          <w:color w:val="auto"/>
          <w:sz w:val="24"/>
          <w:highlight w:val="none"/>
        </w:rPr>
      </w:pPr>
      <w:r>
        <w:rPr>
          <w:rFonts w:hint="eastAsia" w:ascii="宋体" w:hAnsi="宋体" w:cs="宋体"/>
          <w:color w:val="auto"/>
          <w:spacing w:val="12"/>
          <w:sz w:val="24"/>
          <w:highlight w:val="none"/>
        </w:rPr>
        <w:t xml:space="preserve">（</w:t>
      </w:r>
      <w:r>
        <w:rPr>
          <w:rFonts w:ascii="宋体" w:hAnsi="宋体" w:cs="宋体"/>
          <w:color w:val="auto"/>
          <w:spacing w:val="7"/>
          <w:sz w:val="24"/>
          <w:highlight w:val="none"/>
        </w:rPr>
        <w:t xml:space="preserve">五</w:t>
      </w:r>
      <w:r>
        <w:rPr>
          <w:rFonts w:hint="eastAsia" w:ascii="宋体" w:hAnsi="宋体" w:cs="宋体"/>
          <w:color w:val="auto"/>
          <w:spacing w:val="6"/>
          <w:sz w:val="24"/>
          <w:highlight w:val="none"/>
        </w:rPr>
        <w:t xml:space="preserve">）</w:t>
      </w:r>
      <w:r>
        <w:rPr>
          <w:rFonts w:ascii="宋体" w:hAnsi="宋体" w:cs="宋体"/>
          <w:color w:val="auto"/>
          <w:spacing w:val="6"/>
          <w:sz w:val="24"/>
          <w:highlight w:val="none"/>
        </w:rPr>
        <w:t xml:space="preserve">零售业。从业人员300人以下或营业收入20000万元以下的为中小微型企业。其中</w:t>
      </w:r>
      <w:r>
        <w:rPr>
          <w:rFonts w:hint="eastAsia" w:ascii="宋体" w:hAnsi="宋体" w:cs="宋体"/>
          <w:color w:val="auto"/>
          <w:spacing w:val="6"/>
          <w:sz w:val="24"/>
          <w:highlight w:val="none"/>
        </w:rPr>
        <w:t xml:space="preserve">，</w:t>
      </w:r>
      <w:r>
        <w:rPr>
          <w:rFonts w:ascii="宋体" w:hAnsi="宋体" w:cs="宋体"/>
          <w:color w:val="auto"/>
          <w:spacing w:val="4"/>
          <w:sz w:val="24"/>
          <w:highlight w:val="none"/>
        </w:rPr>
        <w:t xml:space="preserve">从业人员</w:t>
      </w:r>
      <w:r>
        <w:rPr>
          <w:rFonts w:ascii="宋体" w:hAnsi="宋体" w:cs="宋体"/>
          <w:color w:val="auto"/>
          <w:spacing w:val="2"/>
          <w:sz w:val="24"/>
          <w:highlight w:val="none"/>
        </w:rPr>
        <w:t xml:space="preserve">50人及以上，且营业收入500万元及以上的为中型企业；从业人员10人及以上，且营业收入100万元及以上的为小型企业；从业人员10人以下或营业收入100万元以</w:t>
      </w:r>
      <w:r>
        <w:rPr>
          <w:rFonts w:ascii="宋体" w:hAnsi="宋体" w:cs="宋体"/>
          <w:color w:val="auto"/>
          <w:sz w:val="24"/>
          <w:highlight w:val="none"/>
        </w:rPr>
        <w:t xml:space="preserve">下的为</w:t>
      </w:r>
      <w:r>
        <w:rPr>
          <w:rFonts w:ascii="宋体" w:hAnsi="宋体" w:cs="宋体"/>
          <w:color w:val="auto"/>
          <w:spacing w:val="6"/>
          <w:sz w:val="24"/>
          <w:highlight w:val="none"/>
        </w:rPr>
        <w:t xml:space="preserve">微型企业</w:t>
      </w:r>
      <w:r>
        <w:rPr>
          <w:rFonts w:ascii="宋体" w:hAnsi="宋体" w:cs="宋体"/>
          <w:color w:val="auto"/>
          <w:spacing w:val="5"/>
          <w:sz w:val="24"/>
          <w:highlight w:val="none"/>
        </w:rPr>
        <w:t xml:space="preserve">。</w:t>
      </w:r>
      <w:r/>
    </w:p>
    <w:p>
      <w:pPr>
        <w:ind w:left="7" w:right="68" w:firstLine="3"/>
        <w:spacing w:line="351" w:lineRule="auto"/>
        <w:widowControl/>
        <w:rPr>
          <w:rFonts w:hint="eastAsia" w:ascii="宋体" w:hAnsi="宋体" w:cs="宋体"/>
          <w:color w:val="auto"/>
          <w:sz w:val="24"/>
          <w:highlight w:val="none"/>
        </w:rPr>
      </w:pPr>
      <w:r>
        <w:rPr>
          <w:rFonts w:hint="eastAsia" w:ascii="宋体" w:hAnsi="宋体" w:cs="宋体"/>
          <w:color w:val="auto"/>
          <w:spacing w:val="6"/>
          <w:sz w:val="24"/>
          <w:highlight w:val="none"/>
        </w:rPr>
        <w:t xml:space="preserve">（</w:t>
      </w:r>
      <w:r>
        <w:rPr>
          <w:rFonts w:ascii="宋体" w:hAnsi="宋体" w:cs="宋体"/>
          <w:color w:val="auto"/>
          <w:spacing w:val="6"/>
          <w:sz w:val="24"/>
          <w:highlight w:val="none"/>
        </w:rPr>
        <w:t xml:space="preserve">六</w:t>
      </w:r>
      <w:r>
        <w:rPr>
          <w:rFonts w:hint="eastAsia" w:ascii="宋体" w:hAnsi="宋体" w:cs="宋体"/>
          <w:color w:val="auto"/>
          <w:spacing w:val="6"/>
          <w:sz w:val="24"/>
          <w:highlight w:val="none"/>
        </w:rPr>
        <w:t xml:space="preserve">）</w:t>
      </w:r>
      <w:r>
        <w:rPr>
          <w:rFonts w:ascii="宋体" w:hAnsi="宋体" w:cs="宋体"/>
          <w:color w:val="auto"/>
          <w:spacing w:val="6"/>
          <w:sz w:val="24"/>
          <w:highlight w:val="none"/>
        </w:rPr>
        <w:t xml:space="preserve">交通运输业。从业人员1000人以下或营业收入30000万元以下的为中小微型企业</w:t>
      </w:r>
      <w:r>
        <w:rPr>
          <w:rFonts w:ascii="宋体" w:hAnsi="宋体" w:cs="宋体"/>
          <w:color w:val="auto"/>
          <w:spacing w:val="3"/>
          <w:sz w:val="24"/>
          <w:highlight w:val="none"/>
        </w:rPr>
        <w:t xml:space="preserve">。</w:t>
      </w:r>
      <w:r>
        <w:rPr>
          <w:rFonts w:ascii="宋体" w:hAnsi="宋体" w:cs="宋体"/>
          <w:color w:val="auto"/>
          <w:sz w:val="24"/>
          <w:highlight w:val="none"/>
        </w:rPr>
        <w:t xml:space="preserve">其</w:t>
      </w:r>
      <w:r>
        <w:rPr>
          <w:rFonts w:ascii="宋体" w:hAnsi="宋体" w:cs="宋体"/>
          <w:color w:val="auto"/>
          <w:spacing w:val="2"/>
          <w:sz w:val="24"/>
          <w:highlight w:val="none"/>
        </w:rPr>
        <w:t xml:space="preserve">中，从业人员300人及以上，且营业收入3000万元及以上的为</w:t>
      </w:r>
      <w:r>
        <w:rPr>
          <w:rFonts w:ascii="宋体" w:hAnsi="宋体" w:cs="宋体"/>
          <w:color w:val="auto"/>
          <w:spacing w:val="1"/>
          <w:sz w:val="24"/>
          <w:highlight w:val="none"/>
        </w:rPr>
        <w:t xml:space="preserve">中型企业；从业人员20人及</w:t>
      </w:r>
      <w:r>
        <w:rPr>
          <w:rFonts w:ascii="宋体" w:hAnsi="宋体" w:cs="宋体"/>
          <w:color w:val="auto"/>
          <w:spacing w:val="2"/>
          <w:sz w:val="24"/>
          <w:highlight w:val="none"/>
        </w:rPr>
        <w:t xml:space="preserve">以上，且营业收入200万元及以上的为小型企业；从业人员20人以下或营业收入20</w:t>
      </w:r>
      <w:r>
        <w:rPr>
          <w:rFonts w:ascii="宋体" w:hAnsi="宋体" w:cs="宋体"/>
          <w:color w:val="auto"/>
          <w:sz w:val="24"/>
          <w:highlight w:val="none"/>
        </w:rPr>
        <w:t xml:space="preserve">0万元以</w:t>
      </w:r>
      <w:r>
        <w:rPr>
          <w:rFonts w:ascii="宋体" w:hAnsi="宋体" w:cs="宋体"/>
          <w:color w:val="auto"/>
          <w:spacing w:val="12"/>
          <w:sz w:val="24"/>
          <w:highlight w:val="none"/>
        </w:rPr>
        <w:t xml:space="preserve">下</w:t>
      </w:r>
      <w:r>
        <w:rPr>
          <w:rFonts w:ascii="宋体" w:hAnsi="宋体" w:cs="宋体"/>
          <w:color w:val="auto"/>
          <w:spacing w:val="6"/>
          <w:sz w:val="24"/>
          <w:highlight w:val="none"/>
        </w:rPr>
        <w:t xml:space="preserve">的为微型企业。</w:t>
      </w:r>
      <w:r/>
    </w:p>
    <w:p>
      <w:pPr>
        <w:ind w:right="16" w:firstLine="10"/>
        <w:spacing w:before="2" w:line="350" w:lineRule="auto"/>
        <w:widowControl/>
        <w:rPr>
          <w:rFonts w:hint="eastAsia" w:ascii="宋体" w:hAnsi="宋体" w:cs="宋体"/>
          <w:color w:val="auto"/>
          <w:sz w:val="24"/>
          <w:highlight w:val="none"/>
        </w:rPr>
      </w:pPr>
      <w:r>
        <w:rPr>
          <w:rFonts w:hint="eastAsia" w:ascii="宋体" w:hAnsi="宋体" w:cs="宋体"/>
          <w:color w:val="auto"/>
          <w:spacing w:val="12"/>
          <w:sz w:val="24"/>
          <w:highlight w:val="none"/>
        </w:rPr>
        <w:t xml:space="preserve">（</w:t>
      </w:r>
      <w:r>
        <w:rPr>
          <w:rFonts w:ascii="宋体" w:hAnsi="宋体" w:cs="宋体"/>
          <w:color w:val="auto"/>
          <w:spacing w:val="7"/>
          <w:sz w:val="24"/>
          <w:highlight w:val="none"/>
        </w:rPr>
        <w:t xml:space="preserve">七</w:t>
      </w:r>
      <w:r>
        <w:rPr>
          <w:rFonts w:hint="eastAsia" w:ascii="宋体" w:hAnsi="宋体" w:cs="宋体"/>
          <w:color w:val="auto"/>
          <w:spacing w:val="6"/>
          <w:sz w:val="24"/>
          <w:highlight w:val="none"/>
        </w:rPr>
        <w:t xml:space="preserve">）</w:t>
      </w:r>
      <w:r>
        <w:rPr>
          <w:rFonts w:ascii="宋体" w:hAnsi="宋体" w:cs="宋体"/>
          <w:color w:val="auto"/>
          <w:spacing w:val="6"/>
          <w:sz w:val="24"/>
          <w:highlight w:val="none"/>
        </w:rPr>
        <w:t xml:space="preserve">仓储业。从业人员200人以下或营业收入30000万元以下的为中小微型企业。其中，</w:t>
      </w:r>
      <w:r>
        <w:rPr>
          <w:rFonts w:ascii="宋体" w:hAnsi="宋体" w:cs="宋体"/>
          <w:color w:val="auto"/>
          <w:spacing w:val="1"/>
          <w:sz w:val="24"/>
          <w:highlight w:val="none"/>
        </w:rPr>
        <w:t xml:space="preserve">从业人员100人及以上，且营业收入1000万元及以上的为中型企业；从业人员20人及</w:t>
      </w:r>
      <w:r>
        <w:rPr>
          <w:rFonts w:ascii="宋体" w:hAnsi="宋体" w:cs="宋体"/>
          <w:color w:val="auto"/>
          <w:sz w:val="24"/>
          <w:highlight w:val="none"/>
        </w:rPr>
        <w:t xml:space="preserve">以上，</w:t>
      </w:r>
      <w:r>
        <w:rPr>
          <w:rFonts w:ascii="宋体" w:hAnsi="宋体" w:cs="宋体"/>
          <w:color w:val="auto"/>
          <w:spacing w:val="2"/>
          <w:sz w:val="24"/>
          <w:highlight w:val="none"/>
        </w:rPr>
        <w:t xml:space="preserve">且营业收入 100万元及以上的为小型企业；从业人员20人以下或营业收入100万元以</w:t>
      </w:r>
      <w:r>
        <w:rPr>
          <w:rFonts w:ascii="宋体" w:hAnsi="宋体" w:cs="宋体"/>
          <w:color w:val="auto"/>
          <w:sz w:val="24"/>
          <w:highlight w:val="none"/>
        </w:rPr>
        <w:t xml:space="preserve">下的为</w:t>
      </w:r>
      <w:r>
        <w:rPr>
          <w:rFonts w:ascii="宋体" w:hAnsi="宋体" w:cs="宋体"/>
          <w:color w:val="auto"/>
          <w:spacing w:val="6"/>
          <w:sz w:val="24"/>
          <w:highlight w:val="none"/>
        </w:rPr>
        <w:t xml:space="preserve">微型企业</w:t>
      </w:r>
      <w:r>
        <w:rPr>
          <w:rFonts w:ascii="宋体" w:hAnsi="宋体" w:cs="宋体"/>
          <w:color w:val="auto"/>
          <w:spacing w:val="5"/>
          <w:sz w:val="24"/>
          <w:highlight w:val="none"/>
        </w:rPr>
        <w:t xml:space="preserve">。</w:t>
      </w:r>
      <w:r/>
    </w:p>
    <w:p>
      <w:pPr>
        <w:ind w:right="16" w:firstLine="10"/>
        <w:spacing w:before="2" w:line="350" w:lineRule="auto"/>
        <w:widowControl/>
        <w:rPr>
          <w:rFonts w:hint="eastAsia" w:ascii="宋体" w:hAnsi="宋体" w:cs="宋体"/>
          <w:color w:val="auto"/>
          <w:sz w:val="24"/>
          <w:highlight w:val="none"/>
        </w:rPr>
      </w:pPr>
      <w:r>
        <w:rPr>
          <w:rFonts w:hint="eastAsia" w:ascii="宋体" w:hAnsi="宋体" w:cs="宋体"/>
          <w:color w:val="auto"/>
          <w:spacing w:val="12"/>
          <w:sz w:val="24"/>
          <w:highlight w:val="none"/>
        </w:rPr>
        <w:t xml:space="preserve">（</w:t>
      </w:r>
      <w:r>
        <w:rPr>
          <w:rFonts w:ascii="宋体" w:hAnsi="宋体" w:cs="宋体"/>
          <w:color w:val="auto"/>
          <w:spacing w:val="7"/>
          <w:sz w:val="24"/>
          <w:highlight w:val="none"/>
        </w:rPr>
        <w:t xml:space="preserve">八</w:t>
      </w:r>
      <w:r>
        <w:rPr>
          <w:rFonts w:hint="eastAsia" w:ascii="宋体" w:hAnsi="宋体" w:cs="宋体"/>
          <w:color w:val="auto"/>
          <w:spacing w:val="6"/>
          <w:sz w:val="24"/>
          <w:highlight w:val="none"/>
        </w:rPr>
        <w:t xml:space="preserve">）</w:t>
      </w:r>
      <w:r>
        <w:rPr>
          <w:rFonts w:ascii="宋体" w:hAnsi="宋体" w:cs="宋体"/>
          <w:color w:val="auto"/>
          <w:spacing w:val="6"/>
          <w:sz w:val="24"/>
          <w:highlight w:val="none"/>
        </w:rPr>
        <w:t xml:space="preserve">邮政业。从业人员1000人以下或营业收入30000万元以下的为中小微型企业。其中</w:t>
      </w:r>
      <w:r>
        <w:rPr>
          <w:rFonts w:hint="eastAsia" w:ascii="宋体" w:hAnsi="宋体" w:cs="宋体"/>
          <w:color w:val="auto"/>
          <w:spacing w:val="6"/>
          <w:sz w:val="24"/>
          <w:highlight w:val="none"/>
        </w:rPr>
        <w:t xml:space="preserve">，</w:t>
      </w:r>
      <w:r>
        <w:rPr>
          <w:rFonts w:ascii="宋体" w:hAnsi="宋体" w:cs="宋体"/>
          <w:color w:val="auto"/>
          <w:spacing w:val="1"/>
          <w:sz w:val="24"/>
          <w:highlight w:val="none"/>
        </w:rPr>
        <w:t xml:space="preserve">从业人员300人及以上，且营业收入2000万元及以上的为中型企业；从业人员20人及</w:t>
      </w:r>
      <w:r>
        <w:rPr>
          <w:rFonts w:ascii="宋体" w:hAnsi="宋体" w:cs="宋体"/>
          <w:color w:val="auto"/>
          <w:sz w:val="24"/>
          <w:highlight w:val="none"/>
        </w:rPr>
        <w:t xml:space="preserve">以上</w:t>
      </w:r>
      <w:r>
        <w:rPr>
          <w:rFonts w:hint="eastAsia" w:ascii="宋体" w:hAnsi="宋体" w:cs="宋体"/>
          <w:color w:val="auto"/>
          <w:sz w:val="24"/>
          <w:highlight w:val="none"/>
        </w:rPr>
        <w:t xml:space="preserve">，</w:t>
      </w:r>
      <w:r>
        <w:rPr>
          <w:rFonts w:ascii="宋体" w:hAnsi="宋体" w:cs="宋体"/>
          <w:color w:val="auto"/>
          <w:spacing w:val="2"/>
          <w:sz w:val="24"/>
          <w:highlight w:val="none"/>
        </w:rPr>
        <w:t xml:space="preserve">且营业收入100万元及以上的为小型企业；从业人员20人以下或营业收入100万元以</w:t>
      </w:r>
      <w:r>
        <w:rPr>
          <w:rFonts w:ascii="宋体" w:hAnsi="宋体" w:cs="宋体"/>
          <w:color w:val="auto"/>
          <w:sz w:val="24"/>
          <w:highlight w:val="none"/>
        </w:rPr>
        <w:t xml:space="preserve">下的为</w:t>
      </w:r>
      <w:r>
        <w:rPr>
          <w:rFonts w:ascii="宋体" w:hAnsi="宋体" w:cs="宋体"/>
          <w:color w:val="auto"/>
          <w:spacing w:val="6"/>
          <w:sz w:val="24"/>
          <w:highlight w:val="none"/>
        </w:rPr>
        <w:t xml:space="preserve">微型企业</w:t>
      </w:r>
      <w:r>
        <w:rPr>
          <w:rFonts w:ascii="宋体" w:hAnsi="宋体" w:cs="宋体"/>
          <w:color w:val="auto"/>
          <w:spacing w:val="5"/>
          <w:sz w:val="24"/>
          <w:highlight w:val="none"/>
        </w:rPr>
        <w:t xml:space="preserve">。</w:t>
      </w:r>
      <w:r/>
    </w:p>
    <w:p>
      <w:pPr>
        <w:ind w:right="16" w:firstLine="10"/>
        <w:spacing w:before="1" w:line="351" w:lineRule="auto"/>
        <w:widowControl/>
        <w:rPr>
          <w:rFonts w:hint="eastAsia" w:ascii="宋体" w:hAnsi="宋体" w:cs="宋体"/>
          <w:color w:val="auto"/>
          <w:sz w:val="24"/>
          <w:highlight w:val="none"/>
        </w:rPr>
      </w:pPr>
      <w:r>
        <w:rPr>
          <w:rFonts w:hint="eastAsia" w:ascii="宋体" w:hAnsi="宋体" w:cs="宋体"/>
          <w:color w:val="auto"/>
          <w:spacing w:val="12"/>
          <w:sz w:val="24"/>
          <w:highlight w:val="none"/>
        </w:rPr>
        <w:t xml:space="preserve">（</w:t>
      </w:r>
      <w:r>
        <w:rPr>
          <w:rFonts w:ascii="宋体" w:hAnsi="宋体" w:cs="宋体"/>
          <w:color w:val="auto"/>
          <w:spacing w:val="7"/>
          <w:sz w:val="24"/>
          <w:highlight w:val="none"/>
        </w:rPr>
        <w:t xml:space="preserve">九</w:t>
      </w:r>
      <w:r>
        <w:rPr>
          <w:rFonts w:hint="eastAsia" w:ascii="宋体" w:hAnsi="宋体" w:cs="宋体"/>
          <w:color w:val="auto"/>
          <w:spacing w:val="6"/>
          <w:sz w:val="24"/>
          <w:highlight w:val="none"/>
        </w:rPr>
        <w:t xml:space="preserve">）</w:t>
      </w:r>
      <w:r>
        <w:rPr>
          <w:rFonts w:ascii="宋体" w:hAnsi="宋体" w:cs="宋体"/>
          <w:color w:val="auto"/>
          <w:spacing w:val="6"/>
          <w:sz w:val="24"/>
          <w:highlight w:val="none"/>
        </w:rPr>
        <w:t xml:space="preserve">住宿业。从业人员300人以下或营业收入10000万元以下的为中小微型企业。其中</w:t>
      </w:r>
      <w:r>
        <w:rPr>
          <w:rFonts w:hint="eastAsia" w:ascii="宋体" w:hAnsi="宋体" w:cs="宋体"/>
          <w:color w:val="auto"/>
          <w:spacing w:val="6"/>
          <w:sz w:val="24"/>
          <w:highlight w:val="none"/>
        </w:rPr>
        <w:t xml:space="preserve">，</w:t>
      </w:r>
      <w:r>
        <w:rPr>
          <w:rFonts w:ascii="宋体" w:hAnsi="宋体" w:cs="宋体"/>
          <w:color w:val="auto"/>
          <w:spacing w:val="1"/>
          <w:sz w:val="24"/>
          <w:highlight w:val="none"/>
        </w:rPr>
        <w:t xml:space="preserve">从业人员100人及以上，且营业收入2000万元及以上的为中型企业；从业人员10人及</w:t>
      </w:r>
      <w:r>
        <w:rPr>
          <w:rFonts w:ascii="宋体" w:hAnsi="宋体" w:cs="宋体"/>
          <w:color w:val="auto"/>
          <w:sz w:val="24"/>
          <w:highlight w:val="none"/>
        </w:rPr>
        <w:t xml:space="preserve">以上，</w:t>
      </w:r>
      <w:r>
        <w:rPr>
          <w:rFonts w:ascii="宋体" w:hAnsi="宋体" w:cs="宋体"/>
          <w:color w:val="auto"/>
          <w:spacing w:val="2"/>
          <w:sz w:val="24"/>
          <w:highlight w:val="none"/>
        </w:rPr>
        <w:t xml:space="preserve">且营业收入100万元及以上的为小型企业；从业人员10人以下或营业收入100万元以</w:t>
      </w:r>
      <w:r>
        <w:rPr>
          <w:rFonts w:ascii="宋体" w:hAnsi="宋体" w:cs="宋体"/>
          <w:color w:val="auto"/>
          <w:sz w:val="24"/>
          <w:highlight w:val="none"/>
        </w:rPr>
        <w:t xml:space="preserve">下的为</w:t>
      </w:r>
      <w:r>
        <w:rPr>
          <w:rFonts w:ascii="宋体" w:hAnsi="宋体" w:cs="宋体"/>
          <w:color w:val="auto"/>
          <w:spacing w:val="6"/>
          <w:sz w:val="24"/>
          <w:highlight w:val="none"/>
        </w:rPr>
        <w:t xml:space="preserve">微型企业</w:t>
      </w:r>
      <w:r>
        <w:rPr>
          <w:rFonts w:ascii="宋体" w:hAnsi="宋体" w:cs="宋体"/>
          <w:color w:val="auto"/>
          <w:spacing w:val="5"/>
          <w:sz w:val="24"/>
          <w:highlight w:val="none"/>
        </w:rPr>
        <w:t xml:space="preserve">。</w:t>
      </w:r>
      <w:r/>
    </w:p>
    <w:p>
      <w:pPr>
        <w:ind w:right="16" w:firstLine="10"/>
        <w:spacing w:before="2" w:line="350" w:lineRule="auto"/>
        <w:widowControl/>
        <w:rPr>
          <w:rFonts w:hint="eastAsia" w:ascii="宋体" w:hAnsi="宋体" w:cs="宋体"/>
          <w:color w:val="auto"/>
          <w:sz w:val="24"/>
          <w:highlight w:val="none"/>
        </w:rPr>
      </w:pPr>
      <w:r>
        <w:rPr>
          <w:rFonts w:hint="eastAsia" w:ascii="宋体" w:hAnsi="宋体" w:cs="宋体"/>
          <w:color w:val="auto"/>
          <w:spacing w:val="12"/>
          <w:sz w:val="24"/>
          <w:highlight w:val="none"/>
        </w:rPr>
        <w:t xml:space="preserve">（</w:t>
      </w:r>
      <w:r>
        <w:rPr>
          <w:rFonts w:ascii="宋体" w:hAnsi="宋体" w:cs="宋体"/>
          <w:color w:val="auto"/>
          <w:spacing w:val="7"/>
          <w:sz w:val="24"/>
          <w:highlight w:val="none"/>
        </w:rPr>
        <w:t xml:space="preserve">十</w:t>
      </w:r>
      <w:r>
        <w:rPr>
          <w:rFonts w:hint="eastAsia" w:ascii="宋体" w:hAnsi="宋体" w:cs="宋体"/>
          <w:color w:val="auto"/>
          <w:spacing w:val="6"/>
          <w:sz w:val="24"/>
          <w:highlight w:val="none"/>
        </w:rPr>
        <w:t xml:space="preserve">）</w:t>
      </w:r>
      <w:r>
        <w:rPr>
          <w:rFonts w:ascii="宋体" w:hAnsi="宋体" w:cs="宋体"/>
          <w:color w:val="auto"/>
          <w:spacing w:val="6"/>
          <w:sz w:val="24"/>
          <w:highlight w:val="none"/>
        </w:rPr>
        <w:t xml:space="preserve">餐饮业。从业人员300人以下或营业收入10000万元以下的为中小微型企业。其中，</w:t>
      </w:r>
      <w:r>
        <w:rPr>
          <w:rFonts w:ascii="宋体" w:hAnsi="宋体" w:cs="宋体"/>
          <w:color w:val="auto"/>
          <w:spacing w:val="1"/>
          <w:sz w:val="24"/>
          <w:highlight w:val="none"/>
        </w:rPr>
        <w:t xml:space="preserve">从业人员100人及以上，且营业收入2000万元及以上的为中型企业；从业人员10人及</w:t>
      </w:r>
      <w:r>
        <w:rPr>
          <w:rFonts w:ascii="宋体" w:hAnsi="宋体" w:cs="宋体"/>
          <w:color w:val="auto"/>
          <w:sz w:val="24"/>
          <w:highlight w:val="none"/>
        </w:rPr>
        <w:t xml:space="preserve">以上，</w:t>
      </w:r>
      <w:r>
        <w:rPr>
          <w:rFonts w:ascii="宋体" w:hAnsi="宋体" w:cs="宋体"/>
          <w:color w:val="auto"/>
          <w:spacing w:val="2"/>
          <w:sz w:val="24"/>
          <w:highlight w:val="none"/>
        </w:rPr>
        <w:t xml:space="preserve">且营业收入100万元及以上的为小型企业；从业人员10人以下或营业收入100万元以</w:t>
      </w:r>
      <w:r>
        <w:rPr>
          <w:rFonts w:ascii="宋体" w:hAnsi="宋体" w:cs="宋体"/>
          <w:color w:val="auto"/>
          <w:sz w:val="24"/>
          <w:highlight w:val="none"/>
        </w:rPr>
        <w:t xml:space="preserve">下的为</w:t>
      </w:r>
      <w:r>
        <w:rPr>
          <w:rFonts w:ascii="宋体" w:hAnsi="宋体" w:cs="宋体"/>
          <w:color w:val="auto"/>
          <w:spacing w:val="6"/>
          <w:sz w:val="24"/>
          <w:highlight w:val="none"/>
        </w:rPr>
        <w:t xml:space="preserve">微型企业</w:t>
      </w:r>
      <w:r>
        <w:rPr>
          <w:rFonts w:ascii="宋体" w:hAnsi="宋体" w:cs="宋体"/>
          <w:color w:val="auto"/>
          <w:spacing w:val="5"/>
          <w:sz w:val="24"/>
          <w:highlight w:val="none"/>
        </w:rPr>
        <w:t xml:space="preserve">。</w:t>
      </w:r>
      <w:r/>
    </w:p>
    <w:p>
      <w:pPr>
        <w:ind w:firstLine="10"/>
        <w:spacing w:before="3" w:line="355" w:lineRule="auto"/>
        <w:widowControl/>
        <w:rPr>
          <w:rFonts w:hint="eastAsia" w:ascii="宋体" w:hAnsi="宋体" w:cs="宋体"/>
          <w:color w:val="auto"/>
          <w:sz w:val="24"/>
          <w:highlight w:val="none"/>
        </w:rPr>
      </w:pPr>
      <w:r>
        <w:rPr>
          <w:rFonts w:hint="eastAsia" w:ascii="宋体" w:hAnsi="宋体" w:cs="宋体"/>
          <w:color w:val="auto"/>
          <w:spacing w:val="8"/>
          <w:sz w:val="24"/>
          <w:highlight w:val="none"/>
        </w:rPr>
        <w:t xml:space="preserve">（</w:t>
      </w:r>
      <w:r>
        <w:rPr>
          <w:rFonts w:ascii="宋体" w:hAnsi="宋体" w:cs="宋体"/>
          <w:color w:val="auto"/>
          <w:spacing w:val="5"/>
          <w:sz w:val="24"/>
          <w:highlight w:val="none"/>
        </w:rPr>
        <w:t xml:space="preserve">十一</w:t>
      </w:r>
      <w:r>
        <w:rPr>
          <w:rFonts w:hint="eastAsia" w:ascii="宋体" w:hAnsi="宋体" w:cs="宋体"/>
          <w:color w:val="auto"/>
          <w:spacing w:val="5"/>
          <w:sz w:val="24"/>
          <w:highlight w:val="none"/>
        </w:rPr>
        <w:t xml:space="preserve">）</w:t>
      </w:r>
      <w:r>
        <w:rPr>
          <w:rFonts w:ascii="宋体" w:hAnsi="宋体" w:cs="宋体"/>
          <w:color w:val="auto"/>
          <w:spacing w:val="5"/>
          <w:sz w:val="24"/>
          <w:highlight w:val="none"/>
        </w:rPr>
        <w:t xml:space="preserve">信息传输业。从业人员2000人以下或营业收入100000万元以下的为中小微型企业。</w:t>
      </w:r>
      <w:r>
        <w:rPr>
          <w:rFonts w:ascii="宋体" w:hAnsi="宋体" w:cs="宋体"/>
          <w:color w:val="auto"/>
          <w:spacing w:val="2"/>
          <w:sz w:val="24"/>
          <w:highlight w:val="none"/>
        </w:rPr>
        <w:t xml:space="preserve">其中，从业人员100人及以上，且营业收入1000万元及以上的为中型企业；从业人员</w:t>
      </w:r>
      <w:r>
        <w:rPr>
          <w:rFonts w:ascii="宋体" w:hAnsi="宋体" w:cs="宋体"/>
          <w:color w:val="auto"/>
          <w:sz w:val="24"/>
          <w:highlight w:val="none"/>
        </w:rPr>
        <w:t xml:space="preserve">10人</w:t>
      </w:r>
      <w:r>
        <w:rPr>
          <w:rFonts w:ascii="宋体" w:hAnsi="宋体" w:cs="宋体"/>
          <w:color w:val="auto"/>
          <w:spacing w:val="2"/>
          <w:sz w:val="24"/>
          <w:highlight w:val="none"/>
        </w:rPr>
        <w:t xml:space="preserve">及以上，且营业收入100万元及以上的为小型企业；从业人员10人以下或营业收入100</w:t>
      </w:r>
      <w:r>
        <w:rPr>
          <w:rFonts w:ascii="宋体" w:hAnsi="宋体" w:cs="宋体"/>
          <w:color w:val="auto"/>
          <w:sz w:val="24"/>
          <w:highlight w:val="none"/>
        </w:rPr>
        <w:t xml:space="preserve">万元</w:t>
      </w:r>
      <w:r>
        <w:rPr>
          <w:rFonts w:ascii="宋体" w:hAnsi="宋体" w:cs="宋体"/>
          <w:color w:val="auto"/>
          <w:spacing w:val="8"/>
          <w:sz w:val="24"/>
          <w:highlight w:val="none"/>
        </w:rPr>
        <w:t xml:space="preserve">以下的为微型企业</w:t>
      </w:r>
      <w:r>
        <w:rPr>
          <w:rFonts w:ascii="宋体" w:hAnsi="宋体" w:cs="宋体"/>
          <w:color w:val="auto"/>
          <w:spacing w:val="6"/>
          <w:sz w:val="24"/>
          <w:highlight w:val="none"/>
        </w:rPr>
        <w:t xml:space="preserve">。</w:t>
      </w:r>
      <w:r/>
    </w:p>
    <w:p>
      <w:pPr>
        <w:ind w:firstLine="10"/>
        <w:spacing w:before="54" w:line="351" w:lineRule="auto"/>
        <w:widowControl/>
        <w:rPr>
          <w:rFonts w:hint="eastAsia" w:ascii="宋体" w:hAnsi="宋体" w:cs="宋体"/>
          <w:color w:val="auto"/>
          <w:sz w:val="24"/>
          <w:highlight w:val="none"/>
        </w:rPr>
      </w:pPr>
      <w:r>
        <w:rPr>
          <w:rFonts w:hint="eastAsia" w:ascii="宋体" w:hAnsi="宋体" w:cs="宋体"/>
          <w:color w:val="auto"/>
          <w:spacing w:val="6"/>
          <w:sz w:val="24"/>
          <w:highlight w:val="none"/>
        </w:rPr>
        <w:t xml:space="preserve">（</w:t>
      </w:r>
      <w:r>
        <w:rPr>
          <w:rFonts w:ascii="宋体" w:hAnsi="宋体" w:cs="宋体"/>
          <w:color w:val="auto"/>
          <w:spacing w:val="6"/>
          <w:sz w:val="24"/>
          <w:highlight w:val="none"/>
        </w:rPr>
        <w:t xml:space="preserve">十二</w:t>
      </w:r>
      <w:r>
        <w:rPr>
          <w:rFonts w:hint="eastAsia" w:ascii="宋体" w:hAnsi="宋体" w:cs="宋体"/>
          <w:color w:val="auto"/>
          <w:spacing w:val="6"/>
          <w:sz w:val="24"/>
          <w:highlight w:val="none"/>
        </w:rPr>
        <w:t xml:space="preserve">）</w:t>
      </w:r>
      <w:r>
        <w:rPr>
          <w:rFonts w:ascii="宋体" w:hAnsi="宋体" w:cs="宋体"/>
          <w:color w:val="auto"/>
          <w:spacing w:val="6"/>
          <w:sz w:val="24"/>
          <w:highlight w:val="none"/>
        </w:rPr>
        <w:t xml:space="preserve">软件和信息技术服务业。从业人员300人以下或营业收入10000万元以下的为</w:t>
      </w:r>
      <w:r>
        <w:rPr>
          <w:rFonts w:ascii="宋体" w:hAnsi="宋体" w:cs="宋体"/>
          <w:color w:val="auto"/>
          <w:spacing w:val="3"/>
          <w:sz w:val="24"/>
          <w:highlight w:val="none"/>
        </w:rPr>
        <w:t xml:space="preserve">中</w:t>
      </w:r>
      <w:r>
        <w:rPr>
          <w:rFonts w:ascii="宋体" w:hAnsi="宋体" w:cs="宋体"/>
          <w:color w:val="auto"/>
          <w:sz w:val="24"/>
          <w:highlight w:val="none"/>
        </w:rPr>
        <w:t xml:space="preserve">小</w:t>
      </w:r>
      <w:r>
        <w:rPr>
          <w:rFonts w:ascii="宋体" w:hAnsi="宋体" w:cs="宋体"/>
          <w:color w:val="auto"/>
          <w:spacing w:val="8"/>
          <w:sz w:val="24"/>
          <w:highlight w:val="none"/>
        </w:rPr>
        <w:t xml:space="preserve">微</w:t>
      </w:r>
      <w:r>
        <w:rPr>
          <w:rFonts w:ascii="宋体" w:hAnsi="宋体" w:cs="宋体"/>
          <w:color w:val="auto"/>
          <w:spacing w:val="4"/>
          <w:sz w:val="24"/>
          <w:highlight w:val="none"/>
        </w:rPr>
        <w:t xml:space="preserve">型企业。其中，从业人员100人及以上，且营业收入1000万元及以上的为中型企业；从业</w:t>
      </w:r>
      <w:r>
        <w:rPr>
          <w:rFonts w:ascii="宋体" w:hAnsi="宋体" w:cs="宋体"/>
          <w:color w:val="auto"/>
          <w:spacing w:val="2"/>
          <w:sz w:val="24"/>
          <w:highlight w:val="none"/>
        </w:rPr>
        <w:t xml:space="preserve">人员10人及以上，且营业收入50万元及以上的为小型企业；从业人员10人以下或营业收</w:t>
      </w:r>
      <w:r>
        <w:rPr>
          <w:rFonts w:ascii="宋体" w:hAnsi="宋体" w:cs="宋体"/>
          <w:color w:val="auto"/>
          <w:spacing w:val="1"/>
          <w:sz w:val="24"/>
          <w:highlight w:val="none"/>
        </w:rPr>
        <w:t xml:space="preserve">入</w:t>
      </w:r>
      <w:r>
        <w:rPr>
          <w:rFonts w:ascii="宋体" w:hAnsi="宋体" w:cs="宋体"/>
          <w:color w:val="auto"/>
          <w:spacing w:val="6"/>
          <w:sz w:val="24"/>
          <w:highlight w:val="none"/>
        </w:rPr>
        <w:t xml:space="preserve">50</w:t>
      </w:r>
      <w:r>
        <w:rPr>
          <w:rFonts w:ascii="宋体" w:hAnsi="宋体" w:cs="宋体"/>
          <w:color w:val="auto"/>
          <w:spacing w:val="3"/>
          <w:sz w:val="24"/>
          <w:highlight w:val="none"/>
        </w:rPr>
        <w:t xml:space="preserve">万元以下的为微型企业。</w:t>
      </w:r>
      <w:r/>
    </w:p>
    <w:p>
      <w:pPr>
        <w:ind w:firstLine="10"/>
        <w:spacing w:before="2" w:line="350" w:lineRule="auto"/>
        <w:widowControl/>
        <w:rPr>
          <w:rFonts w:hint="eastAsia" w:ascii="宋体" w:hAnsi="宋体" w:cs="宋体"/>
          <w:color w:val="auto"/>
          <w:sz w:val="24"/>
          <w:highlight w:val="none"/>
        </w:rPr>
      </w:pPr>
      <w:r>
        <w:rPr>
          <w:rFonts w:hint="eastAsia" w:ascii="宋体" w:hAnsi="宋体" w:cs="宋体"/>
          <w:color w:val="auto"/>
          <w:spacing w:val="10"/>
          <w:sz w:val="24"/>
          <w:highlight w:val="none"/>
        </w:rPr>
        <w:t xml:space="preserve">（</w:t>
      </w:r>
      <w:r>
        <w:rPr>
          <w:rFonts w:ascii="宋体" w:hAnsi="宋体" w:cs="宋体"/>
          <w:color w:val="auto"/>
          <w:spacing w:val="10"/>
          <w:sz w:val="24"/>
          <w:highlight w:val="none"/>
        </w:rPr>
        <w:t xml:space="preserve">十三</w:t>
      </w:r>
      <w:r>
        <w:rPr>
          <w:rFonts w:hint="eastAsia" w:ascii="宋体" w:hAnsi="宋体" w:cs="宋体"/>
          <w:color w:val="auto"/>
          <w:spacing w:val="10"/>
          <w:sz w:val="24"/>
          <w:highlight w:val="none"/>
        </w:rPr>
        <w:t xml:space="preserve">）</w:t>
      </w:r>
      <w:r>
        <w:rPr>
          <w:rFonts w:ascii="宋体" w:hAnsi="宋体" w:cs="宋体"/>
          <w:color w:val="auto"/>
          <w:spacing w:val="10"/>
          <w:sz w:val="24"/>
          <w:highlight w:val="none"/>
        </w:rPr>
        <w:t xml:space="preserve">房地</w:t>
      </w:r>
      <w:r>
        <w:rPr>
          <w:rFonts w:ascii="宋体" w:hAnsi="宋体" w:cs="宋体"/>
          <w:color w:val="auto"/>
          <w:spacing w:val="5"/>
          <w:sz w:val="24"/>
          <w:highlight w:val="none"/>
        </w:rPr>
        <w:t xml:space="preserve">产开发经营。营业收入200000万元以下或资产总额10000万元以下的为中小微</w:t>
      </w:r>
      <w:r>
        <w:rPr>
          <w:rFonts w:ascii="宋体" w:hAnsi="宋体" w:cs="宋体"/>
          <w:color w:val="auto"/>
          <w:spacing w:val="6"/>
          <w:sz w:val="24"/>
          <w:highlight w:val="none"/>
        </w:rPr>
        <w:t xml:space="preserve">型</w:t>
      </w:r>
      <w:r>
        <w:rPr>
          <w:rFonts w:ascii="宋体" w:hAnsi="宋体" w:cs="宋体"/>
          <w:color w:val="auto"/>
          <w:spacing w:val="4"/>
          <w:sz w:val="24"/>
          <w:highlight w:val="none"/>
        </w:rPr>
        <w:t xml:space="preserve">企业。其中，营业收入1000万元及以上，且资产总额5000万元及以上的为中型企业；营</w:t>
      </w:r>
      <w:r>
        <w:rPr>
          <w:rFonts w:ascii="宋体" w:hAnsi="宋体" w:cs="宋体"/>
          <w:color w:val="auto"/>
          <w:spacing w:val="2"/>
          <w:sz w:val="24"/>
          <w:highlight w:val="none"/>
        </w:rPr>
        <w:t xml:space="preserve">业收入100万元及以上，且资产总额2000万元及以上的为小型企业；营业收入100</w:t>
      </w:r>
      <w:r>
        <w:rPr>
          <w:rFonts w:ascii="宋体" w:hAnsi="宋体" w:cs="宋体"/>
          <w:color w:val="auto"/>
          <w:spacing w:val="1"/>
          <w:sz w:val="24"/>
          <w:highlight w:val="none"/>
        </w:rPr>
        <w:t xml:space="preserve">万</w:t>
      </w:r>
      <w:r>
        <w:rPr>
          <w:rFonts w:ascii="宋体" w:hAnsi="宋体" w:cs="宋体"/>
          <w:color w:val="auto"/>
          <w:sz w:val="24"/>
          <w:highlight w:val="none"/>
        </w:rPr>
        <w:t xml:space="preserve">元以下</w:t>
      </w:r>
      <w:r>
        <w:rPr>
          <w:rFonts w:ascii="宋体" w:hAnsi="宋体" w:cs="宋体"/>
          <w:color w:val="auto"/>
          <w:spacing w:val="3"/>
          <w:sz w:val="24"/>
          <w:highlight w:val="none"/>
        </w:rPr>
        <w:t xml:space="preserve">或资产总额2000万元以下的为微型企业</w:t>
      </w:r>
      <w:r>
        <w:rPr>
          <w:rFonts w:ascii="宋体" w:hAnsi="宋体" w:cs="宋体"/>
          <w:color w:val="auto"/>
          <w:spacing w:val="1"/>
          <w:sz w:val="24"/>
          <w:highlight w:val="none"/>
        </w:rPr>
        <w:t xml:space="preserve">。</w:t>
      </w:r>
      <w:r/>
    </w:p>
    <w:p>
      <w:pPr>
        <w:ind w:left="19" w:right="2" w:hanging="9"/>
        <w:spacing w:before="2" w:line="350" w:lineRule="auto"/>
        <w:widowControl/>
        <w:rPr>
          <w:rFonts w:hint="eastAsia" w:ascii="宋体" w:hAnsi="宋体" w:cs="宋体"/>
          <w:color w:val="auto"/>
          <w:sz w:val="24"/>
          <w:highlight w:val="none"/>
        </w:rPr>
      </w:pPr>
      <w:r>
        <w:rPr>
          <w:rFonts w:hint="eastAsia" w:ascii="宋体" w:hAnsi="宋体" w:cs="宋体"/>
          <w:color w:val="auto"/>
          <w:spacing w:val="6"/>
          <w:sz w:val="24"/>
          <w:highlight w:val="none"/>
        </w:rPr>
        <w:t xml:space="preserve">（</w:t>
      </w:r>
      <w:r>
        <w:rPr>
          <w:rFonts w:ascii="宋体" w:hAnsi="宋体" w:cs="宋体"/>
          <w:color w:val="auto"/>
          <w:spacing w:val="6"/>
          <w:sz w:val="24"/>
          <w:highlight w:val="none"/>
        </w:rPr>
        <w:t xml:space="preserve">十四</w:t>
      </w:r>
      <w:r>
        <w:rPr>
          <w:rFonts w:hint="eastAsia" w:ascii="宋体" w:hAnsi="宋体" w:cs="宋体"/>
          <w:color w:val="auto"/>
          <w:spacing w:val="6"/>
          <w:sz w:val="24"/>
          <w:highlight w:val="none"/>
        </w:rPr>
        <w:t xml:space="preserve">）</w:t>
      </w:r>
      <w:r>
        <w:rPr>
          <w:rFonts w:ascii="宋体" w:hAnsi="宋体" w:cs="宋体"/>
          <w:color w:val="auto"/>
          <w:spacing w:val="6"/>
          <w:sz w:val="24"/>
          <w:highlight w:val="none"/>
        </w:rPr>
        <w:t xml:space="preserve">物业管理。从业人员1000人以下或营业收入5000万元以下的为中小微型企业</w:t>
      </w:r>
      <w:r>
        <w:rPr>
          <w:rFonts w:ascii="宋体" w:hAnsi="宋体" w:cs="宋体"/>
          <w:color w:val="auto"/>
          <w:spacing w:val="3"/>
          <w:sz w:val="24"/>
          <w:highlight w:val="none"/>
        </w:rPr>
        <w:t xml:space="preserve">。</w:t>
      </w:r>
      <w:r>
        <w:rPr>
          <w:rFonts w:ascii="宋体" w:hAnsi="宋体" w:cs="宋体"/>
          <w:color w:val="auto"/>
          <w:sz w:val="24"/>
          <w:highlight w:val="none"/>
        </w:rPr>
        <w:t xml:space="preserve">其</w:t>
      </w:r>
      <w:r>
        <w:rPr>
          <w:rFonts w:ascii="宋体" w:hAnsi="宋体" w:cs="宋体"/>
          <w:color w:val="auto"/>
          <w:spacing w:val="2"/>
          <w:sz w:val="24"/>
          <w:highlight w:val="none"/>
        </w:rPr>
        <w:t xml:space="preserve">中，从业人员300人及以上，且营业收入1</w:t>
      </w:r>
      <w:r>
        <w:rPr>
          <w:rFonts w:ascii="宋体" w:hAnsi="宋体" w:cs="宋体"/>
          <w:color w:val="auto"/>
          <w:spacing w:val="1"/>
          <w:sz w:val="24"/>
          <w:highlight w:val="none"/>
        </w:rPr>
        <w:t xml:space="preserve">000万元及以上的为中型企业；从业人员100人及</w:t>
      </w:r>
      <w:r>
        <w:rPr>
          <w:rFonts w:ascii="宋体" w:hAnsi="宋体" w:cs="宋体"/>
          <w:color w:val="auto"/>
          <w:spacing w:val="2"/>
          <w:sz w:val="24"/>
          <w:highlight w:val="none"/>
        </w:rPr>
        <w:t xml:space="preserve">以上，且营业收入500万元及以上的为小</w:t>
      </w:r>
      <w:r>
        <w:rPr>
          <w:rFonts w:ascii="宋体" w:hAnsi="宋体" w:cs="宋体"/>
          <w:color w:val="auto"/>
          <w:spacing w:val="1"/>
          <w:sz w:val="24"/>
          <w:highlight w:val="none"/>
        </w:rPr>
        <w:t xml:space="preserve">型企业；从业人员100人以下或营业收入500万元</w:t>
      </w:r>
      <w:r>
        <w:rPr>
          <w:rFonts w:ascii="宋体" w:hAnsi="宋体" w:cs="宋体"/>
          <w:color w:val="auto"/>
          <w:spacing w:val="9"/>
          <w:sz w:val="24"/>
          <w:highlight w:val="none"/>
        </w:rPr>
        <w:t xml:space="preserve">以</w:t>
      </w:r>
      <w:r>
        <w:rPr>
          <w:rFonts w:ascii="宋体" w:hAnsi="宋体" w:cs="宋体"/>
          <w:color w:val="auto"/>
          <w:spacing w:val="5"/>
          <w:sz w:val="24"/>
          <w:highlight w:val="none"/>
        </w:rPr>
        <w:t xml:space="preserve">下的为微型企业。</w:t>
      </w:r>
      <w:r/>
    </w:p>
    <w:p>
      <w:pPr>
        <w:ind w:left="4" w:firstLine="6"/>
        <w:spacing w:line="351" w:lineRule="auto"/>
        <w:widowControl/>
        <w:rPr>
          <w:rFonts w:hint="eastAsia" w:ascii="宋体" w:hAnsi="宋体" w:cs="宋体"/>
          <w:color w:val="auto"/>
          <w:sz w:val="24"/>
          <w:highlight w:val="none"/>
        </w:rPr>
      </w:pPr>
      <w:r>
        <w:rPr>
          <w:rFonts w:hint="eastAsia" w:ascii="宋体" w:hAnsi="宋体" w:cs="宋体"/>
          <w:color w:val="auto"/>
          <w:spacing w:val="10"/>
          <w:sz w:val="24"/>
          <w:highlight w:val="none"/>
        </w:rPr>
        <w:t xml:space="preserve">（</w:t>
      </w:r>
      <w:r>
        <w:rPr>
          <w:rFonts w:ascii="宋体" w:hAnsi="宋体" w:cs="宋体"/>
          <w:color w:val="auto"/>
          <w:spacing w:val="10"/>
          <w:sz w:val="24"/>
          <w:highlight w:val="none"/>
        </w:rPr>
        <w:t xml:space="preserve">十五</w:t>
      </w:r>
      <w:r>
        <w:rPr>
          <w:rFonts w:hint="eastAsia" w:ascii="宋体" w:hAnsi="宋体" w:cs="宋体"/>
          <w:color w:val="auto"/>
          <w:spacing w:val="10"/>
          <w:sz w:val="24"/>
          <w:highlight w:val="none"/>
        </w:rPr>
        <w:t xml:space="preserve">）</w:t>
      </w:r>
      <w:r>
        <w:rPr>
          <w:rFonts w:ascii="宋体" w:hAnsi="宋体" w:cs="宋体"/>
          <w:color w:val="auto"/>
          <w:spacing w:val="10"/>
          <w:sz w:val="24"/>
          <w:highlight w:val="none"/>
        </w:rPr>
        <w:t xml:space="preserve">租赁</w:t>
      </w:r>
      <w:r>
        <w:rPr>
          <w:rFonts w:ascii="宋体" w:hAnsi="宋体" w:cs="宋体"/>
          <w:color w:val="auto"/>
          <w:spacing w:val="7"/>
          <w:sz w:val="24"/>
          <w:highlight w:val="none"/>
        </w:rPr>
        <w:t xml:space="preserve">和</w:t>
      </w:r>
      <w:r>
        <w:rPr>
          <w:rFonts w:ascii="宋体" w:hAnsi="宋体" w:cs="宋体"/>
          <w:color w:val="auto"/>
          <w:spacing w:val="5"/>
          <w:sz w:val="24"/>
          <w:highlight w:val="none"/>
        </w:rPr>
        <w:t xml:space="preserve">商务服务业。从业人员300人以下或资产总额120000万元以下的为中小微型</w:t>
      </w:r>
      <w:r>
        <w:rPr>
          <w:rFonts w:ascii="宋体" w:hAnsi="宋体" w:cs="宋体"/>
          <w:color w:val="auto"/>
          <w:spacing w:val="7"/>
          <w:sz w:val="24"/>
          <w:highlight w:val="none"/>
        </w:rPr>
        <w:t xml:space="preserve">企</w:t>
      </w:r>
      <w:r>
        <w:rPr>
          <w:rFonts w:ascii="宋体" w:hAnsi="宋体" w:cs="宋体"/>
          <w:color w:val="auto"/>
          <w:spacing w:val="4"/>
          <w:sz w:val="24"/>
          <w:highlight w:val="none"/>
        </w:rPr>
        <w:t xml:space="preserve">业。其中，从业人员100人及以上，且资产总额8000万元及以上的为中型企业；从业人员</w:t>
      </w:r>
      <w:r>
        <w:rPr>
          <w:rFonts w:ascii="宋体" w:hAnsi="宋体" w:cs="宋体"/>
          <w:color w:val="auto"/>
          <w:spacing w:val="2"/>
          <w:sz w:val="24"/>
          <w:highlight w:val="none"/>
        </w:rPr>
        <w:t xml:space="preserve">10人及以上，且资产总额100万元及以上的为小型企业；从业人员10人以下或资产总</w:t>
      </w:r>
      <w:r>
        <w:rPr>
          <w:rFonts w:ascii="宋体" w:hAnsi="宋体" w:cs="宋体"/>
          <w:color w:val="auto"/>
          <w:sz w:val="24"/>
          <w:highlight w:val="none"/>
        </w:rPr>
        <w:t xml:space="preserve">额100</w:t>
      </w:r>
      <w:r>
        <w:rPr>
          <w:rFonts w:ascii="宋体" w:hAnsi="宋体" w:cs="宋体"/>
          <w:color w:val="auto"/>
          <w:spacing w:val="8"/>
          <w:sz w:val="24"/>
          <w:highlight w:val="none"/>
        </w:rPr>
        <w:t xml:space="preserve">万元以下的为微型企业</w:t>
      </w:r>
      <w:r>
        <w:rPr>
          <w:rFonts w:ascii="宋体" w:hAnsi="宋体" w:cs="宋体"/>
          <w:color w:val="auto"/>
          <w:spacing w:val="6"/>
          <w:sz w:val="24"/>
          <w:highlight w:val="none"/>
        </w:rPr>
        <w:t xml:space="preserve">。</w:t>
      </w:r>
      <w:r/>
    </w:p>
    <w:p>
      <w:pPr>
        <w:ind w:right="105" w:firstLine="10"/>
        <w:spacing w:before="2" w:line="350" w:lineRule="auto"/>
        <w:widowControl/>
        <w:rPr>
          <w:rFonts w:hint="eastAsia" w:ascii="宋体" w:hAnsi="宋体" w:cs="宋体"/>
          <w:color w:val="auto"/>
          <w:sz w:val="24"/>
          <w:highlight w:val="none"/>
        </w:rPr>
      </w:pPr>
      <w:r>
        <w:rPr>
          <w:rFonts w:hint="eastAsia" w:ascii="宋体" w:hAnsi="宋体" w:cs="宋体"/>
          <w:color w:val="auto"/>
          <w:spacing w:val="6"/>
          <w:sz w:val="24"/>
          <w:highlight w:val="none"/>
        </w:rPr>
        <w:t xml:space="preserve">（</w:t>
      </w:r>
      <w:r>
        <w:rPr>
          <w:rFonts w:ascii="宋体" w:hAnsi="宋体" w:cs="宋体"/>
          <w:color w:val="auto"/>
          <w:spacing w:val="6"/>
          <w:sz w:val="24"/>
          <w:highlight w:val="none"/>
        </w:rPr>
        <w:t xml:space="preserve">十六</w:t>
      </w:r>
      <w:r>
        <w:rPr>
          <w:rFonts w:hint="eastAsia" w:ascii="宋体" w:hAnsi="宋体" w:cs="宋体"/>
          <w:color w:val="auto"/>
          <w:spacing w:val="6"/>
          <w:sz w:val="24"/>
          <w:highlight w:val="none"/>
        </w:rPr>
        <w:t xml:space="preserve">）</w:t>
      </w:r>
      <w:r>
        <w:rPr>
          <w:rFonts w:ascii="宋体" w:hAnsi="宋体" w:cs="宋体"/>
          <w:color w:val="auto"/>
          <w:spacing w:val="6"/>
          <w:sz w:val="24"/>
          <w:highlight w:val="none"/>
        </w:rPr>
        <w:t xml:space="preserve">其他未列明行业。从业人员300人以下的为中小微型企业。其中，从业人员100</w:t>
      </w:r>
      <w:r>
        <w:rPr>
          <w:rFonts w:ascii="宋体" w:hAnsi="宋体" w:cs="宋体"/>
          <w:color w:val="auto"/>
          <w:spacing w:val="3"/>
          <w:sz w:val="24"/>
          <w:highlight w:val="none"/>
        </w:rPr>
        <w:t xml:space="preserve">人</w:t>
      </w:r>
      <w:r>
        <w:rPr>
          <w:rFonts w:ascii="宋体" w:hAnsi="宋体" w:cs="宋体"/>
          <w:color w:val="auto"/>
          <w:spacing w:val="8"/>
          <w:sz w:val="24"/>
          <w:highlight w:val="none"/>
        </w:rPr>
        <w:t xml:space="preserve">及以</w:t>
      </w:r>
      <w:r>
        <w:rPr>
          <w:rFonts w:ascii="宋体" w:hAnsi="宋体" w:cs="宋体"/>
          <w:color w:val="auto"/>
          <w:spacing w:val="6"/>
          <w:sz w:val="24"/>
          <w:highlight w:val="none"/>
        </w:rPr>
        <w:t xml:space="preserve">上</w:t>
      </w:r>
      <w:r>
        <w:rPr>
          <w:rFonts w:ascii="宋体" w:hAnsi="宋体" w:cs="宋体"/>
          <w:color w:val="auto"/>
          <w:spacing w:val="4"/>
          <w:sz w:val="24"/>
          <w:highlight w:val="none"/>
        </w:rPr>
        <w:t xml:space="preserve">的为中型企业；从业人员10人及以上的为小型企业；从业人员10人以下的为微型企</w:t>
      </w:r>
      <w:r>
        <w:rPr>
          <w:rFonts w:ascii="宋体" w:hAnsi="宋体" w:cs="宋体"/>
          <w:color w:val="auto"/>
          <w:spacing w:val="1"/>
          <w:sz w:val="24"/>
          <w:highlight w:val="none"/>
        </w:rPr>
        <w:t xml:space="preserve">业</w:t>
      </w:r>
      <w:r>
        <w:rPr>
          <w:rFonts w:ascii="宋体" w:hAnsi="宋体" w:cs="宋体"/>
          <w:color w:val="auto"/>
          <w:sz w:val="24"/>
          <w:highlight w:val="none"/>
        </w:rPr>
        <w:t xml:space="preserve">。</w:t>
      </w:r>
      <w:r/>
    </w:p>
    <w:p>
      <w:pPr>
        <w:ind w:left="4"/>
        <w:spacing w:line="237" w:lineRule="auto"/>
        <w:widowControl/>
        <w:rPr>
          <w:rFonts w:hint="eastAsia" w:ascii="宋体" w:hAnsi="宋体" w:cs="宋体"/>
          <w:color w:val="auto"/>
          <w:sz w:val="24"/>
          <w:highlight w:val="none"/>
        </w:rPr>
      </w:pPr>
      <w:r>
        <w:rPr>
          <w:rFonts w:ascii="宋体" w:hAnsi="宋体" w:cs="宋体"/>
          <w:color w:val="auto"/>
          <w:spacing w:val="9"/>
          <w:sz w:val="24"/>
          <w:highlight w:val="none"/>
        </w:rPr>
        <w:t xml:space="preserve">五、企业类型的划分以统计部门的统计数据为依据</w:t>
      </w:r>
      <w:r>
        <w:rPr>
          <w:rFonts w:ascii="宋体" w:hAnsi="宋体" w:cs="宋体"/>
          <w:color w:val="auto"/>
          <w:spacing w:val="8"/>
          <w:sz w:val="24"/>
          <w:highlight w:val="none"/>
        </w:rPr>
        <w:t xml:space="preserve">。</w:t>
      </w:r>
      <w:r/>
    </w:p>
    <w:p>
      <w:pPr>
        <w:ind w:right="105" w:firstLine="1"/>
        <w:spacing w:before="123" w:line="288" w:lineRule="auto"/>
        <w:widowControl/>
        <w:rPr>
          <w:rFonts w:hint="eastAsia" w:ascii="宋体" w:hAnsi="宋体" w:cs="宋体"/>
          <w:color w:val="auto"/>
          <w:sz w:val="24"/>
          <w:highlight w:val="none"/>
        </w:rPr>
      </w:pPr>
      <w:r>
        <w:rPr>
          <w:rFonts w:ascii="宋体" w:hAnsi="宋体" w:cs="宋体"/>
          <w:color w:val="auto"/>
          <w:spacing w:val="18"/>
          <w:sz w:val="24"/>
          <w:highlight w:val="none"/>
        </w:rPr>
        <w:t xml:space="preserve">六、本</w:t>
      </w:r>
      <w:r>
        <w:rPr>
          <w:rFonts w:ascii="宋体" w:hAnsi="宋体" w:cs="宋体"/>
          <w:color w:val="auto"/>
          <w:spacing w:val="9"/>
          <w:sz w:val="24"/>
          <w:highlight w:val="none"/>
        </w:rPr>
        <w:t xml:space="preserve">规定适用于在中华人民共和国境内依法设立的各类所有制和各种组织形式的企业。个</w:t>
      </w:r>
      <w:r>
        <w:rPr>
          <w:rFonts w:ascii="宋体" w:hAnsi="宋体" w:cs="宋体"/>
          <w:color w:val="auto"/>
          <w:spacing w:val="13"/>
          <w:sz w:val="24"/>
          <w:highlight w:val="none"/>
        </w:rPr>
        <w:t xml:space="preserve">体</w:t>
      </w:r>
      <w:r>
        <w:rPr>
          <w:rFonts w:ascii="宋体" w:hAnsi="宋体" w:cs="宋体"/>
          <w:color w:val="auto"/>
          <w:spacing w:val="9"/>
          <w:sz w:val="24"/>
          <w:highlight w:val="none"/>
        </w:rPr>
        <w:t xml:space="preserve">工商户和本规定以外的行业，参照本规定进行划型。</w:t>
      </w:r>
      <w:r/>
    </w:p>
    <w:p>
      <w:pPr>
        <w:ind w:right="105"/>
        <w:spacing w:before="137" w:line="309" w:lineRule="auto"/>
        <w:widowControl/>
        <w:rPr>
          <w:rFonts w:hint="eastAsia" w:ascii="宋体" w:hAnsi="宋体" w:cs="宋体"/>
          <w:color w:val="auto"/>
          <w:sz w:val="24"/>
          <w:highlight w:val="none"/>
        </w:rPr>
      </w:pPr>
      <w:r>
        <w:rPr>
          <w:rFonts w:ascii="宋体" w:hAnsi="宋体" w:cs="宋体"/>
          <w:color w:val="auto"/>
          <w:spacing w:val="18"/>
          <w:sz w:val="24"/>
          <w:highlight w:val="none"/>
        </w:rPr>
        <w:t xml:space="preserve">七、本</w:t>
      </w:r>
      <w:r>
        <w:rPr>
          <w:rFonts w:ascii="宋体" w:hAnsi="宋体" w:cs="宋体"/>
          <w:color w:val="auto"/>
          <w:spacing w:val="12"/>
          <w:sz w:val="24"/>
          <w:highlight w:val="none"/>
        </w:rPr>
        <w:t xml:space="preserve">规</w:t>
      </w:r>
      <w:r>
        <w:rPr>
          <w:rFonts w:ascii="宋体" w:hAnsi="宋体" w:cs="宋体"/>
          <w:color w:val="auto"/>
          <w:spacing w:val="9"/>
          <w:sz w:val="24"/>
          <w:highlight w:val="none"/>
        </w:rPr>
        <w:t xml:space="preserve">定的中型企业标准上限即为大型企业标准的下限，国家统计部门据此制定大中小微</w:t>
      </w:r>
      <w:r>
        <w:rPr>
          <w:rFonts w:ascii="宋体" w:hAnsi="宋体" w:cs="宋体"/>
          <w:color w:val="auto"/>
          <w:spacing w:val="18"/>
          <w:sz w:val="24"/>
          <w:highlight w:val="none"/>
        </w:rPr>
        <w:t xml:space="preserve">型企业</w:t>
      </w:r>
      <w:r>
        <w:rPr>
          <w:rFonts w:ascii="宋体" w:hAnsi="宋体" w:cs="宋体"/>
          <w:color w:val="auto"/>
          <w:spacing w:val="12"/>
          <w:sz w:val="24"/>
          <w:highlight w:val="none"/>
        </w:rPr>
        <w:t xml:space="preserve">的</w:t>
      </w:r>
      <w:r>
        <w:rPr>
          <w:rFonts w:ascii="宋体" w:hAnsi="宋体" w:cs="宋体"/>
          <w:color w:val="auto"/>
          <w:spacing w:val="9"/>
          <w:sz w:val="24"/>
          <w:highlight w:val="none"/>
        </w:rPr>
        <w:t xml:space="preserve">统计分类。国务院有关部门据此进行相关数据分析，不得制定与本规定不一致的企</w:t>
      </w:r>
      <w:r>
        <w:rPr>
          <w:rFonts w:ascii="宋体" w:hAnsi="宋体" w:cs="宋体"/>
          <w:color w:val="auto"/>
          <w:spacing w:val="7"/>
          <w:sz w:val="24"/>
          <w:highlight w:val="none"/>
        </w:rPr>
        <w:t xml:space="preserve">业划型标准</w:t>
      </w:r>
      <w:r>
        <w:rPr>
          <w:rFonts w:ascii="宋体" w:hAnsi="宋体" w:cs="宋体"/>
          <w:color w:val="auto"/>
          <w:spacing w:val="6"/>
          <w:sz w:val="24"/>
          <w:highlight w:val="none"/>
        </w:rPr>
        <w:t xml:space="preserve">。</w:t>
      </w:r>
      <w:r/>
    </w:p>
    <w:p>
      <w:pPr>
        <w:ind w:left="2" w:right="105" w:firstLine="1"/>
        <w:spacing w:before="134" w:line="289" w:lineRule="auto"/>
        <w:widowControl/>
        <w:rPr>
          <w:rFonts w:hint="eastAsia" w:ascii="宋体" w:hAnsi="宋体" w:cs="宋体"/>
          <w:color w:val="auto"/>
          <w:sz w:val="24"/>
          <w:highlight w:val="none"/>
        </w:rPr>
      </w:pPr>
      <w:r>
        <w:rPr>
          <w:rFonts w:ascii="宋体" w:hAnsi="宋体" w:cs="宋体"/>
          <w:color w:val="auto"/>
          <w:spacing w:val="18"/>
          <w:sz w:val="24"/>
          <w:highlight w:val="none"/>
        </w:rPr>
        <w:t xml:space="preserve">八、</w:t>
      </w:r>
      <w:r>
        <w:rPr>
          <w:rFonts w:ascii="宋体" w:hAnsi="宋体" w:cs="宋体"/>
          <w:color w:val="auto"/>
          <w:spacing w:val="17"/>
          <w:sz w:val="24"/>
          <w:highlight w:val="none"/>
        </w:rPr>
        <w:t xml:space="preserve">本</w:t>
      </w:r>
      <w:r>
        <w:rPr>
          <w:rFonts w:ascii="宋体" w:hAnsi="宋体" w:cs="宋体"/>
          <w:color w:val="auto"/>
          <w:spacing w:val="9"/>
          <w:sz w:val="24"/>
          <w:highlight w:val="none"/>
        </w:rPr>
        <w:t xml:space="preserve">规定由工业和信息化部、国家统计局会同有关部门根据《国民经济行业分类》修订情</w:t>
      </w:r>
      <w:r>
        <w:rPr>
          <w:rFonts w:ascii="宋体" w:hAnsi="宋体" w:cs="宋体"/>
          <w:color w:val="auto"/>
          <w:spacing w:val="15"/>
          <w:sz w:val="24"/>
          <w:highlight w:val="none"/>
        </w:rPr>
        <w:t xml:space="preserve">况</w:t>
      </w:r>
      <w:r>
        <w:rPr>
          <w:rFonts w:ascii="宋体" w:hAnsi="宋体" w:cs="宋体"/>
          <w:color w:val="auto"/>
          <w:spacing w:val="8"/>
          <w:sz w:val="24"/>
          <w:highlight w:val="none"/>
        </w:rPr>
        <w:t xml:space="preserve">和企业发展变化情况适时修订。</w:t>
      </w:r>
      <w:r/>
    </w:p>
    <w:p>
      <w:pPr>
        <w:ind w:left="5"/>
        <w:spacing w:before="132" w:line="231" w:lineRule="auto"/>
        <w:widowControl/>
        <w:rPr>
          <w:rFonts w:hint="eastAsia" w:ascii="宋体" w:hAnsi="宋体" w:cs="宋体"/>
          <w:color w:val="auto"/>
          <w:sz w:val="24"/>
          <w:highlight w:val="none"/>
        </w:rPr>
      </w:pPr>
      <w:r>
        <w:rPr>
          <w:rFonts w:ascii="宋体" w:hAnsi="宋体" w:cs="宋体"/>
          <w:color w:val="auto"/>
          <w:spacing w:val="14"/>
          <w:sz w:val="24"/>
          <w:highlight w:val="none"/>
        </w:rPr>
        <w:t xml:space="preserve">九</w:t>
      </w:r>
      <w:r>
        <w:rPr>
          <w:rFonts w:ascii="宋体" w:hAnsi="宋体" w:cs="宋体"/>
          <w:color w:val="auto"/>
          <w:spacing w:val="9"/>
          <w:sz w:val="24"/>
          <w:highlight w:val="none"/>
        </w:rPr>
        <w:t xml:space="preserve">、本规定由工业和信息化部、国家统计局会同有关部门负责解释。</w:t>
      </w:r>
      <w:r/>
    </w:p>
    <w:p>
      <w:pPr>
        <w:ind w:right="2"/>
        <w:spacing w:before="133" w:line="288" w:lineRule="auto"/>
        <w:widowControl/>
        <w:rPr>
          <w:rFonts w:ascii="Arial" w:hAnsi="Arial" w:cs="Arial"/>
          <w:color w:val="auto"/>
          <w:sz w:val="24"/>
          <w:highlight w:val="none"/>
        </w:rPr>
      </w:pPr>
      <w:r>
        <w:rPr>
          <w:rFonts w:ascii="宋体" w:hAnsi="宋体" w:cs="宋体"/>
          <w:color w:val="auto"/>
          <w:spacing w:val="12"/>
          <w:sz w:val="24"/>
          <w:highlight w:val="none"/>
        </w:rPr>
        <w:t xml:space="preserve">十、本规</w:t>
      </w:r>
      <w:r>
        <w:rPr>
          <w:rFonts w:ascii="宋体" w:hAnsi="宋体" w:cs="宋体"/>
          <w:color w:val="auto"/>
          <w:spacing w:val="10"/>
          <w:sz w:val="24"/>
          <w:highlight w:val="none"/>
        </w:rPr>
        <w:t xml:space="preserve">定</w:t>
      </w:r>
      <w:r>
        <w:rPr>
          <w:rFonts w:ascii="宋体" w:hAnsi="宋体" w:cs="宋体"/>
          <w:color w:val="auto"/>
          <w:spacing w:val="6"/>
          <w:sz w:val="24"/>
          <w:highlight w:val="none"/>
        </w:rPr>
        <w:t xml:space="preserve">自发布之日起执行，原国家经贸委、原国家计委、财政部和国家统计局2003 年颁</w:t>
      </w:r>
      <w:r>
        <w:rPr>
          <w:rFonts w:ascii="宋体" w:hAnsi="宋体" w:cs="宋体"/>
          <w:color w:val="auto"/>
          <w:spacing w:val="9"/>
          <w:sz w:val="24"/>
          <w:highlight w:val="none"/>
        </w:rPr>
        <w:t xml:space="preserve">布的《中小企业标准暂行规定》同时废止</w:t>
      </w:r>
      <w:r>
        <w:rPr>
          <w:rFonts w:ascii="宋体" w:hAnsi="宋体" w:cs="宋体"/>
          <w:color w:val="auto"/>
          <w:spacing w:val="7"/>
          <w:sz w:val="24"/>
          <w:highlight w:val="none"/>
        </w:rPr>
        <w:t xml:space="preserve">。</w:t>
      </w:r>
      <w:r/>
    </w:p>
    <w:p>
      <w:pPr>
        <w:pStyle w:val="1023"/>
        <w:rPr>
          <w:rFonts w:hint="eastAsia" w:ascii="宋体" w:hAnsi="宋体" w:eastAsia="宋体" w:cs="宋体"/>
          <w:color w:val="auto"/>
          <w:szCs w:val="32"/>
          <w:highlight w:val="none"/>
        </w:rPr>
      </w:pPr>
      <w:r>
        <w:rPr>
          <w:rFonts w:hint="eastAsia" w:ascii="宋体" w:hAnsi="宋体" w:eastAsia="宋体" w:cs="宋体"/>
          <w:color w:val="auto"/>
          <w:szCs w:val="32"/>
          <w:highlight w:val="none"/>
        </w:rPr>
      </w:r>
      <w:r/>
    </w:p>
    <w:p>
      <w:pPr>
        <w:pStyle w:val="1023"/>
        <w:rPr>
          <w:rFonts w:hint="eastAsia" w:ascii="宋体" w:hAnsi="宋体" w:eastAsia="宋体" w:cs="宋体"/>
          <w:color w:val="auto"/>
          <w:szCs w:val="32"/>
          <w:highlight w:val="none"/>
        </w:rPr>
      </w:pPr>
      <w:r>
        <w:rPr>
          <w:rFonts w:hint="eastAsia" w:ascii="宋体" w:hAnsi="宋体" w:eastAsia="宋体" w:cs="宋体"/>
          <w:color w:val="auto"/>
          <w:szCs w:val="32"/>
          <w:highlight w:val="none"/>
        </w:rPr>
      </w:r>
      <w:r/>
    </w:p>
    <w:p>
      <w:pPr>
        <w:pStyle w:val="1023"/>
        <w:rPr>
          <w:rFonts w:hint="eastAsia" w:ascii="宋体" w:hAnsi="宋体" w:eastAsia="宋体" w:cs="宋体"/>
          <w:color w:val="auto"/>
          <w:szCs w:val="32"/>
          <w:highlight w:val="none"/>
        </w:rPr>
      </w:pPr>
      <w:r>
        <w:rPr>
          <w:rFonts w:hint="eastAsia" w:ascii="宋体" w:hAnsi="宋体" w:eastAsia="宋体" w:cs="宋体"/>
          <w:color w:val="auto"/>
          <w:szCs w:val="32"/>
          <w:highlight w:val="none"/>
        </w:rPr>
      </w:r>
      <w:r/>
    </w:p>
    <w:p>
      <w:pPr>
        <w:pStyle w:val="1023"/>
        <w:rPr>
          <w:rFonts w:hint="eastAsia" w:ascii="宋体" w:hAnsi="宋体" w:eastAsia="宋体" w:cs="宋体"/>
          <w:color w:val="auto"/>
          <w:szCs w:val="32"/>
          <w:highlight w:val="none"/>
        </w:rPr>
      </w:pPr>
      <w:r>
        <w:rPr>
          <w:rFonts w:hint="eastAsia" w:ascii="宋体" w:hAnsi="宋体" w:eastAsia="宋体" w:cs="宋体"/>
          <w:color w:val="auto"/>
          <w:szCs w:val="32"/>
          <w:highlight w:val="none"/>
        </w:rPr>
      </w:r>
      <w:r/>
    </w:p>
    <w:p>
      <w:pPr>
        <w:pStyle w:val="1023"/>
        <w:rPr>
          <w:rFonts w:hint="eastAsia" w:ascii="宋体" w:hAnsi="宋体" w:eastAsia="宋体" w:cs="宋体"/>
          <w:color w:val="auto"/>
          <w:szCs w:val="32"/>
          <w:highlight w:val="none"/>
        </w:rPr>
      </w:pPr>
      <w:r>
        <w:rPr>
          <w:rFonts w:hint="eastAsia" w:ascii="宋体" w:hAnsi="宋体" w:eastAsia="宋体" w:cs="宋体"/>
          <w:color w:val="auto"/>
          <w:szCs w:val="32"/>
          <w:highlight w:val="none"/>
        </w:rPr>
      </w:r>
      <w:r/>
    </w:p>
    <w:p>
      <w:pPr>
        <w:pStyle w:val="1023"/>
        <w:rPr>
          <w:rFonts w:hint="eastAsia" w:ascii="宋体" w:hAnsi="宋体" w:eastAsia="宋体" w:cs="宋体"/>
          <w:color w:val="auto"/>
          <w:szCs w:val="32"/>
          <w:highlight w:val="none"/>
        </w:rPr>
      </w:pPr>
      <w:r>
        <w:rPr>
          <w:rFonts w:hint="eastAsia" w:ascii="宋体" w:hAnsi="宋体" w:eastAsia="宋体" w:cs="宋体"/>
          <w:color w:val="auto"/>
          <w:szCs w:val="32"/>
          <w:highlight w:val="none"/>
        </w:rPr>
      </w:r>
      <w:r/>
    </w:p>
    <w:p>
      <w:pPr>
        <w:pStyle w:val="1023"/>
        <w:rPr>
          <w:rFonts w:hint="eastAsia" w:ascii="宋体" w:hAnsi="宋体" w:eastAsia="宋体" w:cs="宋体"/>
          <w:color w:val="auto"/>
          <w:szCs w:val="32"/>
          <w:highlight w:val="none"/>
        </w:rPr>
      </w:pPr>
      <w:r>
        <w:rPr>
          <w:rFonts w:hint="eastAsia" w:ascii="宋体" w:hAnsi="宋体" w:eastAsia="宋体" w:cs="宋体"/>
          <w:color w:val="auto"/>
          <w:szCs w:val="32"/>
          <w:highlight w:val="none"/>
        </w:rPr>
      </w:r>
      <w:r/>
    </w:p>
    <w:p>
      <w:pPr>
        <w:pStyle w:val="1034"/>
        <w:ind w:left="0" w:right="0"/>
        <w:jc w:val="center"/>
        <w:keepLines w:val="0"/>
        <w:keepNext w:val="0"/>
        <w:spacing w:before="15" w:beforeAutospacing="0" w:after="15" w:afterAutospacing="0"/>
        <w:shd w:val="clear" w:color="auto" w:fill="ffffff"/>
        <w:widowControl/>
        <w:rPr>
          <w:color w:val="auto"/>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b/>
          <w:color w:val="auto"/>
          <w:sz w:val="32"/>
          <w:szCs w:val="32"/>
          <w:highlight w:val="none"/>
        </w:rPr>
        <w:br w:type="page" w:clear="all"/>
      </w:r>
      <w:r>
        <w:rPr>
          <w:rFonts w:hint="eastAsia" w:ascii="宋体" w:hAnsi="宋体" w:eastAsia="宋体" w:cs="宋体"/>
          <w:b/>
          <w:bCs/>
          <w:color w:val="auto"/>
          <w:sz w:val="30"/>
          <w:szCs w:val="30"/>
          <w:highlight w:val="none"/>
          <w:shd w:val="clear" w:color="auto" w:fill="ffffff"/>
        </w:rPr>
        <w:t xml:space="preserve">关于符合本国产品标准的声明函</w:t>
      </w:r>
      <w:r/>
    </w:p>
    <w:p>
      <w:pPr>
        <w:pStyle w:val="1034"/>
        <w:ind w:left="0" w:firstLine="420"/>
        <w:keepLines w:val="0"/>
        <w:keepNext w:val="0"/>
        <w:spacing w:before="15" w:beforeAutospacing="0" w:after="15" w:afterAutospacing="0"/>
        <w:shd w:val="clear" w:color="auto" w:fill="ffffff"/>
        <w:widowControl/>
        <w:rPr>
          <w:color w:val="auto"/>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auto"/>
          <w:highlight w:val="none"/>
          <w:shd w:val="clear" w:color="auto" w:fill="ffffff"/>
        </w:rPr>
        <w:t xml:space="preserve"> </w:t>
      </w:r>
      <w:r/>
    </w:p>
    <w:p>
      <w:pPr>
        <w:pStyle w:val="1034"/>
        <w:ind w:left="0" w:firstLine="420"/>
        <w:keepLines w:val="0"/>
        <w:keepNext w:val="0"/>
        <w:spacing w:before="0" w:beforeAutospacing="0" w:after="0" w:afterAutospacing="0" w:line="360" w:lineRule="auto"/>
        <w:widowControl/>
        <w:rPr>
          <w:color w:val="auto"/>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1034"/>
        <w:ind w:left="0" w:firstLine="420"/>
        <w:keepLines w:val="0"/>
        <w:keepNext w:val="0"/>
        <w:spacing w:before="30" w:beforeAutospacing="0" w:after="30" w:afterAutospacing="0" w:line="360" w:lineRule="auto"/>
        <w:shd w:val="clear" w:color="auto" w:fill="ffffff"/>
        <w:widowControl/>
        <w:rPr>
          <w:color w:val="auto"/>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shd w:val="clear" w:color="auto" w:fill="ffffff"/>
        </w:rPr>
        <w:t xml:space="preserve">1.</w:t>
      </w:r>
      <w:r>
        <w:rPr>
          <w:rFonts w:hint="eastAsia" w:ascii="宋体" w:hAnsi="宋体" w:eastAsia="宋体" w:cs="宋体"/>
          <w:color w:val="auto"/>
          <w:sz w:val="24"/>
          <w:szCs w:val="24"/>
          <w:highlight w:val="none"/>
          <w:u w:val="single"/>
          <w:shd w:val="clear" w:color="auto" w:fill="ffffff"/>
        </w:rPr>
        <w:t xml:space="preserve">（产品名称1）</w:t>
      </w:r>
      <w:r>
        <w:rPr>
          <w:rFonts w:hint="eastAsia" w:ascii="宋体" w:hAnsi="宋体" w:eastAsia="宋体" w:cs="宋体"/>
          <w:color w:val="auto"/>
          <w:sz w:val="24"/>
          <w:szCs w:val="24"/>
          <w:highlight w:val="none"/>
          <w:shd w:val="clear" w:color="auto" w:fill="ffffff"/>
          <w:vertAlign w:val="superscript"/>
        </w:rPr>
        <w:t xml:space="preserve">1</w:t>
      </w:r>
      <w:r>
        <w:rPr>
          <w:rFonts w:hint="eastAsia" w:ascii="宋体" w:hAnsi="宋体" w:eastAsia="宋体" w:cs="宋体"/>
          <w:color w:val="auto"/>
          <w:sz w:val="24"/>
          <w:szCs w:val="24"/>
          <w:highlight w:val="none"/>
          <w:shd w:val="clear" w:color="auto" w:fill="ffffff"/>
        </w:rPr>
        <w:t xml:space="preserve">，生产厂为</w:t>
      </w:r>
      <w:r>
        <w:rPr>
          <w:rFonts w:hint="eastAsia" w:ascii="宋体" w:hAnsi="宋体" w:eastAsia="宋体" w:cs="宋体"/>
          <w:color w:val="auto"/>
          <w:sz w:val="24"/>
          <w:szCs w:val="24"/>
          <w:highlight w:val="none"/>
          <w:u w:val="single"/>
          <w:shd w:val="clear" w:color="auto" w:fill="ffffff"/>
        </w:rPr>
        <w:t xml:space="preserve">（厂名）</w:t>
      </w:r>
      <w:r>
        <w:rPr>
          <w:rFonts w:hint="eastAsia" w:ascii="宋体" w:hAnsi="宋体" w:eastAsia="宋体" w:cs="宋体"/>
          <w:color w:val="auto"/>
          <w:sz w:val="24"/>
          <w:szCs w:val="24"/>
          <w:highlight w:val="none"/>
          <w:shd w:val="clear" w:color="auto" w:fill="ffffff"/>
          <w:vertAlign w:val="superscript"/>
        </w:rPr>
        <w:t xml:space="preserve">2</w:t>
      </w:r>
      <w:r>
        <w:rPr>
          <w:rFonts w:hint="eastAsia" w:ascii="宋体" w:hAnsi="宋体" w:eastAsia="宋体" w:cs="宋体"/>
          <w:color w:val="auto"/>
          <w:sz w:val="24"/>
          <w:szCs w:val="24"/>
          <w:highlight w:val="none"/>
          <w:shd w:val="clear" w:color="auto" w:fill="ffffff"/>
        </w:rPr>
        <w:t xml:space="preserve">，厂址为</w:t>
      </w:r>
      <w:r>
        <w:rPr>
          <w:rFonts w:hint="eastAsia" w:ascii="宋体" w:hAnsi="宋体" w:eastAsia="宋体" w:cs="宋体"/>
          <w:color w:val="auto"/>
          <w:sz w:val="24"/>
          <w:szCs w:val="24"/>
          <w:highlight w:val="none"/>
          <w:u w:val="single"/>
          <w:shd w:val="clear" w:color="auto" w:fill="ffffff"/>
        </w:rPr>
        <w:t xml:space="preserve">（生产厂址）</w:t>
      </w:r>
      <w:r>
        <w:rPr>
          <w:rFonts w:hint="eastAsia" w:ascii="宋体" w:hAnsi="宋体" w:eastAsia="宋体" w:cs="宋体"/>
          <w:color w:val="auto"/>
          <w:sz w:val="24"/>
          <w:szCs w:val="24"/>
          <w:highlight w:val="none"/>
          <w:shd w:val="clear" w:color="auto" w:fill="ffffff"/>
        </w:rPr>
        <w:t xml:space="preserve">。</w:t>
      </w:r>
      <w:r>
        <w:rPr>
          <w:rFonts w:hint="eastAsia" w:ascii="宋体" w:hAnsi="宋体" w:eastAsia="宋体" w:cs="宋体"/>
          <w:color w:val="auto"/>
          <w:sz w:val="24"/>
          <w:szCs w:val="24"/>
          <w:highlight w:val="none"/>
          <w:u w:val="single"/>
          <w:shd w:val="clear" w:color="auto" w:fill="ffffff"/>
        </w:rPr>
        <w:t xml:space="preserve"> / </w:t>
      </w:r>
      <w:r>
        <w:rPr>
          <w:rFonts w:hint="eastAsia" w:ascii="宋体" w:hAnsi="宋体" w:eastAsia="宋体" w:cs="宋体"/>
          <w:color w:val="auto"/>
          <w:sz w:val="24"/>
          <w:szCs w:val="24"/>
          <w:highlight w:val="none"/>
          <w:shd w:val="clear" w:color="auto" w:fill="ffffff"/>
        </w:rPr>
        <w:t xml:space="preserve">的中国境内生产的组件成本占比≥</w:t>
      </w:r>
      <w:r>
        <w:rPr>
          <w:rFonts w:hint="eastAsia" w:ascii="宋体" w:hAnsi="宋体" w:eastAsia="宋体" w:cs="宋体"/>
          <w:color w:val="auto"/>
          <w:sz w:val="24"/>
          <w:szCs w:val="24"/>
          <w:highlight w:val="none"/>
          <w:u w:val="single"/>
          <w:shd w:val="clear" w:color="auto" w:fill="ffffff"/>
        </w:rPr>
        <w:t xml:space="preserve">  /  </w:t>
      </w:r>
      <w:r>
        <w:rPr>
          <w:rFonts w:hint="eastAsia" w:ascii="宋体" w:hAnsi="宋体" w:eastAsia="宋体" w:cs="宋体"/>
          <w:color w:val="auto"/>
          <w:sz w:val="24"/>
          <w:szCs w:val="24"/>
          <w:highlight w:val="none"/>
          <w:shd w:val="clear" w:color="auto" w:fill="ffffff"/>
          <w:vertAlign w:val="superscript"/>
        </w:rPr>
        <w:t xml:space="preserve">3</w:t>
      </w:r>
      <w:r>
        <w:rPr>
          <w:rFonts w:hint="eastAsia" w:ascii="宋体" w:hAnsi="宋体" w:eastAsia="宋体" w:cs="宋体"/>
          <w:color w:val="auto"/>
          <w:sz w:val="24"/>
          <w:szCs w:val="24"/>
          <w:highlight w:val="none"/>
          <w:shd w:val="clear" w:color="auto" w:fill="ffffff"/>
        </w:rPr>
        <w:t xml:space="preserve">。</w:t>
      </w:r>
      <w:r>
        <w:rPr>
          <w:rFonts w:hint="eastAsia" w:ascii="宋体" w:hAnsi="宋体" w:eastAsia="宋体" w:cs="宋体"/>
          <w:color w:val="auto"/>
          <w:sz w:val="24"/>
          <w:szCs w:val="24"/>
          <w:highlight w:val="none"/>
          <w:u w:val="single"/>
          <w:shd w:val="clear" w:color="auto" w:fill="ffffff"/>
        </w:rPr>
        <w:t xml:space="preserve">  /  </w:t>
      </w:r>
      <w:r>
        <w:rPr>
          <w:rFonts w:hint="eastAsia" w:ascii="宋体" w:hAnsi="宋体" w:eastAsia="宋体" w:cs="宋体"/>
          <w:color w:val="auto"/>
          <w:sz w:val="24"/>
          <w:szCs w:val="24"/>
          <w:highlight w:val="none"/>
          <w:shd w:val="clear" w:color="auto" w:fill="ffffff"/>
        </w:rPr>
        <w:t xml:space="preserve">的</w:t>
      </w:r>
      <w:r>
        <w:rPr>
          <w:rFonts w:hint="eastAsia" w:ascii="宋体" w:hAnsi="宋体" w:eastAsia="宋体" w:cs="宋体"/>
          <w:color w:val="auto"/>
          <w:sz w:val="24"/>
          <w:szCs w:val="24"/>
          <w:highlight w:val="none"/>
          <w:u w:val="single"/>
          <w:shd w:val="clear" w:color="auto" w:fill="ffffff"/>
        </w:rPr>
        <w:t xml:space="preserve">  /  </w:t>
      </w:r>
      <w:r>
        <w:rPr>
          <w:rFonts w:hint="eastAsia" w:ascii="宋体" w:hAnsi="宋体" w:eastAsia="宋体" w:cs="宋体"/>
          <w:color w:val="auto"/>
          <w:sz w:val="24"/>
          <w:szCs w:val="24"/>
          <w:highlight w:val="none"/>
          <w:shd w:val="clear" w:color="auto" w:fill="ffffff"/>
          <w:vertAlign w:val="superscript"/>
        </w:rPr>
        <w:t xml:space="preserve">4</w:t>
      </w:r>
      <w:r>
        <w:rPr>
          <w:rFonts w:hint="eastAsia" w:ascii="宋体" w:hAnsi="宋体" w:eastAsia="宋体" w:cs="宋体"/>
          <w:color w:val="auto"/>
          <w:sz w:val="24"/>
          <w:szCs w:val="24"/>
          <w:highlight w:val="none"/>
          <w:shd w:val="clear" w:color="auto" w:fill="ffffff"/>
        </w:rPr>
        <w:t xml:space="preserve">在中国境内生产。</w:t>
      </w:r>
      <w:r>
        <w:rPr>
          <w:rFonts w:hint="eastAsia" w:ascii="宋体" w:hAnsi="宋体" w:eastAsia="宋体" w:cs="宋体"/>
          <w:color w:val="auto"/>
          <w:sz w:val="24"/>
          <w:szCs w:val="24"/>
          <w:highlight w:val="none"/>
          <w:u w:val="single"/>
          <w:shd w:val="clear" w:color="auto" w:fill="ffffff"/>
        </w:rPr>
        <w:t xml:space="preserve">  /  </w:t>
      </w:r>
      <w:r>
        <w:rPr>
          <w:rFonts w:hint="eastAsia" w:ascii="宋体" w:hAnsi="宋体" w:eastAsia="宋体" w:cs="宋体"/>
          <w:color w:val="auto"/>
          <w:sz w:val="24"/>
          <w:szCs w:val="24"/>
          <w:highlight w:val="none"/>
          <w:shd w:val="clear" w:color="auto" w:fill="ffffff"/>
        </w:rPr>
        <w:t xml:space="preserve">的</w:t>
      </w:r>
      <w:r>
        <w:rPr>
          <w:rFonts w:hint="eastAsia" w:ascii="宋体" w:hAnsi="宋体" w:eastAsia="宋体" w:cs="宋体"/>
          <w:color w:val="auto"/>
          <w:sz w:val="24"/>
          <w:szCs w:val="24"/>
          <w:highlight w:val="none"/>
          <w:u w:val="single"/>
          <w:shd w:val="clear" w:color="auto" w:fill="ffffff"/>
        </w:rPr>
        <w:t xml:space="preserve">  /  </w:t>
      </w:r>
      <w:r>
        <w:rPr>
          <w:rFonts w:hint="eastAsia" w:ascii="宋体" w:hAnsi="宋体" w:eastAsia="宋体" w:cs="宋体"/>
          <w:color w:val="auto"/>
          <w:sz w:val="24"/>
          <w:szCs w:val="24"/>
          <w:highlight w:val="none"/>
          <w:shd w:val="clear" w:color="auto" w:fill="ffffff"/>
          <w:vertAlign w:val="superscript"/>
        </w:rPr>
        <w:t xml:space="preserve">5</w:t>
      </w:r>
      <w:r>
        <w:rPr>
          <w:rFonts w:hint="eastAsia" w:ascii="宋体" w:hAnsi="宋体" w:eastAsia="宋体" w:cs="宋体"/>
          <w:color w:val="auto"/>
          <w:sz w:val="24"/>
          <w:szCs w:val="24"/>
          <w:highlight w:val="none"/>
          <w:shd w:val="clear" w:color="auto" w:fill="ffffff"/>
        </w:rPr>
        <w:t xml:space="preserve">在中国境内完成。</w:t>
      </w:r>
      <w:r/>
    </w:p>
    <w:p>
      <w:pPr>
        <w:pStyle w:val="1034"/>
        <w:ind w:left="0" w:firstLine="420"/>
        <w:keepLines w:val="0"/>
        <w:keepNext w:val="0"/>
        <w:spacing w:before="30" w:beforeAutospacing="0" w:after="30" w:afterAutospacing="0" w:line="360" w:lineRule="auto"/>
        <w:shd w:val="clear" w:color="auto" w:fill="ffffff"/>
        <w:widowControl/>
        <w:rPr>
          <w:color w:val="auto"/>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shd w:val="clear" w:color="auto" w:fill="ffffff"/>
        </w:rPr>
        <w:t xml:space="preserve">2.</w:t>
      </w:r>
      <w:r>
        <w:rPr>
          <w:rFonts w:hint="eastAsia" w:ascii="宋体" w:hAnsi="宋体" w:eastAsia="宋体" w:cs="宋体"/>
          <w:color w:val="auto"/>
          <w:sz w:val="24"/>
          <w:szCs w:val="24"/>
          <w:highlight w:val="none"/>
          <w:u w:val="single"/>
          <w:shd w:val="clear" w:color="auto" w:fill="ffffff"/>
        </w:rPr>
        <w:t xml:space="preserve">（产品名称2）</w:t>
      </w:r>
      <w:r>
        <w:rPr>
          <w:rFonts w:hint="eastAsia" w:ascii="宋体" w:hAnsi="宋体" w:eastAsia="宋体" w:cs="宋体"/>
          <w:color w:val="auto"/>
          <w:sz w:val="24"/>
          <w:szCs w:val="24"/>
          <w:highlight w:val="none"/>
          <w:shd w:val="clear" w:color="auto" w:fill="ffffff"/>
        </w:rPr>
        <w:t xml:space="preserve">，生产厂为</w:t>
      </w:r>
      <w:r>
        <w:rPr>
          <w:rFonts w:hint="eastAsia" w:ascii="宋体" w:hAnsi="宋体" w:eastAsia="宋体" w:cs="宋体"/>
          <w:color w:val="auto"/>
          <w:sz w:val="24"/>
          <w:szCs w:val="24"/>
          <w:highlight w:val="none"/>
          <w:u w:val="single"/>
          <w:shd w:val="clear" w:color="auto" w:fill="ffffff"/>
        </w:rPr>
        <w:t xml:space="preserve">（厂名）</w:t>
      </w:r>
      <w:r>
        <w:rPr>
          <w:rFonts w:hint="eastAsia" w:ascii="宋体" w:hAnsi="宋体" w:eastAsia="宋体" w:cs="宋体"/>
          <w:color w:val="auto"/>
          <w:sz w:val="24"/>
          <w:szCs w:val="24"/>
          <w:highlight w:val="none"/>
          <w:shd w:val="clear" w:color="auto" w:fill="ffffff"/>
        </w:rPr>
        <w:t xml:space="preserve">，厂址为</w:t>
      </w:r>
      <w:r>
        <w:rPr>
          <w:rFonts w:hint="eastAsia" w:ascii="宋体" w:hAnsi="宋体" w:eastAsia="宋体" w:cs="宋体"/>
          <w:color w:val="auto"/>
          <w:sz w:val="24"/>
          <w:szCs w:val="24"/>
          <w:highlight w:val="none"/>
          <w:u w:val="single"/>
          <w:shd w:val="clear" w:color="auto" w:fill="ffffff"/>
        </w:rPr>
        <w:t xml:space="preserve">（生产厂址）</w:t>
      </w:r>
      <w:r>
        <w:rPr>
          <w:rFonts w:hint="eastAsia" w:ascii="宋体" w:hAnsi="宋体" w:eastAsia="宋体" w:cs="宋体"/>
          <w:color w:val="auto"/>
          <w:sz w:val="24"/>
          <w:szCs w:val="24"/>
          <w:highlight w:val="none"/>
          <w:shd w:val="clear" w:color="auto" w:fill="ffffff"/>
        </w:rPr>
        <w:t xml:space="preserve">。</w:t>
      </w:r>
      <w:r>
        <w:rPr>
          <w:rFonts w:hint="eastAsia" w:ascii="宋体" w:hAnsi="宋体" w:eastAsia="宋体" w:cs="宋体"/>
          <w:color w:val="auto"/>
          <w:sz w:val="24"/>
          <w:szCs w:val="24"/>
          <w:highlight w:val="none"/>
          <w:u w:val="single"/>
          <w:shd w:val="clear" w:color="auto" w:fill="ffffff"/>
        </w:rPr>
        <w:t xml:space="preserve"> /  </w:t>
      </w:r>
      <w:r>
        <w:rPr>
          <w:rFonts w:hint="eastAsia" w:ascii="宋体" w:hAnsi="宋体" w:eastAsia="宋体" w:cs="宋体"/>
          <w:color w:val="auto"/>
          <w:sz w:val="24"/>
          <w:szCs w:val="24"/>
          <w:highlight w:val="none"/>
          <w:shd w:val="clear" w:color="auto" w:fill="ffffff"/>
        </w:rPr>
        <w:t xml:space="preserve">的中国境内生产的组件成本占比≥</w:t>
      </w:r>
      <w:r>
        <w:rPr>
          <w:rFonts w:hint="eastAsia" w:ascii="宋体" w:hAnsi="宋体" w:eastAsia="宋体" w:cs="宋体"/>
          <w:color w:val="auto"/>
          <w:sz w:val="24"/>
          <w:szCs w:val="24"/>
          <w:highlight w:val="none"/>
          <w:u w:val="single"/>
          <w:shd w:val="clear" w:color="auto" w:fill="ffffff"/>
        </w:rPr>
        <w:t xml:space="preserve">  /  </w:t>
      </w:r>
      <w:r>
        <w:rPr>
          <w:rFonts w:hint="eastAsia" w:ascii="宋体" w:hAnsi="宋体" w:eastAsia="宋体" w:cs="宋体"/>
          <w:color w:val="auto"/>
          <w:sz w:val="24"/>
          <w:szCs w:val="24"/>
          <w:highlight w:val="none"/>
          <w:shd w:val="clear" w:color="auto" w:fill="ffffff"/>
        </w:rPr>
        <w:t xml:space="preserve">。</w:t>
      </w:r>
      <w:r>
        <w:rPr>
          <w:rFonts w:hint="eastAsia" w:ascii="宋体" w:hAnsi="宋体" w:eastAsia="宋体" w:cs="宋体"/>
          <w:color w:val="auto"/>
          <w:sz w:val="24"/>
          <w:szCs w:val="24"/>
          <w:highlight w:val="none"/>
          <w:u w:val="single"/>
          <w:shd w:val="clear" w:color="auto" w:fill="ffffff"/>
        </w:rPr>
        <w:t xml:space="preserve">  /  </w:t>
      </w:r>
      <w:r>
        <w:rPr>
          <w:rFonts w:hint="eastAsia" w:ascii="宋体" w:hAnsi="宋体" w:eastAsia="宋体" w:cs="宋体"/>
          <w:color w:val="auto"/>
          <w:sz w:val="24"/>
          <w:szCs w:val="24"/>
          <w:highlight w:val="none"/>
          <w:shd w:val="clear" w:color="auto" w:fill="ffffff"/>
        </w:rPr>
        <w:t xml:space="preserve">的</w:t>
      </w:r>
      <w:r>
        <w:rPr>
          <w:rFonts w:hint="eastAsia" w:ascii="宋体" w:hAnsi="宋体" w:eastAsia="宋体" w:cs="宋体"/>
          <w:color w:val="auto"/>
          <w:sz w:val="24"/>
          <w:szCs w:val="24"/>
          <w:highlight w:val="none"/>
          <w:u w:val="single"/>
          <w:shd w:val="clear" w:color="auto" w:fill="ffffff"/>
        </w:rPr>
        <w:t xml:space="preserve">  /  </w:t>
      </w:r>
      <w:r>
        <w:rPr>
          <w:rFonts w:hint="eastAsia" w:ascii="宋体" w:hAnsi="宋体" w:eastAsia="宋体" w:cs="宋体"/>
          <w:color w:val="auto"/>
          <w:sz w:val="24"/>
          <w:szCs w:val="24"/>
          <w:highlight w:val="none"/>
          <w:shd w:val="clear" w:color="auto" w:fill="ffffff"/>
        </w:rPr>
        <w:t xml:space="preserve">在中国境内生产。</w:t>
      </w:r>
      <w:r>
        <w:rPr>
          <w:rFonts w:hint="eastAsia" w:ascii="宋体" w:hAnsi="宋体" w:eastAsia="宋体" w:cs="宋体"/>
          <w:color w:val="auto"/>
          <w:sz w:val="24"/>
          <w:szCs w:val="24"/>
          <w:highlight w:val="none"/>
          <w:u w:val="single"/>
          <w:shd w:val="clear" w:color="auto" w:fill="ffffff"/>
        </w:rPr>
        <w:t xml:space="preserve">  /  </w:t>
      </w:r>
      <w:r>
        <w:rPr>
          <w:rFonts w:hint="eastAsia" w:ascii="宋体" w:hAnsi="宋体" w:eastAsia="宋体" w:cs="宋体"/>
          <w:color w:val="auto"/>
          <w:sz w:val="24"/>
          <w:szCs w:val="24"/>
          <w:highlight w:val="none"/>
          <w:shd w:val="clear" w:color="auto" w:fill="ffffff"/>
        </w:rPr>
        <w:t xml:space="preserve">的</w:t>
      </w:r>
      <w:r>
        <w:rPr>
          <w:rFonts w:hint="eastAsia" w:ascii="宋体" w:hAnsi="宋体" w:eastAsia="宋体" w:cs="宋体"/>
          <w:color w:val="auto"/>
          <w:sz w:val="24"/>
          <w:szCs w:val="24"/>
          <w:highlight w:val="none"/>
          <w:u w:val="single"/>
          <w:shd w:val="clear" w:color="auto" w:fill="ffffff"/>
        </w:rPr>
        <w:t xml:space="preserve">  /  </w:t>
      </w:r>
      <w:r>
        <w:rPr>
          <w:rFonts w:hint="eastAsia" w:ascii="宋体" w:hAnsi="宋体" w:eastAsia="宋体" w:cs="宋体"/>
          <w:color w:val="auto"/>
          <w:sz w:val="24"/>
          <w:szCs w:val="24"/>
          <w:highlight w:val="none"/>
          <w:shd w:val="clear" w:color="auto" w:fill="ffffff"/>
        </w:rPr>
        <w:t xml:space="preserve">在中国境内完成。</w:t>
      </w:r>
      <w:r/>
    </w:p>
    <w:p>
      <w:pPr>
        <w:pStyle w:val="1034"/>
        <w:ind w:left="0" w:firstLine="420"/>
        <w:keepLines w:val="0"/>
        <w:keepNext w:val="0"/>
        <w:spacing w:before="30" w:beforeAutospacing="0" w:after="30" w:afterAutospacing="0" w:line="360" w:lineRule="auto"/>
        <w:shd w:val="clear" w:color="auto" w:fill="ffffff"/>
        <w:widowControl/>
        <w:rPr>
          <w:color w:val="auto"/>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shd w:val="clear" w:color="auto" w:fill="ffffff"/>
        </w:rPr>
        <w:t xml:space="preserve">……</w:t>
      </w:r>
      <w:r/>
    </w:p>
    <w:p>
      <w:pPr>
        <w:pStyle w:val="1034"/>
        <w:ind w:left="0" w:firstLine="420"/>
        <w:keepLines w:val="0"/>
        <w:keepNext w:val="0"/>
        <w:spacing w:before="30" w:beforeAutospacing="0" w:after="30" w:afterAutospacing="0" w:line="360" w:lineRule="auto"/>
        <w:shd w:val="clear" w:color="auto" w:fill="ffffff"/>
        <w:widowControl/>
        <w:rPr>
          <w:color w:val="auto"/>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shd w:val="clear" w:color="auto" w:fill="ffffff"/>
        </w:rPr>
        <w:t xml:space="preserve">本公司（单位）对上述声明内容的真实性负责。如有虚假，愿承担相应法律责任。</w:t>
      </w:r>
      <w:r/>
    </w:p>
    <w:p>
      <w:pPr>
        <w:pStyle w:val="1034"/>
        <w:keepLines w:val="0"/>
        <w:keepNext w:val="0"/>
        <w:spacing w:before="30" w:beforeAutospacing="0" w:after="30" w:afterAutospacing="0" w:line="0" w:lineRule="atLeast"/>
        <w:shd w:val="clear" w:color="auto" w:fill="ffffff"/>
        <w:widowControl/>
        <w:rPr>
          <w:color w:val="auto"/>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auto"/>
          <w:highlight w:val="none"/>
          <w:shd w:val="clear" w:color="auto" w:fill="ffffff"/>
        </w:rPr>
        <w:t xml:space="preserve"> </w:t>
      </w:r>
      <w:r/>
    </w:p>
    <w:p>
      <w:pPr>
        <w:pStyle w:val="1034"/>
        <w:jc w:val="right"/>
        <w:keepLines w:val="0"/>
        <w:keepNext w:val="0"/>
        <w:spacing w:before="30" w:beforeAutospacing="0" w:after="30" w:afterAutospacing="0" w:line="360" w:lineRule="auto"/>
        <w:shd w:val="clear" w:color="auto" w:fill="ffffff"/>
        <w:widowControl/>
        <w:rPr>
          <w:color w:val="auto"/>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shd w:val="clear" w:color="auto" w:fill="ffffff"/>
        </w:rPr>
        <w:t xml:space="preserve">   公司（单位）名称（加盖公章）：         </w:t>
      </w:r>
      <w:r/>
    </w:p>
    <w:p>
      <w:pPr>
        <w:pStyle w:val="1034"/>
        <w:jc w:val="center"/>
        <w:keepLines w:val="0"/>
        <w:keepNext w:val="0"/>
        <w:spacing w:before="30" w:beforeAutospacing="0" w:after="30" w:afterAutospacing="0" w:line="360" w:lineRule="auto"/>
        <w:shd w:val="clear" w:color="auto" w:fill="ffffff"/>
        <w:widowControl/>
        <w:rPr>
          <w:color w:val="auto"/>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shd w:val="clear" w:color="auto" w:fill="ffffff"/>
        </w:rPr>
        <w:t xml:space="preserve">           日期：      年   月   日         </w:t>
      </w:r>
      <w:r/>
    </w:p>
    <w:p>
      <w:pPr>
        <w:pStyle w:val="1034"/>
        <w:keepLines w:val="0"/>
        <w:keepNext w:val="0"/>
        <w:spacing w:before="30" w:beforeAutospacing="0" w:after="30" w:afterAutospacing="0" w:line="0" w:lineRule="atLeast"/>
        <w:shd w:val="clear" w:color="auto" w:fill="ffffff"/>
        <w:widowControl/>
        <w:rPr>
          <w:color w:val="auto"/>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auto"/>
          <w:highlight w:val="none"/>
          <w:shd w:val="clear" w:color="auto" w:fill="ffffff"/>
        </w:rPr>
        <w:t xml:space="preserve"> </w:t>
      </w:r>
      <w:r/>
    </w:p>
    <w:p>
      <w:pPr>
        <w:pStyle w:val="1034"/>
        <w:keepLines w:val="0"/>
        <w:keepNext w:val="0"/>
        <w:spacing w:before="30" w:beforeAutospacing="0" w:after="30" w:afterAutospacing="0" w:line="0" w:lineRule="atLeast"/>
        <w:shd w:val="clear" w:color="auto" w:fill="ffffff"/>
        <w:widowControl/>
        <w:rPr>
          <w:color w:val="auto"/>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auto"/>
          <w:highlight w:val="none"/>
          <w:shd w:val="clear" w:color="auto" w:fill="ffffff"/>
        </w:rPr>
        <w:t xml:space="preserve"> </w:t>
      </w:r>
      <w:r/>
    </w:p>
    <w:p>
      <w:pPr>
        <w:pStyle w:val="1034"/>
        <w:keepLines w:val="0"/>
        <w:keepNext w:val="0"/>
        <w:spacing w:before="30" w:beforeAutospacing="0" w:after="30" w:afterAutospacing="0" w:line="0" w:lineRule="atLeast"/>
        <w:shd w:val="clear" w:color="auto" w:fill="ffffff"/>
        <w:widowControl/>
        <w:rPr>
          <w:color w:val="auto"/>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shd w:val="clear" w:color="auto" w:fill="ffffff"/>
        </w:rPr>
        <w:t xml:space="preserve">_________________</w:t>
      </w:r>
      <w:r/>
    </w:p>
    <w:p>
      <w:pPr>
        <w:pStyle w:val="1034"/>
        <w:keepLines w:val="0"/>
        <w:keepNext w:val="0"/>
        <w:spacing w:before="30" w:beforeAutospacing="0" w:after="30" w:afterAutospacing="0" w:line="360" w:lineRule="auto"/>
        <w:shd w:val="clear" w:color="auto" w:fill="ffffff"/>
        <w:widowControl/>
        <w:rPr>
          <w:color w:val="auto"/>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shd w:val="clear" w:color="auto" w:fill="ffffff"/>
        </w:rPr>
        <w:t xml:space="preserve">1.产品如有型号，请在“产品名称”栏一并填写。</w:t>
      </w:r>
      <w:r/>
    </w:p>
    <w:p>
      <w:pPr>
        <w:pStyle w:val="1034"/>
        <w:keepLines w:val="0"/>
        <w:keepNext w:val="0"/>
        <w:spacing w:before="30" w:beforeAutospacing="0" w:after="30" w:afterAutospacing="0" w:line="360" w:lineRule="auto"/>
        <w:shd w:val="clear" w:color="auto" w:fill="ffffff"/>
        <w:widowControl/>
        <w:rPr>
          <w:color w:val="auto"/>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shd w:val="clear" w:color="auto" w:fill="ffffff"/>
        </w:rPr>
        <w:t xml:space="preserve">2.生产厂名与厂址应与生产厂营业执照载明的相关信息保持一致。</w:t>
      </w:r>
      <w:r/>
    </w:p>
    <w:p>
      <w:pPr>
        <w:pStyle w:val="1034"/>
        <w:keepLines w:val="0"/>
        <w:keepNext w:val="0"/>
        <w:spacing w:before="30" w:beforeAutospacing="0" w:after="30" w:afterAutospacing="0" w:line="360" w:lineRule="auto"/>
        <w:shd w:val="clear" w:color="auto" w:fill="ffffff"/>
        <w:widowControl/>
        <w:rPr>
          <w:color w:val="auto"/>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shd w:val="clear" w:color="auto" w:fill="ffffff"/>
        </w:rPr>
        <w:t xml:space="preserve">3.该产品的中国境内生产的组件成本占比相关要求实施前，“规定比例”栏可不填，下同。</w:t>
      </w:r>
      <w:r/>
    </w:p>
    <w:p>
      <w:pPr>
        <w:pStyle w:val="1034"/>
        <w:keepLines w:val="0"/>
        <w:keepNext w:val="0"/>
        <w:spacing w:before="30" w:beforeAutospacing="0" w:after="30" w:afterAutospacing="0" w:line="360" w:lineRule="auto"/>
        <w:shd w:val="clear" w:color="auto" w:fill="ffffff"/>
        <w:widowControl/>
        <w:rPr>
          <w:color w:val="auto"/>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shd w:val="clear" w:color="auto" w:fill="ffffff"/>
        </w:rPr>
        <w:t xml:space="preserve">4.该产品的关键组件要求实施前，“关键组件”栏可不填，下同。</w:t>
      </w:r>
      <w:r/>
    </w:p>
    <w:p>
      <w:pPr>
        <w:pStyle w:val="1034"/>
        <w:keepLines w:val="0"/>
        <w:keepNext w:val="0"/>
        <w:spacing w:before="30" w:beforeAutospacing="0" w:after="30" w:afterAutospacing="0" w:line="360" w:lineRule="auto"/>
        <w:shd w:val="clear" w:color="auto" w:fill="ffffff"/>
        <w:widowControl/>
        <w:rPr>
          <w:color w:val="auto"/>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shd w:val="clear" w:color="auto" w:fill="ffffff"/>
        </w:rPr>
        <w:t xml:space="preserve">5.该产品的关键工序要求实施前，“关键工序”栏可不填，下同。</w:t>
      </w:r>
      <w:r/>
    </w:p>
    <w:p>
      <w:pPr>
        <w:pStyle w:val="1034"/>
        <w:keepLines w:val="0"/>
        <w:keepNext w:val="0"/>
        <w:spacing w:before="30" w:beforeAutospacing="0" w:after="30" w:afterAutospacing="0" w:line="360" w:lineRule="auto"/>
        <w:shd w:val="clear" w:color="auto" w:fill="ffffff"/>
        <w:widowControl/>
        <w:rPr>
          <w:color w:val="auto"/>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shd w:val="clear" w:color="auto" w:fill="ffffff"/>
        </w:rPr>
        <w:t xml:space="preserve">6.《声明函》中标注“</w:t>
      </w:r>
      <w:r>
        <w:rPr>
          <w:rFonts w:hint="eastAsia" w:ascii="宋体" w:hAnsi="宋体" w:eastAsia="宋体" w:cs="宋体"/>
          <w:color w:val="auto"/>
          <w:sz w:val="24"/>
          <w:szCs w:val="24"/>
          <w:highlight w:val="none"/>
          <w:u w:val="single"/>
          <w:shd w:val="clear" w:color="auto" w:fill="ffffff"/>
        </w:rPr>
        <w:t xml:space="preserve">  /  </w:t>
      </w:r>
      <w:r>
        <w:rPr>
          <w:rFonts w:hint="eastAsia" w:ascii="宋体" w:hAnsi="宋体" w:eastAsia="宋体" w:cs="宋体"/>
          <w:color w:val="auto"/>
          <w:sz w:val="24"/>
          <w:szCs w:val="24"/>
          <w:highlight w:val="none"/>
          <w:shd w:val="clear" w:color="auto" w:fill="ffffff"/>
        </w:rPr>
        <w:t xml:space="preserve">”的地方无需填写。</w:t>
      </w:r>
      <w:r/>
    </w:p>
    <w:p>
      <w:pPr>
        <w:pStyle w:val="1034"/>
        <w:ind w:left="0" w:right="0" w:firstLine="420"/>
        <w:keepLines w:val="0"/>
        <w:keepNext w:val="0"/>
        <w:spacing w:before="24" w:beforeAutospacing="0" w:after="24" w:afterAutospacing="0" w:line="360" w:lineRule="atLeast"/>
        <w:widowControl/>
        <w:rPr>
          <w:rFonts w:hint="eastAsia" w:ascii="宋体" w:hAnsi="宋体" w:eastAsia="宋体" w:cs="宋体"/>
          <w:b/>
          <w:color w:val="auto"/>
          <w:sz w:val="24"/>
          <w:szCs w:val="24"/>
          <w:highlight w:val="none"/>
          <w:lang w:val="en-US" w:eastAsia="zh-CN"/>
        </w:rPr>
        <w:pBdr>
          <w:top w:val="none" w:color="000000" w:sz="0" w:space="0"/>
          <w:left w:val="none" w:color="000000" w:sz="0" w:space="0"/>
          <w:bottom w:val="none" w:color="000000" w:sz="0" w:space="0"/>
          <w:right w:val="none" w:color="000000" w:sz="0" w:space="0"/>
        </w:pBdr>
        <w:sectPr>
          <w:footerReference w:type="default" r:id="rId12"/>
          <w:footerReference w:type="first" r:id="rId13"/>
          <w:footnotePr/>
          <w:endnotePr/>
          <w:type w:val="nextPage"/>
          <w:pgSz w:w="11907" w:h="16840" w:orient="portrait"/>
          <w:pgMar w:top="1440" w:right="1270" w:bottom="1440" w:left="1270" w:header="851" w:footer="992" w:gutter="0"/>
          <w:cols w:num="1" w:sep="0" w:space="1701" w:equalWidth="1"/>
          <w:docGrid w:linePitch="360"/>
          <w:titlePg/>
        </w:sectPr>
        <w:suppressLineNumbers w:val="0"/>
      </w:pPr>
      <w:r>
        <w:rPr>
          <w:rFonts w:hint="eastAsia" w:ascii="宋体" w:hAnsi="宋体" w:eastAsia="宋体" w:cs="宋体"/>
          <w:b/>
          <w:color w:val="auto"/>
          <w:sz w:val="24"/>
          <w:szCs w:val="24"/>
          <w:highlight w:val="none"/>
          <w:lang w:val="en-US" w:eastAsia="zh-CN"/>
        </w:rPr>
      </w:r>
      <w:r/>
    </w:p>
    <w:p>
      <w:pPr>
        <w:pStyle w:val="1022"/>
        <w:jc w:val="both"/>
        <w:keepLines w:val="0"/>
        <w:keepNext w:val="0"/>
        <w:spacing w:before="0" w:after="0" w:line="360" w:lineRule="auto"/>
        <w:rPr>
          <w:rFonts w:hint="eastAsia" w:ascii="宋体" w:hAnsi="宋体" w:eastAsia="宋体" w:cs="宋体"/>
          <w:b w:val="0"/>
          <w:bCs/>
          <w:color w:val="auto"/>
          <w:szCs w:val="32"/>
          <w:highlight w:val="none"/>
          <w:lang w:val="en-US" w:eastAsia="zh-CN"/>
        </w:rPr>
      </w:pPr>
      <w:r>
        <w:rPr>
          <w:rFonts w:hint="eastAsia" w:ascii="宋体" w:hAnsi="宋体" w:eastAsia="宋体" w:cs="宋体"/>
          <w:b w:val="0"/>
          <w:bCs/>
          <w:color w:val="auto"/>
          <w:szCs w:val="32"/>
          <w:highlight w:val="none"/>
          <w:lang w:val="en-US" w:eastAsia="zh-CN"/>
        </w:rPr>
      </w:r>
      <w:r/>
    </w:p>
    <w:p>
      <w:pPr>
        <w:pStyle w:val="1022"/>
        <w:jc w:val="center"/>
        <w:keepLines w:val="0"/>
        <w:keepNext w:val="0"/>
        <w:spacing w:before="0" w:after="0" w:line="360" w:lineRule="auto"/>
        <w:rPr>
          <w:rFonts w:hint="eastAsia" w:ascii="宋体" w:hAnsi="宋体" w:eastAsia="宋体" w:cs="宋体"/>
          <w:b w:val="0"/>
          <w:bCs/>
          <w:color w:val="auto"/>
          <w:szCs w:val="32"/>
          <w:highlight w:val="none"/>
          <w:lang w:val="en-US" w:eastAsia="zh-CN"/>
        </w:rPr>
      </w:pPr>
      <w:r>
        <w:rPr>
          <w:rFonts w:hint="eastAsia" w:ascii="宋体" w:hAnsi="宋体" w:eastAsia="宋体" w:cs="宋体"/>
          <w:b w:val="0"/>
          <w:bCs/>
          <w:color w:val="auto"/>
          <w:szCs w:val="32"/>
          <w:highlight w:val="none"/>
          <w:lang w:val="en-US" w:eastAsia="zh-CN"/>
        </w:rPr>
        <w:t xml:space="preserve">（八）本项目特定资格要求</w:t>
      </w:r>
      <w:r/>
    </w:p>
    <w:p>
      <w:pPr>
        <w:pStyle w:val="1022"/>
        <w:ind w:firstLine="643"/>
        <w:jc w:val="center"/>
        <w:keepLines w:val="0"/>
        <w:keepNext w:val="0"/>
        <w:spacing w:before="0" w:after="0"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r>
      <w:r/>
    </w:p>
    <w:p>
      <w:pPr>
        <w:pStyle w:val="1022"/>
        <w:ind w:firstLine="643"/>
        <w:jc w:val="center"/>
        <w:keepLines w:val="0"/>
        <w:keepNext w:val="0"/>
        <w:spacing w:before="0" w:after="0"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r>
      <w:r/>
    </w:p>
    <w:p>
      <w:pPr>
        <w:pStyle w:val="1022"/>
        <w:ind w:firstLine="643"/>
        <w:jc w:val="center"/>
        <w:keepLines w:val="0"/>
        <w:keepNext w:val="0"/>
        <w:spacing w:before="0" w:after="0"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r>
      <w:r/>
    </w:p>
    <w:p>
      <w:pPr>
        <w:pStyle w:val="1022"/>
        <w:ind w:firstLine="643"/>
        <w:jc w:val="center"/>
        <w:keepLines w:val="0"/>
        <w:keepNext w:val="0"/>
        <w:spacing w:before="0" w:after="0"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r>
      <w:r/>
    </w:p>
    <w:p>
      <w:pPr>
        <w:pStyle w:val="1022"/>
        <w:ind w:firstLine="643"/>
        <w:jc w:val="center"/>
        <w:keepLines w:val="0"/>
        <w:keepNext w:val="0"/>
        <w:spacing w:before="0" w:after="0"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r>
      <w:r/>
    </w:p>
    <w:p>
      <w:pPr>
        <w:pStyle w:val="1022"/>
        <w:ind w:firstLine="643"/>
        <w:jc w:val="center"/>
        <w:keepLines w:val="0"/>
        <w:keepNext w:val="0"/>
        <w:spacing w:before="0" w:after="0"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r>
      <w:r/>
    </w:p>
    <w:p>
      <w:pPr>
        <w:pStyle w:val="1022"/>
        <w:ind w:firstLine="643"/>
        <w:jc w:val="center"/>
        <w:keepLines w:val="0"/>
        <w:keepNext w:val="0"/>
        <w:spacing w:before="0" w:after="0"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r>
      <w:r/>
    </w:p>
    <w:p>
      <w:pPr>
        <w:pStyle w:val="1022"/>
        <w:ind w:firstLine="643"/>
        <w:jc w:val="center"/>
        <w:keepLines w:val="0"/>
        <w:keepNext w:val="0"/>
        <w:spacing w:before="0" w:after="0"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r>
      <w:r/>
    </w:p>
    <w:p>
      <w:pPr>
        <w:pStyle w:val="1022"/>
        <w:ind w:firstLine="643"/>
        <w:jc w:val="center"/>
        <w:keepLines w:val="0"/>
        <w:keepNext w:val="0"/>
        <w:spacing w:before="0" w:after="0"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r>
      <w:r/>
    </w:p>
    <w:p>
      <w:pPr>
        <w:pStyle w:val="1022"/>
        <w:ind w:firstLine="643"/>
        <w:jc w:val="center"/>
        <w:keepLines w:val="0"/>
        <w:keepNext w:val="0"/>
        <w:spacing w:before="0" w:after="0"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r>
      <w:r/>
    </w:p>
    <w:p>
      <w:pPr>
        <w:pStyle w:val="1022"/>
        <w:ind w:firstLine="643"/>
        <w:jc w:val="center"/>
        <w:keepLines w:val="0"/>
        <w:keepNext w:val="0"/>
        <w:spacing w:before="0" w:after="0"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r>
      <w:r/>
    </w:p>
    <w:p>
      <w:pPr>
        <w:pStyle w:val="1022"/>
        <w:ind w:firstLine="643"/>
        <w:jc w:val="center"/>
        <w:keepLines w:val="0"/>
        <w:keepNext w:val="0"/>
        <w:spacing w:before="0" w:after="0"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r>
      <w:r/>
    </w:p>
    <w:p>
      <w:pPr>
        <w:pStyle w:val="1022"/>
        <w:ind w:firstLine="643"/>
        <w:jc w:val="center"/>
        <w:keepLines w:val="0"/>
        <w:keepNext w:val="0"/>
        <w:spacing w:before="0" w:after="0"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r>
      <w:r/>
    </w:p>
    <w:p>
      <w:pPr>
        <w:pStyle w:val="1022"/>
        <w:ind w:firstLine="643"/>
        <w:jc w:val="center"/>
        <w:keepLines w:val="0"/>
        <w:keepNext w:val="0"/>
        <w:spacing w:before="0" w:after="0"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r>
      <w:r/>
    </w:p>
    <w:p>
      <w:pPr>
        <w:pStyle w:val="1022"/>
        <w:ind w:firstLine="643"/>
        <w:jc w:val="center"/>
        <w:keepLines w:val="0"/>
        <w:keepNext w:val="0"/>
        <w:spacing w:before="0" w:after="0"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r>
      <w:r/>
    </w:p>
    <w:p>
      <w:pPr>
        <w:pStyle w:val="1022"/>
        <w:ind w:firstLine="643"/>
        <w:jc w:val="center"/>
        <w:keepLines w:val="0"/>
        <w:keepNext w:val="0"/>
        <w:spacing w:before="0" w:after="0"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r>
      <w:r/>
    </w:p>
    <w:p>
      <w:pPr>
        <w:pStyle w:val="1022"/>
        <w:ind w:firstLine="643"/>
        <w:jc w:val="center"/>
        <w:keepLines w:val="0"/>
        <w:keepNext w:val="0"/>
        <w:spacing w:before="0" w:after="0"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r>
      <w:r/>
    </w:p>
    <w:p>
      <w:pPr>
        <w:pStyle w:val="1022"/>
        <w:ind w:firstLine="643"/>
        <w:jc w:val="center"/>
        <w:keepLines w:val="0"/>
        <w:keepNext w:val="0"/>
        <w:spacing w:before="0" w:after="0"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r>
      <w:r/>
    </w:p>
    <w:p>
      <w:pPr>
        <w:pStyle w:val="1021"/>
        <w:jc w:val="center"/>
        <w:spacing w:line="360" w:lineRule="auto"/>
        <w:rPr>
          <w:rFonts w:hint="eastAsia" w:ascii="宋体" w:hAnsi="宋体" w:eastAsia="宋体" w:cs="宋体"/>
          <w:color w:val="auto"/>
          <w:sz w:val="32"/>
          <w:highlight w:val="none"/>
        </w:rPr>
      </w:pPr>
      <w:r>
        <w:rPr>
          <w:rFonts w:hint="eastAsia" w:ascii="宋体" w:hAnsi="宋体" w:eastAsia="宋体" w:cs="宋体"/>
          <w:color w:val="auto"/>
          <w:sz w:val="32"/>
          <w:highlight w:val="none"/>
        </w:rPr>
        <w:t xml:space="preserve">（</w:t>
      </w:r>
      <w:r>
        <w:rPr>
          <w:rFonts w:hint="eastAsia" w:ascii="宋体" w:hAnsi="宋体" w:eastAsia="宋体" w:cs="宋体"/>
          <w:color w:val="auto"/>
          <w:sz w:val="32"/>
          <w:highlight w:val="none"/>
          <w:lang w:val="en-US" w:eastAsia="zh-CN"/>
        </w:rPr>
        <w:t xml:space="preserve">九</w:t>
      </w:r>
      <w:r>
        <w:rPr>
          <w:rFonts w:hint="eastAsia" w:ascii="宋体" w:hAnsi="宋体" w:eastAsia="宋体" w:cs="宋体"/>
          <w:color w:val="auto"/>
          <w:sz w:val="32"/>
          <w:highlight w:val="none"/>
        </w:rPr>
        <w:t xml:space="preserve">）资格承诺函</w:t>
      </w:r>
      <w:r/>
    </w:p>
    <w:p>
      <w:pPr>
        <w:pStyle w:val="1021"/>
        <w:jc w:val="both"/>
        <w:spacing w:line="360"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致：</w:t>
      </w:r>
      <w:r>
        <w:rPr>
          <w:rFonts w:hint="eastAsia" w:ascii="宋体" w:hAnsi="宋体" w:eastAsia="宋体" w:cs="宋体"/>
          <w:b w:val="0"/>
          <w:bCs/>
          <w:color w:val="auto"/>
          <w:sz w:val="28"/>
          <w:szCs w:val="28"/>
          <w:highlight w:val="none"/>
          <w:u w:val="single"/>
        </w:rPr>
        <w:t xml:space="preserve">    （采购人、采购代理机构）  </w:t>
      </w:r>
      <w:r>
        <w:rPr>
          <w:rFonts w:hint="eastAsia" w:ascii="宋体" w:hAnsi="宋体" w:eastAsia="宋体" w:cs="宋体"/>
          <w:b w:val="0"/>
          <w:bCs/>
          <w:color w:val="auto"/>
          <w:sz w:val="28"/>
          <w:szCs w:val="28"/>
          <w:highlight w:val="none"/>
        </w:rPr>
        <w:t xml:space="preserve"> </w:t>
      </w:r>
      <w:r/>
    </w:p>
    <w:p>
      <w:pPr>
        <w:pStyle w:val="1021"/>
        <w:ind w:firstLine="560"/>
        <w:jc w:val="both"/>
        <w:spacing w:line="360"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我单位参与</w:t>
      </w:r>
      <w:r>
        <w:rPr>
          <w:rFonts w:hint="eastAsia" w:ascii="宋体" w:hAnsi="宋体" w:eastAsia="宋体" w:cs="宋体"/>
          <w:b w:val="0"/>
          <w:bCs/>
          <w:color w:val="auto"/>
          <w:sz w:val="28"/>
          <w:szCs w:val="28"/>
          <w:highlight w:val="none"/>
          <w:u w:val="single"/>
        </w:rPr>
        <w:t xml:space="preserve">  （项目名称）  （项目编号：    ）</w:t>
      </w:r>
      <w:r>
        <w:rPr>
          <w:rFonts w:hint="eastAsia" w:ascii="宋体" w:hAnsi="宋体" w:eastAsia="宋体" w:cs="宋体"/>
          <w:b w:val="0"/>
          <w:bCs/>
          <w:color w:val="auto"/>
          <w:sz w:val="28"/>
          <w:szCs w:val="28"/>
          <w:highlight w:val="none"/>
        </w:rPr>
        <w:t xml:space="preserve">项目的政府采购活动，现承诺如下：</w:t>
      </w:r>
      <w:r/>
    </w:p>
    <w:p>
      <w:pPr>
        <w:pStyle w:val="1021"/>
        <w:ind w:firstLine="560"/>
        <w:jc w:val="both"/>
        <w:spacing w:line="360"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1.我方具有良好的商业信誉和健全的财务会计制度。</w:t>
      </w:r>
      <w:r/>
    </w:p>
    <w:p>
      <w:pPr>
        <w:pStyle w:val="1021"/>
        <w:ind w:firstLine="560"/>
        <w:jc w:val="both"/>
        <w:spacing w:line="360"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2.我方具有履行合同所必需的设备和专业技术能力。</w:t>
      </w:r>
      <w:r/>
    </w:p>
    <w:p>
      <w:pPr>
        <w:pStyle w:val="1021"/>
        <w:ind w:firstLine="560"/>
        <w:jc w:val="both"/>
        <w:spacing w:line="360"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3.我方具有依法缴纳税收和社会保障资金的良好记录。</w:t>
      </w:r>
      <w:r/>
    </w:p>
    <w:p>
      <w:pPr>
        <w:pStyle w:val="1021"/>
        <w:ind w:firstLine="560"/>
        <w:jc w:val="both"/>
        <w:spacing w:line="360"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4.我方参加本项目采购活动前三年内，在经营活动中没有重大违法记录。</w:t>
      </w:r>
      <w:r/>
    </w:p>
    <w:p>
      <w:pPr>
        <w:pStyle w:val="1021"/>
        <w:ind w:firstLine="560"/>
        <w:jc w:val="both"/>
        <w:spacing w:line="360"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若我单位承诺不实，自愿承担提供虚假材料谋取中标、成交的法律责任。</w:t>
      </w:r>
      <w:r/>
    </w:p>
    <w:p>
      <w:pPr>
        <w:pStyle w:val="1021"/>
        <w:ind w:firstLine="560"/>
        <w:jc w:val="both"/>
        <w:spacing w:line="360"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投标（响应）供应商（全称并盖章）：         </w:t>
      </w:r>
      <w:r/>
    </w:p>
    <w:p>
      <w:pPr>
        <w:pStyle w:val="1021"/>
        <w:ind w:firstLine="560"/>
        <w:jc w:val="both"/>
        <w:spacing w:line="360"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供应商法定代表人或授权代表（签字或签章）：    </w:t>
      </w:r>
      <w:r/>
    </w:p>
    <w:p>
      <w:pPr>
        <w:pStyle w:val="1021"/>
        <w:ind w:firstLine="560"/>
        <w:jc w:val="both"/>
        <w:spacing w:line="360" w:lineRule="auto"/>
        <w:tabs>
          <w:tab w:val="left" w:pos="6930" w:leader="none"/>
        </w:tabs>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日期：     </w:t>
      </w:r>
      <w:r>
        <w:rPr>
          <w:rFonts w:hint="eastAsia" w:ascii="宋体" w:hAnsi="宋体" w:eastAsia="宋体" w:cs="宋体"/>
          <w:b w:val="0"/>
          <w:bCs/>
          <w:color w:val="auto"/>
          <w:sz w:val="28"/>
          <w:szCs w:val="28"/>
          <w:highlight w:val="none"/>
        </w:rPr>
        <w:tab/>
      </w:r>
      <w:r/>
    </w:p>
    <w:p>
      <w:pPr>
        <w:pStyle w:val="1021"/>
        <w:ind w:firstLine="560"/>
        <w:jc w:val="both"/>
        <w:spacing w:line="360"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w:t>
      </w:r>
      <w:r/>
    </w:p>
    <w:p>
      <w:pPr>
        <w:pStyle w:val="1021"/>
        <w:ind w:firstLine="560"/>
        <w:jc w:val="both"/>
        <w:spacing w:line="360"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说明：1.供应商可自行选择是否提供本承诺函，若不提供本承诺函的，应按采购文件要求提供相应的证明材料。</w:t>
      </w:r>
      <w:r/>
    </w:p>
    <w:p>
      <w:pPr>
        <w:pStyle w:val="1021"/>
        <w:ind w:firstLine="560"/>
        <w:jc w:val="left"/>
        <w:spacing w:line="360"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2.供应商可删减承诺事项，删减的承诺事项须按采购文件要求提供相应的证明材料。比如删去本承诺函第3项的，则应按采购文件要求提供依法缴纳税收和社会保障资金的良好记录。</w:t>
      </w:r>
      <w:r>
        <w:rPr>
          <w:rFonts w:hint="eastAsia" w:ascii="宋体" w:hAnsi="宋体" w:eastAsia="宋体" w:cs="宋体"/>
          <w:color w:val="auto"/>
          <w:highlight w:val="none"/>
        </w:rPr>
        <w:br w:type="page" w:clear="all"/>
      </w:r>
      <w:r/>
    </w:p>
    <w:p>
      <w:pPr>
        <w:pStyle w:val="1023"/>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pStyle w:val="1022"/>
        <w:ind w:firstLine="643"/>
        <w:jc w:val="center"/>
        <w:keepLines w:val="0"/>
        <w:keepNext w:val="0"/>
        <w:spacing w:before="0" w:after="0" w:line="360" w:lineRule="auto"/>
        <w:rPr>
          <w:rFonts w:hint="eastAsia" w:ascii="宋体" w:hAnsi="宋体" w:eastAsia="宋体" w:cs="宋体"/>
          <w:color w:val="auto"/>
          <w:sz w:val="36"/>
          <w:szCs w:val="36"/>
          <w:highlight w:val="none"/>
          <w:u w:val="single"/>
        </w:rPr>
      </w:pPr>
      <w:r>
        <w:rPr>
          <w:rFonts w:hint="eastAsia" w:ascii="宋体" w:hAnsi="宋体" w:eastAsia="宋体" w:cs="宋体"/>
          <w:color w:val="auto"/>
          <w:szCs w:val="32"/>
          <w:highlight w:val="none"/>
        </w:rPr>
        <w:t xml:space="preserve">二、法定代表人（负责人）身份证明书</w:t>
      </w:r>
      <w:r/>
    </w:p>
    <w:p>
      <w:pPr>
        <w:ind w:firstLine="56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56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兹证明</w:t>
      </w:r>
      <w:r>
        <w:rPr>
          <w:rFonts w:hint="eastAsia" w:ascii="宋体" w:hAnsi="宋体" w:eastAsia="宋体" w:cs="宋体"/>
          <w:b/>
          <w:color w:val="auto"/>
          <w:sz w:val="24"/>
          <w:highlight w:val="none"/>
          <w:u w:val="single"/>
        </w:rPr>
        <w:t xml:space="preserve">×××（）姓名</w:t>
      </w:r>
      <w:r>
        <w:rPr>
          <w:rFonts w:hint="eastAsia" w:ascii="宋体" w:hAnsi="宋体" w:eastAsia="宋体" w:cs="宋体"/>
          <w:color w:val="auto"/>
          <w:sz w:val="28"/>
          <w:szCs w:val="28"/>
          <w:highlight w:val="none"/>
        </w:rPr>
        <w:t xml:space="preserve">同志，性别</w:t>
      </w:r>
      <w:r>
        <w:rPr>
          <w:rFonts w:hint="eastAsia" w:ascii="宋体" w:hAnsi="宋体" w:eastAsia="宋体" w:cs="宋体"/>
          <w:b/>
          <w:color w:val="auto"/>
          <w:sz w:val="24"/>
          <w:highlight w:val="none"/>
          <w:u w:val="single"/>
        </w:rPr>
        <w:t xml:space="preserve">×××</w:t>
      </w:r>
      <w:r>
        <w:rPr>
          <w:rFonts w:hint="eastAsia" w:ascii="宋体" w:hAnsi="宋体" w:eastAsia="宋体" w:cs="宋体"/>
          <w:color w:val="auto"/>
          <w:sz w:val="28"/>
          <w:szCs w:val="28"/>
          <w:highlight w:val="none"/>
        </w:rPr>
        <w:t xml:space="preserve">，</w:t>
      </w:r>
      <w:r>
        <w:rPr>
          <w:rFonts w:hint="eastAsia" w:ascii="宋体" w:hAnsi="宋体" w:eastAsia="宋体" w:cs="宋体"/>
          <w:color w:val="auto"/>
          <w:sz w:val="28"/>
          <w:highlight w:val="none"/>
        </w:rPr>
        <w:t xml:space="preserve">居民身份证号</w:t>
      </w:r>
      <w:r>
        <w:rPr>
          <w:rFonts w:hint="eastAsia" w:ascii="宋体" w:hAnsi="宋体" w:eastAsia="宋体" w:cs="宋体"/>
          <w:b/>
          <w:color w:val="auto"/>
          <w:sz w:val="24"/>
          <w:highlight w:val="none"/>
          <w:u w:val="single"/>
        </w:rPr>
        <w:t xml:space="preserve">×××</w:t>
      </w:r>
      <w:r>
        <w:rPr>
          <w:rFonts w:hint="eastAsia" w:ascii="宋体" w:hAnsi="宋体" w:eastAsia="宋体" w:cs="宋体"/>
          <w:color w:val="auto"/>
          <w:sz w:val="28"/>
          <w:szCs w:val="28"/>
          <w:highlight w:val="none"/>
        </w:rPr>
        <w:t xml:space="preserve">，在我单位任职务，系我单位主要负责人即法定代表人。</w:t>
      </w:r>
      <w:r/>
    </w:p>
    <w:p>
      <w:pPr>
        <w:ind w:firstLine="56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56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单位地址：</w:t>
      </w:r>
      <w:r/>
    </w:p>
    <w:p>
      <w:pPr>
        <w:ind w:firstLine="56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56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电    话：</w:t>
      </w:r>
      <w:r/>
    </w:p>
    <w:p>
      <w:pPr>
        <w:ind w:firstLine="56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56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单位全称： </w:t>
      </w:r>
      <w:r/>
    </w:p>
    <w:p>
      <w:pPr>
        <w:ind w:firstLine="56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56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公    章： </w:t>
      </w:r>
      <w:r/>
    </w:p>
    <w:p>
      <w:pPr>
        <w:ind w:firstLine="560"/>
        <w:spacing w:line="360" w:lineRule="auto"/>
        <w:tabs>
          <w:tab w:val="left" w:pos="7290"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560"/>
        <w:jc w:val="right"/>
        <w:spacing w:line="360" w:lineRule="auto"/>
        <w:tabs>
          <w:tab w:val="left" w:pos="7290"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  年     月    日</w:t>
      </w:r>
      <w:r/>
    </w:p>
    <w:p>
      <w:pPr>
        <w:ind w:firstLine="643"/>
        <w:jc w:val="left"/>
        <w:spacing w:line="36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ind w:firstLine="643"/>
        <w:jc w:val="left"/>
        <w:spacing w:line="36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ind w:firstLine="643"/>
        <w:jc w:val="left"/>
        <w:spacing w:line="36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附：法定代表人居民身份证复印件</w:t>
      </w:r>
      <w:r/>
    </w:p>
    <w:p>
      <w:pPr>
        <w:ind w:firstLine="560"/>
        <w:spacing w:line="360" w:lineRule="auto"/>
        <w:tabs>
          <w:tab w:val="left" w:pos="7290" w:leader="none"/>
        </w:tabs>
        <w:rPr>
          <w:rFonts w:hint="eastAsia" w:ascii="宋体" w:hAnsi="宋体" w:eastAsia="宋体" w:cs="宋体"/>
          <w:color w:val="auto"/>
          <w:sz w:val="28"/>
          <w:highlight w:val="none"/>
        </w:rPr>
      </w:pPr>
      <w:r>
        <w:rPr>
          <w:rFonts w:hint="eastAsia" w:ascii="宋体" w:hAnsi="宋体" w:eastAsia="宋体" w:cs="宋体"/>
          <w:color w:val="auto"/>
          <w:sz w:val="28"/>
          <w:highlight w:val="none"/>
          <w:u w:val="single"/>
        </w:rPr>
        <w:t xml:space="preserve">注：1.“法定代表人”直接参加投标响应活动的仅需填写本身份证明</w:t>
      </w:r>
      <w:r>
        <w:rPr>
          <w:rFonts w:hint="eastAsia" w:ascii="宋体" w:hAnsi="宋体" w:eastAsia="宋体" w:cs="宋体"/>
          <w:color w:val="auto"/>
          <w:sz w:val="28"/>
          <w:highlight w:val="none"/>
        </w:rPr>
        <w:t xml:space="preserve">。</w:t>
      </w:r>
      <w:r/>
    </w:p>
    <w:p>
      <w:pPr>
        <w:ind w:firstLine="562"/>
        <w:spacing w:line="360" w:lineRule="auto"/>
        <w:tabs>
          <w:tab w:val="left" w:pos="7290" w:leader="none"/>
        </w:tabs>
        <w:rPr>
          <w:rFonts w:hint="eastAsia" w:ascii="宋体" w:hAnsi="宋体" w:eastAsia="宋体" w:cs="宋体"/>
          <w:b/>
          <w:color w:val="auto"/>
          <w:sz w:val="28"/>
          <w:szCs w:val="28"/>
          <w:highlight w:val="none"/>
          <w:u w:val="single"/>
        </w:rPr>
      </w:pPr>
      <w:r>
        <w:rPr>
          <w:rFonts w:hint="eastAsia" w:ascii="宋体" w:hAnsi="宋体" w:eastAsia="宋体" w:cs="宋体"/>
          <w:b/>
          <w:color w:val="auto"/>
          <w:sz w:val="28"/>
          <w:szCs w:val="28"/>
          <w:highlight w:val="none"/>
          <w:u w:val="single"/>
        </w:rPr>
        <w:t xml:space="preserve">2.投标人属于非法人组织的，按照法律、行政法规规定能够对外代表其从事民事活动的主要负责人，视同法定代表人。</w:t>
      </w:r>
      <w:r/>
    </w:p>
    <w:p>
      <w:pPr>
        <w:ind w:firstLine="562"/>
        <w:spacing w:line="360" w:lineRule="auto"/>
        <w:tabs>
          <w:tab w:val="left" w:pos="7290" w:leader="none"/>
        </w:tabs>
        <w:rPr>
          <w:rFonts w:hint="eastAsia" w:ascii="宋体" w:hAnsi="宋体" w:eastAsia="宋体" w:cs="宋体"/>
          <w:b/>
          <w:color w:val="auto"/>
          <w:sz w:val="28"/>
          <w:szCs w:val="28"/>
          <w:highlight w:val="none"/>
          <w:u w:val="single"/>
        </w:rPr>
      </w:pPr>
      <w:r>
        <w:rPr>
          <w:rFonts w:hint="eastAsia" w:ascii="宋体" w:hAnsi="宋体" w:eastAsia="宋体" w:cs="宋体"/>
          <w:b/>
          <w:color w:val="auto"/>
          <w:sz w:val="28"/>
          <w:szCs w:val="28"/>
          <w:highlight w:val="none"/>
          <w:u w:val="single"/>
        </w:rPr>
      </w:r>
      <w:r/>
    </w:p>
    <w:p>
      <w:pPr>
        <w:jc w:val="left"/>
        <w:spacing w:line="360" w:lineRule="auto"/>
        <w:widowControl/>
        <w:rPr>
          <w:rFonts w:hint="eastAsia" w:ascii="宋体" w:hAnsi="宋体" w:eastAsia="宋体" w:cs="宋体"/>
          <w:b/>
          <w:color w:val="auto"/>
          <w:sz w:val="32"/>
          <w:szCs w:val="20"/>
          <w:highlight w:val="none"/>
        </w:rPr>
      </w:pPr>
      <w:r>
        <w:rPr>
          <w:rFonts w:hint="eastAsia" w:ascii="宋体" w:hAnsi="宋体" w:cs="宋体"/>
          <w:color w:val="auto"/>
          <w:highlight w:val="none"/>
          <w:lang w:val="en-US" w:eastAsia="zh-CN"/>
        </w:rPr>
        <w:t xml:space="preserve"> </w:t>
      </w:r>
      <w:r>
        <w:rPr>
          <w:rFonts w:hint="eastAsia" w:ascii="宋体" w:hAnsi="宋体" w:eastAsia="宋体" w:cs="宋体"/>
          <w:color w:val="auto"/>
          <w:highlight w:val="none"/>
        </w:rPr>
        <w:br w:type="page" w:clear="all"/>
      </w:r>
      <w:r/>
    </w:p>
    <w:p>
      <w:pPr>
        <w:pStyle w:val="1022"/>
        <w:ind w:firstLine="643"/>
        <w:jc w:val="center"/>
        <w:keepLines w:val="0"/>
        <w:keepNext w:val="0"/>
        <w:spacing w:before="0" w:after="0" w:line="360" w:lineRule="auto"/>
        <w:rPr>
          <w:rFonts w:hint="eastAsia" w:ascii="宋体" w:hAnsi="宋体" w:eastAsia="宋体" w:cs="宋体"/>
          <w:b w:val="0"/>
          <w:color w:val="auto"/>
          <w:sz w:val="15"/>
          <w:szCs w:val="15"/>
          <w:highlight w:val="none"/>
        </w:rPr>
      </w:pPr>
      <w:r>
        <w:rPr>
          <w:rFonts w:hint="eastAsia" w:ascii="宋体" w:hAnsi="宋体" w:eastAsia="宋体" w:cs="宋体"/>
          <w:color w:val="auto"/>
          <w:highlight w:val="none"/>
        </w:rPr>
        <w:t xml:space="preserve">三、法定代表人授权委托书</w:t>
      </w:r>
      <w:r/>
    </w:p>
    <w:p>
      <w:pPr>
        <w:ind w:right="420" w:firstLine="560"/>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p>
      <w:pPr>
        <w:ind w:right="420" w:firstLine="560"/>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t xml:space="preserve">本授权书声明：</w:t>
      </w:r>
      <w:r>
        <w:rPr>
          <w:rFonts w:hint="eastAsia" w:ascii="宋体" w:hAnsi="宋体" w:eastAsia="宋体" w:cs="宋体"/>
          <w:b/>
          <w:color w:val="auto"/>
          <w:sz w:val="24"/>
          <w:highlight w:val="none"/>
          <w:u w:val="single"/>
        </w:rPr>
        <w:t xml:space="preserve">×××（投标人名称）</w:t>
      </w:r>
      <w:r>
        <w:rPr>
          <w:rFonts w:hint="eastAsia" w:ascii="宋体" w:hAnsi="宋体" w:eastAsia="宋体" w:cs="宋体"/>
          <w:color w:val="auto"/>
          <w:sz w:val="28"/>
          <w:highlight w:val="none"/>
        </w:rPr>
        <w:t xml:space="preserve">法定代表人（负责人）</w:t>
      </w:r>
      <w:r>
        <w:rPr>
          <w:rFonts w:hint="eastAsia" w:ascii="宋体" w:hAnsi="宋体" w:eastAsia="宋体" w:cs="宋体"/>
          <w:b/>
          <w:color w:val="auto"/>
          <w:sz w:val="24"/>
          <w:highlight w:val="none"/>
          <w:u w:val="single"/>
        </w:rPr>
        <w:t xml:space="preserve">×××（姓名） </w:t>
      </w:r>
      <w:r>
        <w:rPr>
          <w:rFonts w:hint="eastAsia" w:ascii="宋体" w:hAnsi="宋体" w:eastAsia="宋体" w:cs="宋体"/>
          <w:color w:val="auto"/>
          <w:sz w:val="28"/>
          <w:highlight w:val="none"/>
        </w:rPr>
        <w:t xml:space="preserve">授权</w:t>
      </w:r>
      <w:r>
        <w:rPr>
          <w:rFonts w:hint="eastAsia" w:ascii="宋体" w:hAnsi="宋体" w:eastAsia="宋体" w:cs="宋体"/>
          <w:b/>
          <w:color w:val="auto"/>
          <w:sz w:val="24"/>
          <w:highlight w:val="none"/>
          <w:u w:val="single"/>
        </w:rPr>
        <w:t xml:space="preserve">×××（委托代理人的姓名、身份证号）</w:t>
      </w:r>
      <w:r>
        <w:rPr>
          <w:rFonts w:hint="eastAsia" w:ascii="宋体" w:hAnsi="宋体" w:eastAsia="宋体" w:cs="宋体"/>
          <w:color w:val="auto"/>
          <w:sz w:val="28"/>
          <w:highlight w:val="none"/>
        </w:rPr>
        <w:t xml:space="preserve">为我方就</w:t>
      </w:r>
      <w:r>
        <w:rPr>
          <w:rFonts w:hint="eastAsia" w:ascii="宋体" w:hAnsi="宋体" w:eastAsia="宋体" w:cs="宋体"/>
          <w:b/>
          <w:color w:val="auto"/>
          <w:sz w:val="24"/>
          <w:highlight w:val="none"/>
          <w:u w:val="single"/>
        </w:rPr>
        <w:t xml:space="preserve">××××（代理机构）代理的××××（项目编号）</w:t>
      </w:r>
      <w:r>
        <w:rPr>
          <w:rFonts w:hint="eastAsia" w:ascii="宋体" w:hAnsi="宋体" w:eastAsia="宋体" w:cs="宋体"/>
          <w:bCs/>
          <w:color w:val="auto"/>
          <w:sz w:val="28"/>
          <w:highlight w:val="none"/>
        </w:rPr>
        <w:t xml:space="preserve">项目</w:t>
      </w:r>
      <w:r>
        <w:rPr>
          <w:rFonts w:hint="eastAsia" w:ascii="宋体" w:hAnsi="宋体" w:eastAsia="宋体" w:cs="宋体"/>
          <w:color w:val="auto"/>
          <w:sz w:val="28"/>
          <w:highlight w:val="none"/>
        </w:rPr>
        <w:t xml:space="preserve">的投标活动的合法代理人，以本公司名义全权处理一切与该项目投标有关的事务（含合同签订）。</w:t>
      </w:r>
      <w:r/>
    </w:p>
    <w:p>
      <w:pPr>
        <w:ind w:firstLine="560"/>
        <w:spacing w:line="360" w:lineRule="auto"/>
        <w:tabs>
          <w:tab w:val="left" w:pos="5560" w:leader="none"/>
        </w:tabs>
        <w:rPr>
          <w:rFonts w:hint="eastAsia" w:ascii="宋体" w:hAnsi="宋体" w:eastAsia="宋体" w:cs="宋体"/>
          <w:color w:val="auto"/>
          <w:sz w:val="28"/>
          <w:highlight w:val="none"/>
        </w:rPr>
      </w:pPr>
      <w:r>
        <w:rPr>
          <w:rFonts w:hint="eastAsia" w:ascii="宋体" w:hAnsi="宋体" w:eastAsia="宋体" w:cs="宋体"/>
          <w:color w:val="auto"/>
          <w:sz w:val="28"/>
          <w:highlight w:val="none"/>
        </w:rPr>
        <w:tab/>
      </w:r>
      <w:r/>
    </w:p>
    <w:p>
      <w:pPr>
        <w:ind w:firstLine="560"/>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t xml:space="preserve">本授权书于年月日签字生效，特此声明。</w:t>
      </w:r>
      <w:r/>
    </w:p>
    <w:p>
      <w:pPr>
        <w:ind w:firstLine="560"/>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t xml:space="preserve">委托代理人身份证号码：</w:t>
      </w:r>
      <w:r/>
    </w:p>
    <w:p>
      <w:pPr>
        <w:ind w:firstLine="560"/>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t xml:space="preserve">委托代理人联系电话：（手机）</w:t>
      </w:r>
      <w:r/>
    </w:p>
    <w:p>
      <w:pPr>
        <w:ind w:firstLine="560"/>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p>
      <w:pPr>
        <w:ind w:firstLine="560"/>
        <w:spacing w:line="360" w:lineRule="auto"/>
        <w:rPr>
          <w:rFonts w:hint="eastAsia" w:ascii="宋体" w:hAnsi="宋体" w:eastAsia="宋体" w:cs="宋体"/>
          <w:color w:val="auto"/>
          <w:sz w:val="28"/>
          <w:highlight w:val="none"/>
          <w:u w:val="single"/>
        </w:rPr>
      </w:pPr>
      <w:r>
        <w:rPr>
          <w:rFonts w:hint="eastAsia" w:ascii="宋体" w:hAnsi="宋体" w:eastAsia="宋体" w:cs="宋体"/>
          <w:color w:val="auto"/>
          <w:sz w:val="28"/>
          <w:highlight w:val="none"/>
        </w:rPr>
        <w:t xml:space="preserve">法定代表人签字或盖章：          </w:t>
      </w:r>
      <w:r/>
    </w:p>
    <w:p>
      <w:pPr>
        <w:ind w:firstLine="560"/>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p>
      <w:pPr>
        <w:ind w:firstLine="560"/>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t xml:space="preserve">投标人名称（公章）：</w:t>
      </w:r>
      <w:r/>
    </w:p>
    <w:p>
      <w:pPr>
        <w:ind w:firstLine="560"/>
        <w:spacing w:line="360" w:lineRule="auto"/>
        <w:rPr>
          <w:rFonts w:hint="eastAsia" w:ascii="宋体" w:hAnsi="宋体" w:eastAsia="宋体" w:cs="宋体"/>
          <w:color w:val="auto"/>
          <w:sz w:val="28"/>
          <w:highlight w:val="none"/>
          <w:u w:val="single"/>
        </w:rPr>
      </w:pPr>
      <w:r>
        <w:rPr>
          <w:rFonts w:hint="eastAsia" w:ascii="宋体" w:hAnsi="宋体" w:eastAsia="宋体" w:cs="宋体"/>
          <w:color w:val="auto"/>
          <w:sz w:val="28"/>
          <w:highlight w:val="none"/>
        </w:rPr>
        <w:t xml:space="preserve">日     期：</w:t>
      </w:r>
      <w:r/>
    </w:p>
    <w:p>
      <w:pPr>
        <w:ind w:firstLine="560"/>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p>
      <w:pPr>
        <w:ind w:firstLine="643"/>
        <w:spacing w:line="360" w:lineRule="auto"/>
        <w:rPr>
          <w:rFonts w:hint="eastAsia" w:ascii="宋体" w:hAnsi="宋体" w:eastAsia="宋体" w:cs="宋体"/>
          <w:color w:val="auto"/>
          <w:sz w:val="28"/>
          <w:highlight w:val="none"/>
          <w:u w:val="single"/>
        </w:rPr>
      </w:pPr>
      <w:r>
        <w:rPr>
          <w:rFonts w:hint="eastAsia" w:ascii="宋体" w:hAnsi="宋体" w:eastAsia="宋体" w:cs="宋体"/>
          <w:b/>
          <w:color w:val="auto"/>
          <w:sz w:val="32"/>
          <w:szCs w:val="32"/>
          <w:highlight w:val="none"/>
        </w:rPr>
        <w:t xml:space="preserve">附：委托代理人居民身份证复印件</w:t>
      </w:r>
      <w:r/>
    </w:p>
    <w:p>
      <w:pPr>
        <w:pStyle w:val="1021"/>
        <w:ind w:firstLine="562"/>
        <w:jc w:val="left"/>
        <w:keepLines w:val="0"/>
        <w:keepNext w:val="0"/>
        <w:spacing w:line="360" w:lineRule="auto"/>
        <w:rPr>
          <w:rFonts w:hint="eastAsia" w:ascii="宋体" w:hAnsi="宋体" w:eastAsia="宋体" w:cs="宋体"/>
          <w:color w:val="auto"/>
          <w:sz w:val="28"/>
          <w:szCs w:val="24"/>
          <w:highlight w:val="none"/>
          <w:u w:val="single"/>
        </w:rPr>
      </w:pPr>
      <w:r>
        <w:rPr>
          <w:rFonts w:hint="eastAsia" w:ascii="宋体" w:hAnsi="宋体" w:eastAsia="宋体" w:cs="宋体"/>
          <w:color w:val="auto"/>
          <w:sz w:val="28"/>
          <w:szCs w:val="28"/>
          <w:highlight w:val="none"/>
          <w:u w:val="single"/>
        </w:rPr>
        <w:t xml:space="preserve">注：“法定代表人”授权其他人（必须为投标人正式员工，证明材料：近半年内至少一个月社会保险缴纳材料附后）投标的，须填写法定代表人身份证明书和本委托书</w:t>
      </w:r>
      <w:r>
        <w:rPr>
          <w:rFonts w:hint="eastAsia" w:ascii="宋体" w:hAnsi="宋体" w:eastAsia="宋体" w:cs="宋体"/>
          <w:color w:val="auto"/>
          <w:sz w:val="28"/>
          <w:highlight w:val="none"/>
        </w:rPr>
        <w:t xml:space="preserve">。</w:t>
      </w:r>
      <w:r/>
    </w:p>
    <w:p>
      <w:pPr>
        <w:pStyle w:val="1022"/>
        <w:ind w:firstLine="420"/>
        <w:jc w:val="center"/>
        <w:keepLines w:val="0"/>
        <w:keepNext w:val="0"/>
        <w:spacing w:before="0" w:after="0" w:line="360" w:lineRule="auto"/>
        <w:rPr>
          <w:rFonts w:hint="eastAsia" w:ascii="宋体" w:hAnsi="宋体" w:eastAsia="宋体" w:cs="宋体"/>
          <w:b w:val="0"/>
          <w:color w:val="auto"/>
          <w:sz w:val="21"/>
          <w:szCs w:val="24"/>
          <w:highlight w:val="none"/>
        </w:rPr>
      </w:pPr>
      <w:r>
        <w:rPr>
          <w:rFonts w:hint="eastAsia" w:ascii="宋体" w:hAnsi="宋体" w:eastAsia="宋体" w:cs="宋体"/>
          <w:b w:val="0"/>
          <w:color w:val="auto"/>
          <w:sz w:val="21"/>
          <w:szCs w:val="24"/>
          <w:highlight w:val="none"/>
        </w:rPr>
      </w:r>
      <w:r/>
    </w:p>
    <w:p>
      <w:pPr>
        <w:pStyle w:val="1022"/>
        <w:ind w:firstLine="420"/>
        <w:jc w:val="center"/>
        <w:keepLines w:val="0"/>
        <w:keepNext w:val="0"/>
        <w:spacing w:before="0" w:after="0" w:line="360" w:lineRule="auto"/>
        <w:rPr>
          <w:rFonts w:hint="eastAsia" w:ascii="宋体" w:hAnsi="宋体" w:eastAsia="宋体" w:cs="宋体"/>
          <w:b w:val="0"/>
          <w:color w:val="auto"/>
          <w:sz w:val="21"/>
          <w:szCs w:val="24"/>
          <w:highlight w:val="none"/>
        </w:rPr>
      </w:pPr>
      <w:r>
        <w:rPr>
          <w:rFonts w:hint="eastAsia" w:ascii="宋体" w:hAnsi="宋体" w:eastAsia="宋体" w:cs="宋体"/>
          <w:b w:val="0"/>
          <w:color w:val="auto"/>
          <w:sz w:val="21"/>
          <w:szCs w:val="24"/>
          <w:highlight w:val="none"/>
        </w:rPr>
      </w:r>
      <w:r/>
    </w:p>
    <w:p>
      <w:pPr>
        <w:pStyle w:val="1022"/>
        <w:ind w:firstLine="720"/>
        <w:jc w:val="center"/>
        <w:keepLines w:val="0"/>
        <w:keepNext w:val="0"/>
        <w:spacing w:before="0" w:after="0" w:line="360" w:lineRule="auto"/>
        <w:rPr>
          <w:rFonts w:hint="eastAsia" w:ascii="宋体" w:hAnsi="宋体" w:eastAsia="宋体" w:cs="宋体"/>
          <w:b w:val="0"/>
          <w:color w:val="auto"/>
          <w:sz w:val="36"/>
          <w:szCs w:val="36"/>
          <w:highlight w:val="none"/>
        </w:rPr>
      </w:pPr>
      <w:r>
        <w:rPr>
          <w:rFonts w:hint="eastAsia" w:ascii="宋体" w:hAnsi="宋体" w:eastAsia="宋体" w:cs="宋体"/>
          <w:b w:val="0"/>
          <w:color w:val="auto"/>
          <w:sz w:val="36"/>
          <w:szCs w:val="36"/>
          <w:highlight w:val="none"/>
        </w:rPr>
      </w:r>
      <w:r/>
    </w:p>
    <w:p>
      <w:pPr>
        <w:pStyle w:val="1021"/>
        <w:spacing w:line="360" w:lineRule="auto"/>
        <w:rPr>
          <w:rFonts w:hint="eastAsia" w:ascii="宋体" w:hAnsi="宋体" w:eastAsia="宋体" w:cs="宋体"/>
          <w:color w:val="auto"/>
          <w:sz w:val="32"/>
          <w:highlight w:val="none"/>
        </w:rPr>
        <w:sectPr>
          <w:footerReference w:type="default" r:id="rId14"/>
          <w:footerReference w:type="first" r:id="rId15"/>
          <w:footnotePr/>
          <w:endnotePr/>
          <w:type w:val="nextPage"/>
          <w:pgSz w:w="11907" w:h="16840" w:orient="portrait"/>
          <w:pgMar w:top="1247" w:right="1247" w:bottom="1247" w:left="1247" w:header="851" w:footer="992" w:gutter="0"/>
          <w:cols w:num="1" w:sep="0" w:space="1701" w:equalWidth="1"/>
          <w:docGrid w:linePitch="360"/>
          <w:titlePg/>
        </w:sectPr>
      </w:pPr>
      <w:r>
        <w:rPr>
          <w:rFonts w:hint="eastAsia" w:ascii="宋体" w:hAnsi="宋体" w:eastAsia="宋体" w:cs="宋体"/>
          <w:color w:val="auto"/>
          <w:sz w:val="32"/>
          <w:highlight w:val="none"/>
        </w:rPr>
      </w:r>
      <w:r/>
    </w:p>
    <w:p>
      <w:pPr>
        <w:pStyle w:val="1021"/>
        <w:ind w:firstLine="883"/>
        <w:spacing w:line="360" w:lineRule="auto"/>
        <w:rPr>
          <w:rFonts w:hint="eastAsia" w:ascii="宋体" w:hAnsi="宋体" w:eastAsia="宋体" w:cs="宋体"/>
          <w:color w:val="auto"/>
          <w:szCs w:val="44"/>
          <w:highlight w:val="none"/>
        </w:rPr>
      </w:pPr>
      <w:r>
        <w:rPr>
          <w:rFonts w:hint="eastAsia" w:ascii="宋体" w:hAnsi="宋体" w:eastAsia="宋体" w:cs="宋体"/>
          <w:color w:val="auto"/>
          <w:szCs w:val="44"/>
          <w:highlight w:val="none"/>
        </w:rPr>
        <w:t xml:space="preserve">四、价格部分</w:t>
      </w:r>
      <w:r/>
    </w:p>
    <w:p>
      <w:pPr>
        <w:pStyle w:val="1021"/>
        <w:ind w:firstLine="883"/>
        <w:spacing w:line="360" w:lineRule="auto"/>
        <w:rPr>
          <w:rFonts w:hint="eastAsia" w:ascii="宋体" w:hAnsi="宋体" w:eastAsia="宋体" w:cs="宋体"/>
          <w:color w:val="auto"/>
          <w:szCs w:val="44"/>
          <w:highlight w:val="none"/>
        </w:rPr>
      </w:pPr>
      <w:r>
        <w:rPr>
          <w:rFonts w:hint="eastAsia" w:ascii="宋体" w:hAnsi="宋体" w:eastAsia="宋体" w:cs="宋体"/>
          <w:color w:val="auto"/>
          <w:szCs w:val="44"/>
          <w:highlight w:val="none"/>
          <w:lang w:val="en-US" w:eastAsia="zh-CN"/>
        </w:rPr>
        <w:t xml:space="preserve">4.1</w:t>
      </w:r>
      <w:r>
        <w:rPr>
          <w:rFonts w:hint="eastAsia" w:ascii="宋体" w:hAnsi="宋体" w:eastAsia="宋体" w:cs="宋体"/>
          <w:color w:val="auto"/>
          <w:szCs w:val="44"/>
          <w:highlight w:val="none"/>
        </w:rPr>
        <w:t xml:space="preserve">开标一览表</w:t>
      </w:r>
      <w:r/>
    </w:p>
    <w:tbl>
      <w:tblPr>
        <w:tblStyle w:val="850"/>
        <w:tblW w:w="5000" w:type="pct"/>
        <w:tblInd w:w="-108" w:type="dxa"/>
        <w:tblLayout w:type="autofit"/>
        <w:tblCellMar>
          <w:left w:w="108" w:type="dxa"/>
          <w:top w:w="0" w:type="dxa"/>
          <w:right w:w="108" w:type="dxa"/>
          <w:bottom w:w="0" w:type="dxa"/>
        </w:tblCellMar>
        <w:tblLook w:val="04A0" w:firstRow="1" w:lastRow="0" w:firstColumn="1" w:lastColumn="0" w:noHBand="0" w:noVBand="1"/>
      </w:tblPr>
      <w:tblGrid>
        <w:gridCol w:w="1683"/>
        <w:gridCol w:w="7603"/>
      </w:tblGrid>
      <w:tr>
        <w:trPr>
          <w:trHeight w:val="460"/>
        </w:trPr>
        <w:tc>
          <w:tcPr>
            <w:gridSpan w:val="2"/>
            <w:tcBorders>
              <w:top w:val="none" w:color="000000" w:sz="4" w:space="0"/>
              <w:left w:val="none" w:color="000000" w:sz="4" w:space="0"/>
              <w:bottom w:val="single" w:color="000000" w:sz="4" w:space="0"/>
              <w:right w:val="none" w:color="000000" w:sz="4" w:space="0"/>
            </w:tcBorders>
            <w:tcW w:w="9286" w:type="dxa"/>
            <w:vAlign w:val="center"/>
            <w:textDirection w:val="lrTb"/>
            <w:noWrap w:val="false"/>
          </w:tcPr>
          <w:p>
            <w:pPr>
              <w:ind w:firstLine="640"/>
              <w:spacing w:line="360" w:lineRule="auto"/>
              <w:widowControl/>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单位名称（公章）：</w:t>
            </w:r>
            <w:r>
              <w:rPr>
                <w:rFonts w:hint="eastAsia" w:ascii="宋体" w:hAnsi="宋体" w:eastAsia="宋体" w:cs="宋体"/>
                <w:b/>
                <w:color w:val="auto"/>
                <w:sz w:val="24"/>
                <w:highlight w:val="none"/>
                <w:u w:val="single"/>
              </w:rPr>
              <w:t xml:space="preserve">××××</w:t>
            </w:r>
            <w:r/>
          </w:p>
        </w:tc>
      </w:tr>
      <w:tr>
        <w:trPr>
          <w:trHeight w:val="1289"/>
        </w:trPr>
        <w:tc>
          <w:tcPr>
            <w:tcBorders>
              <w:top w:val="single" w:color="000000" w:sz="4" w:space="0"/>
              <w:left w:val="single" w:color="000000" w:sz="4" w:space="0"/>
              <w:bottom w:val="single" w:color="000000" w:sz="4" w:space="0"/>
              <w:right w:val="single" w:color="000000" w:sz="4" w:space="0"/>
            </w:tcBorders>
            <w:tcW w:w="1683" w:type="dxa"/>
            <w:vAlign w:val="center"/>
            <w:textDirection w:val="lrTb"/>
            <w:noWrap w:val="false"/>
          </w:tcPr>
          <w:p>
            <w:pPr>
              <w:ind w:firstLine="880"/>
              <w:jc w:val="both"/>
              <w:spacing w:line="360" w:lineRule="auto"/>
              <w:widowControl/>
              <w:rPr>
                <w:rFonts w:hint="eastAsia" w:ascii="宋体" w:hAnsi="宋体" w:eastAsia="宋体" w:cs="宋体"/>
                <w:color w:val="auto"/>
                <w:sz w:val="36"/>
                <w:szCs w:val="36"/>
                <w:highlight w:val="none"/>
                <w:lang w:eastAsia="en-US"/>
              </w:rPr>
            </w:pPr>
            <w:r>
              <w:rPr>
                <w:rFonts w:hint="eastAsia" w:ascii="宋体" w:hAnsi="宋体" w:eastAsia="宋体" w:cs="宋体"/>
                <w:color w:val="auto"/>
                <w:sz w:val="36"/>
                <w:szCs w:val="36"/>
                <w:highlight w:val="none"/>
                <w:lang w:eastAsia="en-US"/>
              </w:rPr>
              <w:t xml:space="preserve">项目总报价</w:t>
            </w:r>
            <w:r/>
          </w:p>
        </w:tc>
        <w:tc>
          <w:tcPr>
            <w:tcBorders>
              <w:top w:val="single" w:color="000000" w:sz="4" w:space="0"/>
              <w:left w:val="none" w:color="000000" w:sz="4" w:space="0"/>
              <w:bottom w:val="single" w:color="000000" w:sz="4" w:space="0"/>
              <w:right w:val="single" w:color="000000" w:sz="4" w:space="0"/>
            </w:tcBorders>
            <w:tcW w:w="3316" w:type="dxa"/>
            <w:vAlign w:val="center"/>
            <w:textDirection w:val="lrTb"/>
            <w:noWrap w:val="false"/>
          </w:tcPr>
          <w:p>
            <w:pPr>
              <w:ind w:firstLine="880"/>
              <w:jc w:val="center"/>
              <w:spacing w:line="360" w:lineRule="auto"/>
              <w:widowControl/>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t xml:space="preserve">金额（大写）：</w:t>
            </w:r>
            <w:r>
              <w:rPr>
                <w:rFonts w:hint="eastAsia" w:ascii="宋体" w:hAnsi="宋体" w:eastAsia="宋体" w:cs="宋体"/>
                <w:b/>
                <w:color w:val="auto"/>
                <w:sz w:val="21"/>
                <w:szCs w:val="21"/>
                <w:highlight w:val="none"/>
                <w:u w:val="single"/>
              </w:rPr>
              <w:t xml:space="preserve">××××</w:t>
            </w:r>
            <w:r>
              <w:rPr>
                <w:rFonts w:hint="eastAsia" w:ascii="宋体" w:hAnsi="宋体" w:eastAsia="宋体" w:cs="宋体"/>
                <w:color w:val="auto"/>
                <w:sz w:val="36"/>
                <w:szCs w:val="36"/>
                <w:highlight w:val="none"/>
              </w:rPr>
              <w:t xml:space="preserve">元人民币</w:t>
            </w:r>
            <w:r/>
          </w:p>
          <w:p>
            <w:pPr>
              <w:ind w:firstLine="880"/>
              <w:jc w:val="center"/>
              <w:spacing w:line="360" w:lineRule="auto"/>
              <w:tabs>
                <w:tab w:val="left" w:pos="2185" w:leader="none"/>
              </w:tabs>
              <w:rPr>
                <w:rFonts w:hint="eastAsia" w:ascii="宋体" w:hAnsi="宋体" w:eastAsia="宋体" w:cs="宋体"/>
                <w:color w:val="auto"/>
                <w:sz w:val="36"/>
                <w:szCs w:val="36"/>
                <w:highlight w:val="none"/>
                <w:lang w:eastAsia="en-US"/>
              </w:rPr>
            </w:pPr>
            <w:r>
              <w:rPr>
                <w:rFonts w:hint="eastAsia" w:ascii="宋体" w:hAnsi="宋体" w:eastAsia="宋体" w:cs="宋体"/>
                <w:color w:val="auto"/>
                <w:sz w:val="36"/>
                <w:szCs w:val="36"/>
                <w:highlight w:val="none"/>
                <w:lang w:eastAsia="en-US"/>
              </w:rPr>
              <w:t xml:space="preserve">¥：</w:t>
            </w:r>
            <w:r>
              <w:rPr>
                <w:rFonts w:hint="eastAsia" w:ascii="宋体" w:hAnsi="宋体" w:eastAsia="宋体" w:cs="宋体"/>
                <w:b/>
                <w:color w:val="auto"/>
                <w:sz w:val="21"/>
                <w:szCs w:val="21"/>
                <w:highlight w:val="none"/>
                <w:u w:val="single"/>
                <w:lang w:eastAsia="en-US"/>
              </w:rPr>
              <w:t xml:space="preserve">××××××××</w:t>
            </w:r>
            <w:r>
              <w:rPr>
                <w:rFonts w:hint="eastAsia" w:ascii="宋体" w:hAnsi="宋体" w:eastAsia="宋体" w:cs="宋体"/>
                <w:color w:val="auto"/>
                <w:sz w:val="36"/>
                <w:szCs w:val="36"/>
                <w:highlight w:val="none"/>
                <w:lang w:eastAsia="en-US"/>
              </w:rPr>
              <w:t xml:space="preserve">元</w:t>
            </w:r>
            <w:r/>
          </w:p>
        </w:tc>
      </w:tr>
      <w:tr>
        <w:trPr>
          <w:trHeight w:val="691"/>
        </w:trPr>
        <w:tc>
          <w:tcPr>
            <w:tcBorders>
              <w:top w:val="none" w:color="000000" w:sz="4" w:space="0"/>
              <w:left w:val="single" w:color="000000" w:sz="4" w:space="0"/>
              <w:bottom w:val="single" w:color="000000" w:sz="4" w:space="0"/>
              <w:right w:val="single" w:color="000000" w:sz="4" w:space="0"/>
            </w:tcBorders>
            <w:tcW w:w="1683" w:type="dxa"/>
            <w:vAlign w:val="center"/>
            <w:textDirection w:val="lrTb"/>
            <w:noWrap w:val="false"/>
          </w:tcPr>
          <w:p>
            <w:pPr>
              <w:ind w:firstLine="880"/>
              <w:jc w:val="both"/>
              <w:spacing w:line="360" w:lineRule="auto"/>
              <w:widowControl/>
              <w:rPr>
                <w:rFonts w:hint="eastAsia" w:ascii="宋体" w:hAnsi="宋体" w:eastAsia="宋体" w:cs="宋体"/>
                <w:color w:val="auto"/>
                <w:sz w:val="36"/>
                <w:szCs w:val="36"/>
                <w:highlight w:val="none"/>
                <w:lang w:eastAsia="en-US"/>
              </w:rPr>
            </w:pPr>
            <w:r>
              <w:rPr>
                <w:rFonts w:hint="eastAsia" w:ascii="宋体" w:hAnsi="宋体" w:eastAsia="宋体" w:cs="宋体"/>
                <w:color w:val="auto"/>
                <w:sz w:val="36"/>
                <w:szCs w:val="36"/>
                <w:highlight w:val="none"/>
                <w:lang w:eastAsia="en-US"/>
              </w:rPr>
              <w:t xml:space="preserve">项目工期</w:t>
            </w:r>
            <w:r/>
          </w:p>
        </w:tc>
        <w:tc>
          <w:tcPr>
            <w:tcBorders>
              <w:top w:val="none" w:color="000000" w:sz="4" w:space="0"/>
              <w:left w:val="none" w:color="000000" w:sz="4" w:space="0"/>
              <w:bottom w:val="single" w:color="000000" w:sz="4" w:space="0"/>
              <w:right w:val="single" w:color="000000" w:sz="4" w:space="0"/>
            </w:tcBorders>
            <w:tcW w:w="3316" w:type="dxa"/>
            <w:vAlign w:val="center"/>
            <w:textDirection w:val="lrTb"/>
            <w:noWrap w:val="false"/>
          </w:tcPr>
          <w:p>
            <w:pPr>
              <w:ind w:firstLine="880"/>
              <w:jc w:val="center"/>
              <w:spacing w:line="360" w:lineRule="auto"/>
              <w:widowControl/>
              <w:rPr>
                <w:rFonts w:hint="eastAsia" w:ascii="宋体" w:hAnsi="宋体" w:eastAsia="宋体" w:cs="宋体"/>
                <w:color w:val="auto"/>
                <w:sz w:val="36"/>
                <w:szCs w:val="36"/>
                <w:highlight w:val="none"/>
                <w:lang w:eastAsia="en-US"/>
              </w:rPr>
            </w:pPr>
            <w:r>
              <w:rPr>
                <w:rFonts w:hint="eastAsia" w:ascii="宋体" w:hAnsi="宋体" w:eastAsia="宋体" w:cs="宋体"/>
                <w:color w:val="auto"/>
                <w:sz w:val="36"/>
                <w:szCs w:val="36"/>
                <w:highlight w:val="none"/>
                <w:lang w:eastAsia="en-US"/>
              </w:rPr>
            </w:r>
            <w:r/>
          </w:p>
        </w:tc>
      </w:tr>
    </w:tbl>
    <w:p>
      <w:pPr>
        <w:pStyle w:val="1035"/>
        <w:ind w:firstLine="482"/>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p>
      <w:pPr>
        <w:pStyle w:val="1035"/>
        <w:ind w:firstLine="482"/>
        <w:spacing w:line="360" w:lineRule="auto"/>
        <w:rPr>
          <w:rFonts w:hint="eastAsia" w:ascii="宋体" w:hAnsi="宋体" w:eastAsia="宋体" w:cs="宋体"/>
          <w:color w:val="auto"/>
          <w:sz w:val="24"/>
          <w:highlight w:val="none"/>
          <w:u w:val="single"/>
        </w:rPr>
      </w:pPr>
      <w:r>
        <w:rPr>
          <w:rFonts w:hint="eastAsia" w:ascii="宋体" w:hAnsi="宋体" w:eastAsia="宋体" w:cs="宋体"/>
          <w:b/>
          <w:color w:val="auto"/>
          <w:sz w:val="24"/>
          <w:highlight w:val="none"/>
        </w:rPr>
        <w:t xml:space="preserve">注： </w:t>
      </w:r>
      <w:r>
        <w:rPr>
          <w:rFonts w:hint="eastAsia" w:ascii="宋体" w:hAnsi="宋体" w:eastAsia="宋体" w:cs="宋体"/>
          <w:color w:val="auto"/>
          <w:sz w:val="24"/>
          <w:highlight w:val="none"/>
          <w:u w:val="single"/>
        </w:rPr>
        <w:t xml:space="preserve">1.“项目总报价”包括本次招标要求提供的货物（服务）已支付或将支付的所有费用；</w:t>
      </w:r>
      <w:r/>
    </w:p>
    <w:p>
      <w:pPr>
        <w:pStyle w:val="1035"/>
        <w:ind w:firstLine="480"/>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t xml:space="preserve">2.投标人必须据实填写此表，报价所含与招标文件要求的内容一致；</w:t>
      </w:r>
      <w:r/>
    </w:p>
    <w:p>
      <w:pPr>
        <w:pStyle w:val="1035"/>
        <w:ind w:firstLine="480"/>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t xml:space="preserve">3.报价保留至小数点后两位，四舍五入。</w:t>
      </w:r>
      <w:r/>
    </w:p>
    <w:p>
      <w:pPr>
        <w:pStyle w:val="1035"/>
        <w:ind w:left="482" w:firstLine="56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35"/>
        <w:ind w:left="482" w:firstLine="560"/>
        <w:spacing w:line="360" w:lineRule="auto"/>
        <w:rPr>
          <w:rFonts w:hint="eastAsia" w:ascii="宋体" w:hAnsi="宋体" w:eastAsia="宋体" w:cs="宋体"/>
          <w:color w:val="auto"/>
          <w:sz w:val="30"/>
          <w:highlight w:val="none"/>
        </w:rPr>
      </w:pPr>
      <w:r>
        <w:rPr>
          <w:rFonts w:hint="eastAsia" w:ascii="宋体" w:hAnsi="宋体" w:eastAsia="宋体" w:cs="宋体"/>
          <w:color w:val="auto"/>
          <w:highlight w:val="none"/>
        </w:rPr>
        <w:t xml:space="preserve">法定代表人签字或盖章</w:t>
      </w:r>
      <w:r>
        <w:rPr>
          <w:rFonts w:hint="eastAsia" w:ascii="宋体" w:hAnsi="宋体" w:eastAsia="宋体" w:cs="宋体"/>
          <w:color w:val="auto"/>
          <w:sz w:val="30"/>
          <w:highlight w:val="none"/>
        </w:rPr>
        <w:t xml:space="preserve">：</w:t>
      </w:r>
      <w:r>
        <w:rPr>
          <w:rFonts w:hint="eastAsia" w:ascii="宋体" w:hAnsi="宋体" w:eastAsia="宋体" w:cs="宋体"/>
          <w:b/>
          <w:color w:val="auto"/>
          <w:sz w:val="24"/>
          <w:highlight w:val="none"/>
          <w:u w:val="single"/>
        </w:rPr>
        <w:t xml:space="preserve">××××</w:t>
      </w:r>
      <w:r/>
    </w:p>
    <w:p>
      <w:pPr>
        <w:pStyle w:val="1035"/>
        <w:ind w:left="840" w:firstLine="560"/>
        <w:jc w:val="right"/>
        <w:spacing w:line="360" w:lineRule="auto"/>
        <w:rPr>
          <w:rFonts w:hint="eastAsia" w:ascii="宋体" w:hAnsi="宋体" w:eastAsia="宋体" w:cs="宋体"/>
          <w:color w:val="auto"/>
          <w:sz w:val="30"/>
          <w:highlight w:val="none"/>
        </w:rPr>
        <w:sectPr>
          <w:footnotePr/>
          <w:endnotePr/>
          <w:type w:val="nextPage"/>
          <w:pgSz w:w="11906" w:h="16838" w:orient="portrait"/>
          <w:pgMar w:top="1418" w:right="1418" w:bottom="1418" w:left="1418" w:header="851" w:footer="992" w:gutter="0"/>
          <w:cols w:num="1" w:sep="0" w:space="1701" w:equalWidth="1"/>
          <w:docGrid w:linePitch="360"/>
        </w:sectPr>
      </w:pPr>
      <w:r>
        <w:rPr>
          <w:rFonts w:hint="eastAsia" w:ascii="宋体" w:hAnsi="宋体" w:eastAsia="宋体" w:cs="宋体"/>
          <w:color w:val="auto"/>
          <w:highlight w:val="none"/>
        </w:rPr>
        <w:t xml:space="preserve">日期：</w:t>
      </w:r>
      <w:r>
        <w:rPr>
          <w:rFonts w:hint="eastAsia" w:ascii="宋体" w:hAnsi="宋体" w:eastAsia="宋体" w:cs="宋体"/>
          <w:b/>
          <w:color w:val="auto"/>
          <w:sz w:val="24"/>
          <w:highlight w:val="none"/>
          <w:u w:val="single"/>
        </w:rPr>
        <w:t xml:space="preserve">××××</w:t>
      </w:r>
      <w:r>
        <w:rPr>
          <w:rFonts w:hint="eastAsia" w:ascii="宋体" w:hAnsi="宋体" w:eastAsia="宋体" w:cs="宋体"/>
          <w:color w:val="auto"/>
          <w:highlight w:val="none"/>
        </w:rPr>
        <w:t xml:space="preserve">年</w:t>
      </w:r>
      <w:r>
        <w:rPr>
          <w:rFonts w:hint="eastAsia" w:ascii="宋体" w:hAnsi="宋体" w:eastAsia="宋体" w:cs="宋体"/>
          <w:b/>
          <w:color w:val="auto"/>
          <w:sz w:val="24"/>
          <w:highlight w:val="none"/>
          <w:u w:val="single"/>
        </w:rPr>
        <w:t xml:space="preserve">××</w:t>
      </w:r>
      <w:r>
        <w:rPr>
          <w:rFonts w:hint="eastAsia" w:ascii="宋体" w:hAnsi="宋体" w:eastAsia="宋体" w:cs="宋体"/>
          <w:color w:val="auto"/>
          <w:highlight w:val="none"/>
        </w:rPr>
        <w:t xml:space="preserve">月</w:t>
      </w:r>
      <w:r>
        <w:rPr>
          <w:rFonts w:hint="eastAsia" w:ascii="宋体" w:hAnsi="宋体" w:eastAsia="宋体" w:cs="宋体"/>
          <w:b/>
          <w:color w:val="auto"/>
          <w:sz w:val="24"/>
          <w:highlight w:val="none"/>
          <w:u w:val="single"/>
        </w:rPr>
        <w:t xml:space="preserve">××</w:t>
      </w:r>
      <w:r>
        <w:rPr>
          <w:rFonts w:hint="eastAsia" w:ascii="宋体" w:hAnsi="宋体" w:eastAsia="宋体" w:cs="宋体"/>
          <w:color w:val="auto"/>
          <w:highlight w:val="none"/>
        </w:rPr>
        <w:t xml:space="preserve">日</w:t>
      </w:r>
      <w:r/>
    </w:p>
    <w:p>
      <w:pPr>
        <w:pStyle w:val="1021"/>
        <w:keepLines w:val="0"/>
        <w:keepNext w:val="0"/>
        <w:spacing w:before="100" w:beforeAutospacing="1" w:after="0" w:line="360" w:lineRule="auto"/>
        <w:tabs>
          <w:tab w:val="left" w:pos="764" w:leader="none"/>
        </w:tabs>
        <w:rPr>
          <w:rFonts w:hint="eastAsia" w:ascii="楷体" w:hAnsi="楷体" w:eastAsia="楷体"/>
          <w:color w:val="auto"/>
          <w:sz w:val="36"/>
          <w:szCs w:val="36"/>
          <w:highlight w:val="none"/>
        </w:rPr>
      </w:pPr>
      <w:r>
        <w:rPr>
          <w:rFonts w:hint="eastAsia" w:ascii="楷体" w:hAnsi="楷体" w:eastAsia="楷体"/>
          <w:color w:val="auto"/>
          <w:sz w:val="36"/>
          <w:szCs w:val="36"/>
          <w:highlight w:val="none"/>
          <w:lang w:val="en-US" w:eastAsia="zh-CN"/>
        </w:rPr>
        <w:t xml:space="preserve">   4.2</w:t>
      </w:r>
      <w:r>
        <w:rPr>
          <w:rFonts w:hint="eastAsia" w:ascii="楷体" w:hAnsi="楷体" w:eastAsia="楷体"/>
          <w:color w:val="auto"/>
          <w:sz w:val="36"/>
          <w:szCs w:val="36"/>
          <w:highlight w:val="none"/>
        </w:rPr>
        <w:t xml:space="preserve">清单及明细报价</w:t>
      </w:r>
      <w:r>
        <w:rPr>
          <w:rFonts w:hint="eastAsia" w:ascii="楷体" w:hAnsi="楷体" w:eastAsia="楷体"/>
          <w:color w:val="auto"/>
          <w:sz w:val="36"/>
          <w:szCs w:val="36"/>
          <w:highlight w:val="none"/>
          <w:lang w:eastAsia="zh-CN"/>
        </w:rPr>
        <w:t xml:space="preserve">总</w:t>
      </w:r>
      <w:r>
        <w:rPr>
          <w:rFonts w:hint="eastAsia" w:ascii="楷体" w:hAnsi="楷体" w:eastAsia="楷体"/>
          <w:color w:val="auto"/>
          <w:sz w:val="36"/>
          <w:szCs w:val="36"/>
          <w:highlight w:val="none"/>
        </w:rPr>
        <w:t xml:space="preserve">表</w:t>
      </w:r>
      <w:r>
        <w:rPr>
          <w:rFonts w:hint="eastAsia" w:ascii="楷体" w:hAnsi="楷体" w:eastAsia="楷体" w:cs="宋体"/>
          <w:i/>
          <w:iCs/>
          <w:color w:val="auto"/>
          <w:szCs w:val="44"/>
          <w:highlight w:val="none"/>
        </w:rPr>
        <w:t xml:space="preserve">（可编辑）</w:t>
      </w:r>
      <w:r/>
    </w:p>
    <w:tbl>
      <w:tblPr>
        <w:tblStyle w:val="850"/>
        <w:tblW w:w="9782" w:type="dxa"/>
        <w:tblInd w:w="-28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1"/>
        <w:gridCol w:w="1441"/>
        <w:gridCol w:w="1463"/>
        <w:gridCol w:w="644"/>
        <w:gridCol w:w="1014"/>
        <w:gridCol w:w="1730"/>
        <w:gridCol w:w="1607"/>
        <w:gridCol w:w="1052"/>
      </w:tblGrid>
      <w:tr>
        <w:trPr>
          <w:trHeight w:val="594"/>
        </w:trPr>
        <w:tc>
          <w:tcPr>
            <w:gridSpan w:val="8"/>
            <w:tcW w:w="9782" w:type="dxa"/>
            <w:vAlign w:val="center"/>
            <w:textDirection w:val="lrTb"/>
            <w:noWrap w:val="false"/>
          </w:tcPr>
          <w:p>
            <w:pPr>
              <w:jc w:val="center"/>
              <w:spacing w:line="360" w:lineRule="auto"/>
              <w:rPr>
                <w:rFonts w:hint="eastAsia" w:ascii="楷体" w:hAnsi="楷体" w:eastAsia="楷体"/>
                <w:b/>
                <w:color w:val="auto"/>
                <w:sz w:val="24"/>
                <w:highlight w:val="none"/>
              </w:rPr>
            </w:pPr>
            <w:r>
              <w:rPr>
                <w:rFonts w:hint="eastAsia" w:ascii="楷体" w:hAnsi="楷体" w:eastAsia="楷体"/>
                <w:b/>
                <w:color w:val="auto"/>
                <w:sz w:val="24"/>
                <w:highlight w:val="none"/>
              </w:rPr>
              <w:t xml:space="preserve">一、货物部分</w:t>
            </w:r>
            <w:r/>
          </w:p>
        </w:tc>
      </w:tr>
      <w:tr>
        <w:trPr>
          <w:trHeight w:val="594"/>
        </w:trPr>
        <w:tc>
          <w:tcPr>
            <w:tcW w:w="831" w:type="dxa"/>
            <w:vAlign w:val="center"/>
            <w:textDirection w:val="lrTb"/>
            <w:noWrap w:val="false"/>
          </w:tcPr>
          <w:p>
            <w:pPr>
              <w:jc w:val="center"/>
              <w:spacing w:line="360" w:lineRule="auto"/>
              <w:rPr>
                <w:rFonts w:hint="eastAsia" w:ascii="楷体" w:hAnsi="楷体" w:eastAsia="楷体"/>
                <w:b/>
                <w:color w:val="auto"/>
                <w:sz w:val="24"/>
                <w:highlight w:val="none"/>
              </w:rPr>
            </w:pPr>
            <w:r>
              <w:rPr>
                <w:rFonts w:hint="eastAsia" w:ascii="楷体" w:hAnsi="楷体" w:eastAsia="楷体"/>
                <w:b/>
                <w:color w:val="auto"/>
                <w:sz w:val="24"/>
                <w:highlight w:val="none"/>
              </w:rPr>
              <w:t xml:space="preserve">序号</w:t>
            </w:r>
            <w:r/>
          </w:p>
        </w:tc>
        <w:tc>
          <w:tcPr>
            <w:tcW w:w="1441" w:type="dxa"/>
            <w:vAlign w:val="center"/>
            <w:textDirection w:val="lrTb"/>
            <w:noWrap w:val="false"/>
          </w:tcPr>
          <w:p>
            <w:pPr>
              <w:jc w:val="center"/>
              <w:spacing w:line="360" w:lineRule="auto"/>
              <w:rPr>
                <w:rFonts w:hint="eastAsia" w:ascii="楷体" w:hAnsi="楷体" w:eastAsia="楷体"/>
                <w:b/>
                <w:color w:val="auto"/>
                <w:sz w:val="24"/>
                <w:highlight w:val="none"/>
              </w:rPr>
            </w:pPr>
            <w:r>
              <w:rPr>
                <w:rFonts w:hint="eastAsia" w:ascii="楷体" w:hAnsi="楷体" w:eastAsia="楷体"/>
                <w:b/>
                <w:color w:val="auto"/>
                <w:sz w:val="24"/>
                <w:highlight w:val="none"/>
              </w:rPr>
              <w:t xml:space="preserve">标的名称</w:t>
            </w:r>
            <w:r/>
          </w:p>
        </w:tc>
        <w:tc>
          <w:tcPr>
            <w:tcW w:w="1463" w:type="dxa"/>
            <w:vAlign w:val="center"/>
            <w:textDirection w:val="lrTb"/>
            <w:noWrap w:val="false"/>
          </w:tcPr>
          <w:p>
            <w:pPr>
              <w:jc w:val="center"/>
              <w:spacing w:line="360" w:lineRule="auto"/>
              <w:rPr>
                <w:rFonts w:hint="eastAsia" w:ascii="楷体" w:hAnsi="楷体" w:eastAsia="楷体"/>
                <w:b/>
                <w:color w:val="auto"/>
                <w:sz w:val="24"/>
                <w:highlight w:val="none"/>
              </w:rPr>
            </w:pPr>
            <w:r>
              <w:rPr>
                <w:rFonts w:hint="eastAsia" w:ascii="楷体" w:hAnsi="楷体" w:eastAsia="楷体"/>
                <w:b/>
                <w:color w:val="auto"/>
                <w:sz w:val="24"/>
                <w:highlight w:val="none"/>
              </w:rPr>
              <w:t xml:space="preserve">品牌型号</w:t>
            </w:r>
            <w:r/>
          </w:p>
        </w:tc>
        <w:tc>
          <w:tcPr>
            <w:gridSpan w:val="2"/>
            <w:tcW w:w="1658" w:type="dxa"/>
            <w:vAlign w:val="center"/>
            <w:textDirection w:val="lrTb"/>
            <w:noWrap w:val="false"/>
          </w:tcPr>
          <w:p>
            <w:pPr>
              <w:jc w:val="center"/>
              <w:spacing w:line="360" w:lineRule="auto"/>
              <w:rPr>
                <w:rFonts w:hint="eastAsia" w:ascii="楷体" w:hAnsi="楷体" w:eastAsia="楷体"/>
                <w:b/>
                <w:color w:val="auto"/>
                <w:sz w:val="24"/>
                <w:highlight w:val="none"/>
              </w:rPr>
            </w:pPr>
            <w:r>
              <w:rPr>
                <w:rFonts w:hint="eastAsia" w:ascii="楷体" w:hAnsi="楷体" w:eastAsia="楷体"/>
                <w:b/>
                <w:color w:val="auto"/>
                <w:sz w:val="24"/>
                <w:highlight w:val="none"/>
              </w:rPr>
              <w:t xml:space="preserve">数量</w:t>
            </w:r>
            <w:r/>
          </w:p>
        </w:tc>
        <w:tc>
          <w:tcPr>
            <w:tcW w:w="1730" w:type="dxa"/>
            <w:vAlign w:val="center"/>
            <w:textDirection w:val="lrTb"/>
            <w:noWrap w:val="false"/>
          </w:tcPr>
          <w:p>
            <w:pPr>
              <w:jc w:val="center"/>
              <w:spacing w:line="360" w:lineRule="auto"/>
              <w:rPr>
                <w:rFonts w:hint="eastAsia" w:ascii="楷体" w:hAnsi="楷体" w:eastAsia="楷体"/>
                <w:b/>
                <w:color w:val="auto"/>
                <w:sz w:val="24"/>
                <w:highlight w:val="none"/>
              </w:rPr>
            </w:pPr>
            <w:r>
              <w:rPr>
                <w:rFonts w:hint="eastAsia" w:ascii="楷体" w:hAnsi="楷体" w:eastAsia="楷体"/>
                <w:b/>
                <w:color w:val="auto"/>
                <w:sz w:val="24"/>
                <w:highlight w:val="none"/>
              </w:rPr>
              <w:t xml:space="preserve">单价（元）</w:t>
            </w:r>
            <w:r/>
          </w:p>
        </w:tc>
        <w:tc>
          <w:tcPr>
            <w:tcW w:w="1607" w:type="dxa"/>
            <w:vAlign w:val="center"/>
            <w:textDirection w:val="lrTb"/>
            <w:noWrap w:val="false"/>
          </w:tcPr>
          <w:p>
            <w:pPr>
              <w:jc w:val="center"/>
              <w:spacing w:line="360" w:lineRule="auto"/>
              <w:rPr>
                <w:rFonts w:hint="eastAsia" w:ascii="楷体" w:hAnsi="楷体" w:eastAsia="楷体"/>
                <w:b/>
                <w:color w:val="auto"/>
                <w:sz w:val="24"/>
                <w:highlight w:val="none"/>
              </w:rPr>
            </w:pPr>
            <w:r>
              <w:rPr>
                <w:rFonts w:hint="eastAsia" w:ascii="楷体" w:hAnsi="楷体" w:eastAsia="楷体"/>
                <w:b/>
                <w:color w:val="auto"/>
                <w:sz w:val="24"/>
                <w:highlight w:val="none"/>
              </w:rPr>
              <w:t xml:space="preserve">合计（元）</w:t>
            </w:r>
            <w:r/>
          </w:p>
        </w:tc>
        <w:tc>
          <w:tcPr>
            <w:tcW w:w="1052" w:type="dxa"/>
            <w:vAlign w:val="center"/>
            <w:textDirection w:val="lrTb"/>
            <w:noWrap w:val="false"/>
          </w:tcPr>
          <w:p>
            <w:pPr>
              <w:jc w:val="center"/>
              <w:spacing w:line="360" w:lineRule="auto"/>
              <w:rPr>
                <w:rFonts w:hint="eastAsia" w:ascii="楷体" w:hAnsi="楷体" w:eastAsia="楷体"/>
                <w:b/>
                <w:color w:val="auto"/>
                <w:sz w:val="24"/>
                <w:highlight w:val="none"/>
              </w:rPr>
            </w:pPr>
            <w:r>
              <w:rPr>
                <w:rFonts w:hint="eastAsia" w:ascii="楷体" w:hAnsi="楷体" w:eastAsia="楷体"/>
                <w:b/>
                <w:color w:val="auto"/>
                <w:sz w:val="24"/>
                <w:highlight w:val="none"/>
              </w:rPr>
              <w:t xml:space="preserve">免费质保期</w:t>
            </w:r>
            <w:r/>
          </w:p>
        </w:tc>
      </w:tr>
      <w:tr>
        <w:trPr>
          <w:trHeight w:val="594"/>
        </w:trPr>
        <w:tc>
          <w:tcPr>
            <w:tcW w:w="831" w:type="dxa"/>
            <w:vAlign w:val="center"/>
            <w:textDirection w:val="lrTb"/>
            <w:noWrap w:val="false"/>
          </w:tcPr>
          <w:p>
            <w:pPr>
              <w:jc w:val="center"/>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t xml:space="preserve">1</w:t>
            </w:r>
            <w:r/>
          </w:p>
        </w:tc>
        <w:tc>
          <w:tcPr>
            <w:tcW w:w="1441" w:type="dxa"/>
            <w:vAlign w:val="center"/>
            <w:textDirection w:val="lrTb"/>
            <w:noWrap w:val="false"/>
          </w:tcPr>
          <w:p>
            <w:pPr>
              <w:widowControl/>
              <w:rPr>
                <w:rFonts w:hint="eastAsia" w:ascii="楷体" w:hAnsi="楷体" w:eastAsia="楷体" w:cs="Calibri"/>
                <w:color w:val="auto"/>
                <w:sz w:val="24"/>
                <w:highlight w:val="none"/>
              </w:rPr>
            </w:pPr>
            <w:r>
              <w:rPr>
                <w:rFonts w:hint="eastAsia" w:ascii="楷体" w:hAnsi="楷体" w:eastAsia="楷体" w:cs="Calibri"/>
                <w:color w:val="auto"/>
                <w:sz w:val="24"/>
                <w:highlight w:val="none"/>
              </w:rPr>
              <w:t xml:space="preserve"> </w:t>
            </w:r>
            <w:r/>
          </w:p>
        </w:tc>
        <w:tc>
          <w:tcPr>
            <w:tcW w:w="1463" w:type="dxa"/>
            <w:vAlign w:val="center"/>
            <w:textDirection w:val="lrTb"/>
            <w:noWrap w:val="false"/>
          </w:tcPr>
          <w:p>
            <w:pPr>
              <w:jc w:val="center"/>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r>
            <w:r/>
          </w:p>
        </w:tc>
        <w:tc>
          <w:tcPr>
            <w:gridSpan w:val="2"/>
            <w:tcW w:w="1658" w:type="dxa"/>
            <w:vAlign w:val="center"/>
            <w:textDirection w:val="lrTb"/>
            <w:noWrap w:val="false"/>
          </w:tcPr>
          <w:p>
            <w:pPr>
              <w:jc w:val="center"/>
              <w:widowControl/>
              <w:rPr>
                <w:rFonts w:hint="eastAsia" w:ascii="楷体" w:hAnsi="楷体" w:eastAsia="楷体" w:cs="Calibri"/>
                <w:color w:val="auto"/>
                <w:sz w:val="24"/>
                <w:highlight w:val="none"/>
              </w:rPr>
            </w:pPr>
            <w:r>
              <w:rPr>
                <w:rFonts w:hint="eastAsia" w:ascii="楷体" w:hAnsi="楷体" w:eastAsia="楷体" w:cs="Calibri"/>
                <w:color w:val="auto"/>
                <w:sz w:val="24"/>
                <w:highlight w:val="none"/>
              </w:rPr>
              <w:t xml:space="preserve"> </w:t>
            </w:r>
            <w:r/>
          </w:p>
        </w:tc>
        <w:tc>
          <w:tcPr>
            <w:tcW w:w="1730" w:type="dxa"/>
            <w:vAlign w:val="center"/>
            <w:textDirection w:val="lrTb"/>
            <w:noWrap w:val="false"/>
          </w:tcPr>
          <w:p>
            <w:pPr>
              <w:jc w:val="center"/>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r>
            <w:r/>
          </w:p>
        </w:tc>
        <w:tc>
          <w:tcPr>
            <w:tcW w:w="1607" w:type="dxa"/>
            <w:vAlign w:val="center"/>
            <w:textDirection w:val="lrTb"/>
            <w:noWrap w:val="false"/>
          </w:tcPr>
          <w:p>
            <w:pPr>
              <w:jc w:val="center"/>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r>
            <w:r/>
          </w:p>
        </w:tc>
        <w:tc>
          <w:tcPr>
            <w:tcW w:w="1052" w:type="dxa"/>
            <w:vAlign w:val="top"/>
            <w:textDirection w:val="lrTb"/>
            <w:noWrap w:val="false"/>
          </w:tcPr>
          <w:p>
            <w:pPr>
              <w:jc w:val="center"/>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r>
            <w:r/>
          </w:p>
        </w:tc>
      </w:tr>
      <w:tr>
        <w:trPr>
          <w:trHeight w:val="594"/>
        </w:trPr>
        <w:tc>
          <w:tcPr>
            <w:tcW w:w="831" w:type="dxa"/>
            <w:vAlign w:val="center"/>
            <w:textDirection w:val="lrTb"/>
            <w:noWrap w:val="false"/>
          </w:tcPr>
          <w:p>
            <w:pPr>
              <w:jc w:val="center"/>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t xml:space="preserve">2</w:t>
            </w:r>
            <w:r/>
          </w:p>
        </w:tc>
        <w:tc>
          <w:tcPr>
            <w:tcW w:w="1441" w:type="dxa"/>
            <w:vAlign w:val="center"/>
            <w:textDirection w:val="lrTb"/>
            <w:noWrap w:val="false"/>
          </w:tcPr>
          <w:p>
            <w:pPr>
              <w:widowControl/>
              <w:rPr>
                <w:rFonts w:hint="eastAsia" w:ascii="楷体" w:hAnsi="楷体" w:eastAsia="楷体" w:cs="Calibri"/>
                <w:color w:val="auto"/>
                <w:sz w:val="24"/>
                <w:highlight w:val="none"/>
              </w:rPr>
            </w:pPr>
            <w:r>
              <w:rPr>
                <w:rFonts w:hint="eastAsia" w:ascii="楷体" w:hAnsi="楷体" w:eastAsia="楷体" w:cs="Calibri"/>
                <w:color w:val="auto"/>
                <w:sz w:val="24"/>
                <w:highlight w:val="none"/>
              </w:rPr>
              <w:t xml:space="preserve"> </w:t>
            </w:r>
            <w:r/>
          </w:p>
        </w:tc>
        <w:tc>
          <w:tcPr>
            <w:tcW w:w="1463" w:type="dxa"/>
            <w:vAlign w:val="center"/>
            <w:textDirection w:val="lrTb"/>
            <w:noWrap w:val="false"/>
          </w:tcPr>
          <w:p>
            <w:pPr>
              <w:jc w:val="center"/>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r>
            <w:r/>
          </w:p>
        </w:tc>
        <w:tc>
          <w:tcPr>
            <w:gridSpan w:val="2"/>
            <w:tcW w:w="1658" w:type="dxa"/>
            <w:vAlign w:val="center"/>
            <w:textDirection w:val="lrTb"/>
            <w:noWrap w:val="false"/>
          </w:tcPr>
          <w:p>
            <w:pPr>
              <w:jc w:val="center"/>
              <w:widowControl/>
              <w:rPr>
                <w:rFonts w:hint="eastAsia" w:ascii="楷体" w:hAnsi="楷体" w:eastAsia="楷体" w:cs="Calibri"/>
                <w:color w:val="auto"/>
                <w:sz w:val="24"/>
                <w:highlight w:val="none"/>
              </w:rPr>
            </w:pPr>
            <w:r>
              <w:rPr>
                <w:rFonts w:hint="eastAsia" w:ascii="楷体" w:hAnsi="楷体" w:eastAsia="楷体" w:cs="Calibri"/>
                <w:color w:val="auto"/>
                <w:sz w:val="24"/>
                <w:highlight w:val="none"/>
              </w:rPr>
            </w:r>
            <w:r/>
          </w:p>
        </w:tc>
        <w:tc>
          <w:tcPr>
            <w:tcW w:w="1730" w:type="dxa"/>
            <w:vAlign w:val="center"/>
            <w:textDirection w:val="lrTb"/>
            <w:noWrap w:val="false"/>
          </w:tcPr>
          <w:p>
            <w:pPr>
              <w:jc w:val="center"/>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r>
            <w:r/>
          </w:p>
        </w:tc>
        <w:tc>
          <w:tcPr>
            <w:tcW w:w="1607" w:type="dxa"/>
            <w:vAlign w:val="center"/>
            <w:textDirection w:val="lrTb"/>
            <w:noWrap w:val="false"/>
          </w:tcPr>
          <w:p>
            <w:pPr>
              <w:jc w:val="center"/>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r>
            <w:r/>
          </w:p>
        </w:tc>
        <w:tc>
          <w:tcPr>
            <w:tcW w:w="1052" w:type="dxa"/>
            <w:vAlign w:val="top"/>
            <w:textDirection w:val="lrTb"/>
            <w:noWrap w:val="false"/>
          </w:tcPr>
          <w:p>
            <w:pPr>
              <w:jc w:val="center"/>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r>
            <w:r/>
          </w:p>
        </w:tc>
      </w:tr>
      <w:tr>
        <w:trPr>
          <w:trHeight w:val="594"/>
        </w:trPr>
        <w:tc>
          <w:tcPr>
            <w:tcW w:w="831" w:type="dxa"/>
            <w:vAlign w:val="center"/>
            <w:textDirection w:val="lrTb"/>
            <w:noWrap w:val="false"/>
          </w:tcPr>
          <w:p>
            <w:pPr>
              <w:jc w:val="center"/>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t xml:space="preserve">3</w:t>
            </w:r>
            <w:r/>
          </w:p>
        </w:tc>
        <w:tc>
          <w:tcPr>
            <w:tcW w:w="1441" w:type="dxa"/>
            <w:vAlign w:val="center"/>
            <w:textDirection w:val="lrTb"/>
            <w:noWrap w:val="false"/>
          </w:tcPr>
          <w:p>
            <w:pPr>
              <w:widowControl/>
              <w:rPr>
                <w:rFonts w:hint="eastAsia" w:ascii="楷体" w:hAnsi="楷体" w:eastAsia="楷体" w:cs="Calibri"/>
                <w:color w:val="auto"/>
                <w:sz w:val="24"/>
                <w:highlight w:val="none"/>
              </w:rPr>
            </w:pPr>
            <w:r>
              <w:rPr>
                <w:rFonts w:hint="eastAsia" w:ascii="楷体" w:hAnsi="楷体" w:eastAsia="楷体" w:cs="Calibri"/>
                <w:color w:val="auto"/>
                <w:sz w:val="24"/>
                <w:highlight w:val="none"/>
              </w:rPr>
              <w:t xml:space="preserve"> </w:t>
            </w:r>
            <w:r/>
          </w:p>
        </w:tc>
        <w:tc>
          <w:tcPr>
            <w:tcW w:w="1463" w:type="dxa"/>
            <w:vAlign w:val="center"/>
            <w:textDirection w:val="lrTb"/>
            <w:noWrap w:val="false"/>
          </w:tcPr>
          <w:p>
            <w:pPr>
              <w:jc w:val="center"/>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r>
            <w:r/>
          </w:p>
        </w:tc>
        <w:tc>
          <w:tcPr>
            <w:gridSpan w:val="2"/>
            <w:tcW w:w="1658" w:type="dxa"/>
            <w:vAlign w:val="center"/>
            <w:textDirection w:val="lrTb"/>
            <w:noWrap w:val="false"/>
          </w:tcPr>
          <w:p>
            <w:pPr>
              <w:jc w:val="center"/>
              <w:widowControl/>
              <w:rPr>
                <w:rFonts w:hint="eastAsia" w:ascii="楷体" w:hAnsi="楷体" w:eastAsia="楷体" w:cs="Calibri"/>
                <w:color w:val="auto"/>
                <w:sz w:val="24"/>
                <w:highlight w:val="none"/>
              </w:rPr>
            </w:pPr>
            <w:r>
              <w:rPr>
                <w:rFonts w:hint="eastAsia" w:ascii="楷体" w:hAnsi="楷体" w:eastAsia="楷体" w:cs="Calibri"/>
                <w:color w:val="auto"/>
                <w:sz w:val="24"/>
                <w:highlight w:val="none"/>
              </w:rPr>
            </w:r>
            <w:r/>
          </w:p>
        </w:tc>
        <w:tc>
          <w:tcPr>
            <w:tcW w:w="1730" w:type="dxa"/>
            <w:vAlign w:val="center"/>
            <w:textDirection w:val="lrTb"/>
            <w:noWrap w:val="false"/>
          </w:tcPr>
          <w:p>
            <w:pPr>
              <w:jc w:val="center"/>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r>
            <w:r/>
          </w:p>
        </w:tc>
        <w:tc>
          <w:tcPr>
            <w:tcW w:w="1607" w:type="dxa"/>
            <w:vAlign w:val="center"/>
            <w:textDirection w:val="lrTb"/>
            <w:noWrap w:val="false"/>
          </w:tcPr>
          <w:p>
            <w:pPr>
              <w:jc w:val="center"/>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r>
            <w:r/>
          </w:p>
        </w:tc>
        <w:tc>
          <w:tcPr>
            <w:tcW w:w="1052" w:type="dxa"/>
            <w:vAlign w:val="top"/>
            <w:textDirection w:val="lrTb"/>
            <w:noWrap w:val="false"/>
          </w:tcPr>
          <w:p>
            <w:pPr>
              <w:jc w:val="center"/>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r>
            <w:r/>
          </w:p>
        </w:tc>
      </w:tr>
      <w:tr>
        <w:trPr>
          <w:trHeight w:val="594"/>
        </w:trPr>
        <w:tc>
          <w:tcPr>
            <w:tcW w:w="831" w:type="dxa"/>
            <w:vAlign w:val="center"/>
            <w:textDirection w:val="lrTb"/>
            <w:noWrap w:val="false"/>
          </w:tcPr>
          <w:p>
            <w:pPr>
              <w:jc w:val="center"/>
              <w:spacing w:line="360" w:lineRule="auto"/>
              <w:rPr>
                <w:rFonts w:ascii="楷体" w:hAnsi="楷体" w:eastAsia="楷体"/>
                <w:color w:val="auto"/>
                <w:sz w:val="24"/>
                <w:highlight w:val="none"/>
                <w:lang w:val="en-US" w:eastAsia="zh-CN"/>
              </w:rPr>
            </w:pPr>
            <w:r>
              <w:rPr>
                <w:rFonts w:hint="eastAsia" w:ascii="楷体" w:hAnsi="楷体" w:eastAsia="楷体"/>
                <w:color w:val="auto"/>
                <w:sz w:val="24"/>
                <w:highlight w:val="none"/>
                <w:lang w:val="en-US" w:eastAsia="zh-CN"/>
              </w:rPr>
              <w:t xml:space="preserve">....</w:t>
            </w:r>
            <w:r/>
          </w:p>
        </w:tc>
        <w:tc>
          <w:tcPr>
            <w:tcW w:w="1441" w:type="dxa"/>
            <w:vAlign w:val="center"/>
            <w:textDirection w:val="lrTb"/>
            <w:noWrap w:val="false"/>
          </w:tcPr>
          <w:p>
            <w:pPr>
              <w:widowControl/>
              <w:rPr>
                <w:rFonts w:hint="eastAsia" w:ascii="楷体" w:hAnsi="楷体" w:eastAsia="楷体" w:cs="Calibri"/>
                <w:color w:val="auto"/>
                <w:sz w:val="24"/>
                <w:highlight w:val="none"/>
              </w:rPr>
            </w:pPr>
            <w:r>
              <w:rPr>
                <w:rFonts w:hint="eastAsia" w:ascii="楷体" w:hAnsi="楷体" w:eastAsia="楷体" w:cs="Calibri"/>
                <w:color w:val="auto"/>
                <w:sz w:val="24"/>
                <w:highlight w:val="none"/>
              </w:rPr>
            </w:r>
            <w:r/>
          </w:p>
        </w:tc>
        <w:tc>
          <w:tcPr>
            <w:tcW w:w="1463" w:type="dxa"/>
            <w:vAlign w:val="center"/>
            <w:textDirection w:val="lrTb"/>
            <w:noWrap w:val="false"/>
          </w:tcPr>
          <w:p>
            <w:pPr>
              <w:jc w:val="center"/>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r>
            <w:r/>
          </w:p>
        </w:tc>
        <w:tc>
          <w:tcPr>
            <w:gridSpan w:val="2"/>
            <w:tcW w:w="1658" w:type="dxa"/>
            <w:vAlign w:val="center"/>
            <w:textDirection w:val="lrTb"/>
            <w:noWrap w:val="false"/>
          </w:tcPr>
          <w:p>
            <w:pPr>
              <w:jc w:val="center"/>
              <w:widowControl/>
              <w:rPr>
                <w:rFonts w:hint="eastAsia" w:ascii="楷体" w:hAnsi="楷体" w:eastAsia="楷体" w:cs="Calibri"/>
                <w:color w:val="auto"/>
                <w:sz w:val="24"/>
                <w:highlight w:val="none"/>
              </w:rPr>
            </w:pPr>
            <w:r>
              <w:rPr>
                <w:rFonts w:hint="eastAsia" w:ascii="楷体" w:hAnsi="楷体" w:eastAsia="楷体" w:cs="Calibri"/>
                <w:color w:val="auto"/>
                <w:sz w:val="24"/>
                <w:highlight w:val="none"/>
              </w:rPr>
            </w:r>
            <w:r/>
          </w:p>
        </w:tc>
        <w:tc>
          <w:tcPr>
            <w:tcW w:w="1730" w:type="dxa"/>
            <w:vAlign w:val="center"/>
            <w:textDirection w:val="lrTb"/>
            <w:noWrap w:val="false"/>
          </w:tcPr>
          <w:p>
            <w:pPr>
              <w:jc w:val="center"/>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r>
            <w:r/>
          </w:p>
        </w:tc>
        <w:tc>
          <w:tcPr>
            <w:tcW w:w="1607" w:type="dxa"/>
            <w:vAlign w:val="center"/>
            <w:textDirection w:val="lrTb"/>
            <w:noWrap w:val="false"/>
          </w:tcPr>
          <w:p>
            <w:pPr>
              <w:jc w:val="center"/>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r>
            <w:r/>
          </w:p>
        </w:tc>
        <w:tc>
          <w:tcPr>
            <w:tcW w:w="1052" w:type="dxa"/>
            <w:vAlign w:val="top"/>
            <w:textDirection w:val="lrTb"/>
            <w:noWrap w:val="false"/>
          </w:tcPr>
          <w:p>
            <w:pPr>
              <w:jc w:val="center"/>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r>
            <w:r/>
          </w:p>
        </w:tc>
      </w:tr>
      <w:tr>
        <w:trPr>
          <w:trHeight w:val="594"/>
        </w:trPr>
        <w:tc>
          <w:tcPr>
            <w:gridSpan w:val="8"/>
            <w:tcW w:w="9782" w:type="dxa"/>
            <w:vAlign w:val="center"/>
            <w:textDirection w:val="lrTb"/>
            <w:noWrap w:val="false"/>
          </w:tcPr>
          <w:p>
            <w:pPr>
              <w:jc w:val="center"/>
              <w:spacing w:line="360" w:lineRule="auto"/>
              <w:rPr>
                <w:rFonts w:hint="eastAsia" w:ascii="楷体" w:hAnsi="楷体" w:eastAsia="楷体"/>
                <w:b/>
                <w:color w:val="auto"/>
                <w:sz w:val="24"/>
                <w:highlight w:val="none"/>
              </w:rPr>
            </w:pPr>
            <w:r>
              <w:rPr>
                <w:rFonts w:hint="eastAsia" w:ascii="楷体" w:hAnsi="楷体" w:eastAsia="楷体"/>
                <w:b/>
                <w:color w:val="auto"/>
                <w:sz w:val="24"/>
                <w:highlight w:val="none"/>
              </w:rPr>
              <w:t xml:space="preserve">货物部分小计：     元</w:t>
            </w:r>
            <w:r/>
          </w:p>
        </w:tc>
      </w:tr>
      <w:tr>
        <w:trPr>
          <w:trHeight w:val="594"/>
        </w:trPr>
        <w:tc>
          <w:tcPr>
            <w:gridSpan w:val="8"/>
            <w:tcW w:w="9782" w:type="dxa"/>
            <w:vAlign w:val="center"/>
            <w:textDirection w:val="lrTb"/>
            <w:noWrap w:val="false"/>
          </w:tcPr>
          <w:p>
            <w:pPr>
              <w:jc w:val="center"/>
              <w:spacing w:line="360" w:lineRule="auto"/>
              <w:rPr>
                <w:rFonts w:hint="eastAsia" w:ascii="楷体" w:hAnsi="楷体" w:eastAsia="楷体"/>
                <w:color w:val="auto"/>
                <w:sz w:val="24"/>
                <w:highlight w:val="none"/>
              </w:rPr>
            </w:pPr>
            <w:r>
              <w:rPr>
                <w:rFonts w:hint="eastAsia" w:ascii="楷体" w:hAnsi="楷体" w:eastAsia="楷体"/>
                <w:b/>
                <w:color w:val="auto"/>
                <w:sz w:val="24"/>
                <w:highlight w:val="none"/>
              </w:rPr>
              <w:t xml:space="preserve">二、服务部分</w:t>
            </w:r>
            <w:r/>
          </w:p>
        </w:tc>
      </w:tr>
      <w:tr>
        <w:trPr>
          <w:trHeight w:val="696"/>
        </w:trPr>
        <w:tc>
          <w:tcPr>
            <w:tcW w:w="831" w:type="dxa"/>
            <w:vAlign w:val="center"/>
            <w:textDirection w:val="lrTb"/>
            <w:noWrap w:val="false"/>
          </w:tcPr>
          <w:p>
            <w:pPr>
              <w:jc w:val="center"/>
              <w:keepLines w:val="0"/>
              <w:keepNext w:val="0"/>
              <w:pageBreakBefore w:val="0"/>
              <w:spacing w:line="400" w:lineRule="exact"/>
              <w:widowControl w:val="off"/>
              <w:rPr>
                <w:rFonts w:hint="eastAsia" w:ascii="楷体" w:hAnsi="楷体" w:eastAsia="楷体"/>
                <w:b/>
                <w:color w:val="auto"/>
                <w:sz w:val="24"/>
                <w:highlight w:val="none"/>
              </w:rPr>
            </w:pPr>
            <w:r>
              <w:rPr>
                <w:rFonts w:hint="eastAsia" w:ascii="楷体" w:hAnsi="楷体" w:eastAsia="楷体"/>
                <w:b/>
                <w:color w:val="auto"/>
                <w:sz w:val="24"/>
                <w:highlight w:val="none"/>
              </w:rPr>
              <w:t xml:space="preserve">序号</w:t>
            </w:r>
            <w:r/>
          </w:p>
        </w:tc>
        <w:tc>
          <w:tcPr>
            <w:tcW w:w="1441" w:type="dxa"/>
            <w:vAlign w:val="center"/>
            <w:textDirection w:val="lrTb"/>
            <w:noWrap w:val="false"/>
          </w:tcPr>
          <w:p>
            <w:pPr>
              <w:jc w:val="center"/>
              <w:keepLines w:val="0"/>
              <w:keepNext w:val="0"/>
              <w:pageBreakBefore w:val="0"/>
              <w:spacing w:line="400" w:lineRule="exact"/>
              <w:widowControl w:val="off"/>
              <w:rPr>
                <w:rFonts w:hint="eastAsia" w:ascii="楷体" w:hAnsi="楷体" w:eastAsia="楷体"/>
                <w:b/>
                <w:color w:val="auto"/>
                <w:sz w:val="24"/>
                <w:highlight w:val="none"/>
              </w:rPr>
            </w:pPr>
            <w:r>
              <w:rPr>
                <w:rFonts w:hint="eastAsia" w:ascii="楷体" w:hAnsi="楷体" w:eastAsia="楷体"/>
                <w:b/>
                <w:color w:val="auto"/>
                <w:sz w:val="24"/>
                <w:highlight w:val="none"/>
              </w:rPr>
              <w:t xml:space="preserve">标的名称</w:t>
            </w:r>
            <w:r/>
          </w:p>
        </w:tc>
        <w:tc>
          <w:tcPr>
            <w:gridSpan w:val="3"/>
            <w:tcW w:w="3121" w:type="dxa"/>
            <w:vAlign w:val="center"/>
            <w:textDirection w:val="lrTb"/>
            <w:noWrap w:val="false"/>
          </w:tcPr>
          <w:p>
            <w:pPr>
              <w:jc w:val="center"/>
              <w:keepLines w:val="0"/>
              <w:keepNext w:val="0"/>
              <w:pageBreakBefore w:val="0"/>
              <w:spacing w:line="400" w:lineRule="exact"/>
              <w:widowControl w:val="off"/>
              <w:rPr>
                <w:rFonts w:hint="eastAsia" w:ascii="楷体" w:hAnsi="楷体" w:eastAsia="楷体"/>
                <w:b/>
                <w:color w:val="auto"/>
                <w:sz w:val="24"/>
                <w:highlight w:val="none"/>
              </w:rPr>
            </w:pPr>
            <w:r>
              <w:rPr>
                <w:rFonts w:hint="eastAsia" w:ascii="楷体" w:hAnsi="楷体" w:eastAsia="楷体"/>
                <w:b/>
                <w:color w:val="auto"/>
                <w:sz w:val="24"/>
                <w:highlight w:val="none"/>
              </w:rPr>
              <w:t xml:space="preserve">服务内容</w:t>
            </w:r>
            <w:r/>
          </w:p>
        </w:tc>
        <w:tc>
          <w:tcPr>
            <w:tcW w:w="1730" w:type="dxa"/>
            <w:vAlign w:val="center"/>
            <w:textDirection w:val="lrTb"/>
            <w:noWrap w:val="false"/>
          </w:tcPr>
          <w:p>
            <w:pPr>
              <w:jc w:val="center"/>
              <w:keepLines w:val="0"/>
              <w:keepNext w:val="0"/>
              <w:pageBreakBefore w:val="0"/>
              <w:spacing w:line="400" w:lineRule="exact"/>
              <w:widowControl w:val="off"/>
              <w:rPr>
                <w:rFonts w:hint="eastAsia" w:ascii="楷体" w:hAnsi="楷体" w:eastAsia="楷体"/>
                <w:b/>
                <w:color w:val="auto"/>
                <w:sz w:val="24"/>
                <w:highlight w:val="none"/>
              </w:rPr>
            </w:pPr>
            <w:r>
              <w:rPr>
                <w:rFonts w:hint="eastAsia" w:ascii="楷体" w:hAnsi="楷体" w:eastAsia="楷体"/>
                <w:b/>
                <w:color w:val="auto"/>
                <w:sz w:val="24"/>
                <w:highlight w:val="none"/>
              </w:rPr>
              <w:t xml:space="preserve">服务期</w:t>
            </w:r>
            <w:r/>
          </w:p>
        </w:tc>
        <w:tc>
          <w:tcPr>
            <w:tcW w:w="1607" w:type="dxa"/>
            <w:vAlign w:val="center"/>
            <w:textDirection w:val="lrTb"/>
            <w:noWrap w:val="false"/>
          </w:tcPr>
          <w:p>
            <w:pPr>
              <w:jc w:val="center"/>
              <w:keepLines w:val="0"/>
              <w:keepNext w:val="0"/>
              <w:pageBreakBefore w:val="0"/>
              <w:spacing w:line="400" w:lineRule="exact"/>
              <w:widowControl w:val="off"/>
              <w:rPr>
                <w:rFonts w:hint="eastAsia" w:ascii="楷体" w:hAnsi="楷体" w:eastAsia="楷体"/>
                <w:b/>
                <w:color w:val="auto"/>
                <w:sz w:val="24"/>
                <w:highlight w:val="none"/>
              </w:rPr>
            </w:pPr>
            <w:r>
              <w:rPr>
                <w:rFonts w:hint="eastAsia" w:ascii="楷体" w:hAnsi="楷体" w:eastAsia="楷体"/>
                <w:b/>
                <w:color w:val="auto"/>
                <w:sz w:val="24"/>
                <w:highlight w:val="none"/>
              </w:rPr>
              <w:t xml:space="preserve">价格（元）</w:t>
            </w:r>
            <w:r/>
          </w:p>
        </w:tc>
        <w:tc>
          <w:tcPr>
            <w:tcW w:w="1052" w:type="dxa"/>
            <w:vAlign w:val="center"/>
            <w:textDirection w:val="lrTb"/>
            <w:noWrap w:val="false"/>
          </w:tcPr>
          <w:p>
            <w:pPr>
              <w:jc w:val="center"/>
              <w:keepLines w:val="0"/>
              <w:keepNext w:val="0"/>
              <w:pageBreakBefore w:val="0"/>
              <w:spacing w:line="400" w:lineRule="exact"/>
              <w:widowControl w:val="off"/>
              <w:rPr>
                <w:rFonts w:hint="eastAsia" w:ascii="楷体" w:hAnsi="楷体" w:eastAsia="楷体"/>
                <w:b/>
                <w:color w:val="auto"/>
                <w:sz w:val="24"/>
                <w:highlight w:val="none"/>
              </w:rPr>
            </w:pPr>
            <w:r>
              <w:rPr>
                <w:rFonts w:hint="eastAsia" w:ascii="楷体" w:hAnsi="楷体" w:eastAsia="楷体"/>
                <w:b/>
                <w:color w:val="auto"/>
                <w:sz w:val="24"/>
                <w:highlight w:val="none"/>
              </w:rPr>
              <w:t xml:space="preserve">备注</w:t>
            </w:r>
            <w:r/>
          </w:p>
        </w:tc>
      </w:tr>
      <w:tr>
        <w:trPr>
          <w:trHeight w:val="594"/>
        </w:trPr>
        <w:tc>
          <w:tcPr>
            <w:tcW w:w="831" w:type="dxa"/>
            <w:vAlign w:val="center"/>
            <w:textDirection w:val="lrTb"/>
            <w:noWrap w:val="false"/>
          </w:tcPr>
          <w:p>
            <w:pPr>
              <w:jc w:val="center"/>
              <w:keepLines w:val="0"/>
              <w:keepNext w:val="0"/>
              <w:pageBreakBefore w:val="0"/>
              <w:spacing w:line="400" w:lineRule="exact"/>
              <w:widowControl w:val="off"/>
              <w:rPr>
                <w:rFonts w:hint="eastAsia" w:ascii="楷体" w:hAnsi="楷体" w:eastAsia="楷体"/>
                <w:color w:val="auto"/>
                <w:sz w:val="24"/>
                <w:highlight w:val="none"/>
              </w:rPr>
            </w:pPr>
            <w:r>
              <w:rPr>
                <w:rFonts w:hint="eastAsia" w:ascii="楷体" w:hAnsi="楷体" w:eastAsia="楷体"/>
                <w:color w:val="auto"/>
                <w:sz w:val="24"/>
                <w:highlight w:val="none"/>
              </w:rPr>
              <w:t xml:space="preserve">1</w:t>
            </w:r>
            <w:r/>
          </w:p>
        </w:tc>
        <w:tc>
          <w:tcPr>
            <w:tcW w:w="1441" w:type="dxa"/>
            <w:vAlign w:val="center"/>
            <w:textDirection w:val="lrTb"/>
            <w:noWrap w:val="false"/>
          </w:tcPr>
          <w:p>
            <w:pPr>
              <w:keepLines w:val="0"/>
              <w:keepNext w:val="0"/>
              <w:pageBreakBefore w:val="0"/>
              <w:spacing w:line="400" w:lineRule="exact"/>
              <w:widowControl w:val="off"/>
              <w:rPr>
                <w:rFonts w:hint="eastAsia" w:ascii="楷体" w:hAnsi="楷体" w:eastAsia="楷体" w:cs="楷体"/>
                <w:color w:val="auto"/>
                <w:sz w:val="24"/>
                <w:highlight w:val="none"/>
              </w:rPr>
            </w:pPr>
            <w:r>
              <w:rPr>
                <w:rFonts w:hint="eastAsia" w:ascii="楷体" w:hAnsi="楷体" w:eastAsia="楷体" w:cs="楷体"/>
                <w:color w:val="auto"/>
                <w:sz w:val="24"/>
                <w:highlight w:val="none"/>
              </w:rPr>
            </w:r>
            <w:r/>
          </w:p>
        </w:tc>
        <w:tc>
          <w:tcPr>
            <w:gridSpan w:val="3"/>
            <w:tcW w:w="3121" w:type="dxa"/>
            <w:vAlign w:val="center"/>
            <w:textDirection w:val="lrTb"/>
            <w:noWrap w:val="false"/>
          </w:tcPr>
          <w:p>
            <w:pPr>
              <w:jc w:val="left"/>
              <w:keepLines w:val="0"/>
              <w:keepNext w:val="0"/>
              <w:pageBreakBefore w:val="0"/>
              <w:spacing w:line="400" w:lineRule="exact"/>
              <w:widowControl w:val="off"/>
              <w:rPr>
                <w:rFonts w:hint="eastAsia" w:ascii="楷体" w:hAnsi="楷体" w:eastAsia="楷体" w:cs="楷体"/>
                <w:color w:val="auto"/>
                <w:sz w:val="24"/>
                <w:highlight w:val="none"/>
              </w:rPr>
            </w:pPr>
            <w:r>
              <w:rPr>
                <w:rFonts w:hint="eastAsia" w:ascii="楷体" w:hAnsi="楷体" w:eastAsia="楷体" w:cs="楷体"/>
                <w:color w:val="auto"/>
                <w:sz w:val="24"/>
                <w:highlight w:val="none"/>
              </w:rPr>
            </w:r>
            <w:r/>
          </w:p>
        </w:tc>
        <w:tc>
          <w:tcPr>
            <w:tcW w:w="1730" w:type="dxa"/>
            <w:vAlign w:val="center"/>
            <w:textDirection w:val="lrTb"/>
            <w:noWrap w:val="false"/>
          </w:tcPr>
          <w:p>
            <w:pPr>
              <w:jc w:val="center"/>
              <w:keepLines w:val="0"/>
              <w:keepNext w:val="0"/>
              <w:pageBreakBefore w:val="0"/>
              <w:spacing w:line="400" w:lineRule="exact"/>
              <w:widowControl w:val="off"/>
              <w:rPr>
                <w:rFonts w:hint="eastAsia" w:ascii="楷体" w:hAnsi="楷体" w:eastAsia="楷体"/>
                <w:color w:val="auto"/>
                <w:sz w:val="24"/>
                <w:highlight w:val="none"/>
              </w:rPr>
            </w:pPr>
            <w:r>
              <w:rPr>
                <w:rFonts w:hint="eastAsia" w:ascii="楷体" w:hAnsi="楷体" w:eastAsia="楷体"/>
                <w:color w:val="auto"/>
                <w:sz w:val="24"/>
                <w:highlight w:val="none"/>
              </w:rPr>
            </w:r>
            <w:r/>
          </w:p>
        </w:tc>
        <w:tc>
          <w:tcPr>
            <w:tcW w:w="1607" w:type="dxa"/>
            <w:vAlign w:val="center"/>
            <w:textDirection w:val="lrTb"/>
            <w:noWrap w:val="false"/>
          </w:tcPr>
          <w:p>
            <w:pPr>
              <w:jc w:val="center"/>
              <w:keepLines w:val="0"/>
              <w:keepNext w:val="0"/>
              <w:pageBreakBefore w:val="0"/>
              <w:spacing w:line="400" w:lineRule="exact"/>
              <w:widowControl w:val="off"/>
              <w:rPr>
                <w:rFonts w:hint="eastAsia" w:ascii="楷体" w:hAnsi="楷体" w:eastAsia="楷体"/>
                <w:color w:val="auto"/>
                <w:sz w:val="24"/>
                <w:highlight w:val="none"/>
              </w:rPr>
            </w:pPr>
            <w:r>
              <w:rPr>
                <w:rFonts w:hint="eastAsia" w:ascii="楷体" w:hAnsi="楷体" w:eastAsia="楷体"/>
                <w:color w:val="auto"/>
                <w:sz w:val="24"/>
                <w:highlight w:val="none"/>
              </w:rPr>
            </w:r>
            <w:r/>
          </w:p>
        </w:tc>
        <w:tc>
          <w:tcPr>
            <w:tcW w:w="1052" w:type="dxa"/>
            <w:vAlign w:val="top"/>
            <w:textDirection w:val="lrTb"/>
            <w:noWrap w:val="false"/>
          </w:tcPr>
          <w:p>
            <w:pPr>
              <w:jc w:val="center"/>
              <w:keepLines w:val="0"/>
              <w:keepNext w:val="0"/>
              <w:pageBreakBefore w:val="0"/>
              <w:spacing w:line="400" w:lineRule="exact"/>
              <w:widowControl w:val="off"/>
              <w:rPr>
                <w:rFonts w:hint="eastAsia" w:ascii="楷体" w:hAnsi="楷体" w:eastAsia="楷体"/>
                <w:color w:val="auto"/>
                <w:sz w:val="24"/>
                <w:highlight w:val="none"/>
              </w:rPr>
            </w:pPr>
            <w:r>
              <w:rPr>
                <w:rFonts w:hint="eastAsia" w:ascii="楷体" w:hAnsi="楷体" w:eastAsia="楷体"/>
                <w:color w:val="auto"/>
                <w:sz w:val="24"/>
                <w:highlight w:val="none"/>
              </w:rPr>
            </w:r>
            <w:r/>
          </w:p>
        </w:tc>
      </w:tr>
      <w:tr>
        <w:trPr>
          <w:trHeight w:val="594"/>
        </w:trPr>
        <w:tc>
          <w:tcPr>
            <w:gridSpan w:val="8"/>
            <w:tcW w:w="9782" w:type="dxa"/>
            <w:vAlign w:val="center"/>
            <w:textDirection w:val="lrTb"/>
            <w:noWrap w:val="false"/>
          </w:tcPr>
          <w:p>
            <w:pPr>
              <w:jc w:val="center"/>
              <w:keepLines w:val="0"/>
              <w:keepNext w:val="0"/>
              <w:pageBreakBefore w:val="0"/>
              <w:spacing w:line="400" w:lineRule="exact"/>
              <w:widowControl w:val="off"/>
              <w:rPr>
                <w:rFonts w:hint="eastAsia" w:ascii="楷体" w:hAnsi="楷体" w:eastAsia="楷体"/>
                <w:color w:val="auto"/>
                <w:sz w:val="24"/>
                <w:highlight w:val="none"/>
              </w:rPr>
            </w:pPr>
            <w:r>
              <w:rPr>
                <w:rFonts w:ascii="楷体" w:hAnsi="楷体" w:eastAsia="楷体"/>
                <w:b/>
                <w:color w:val="auto"/>
                <w:sz w:val="24"/>
                <w:highlight w:val="none"/>
              </w:rPr>
              <w:t xml:space="preserve">服务</w:t>
            </w:r>
            <w:r>
              <w:rPr>
                <w:rFonts w:hint="eastAsia" w:ascii="楷体" w:hAnsi="楷体" w:eastAsia="楷体"/>
                <w:b/>
                <w:color w:val="auto"/>
                <w:sz w:val="24"/>
                <w:highlight w:val="none"/>
              </w:rPr>
              <w:t xml:space="preserve">部分小计：     元</w:t>
            </w:r>
            <w:r/>
          </w:p>
        </w:tc>
      </w:tr>
      <w:tr>
        <w:trPr/>
        <w:tc>
          <w:tcPr>
            <w:gridSpan w:val="4"/>
            <w:tcW w:w="4379" w:type="dxa"/>
            <w:vAlign w:val="top"/>
            <w:textDirection w:val="lrTb"/>
            <w:noWrap w:val="false"/>
          </w:tcPr>
          <w:p>
            <w:pPr>
              <w:keepLines w:val="0"/>
              <w:keepNext w:val="0"/>
              <w:pageBreakBefore w:val="0"/>
              <w:spacing w:line="400" w:lineRule="exact"/>
              <w:widowControl w:val="off"/>
              <w:rPr>
                <w:rFonts w:hint="eastAsia" w:ascii="楷体" w:hAnsi="楷体" w:eastAsia="楷体"/>
                <w:b/>
                <w:color w:val="auto"/>
                <w:sz w:val="24"/>
                <w:highlight w:val="none"/>
              </w:rPr>
            </w:pPr>
            <w:r>
              <w:rPr>
                <w:rFonts w:hint="eastAsia" w:ascii="楷体" w:hAnsi="楷体" w:eastAsia="楷体"/>
                <w:b/>
                <w:color w:val="auto"/>
                <w:sz w:val="24"/>
                <w:highlight w:val="none"/>
              </w:rPr>
              <w:t xml:space="preserve">其它与项目有关的费用</w:t>
            </w:r>
            <w:r>
              <w:rPr>
                <w:rFonts w:hint="eastAsia" w:ascii="楷体" w:hAnsi="楷体" w:eastAsia="楷体"/>
                <w:b/>
                <w:i/>
                <w:iCs/>
                <w:color w:val="auto"/>
                <w:sz w:val="24"/>
                <w:highlight w:val="none"/>
              </w:rPr>
              <w:t xml:space="preserve">（可编辑）</w:t>
            </w:r>
            <w:r/>
          </w:p>
        </w:tc>
        <w:tc>
          <w:tcPr>
            <w:gridSpan w:val="4"/>
            <w:tcW w:w="5403" w:type="dxa"/>
            <w:vAlign w:val="top"/>
            <w:textDirection w:val="lrTb"/>
            <w:noWrap w:val="false"/>
          </w:tcPr>
          <w:p>
            <w:pPr>
              <w:jc w:val="center"/>
              <w:keepLines w:val="0"/>
              <w:keepNext w:val="0"/>
              <w:pageBreakBefore w:val="0"/>
              <w:spacing w:line="400" w:lineRule="exact"/>
              <w:widowControl w:val="off"/>
              <w:rPr>
                <w:rFonts w:hint="eastAsia" w:ascii="楷体" w:hAnsi="楷体" w:eastAsia="楷体"/>
                <w:color w:val="auto"/>
                <w:sz w:val="24"/>
                <w:highlight w:val="none"/>
              </w:rPr>
            </w:pPr>
            <w:r>
              <w:rPr>
                <w:rFonts w:hint="eastAsia" w:ascii="楷体" w:hAnsi="楷体" w:eastAsia="楷体" w:cs="楷体"/>
                <w:b/>
                <w:color w:val="auto"/>
                <w:sz w:val="24"/>
                <w:highlight w:val="none"/>
              </w:rPr>
              <w:t xml:space="preserve">元</w:t>
            </w:r>
            <w:r/>
          </w:p>
        </w:tc>
      </w:tr>
      <w:tr>
        <w:trPr/>
        <w:tc>
          <w:tcPr>
            <w:gridSpan w:val="4"/>
            <w:tcW w:w="4379" w:type="dxa"/>
            <w:vAlign w:val="top"/>
            <w:textDirection w:val="lrTb"/>
            <w:noWrap w:val="false"/>
          </w:tcPr>
          <w:p>
            <w:pPr>
              <w:keepLines w:val="0"/>
              <w:keepNext w:val="0"/>
              <w:pageBreakBefore w:val="0"/>
              <w:spacing w:line="400" w:lineRule="exact"/>
              <w:widowControl w:val="off"/>
              <w:rPr>
                <w:rFonts w:hint="eastAsia" w:ascii="楷体" w:hAnsi="楷体" w:eastAsia="楷体"/>
                <w:b/>
                <w:color w:val="auto"/>
                <w:sz w:val="24"/>
                <w:highlight w:val="none"/>
              </w:rPr>
            </w:pPr>
            <w:r>
              <w:rPr>
                <w:rFonts w:hint="eastAsia" w:ascii="楷体" w:hAnsi="楷体" w:eastAsia="楷体"/>
                <w:b/>
                <w:color w:val="auto"/>
                <w:sz w:val="24"/>
                <w:highlight w:val="none"/>
              </w:rPr>
              <w:t xml:space="preserve">项目总报价</w:t>
            </w:r>
            <w:r/>
          </w:p>
        </w:tc>
        <w:tc>
          <w:tcPr>
            <w:gridSpan w:val="4"/>
            <w:tcW w:w="5403" w:type="dxa"/>
            <w:vAlign w:val="top"/>
            <w:textDirection w:val="lrTb"/>
            <w:noWrap w:val="false"/>
          </w:tcPr>
          <w:p>
            <w:pPr>
              <w:jc w:val="center"/>
              <w:keepLines w:val="0"/>
              <w:keepNext w:val="0"/>
              <w:pageBreakBefore w:val="0"/>
              <w:spacing w:line="400" w:lineRule="exact"/>
              <w:widowControl w:val="off"/>
              <w:rPr>
                <w:rFonts w:hint="eastAsia" w:ascii="楷体" w:hAnsi="楷体" w:eastAsia="楷体"/>
                <w:color w:val="auto"/>
                <w:sz w:val="24"/>
                <w:highlight w:val="none"/>
              </w:rPr>
            </w:pPr>
            <w:r>
              <w:rPr>
                <w:rFonts w:hint="eastAsia" w:ascii="楷体" w:hAnsi="楷体" w:eastAsia="楷体" w:cs="楷体"/>
                <w:b/>
                <w:color w:val="auto"/>
                <w:sz w:val="24"/>
                <w:highlight w:val="none"/>
              </w:rPr>
              <w:t xml:space="preserve">元</w:t>
            </w:r>
            <w:r/>
          </w:p>
        </w:tc>
      </w:tr>
    </w:tbl>
    <w:p>
      <w:pPr>
        <w:keepLines w:val="0"/>
        <w:keepNext w:val="0"/>
        <w:pageBreakBefore w:val="0"/>
        <w:spacing w:line="400" w:lineRule="exact"/>
        <w:widowControl w:val="off"/>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p>
      <w:pPr>
        <w:spacing w:line="360" w:lineRule="auto"/>
        <w:rPr>
          <w:rFonts w:hint="eastAsia" w:ascii="宋体" w:hAnsi="宋体" w:eastAsia="宋体" w:cs="宋体"/>
          <w:b/>
          <w:color w:val="auto"/>
          <w:sz w:val="24"/>
          <w:highlight w:val="none"/>
          <w:u w:val="single"/>
        </w:rPr>
      </w:pPr>
      <w:r>
        <w:rPr>
          <w:rFonts w:hint="eastAsia" w:ascii="宋体" w:hAnsi="宋体" w:eastAsia="宋体" w:cs="宋体"/>
          <w:b/>
          <w:color w:val="auto"/>
          <w:sz w:val="24"/>
          <w:highlight w:val="none"/>
        </w:rPr>
        <w:t xml:space="preserve">注：</w:t>
      </w:r>
      <w:r>
        <w:rPr>
          <w:rFonts w:hint="eastAsia" w:ascii="宋体" w:hAnsi="宋体" w:eastAsia="宋体" w:cs="宋体"/>
          <w:color w:val="auto"/>
          <w:sz w:val="24"/>
          <w:highlight w:val="none"/>
        </w:rPr>
        <w:t xml:space="preserve">1、</w:t>
      </w:r>
      <w:r>
        <w:rPr>
          <w:rFonts w:hint="eastAsia" w:ascii="宋体" w:hAnsi="宋体" w:eastAsia="宋体" w:cs="宋体"/>
          <w:b/>
          <w:color w:val="auto"/>
          <w:sz w:val="24"/>
          <w:highlight w:val="none"/>
          <w:u w:val="single"/>
        </w:rPr>
        <w:t xml:space="preserve">投标人应当按照招标文件采购需求及相关报价要求填写</w:t>
      </w:r>
      <w:r>
        <w:rPr>
          <w:rFonts w:hint="eastAsia" w:ascii="宋体" w:hAnsi="宋体" w:eastAsia="宋体" w:cs="宋体"/>
          <w:color w:val="auto"/>
          <w:sz w:val="24"/>
          <w:highlight w:val="none"/>
          <w:u w:val="single"/>
        </w:rPr>
        <w:t xml:space="preserve">。</w:t>
      </w:r>
      <w:r/>
    </w:p>
    <w:p>
      <w:pPr>
        <w:ind w:left="-283" w:firstLine="480"/>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u w:val="single"/>
        </w:rPr>
        <w:t xml:space="preserve">本表中“其它”由投标人根据采购需求及自身经验进行补充填写。项目实施时，除采购人明确提出需要变更增加外，不再增加任何费用，投标人应确保本项目能安全、正常运行并达到采购要求。</w:t>
      </w:r>
      <w:r/>
    </w:p>
    <w:p>
      <w:pPr>
        <w:ind w:left="-283" w:firstLine="480"/>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3、</w:t>
      </w:r>
      <w:r>
        <w:rPr>
          <w:rFonts w:hint="eastAsia" w:ascii="宋体" w:hAnsi="宋体" w:eastAsia="宋体" w:cs="宋体"/>
          <w:color w:val="auto"/>
          <w:sz w:val="24"/>
          <w:highlight w:val="none"/>
          <w:u w:val="single"/>
        </w:rPr>
        <w:t xml:space="preserve">本表中项目总报价应与开标一览表中项目总报价保持一致。</w:t>
      </w:r>
      <w:r/>
    </w:p>
    <w:p>
      <w:pPr>
        <w:ind w:left="-283" w:firstLine="480"/>
        <w:spacing w:line="360" w:lineRule="auto"/>
        <w:rPr>
          <w:rFonts w:hint="eastAsia" w:ascii="宋体" w:hAnsi="宋体" w:eastAsia="宋体" w:cs="宋体"/>
          <w:bCs/>
          <w:color w:val="auto"/>
          <w:sz w:val="24"/>
          <w:highlight w:val="none"/>
          <w:u w:val="single"/>
        </w:rPr>
      </w:pPr>
      <w:r>
        <w:rPr>
          <w:rFonts w:hint="eastAsia" w:ascii="宋体" w:hAnsi="宋体" w:eastAsia="宋体" w:cs="宋体"/>
          <w:color w:val="auto"/>
          <w:sz w:val="24"/>
          <w:highlight w:val="none"/>
        </w:rPr>
        <w:t xml:space="preserve">4、</w:t>
      </w:r>
      <w:r>
        <w:rPr>
          <w:rFonts w:hint="eastAsia" w:ascii="宋体" w:hAnsi="宋体" w:eastAsia="宋体" w:cs="宋体"/>
          <w:bCs/>
          <w:color w:val="auto"/>
          <w:sz w:val="24"/>
          <w:highlight w:val="none"/>
          <w:u w:val="single"/>
        </w:rPr>
        <w:t xml:space="preserve">报价保留至小数点后两位，四舍五入。</w:t>
      </w:r>
      <w:r/>
    </w:p>
    <w:p>
      <w:pPr>
        <w:ind w:left="-283" w:firstLine="480"/>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rPr>
        <w:t xml:space="preserve">5、</w:t>
      </w:r>
      <w:r>
        <w:rPr>
          <w:rFonts w:hint="eastAsia" w:ascii="宋体" w:hAnsi="宋体" w:eastAsia="宋体" w:cs="宋体"/>
          <w:bCs/>
          <w:color w:val="auto"/>
          <w:sz w:val="24"/>
          <w:highlight w:val="none"/>
          <w:u w:val="single"/>
        </w:rPr>
        <w:t xml:space="preserve">标的物报价不得为零，否则投标无效。</w:t>
      </w:r>
      <w:r/>
    </w:p>
    <w:p>
      <w:pPr>
        <w:pStyle w:val="1023"/>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23"/>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36"/>
        <w:ind w:firstLine="560"/>
        <w:spacing w:line="360" w:lineRule="auto"/>
        <w:rPr>
          <w:rFonts w:hint="eastAsia" w:ascii="楷体" w:hAnsi="楷体" w:eastAsia="楷体"/>
          <w:color w:val="auto"/>
          <w:sz w:val="28"/>
          <w:szCs w:val="24"/>
          <w:highlight w:val="none"/>
        </w:rPr>
      </w:pPr>
      <w:r>
        <w:rPr>
          <w:rFonts w:hint="eastAsia" w:ascii="楷体" w:hAnsi="楷体" w:eastAsia="楷体"/>
          <w:color w:val="auto"/>
          <w:sz w:val="28"/>
          <w:szCs w:val="24"/>
          <w:highlight w:val="none"/>
        </w:rPr>
        <w:t xml:space="preserve">投标人（公章）：</w:t>
      </w:r>
      <w:r>
        <w:rPr>
          <w:rFonts w:hint="eastAsia" w:ascii="宋体" w:hAnsi="宋体"/>
          <w:b/>
          <w:color w:val="auto"/>
          <w:sz w:val="24"/>
          <w:highlight w:val="none"/>
          <w:u w:val="single"/>
        </w:rPr>
        <w:t xml:space="preserve">××</w:t>
      </w:r>
      <w:r/>
    </w:p>
    <w:p>
      <w:pPr>
        <w:pStyle w:val="1036"/>
        <w:ind w:firstLine="560"/>
        <w:spacing w:line="360" w:lineRule="auto"/>
        <w:rPr>
          <w:rFonts w:hint="eastAsia" w:ascii="楷体" w:hAnsi="楷体"/>
          <w:color w:val="auto"/>
          <w:sz w:val="28"/>
          <w:szCs w:val="24"/>
          <w:highlight w:val="none"/>
        </w:rPr>
      </w:pPr>
      <w:r>
        <w:rPr>
          <w:rFonts w:hint="eastAsia" w:ascii="楷体" w:hAnsi="楷体" w:eastAsia="楷体"/>
          <w:color w:val="auto"/>
          <w:sz w:val="28"/>
          <w:highlight w:val="none"/>
        </w:rPr>
        <w:t xml:space="preserve">法定代表人签字或盖章</w:t>
      </w:r>
      <w:r>
        <w:rPr>
          <w:rFonts w:hint="eastAsia" w:ascii="楷体" w:hAnsi="楷体" w:eastAsia="楷体"/>
          <w:color w:val="auto"/>
          <w:sz w:val="28"/>
          <w:szCs w:val="24"/>
          <w:highlight w:val="none"/>
        </w:rPr>
        <w:t xml:space="preserve">： </w:t>
      </w:r>
      <w:r>
        <w:rPr>
          <w:rFonts w:hint="eastAsia" w:ascii="宋体" w:hAnsi="宋体"/>
          <w:b/>
          <w:color w:val="auto"/>
          <w:sz w:val="24"/>
          <w:highlight w:val="none"/>
          <w:u w:val="single"/>
        </w:rPr>
        <w:t xml:space="preserve">××   </w:t>
      </w:r>
      <w:r/>
    </w:p>
    <w:p>
      <w:pPr>
        <w:pStyle w:val="1036"/>
        <w:ind w:right="1060" w:firstLine="560"/>
        <w:jc w:val="right"/>
        <w:spacing w:line="360" w:lineRule="auto"/>
        <w:rPr>
          <w:rFonts w:hint="eastAsia" w:ascii="楷体" w:hAnsi="楷体" w:eastAsia="楷体"/>
          <w:color w:val="auto"/>
          <w:sz w:val="28"/>
          <w:szCs w:val="28"/>
          <w:highlight w:val="none"/>
        </w:rPr>
      </w:pPr>
      <w:r>
        <w:rPr>
          <w:rFonts w:hint="eastAsia" w:ascii="楷体" w:hAnsi="楷体" w:eastAsia="楷体"/>
          <w:color w:val="auto"/>
          <w:sz w:val="28"/>
          <w:highlight w:val="none"/>
        </w:rPr>
        <w:t xml:space="preserve">日期： </w:t>
      </w:r>
      <w:r>
        <w:rPr>
          <w:rFonts w:hint="eastAsia" w:ascii="宋体" w:hAnsi="宋体"/>
          <w:b/>
          <w:color w:val="auto"/>
          <w:sz w:val="24"/>
          <w:highlight w:val="none"/>
          <w:u w:val="single"/>
        </w:rPr>
        <w:t xml:space="preserve">××××</w:t>
      </w:r>
      <w:r>
        <w:rPr>
          <w:rFonts w:hint="eastAsia" w:ascii="楷体" w:hAnsi="楷体" w:eastAsia="楷体"/>
          <w:color w:val="auto"/>
          <w:sz w:val="28"/>
          <w:highlight w:val="none"/>
        </w:rPr>
        <w:t xml:space="preserve">年</w:t>
      </w:r>
      <w:r>
        <w:rPr>
          <w:rFonts w:hint="eastAsia" w:ascii="宋体" w:hAnsi="宋体"/>
          <w:b/>
          <w:color w:val="auto"/>
          <w:sz w:val="24"/>
          <w:highlight w:val="none"/>
          <w:u w:val="single"/>
        </w:rPr>
        <w:t xml:space="preserve">××</w:t>
      </w:r>
      <w:r>
        <w:rPr>
          <w:rFonts w:hint="eastAsia" w:ascii="楷体" w:hAnsi="楷体" w:eastAsia="楷体"/>
          <w:color w:val="auto"/>
          <w:sz w:val="28"/>
          <w:highlight w:val="none"/>
        </w:rPr>
        <w:t xml:space="preserve">月</w:t>
      </w:r>
      <w:r>
        <w:rPr>
          <w:rFonts w:hint="eastAsia" w:ascii="宋体" w:hAnsi="宋体"/>
          <w:b/>
          <w:color w:val="auto"/>
          <w:sz w:val="24"/>
          <w:highlight w:val="none"/>
          <w:u w:val="single"/>
        </w:rPr>
        <w:t xml:space="preserve">××</w:t>
      </w:r>
      <w:r>
        <w:rPr>
          <w:rFonts w:hint="eastAsia" w:ascii="楷体" w:hAnsi="楷体" w:eastAsia="楷体"/>
          <w:color w:val="auto"/>
          <w:sz w:val="28"/>
          <w:highlight w:val="none"/>
        </w:rPr>
        <w:t xml:space="preserve">日</w:t>
      </w:r>
      <w:r/>
    </w:p>
    <w:p>
      <w:pPr>
        <w:pStyle w:val="1023"/>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楷体" w:hAnsi="楷体" w:eastAsia="楷体" w:cs="Times New Roman"/>
          <w:b/>
          <w:color w:val="auto"/>
          <w:sz w:val="36"/>
          <w:szCs w:val="36"/>
          <w:highlight w:val="none"/>
          <w:lang w:val="en-US" w:eastAsia="zh-CN" w:bidi="ar-SA"/>
        </w:rPr>
      </w:pPr>
      <w:r>
        <w:rPr>
          <w:rFonts w:hint="eastAsia" w:ascii="楷体" w:hAnsi="楷体" w:eastAsia="楷体" w:cs="Times New Roman"/>
          <w:b/>
          <w:color w:val="auto"/>
          <w:sz w:val="36"/>
          <w:szCs w:val="36"/>
          <w:highlight w:val="none"/>
          <w:lang w:val="en-US" w:eastAsia="zh-CN" w:bidi="ar-SA"/>
        </w:rPr>
        <w:br w:type="page" w:clear="all"/>
      </w:r>
      <w:r/>
    </w:p>
    <w:p>
      <w:pPr>
        <w:pStyle w:val="1023"/>
        <w:ind w:firstLine="600"/>
        <w:jc w:val="center"/>
        <w:spacing w:line="36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五、技术部分</w:t>
      </w:r>
      <w:r/>
    </w:p>
    <w:p>
      <w:pPr>
        <w:jc w:val="center"/>
        <w:widowControl/>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1.技术响应及偏离表</w:t>
      </w:r>
      <w:r>
        <w:rPr>
          <w:rFonts w:hint="eastAsia" w:ascii="楷体" w:hAnsi="楷体" w:eastAsia="楷体"/>
          <w:b/>
          <w:color w:val="auto"/>
          <w:sz w:val="32"/>
          <w:szCs w:val="32"/>
          <w:highlight w:val="none"/>
        </w:rPr>
        <w:t xml:space="preserve">（与评分标准对应）</w:t>
      </w:r>
      <w:r/>
    </w:p>
    <w:tbl>
      <w:tblPr>
        <w:tblStyle w:val="850"/>
        <w:tblW w:w="10292" w:type="dxa"/>
        <w:jc w:val="center"/>
        <w:tblLayout w:type="fixed"/>
        <w:tblCellMar>
          <w:left w:w="28" w:type="dxa"/>
          <w:top w:w="0" w:type="dxa"/>
          <w:right w:w="28" w:type="dxa"/>
          <w:bottom w:w="0" w:type="dxa"/>
        </w:tblCellMar>
        <w:tblLook w:val="04A0" w:firstRow="1" w:lastRow="0" w:firstColumn="1" w:lastColumn="0" w:noHBand="0" w:noVBand="1"/>
      </w:tblPr>
      <w:tblGrid>
        <w:gridCol w:w="639"/>
        <w:gridCol w:w="1418"/>
        <w:gridCol w:w="1134"/>
        <w:gridCol w:w="992"/>
        <w:gridCol w:w="992"/>
        <w:gridCol w:w="1417"/>
        <w:gridCol w:w="1418"/>
        <w:gridCol w:w="1134"/>
        <w:gridCol w:w="1148"/>
      </w:tblGrid>
      <w:tr>
        <w:trPr>
          <w:jc w:val="center"/>
          <w:trHeight w:val="964"/>
        </w:trPr>
        <w:tc>
          <w:tcPr>
            <w:tcBorders>
              <w:top w:val="single" w:color="000000" w:sz="6" w:space="0"/>
              <w:left w:val="single" w:color="000000" w:sz="6" w:space="0"/>
              <w:bottom w:val="single" w:color="000000" w:sz="6" w:space="0"/>
              <w:right w:val="single" w:color="000000" w:sz="6" w:space="0"/>
            </w:tcBorders>
            <w:tcW w:w="639" w:type="dxa"/>
            <w:vAlign w:val="center"/>
            <w:textDirection w:val="lrTb"/>
            <w:noWrap w:val="false"/>
          </w:tcPr>
          <w:p>
            <w:pPr>
              <w:jc w:val="center"/>
              <w:spacing w:before="40" w:after="40" w:line="360" w:lineRule="auto"/>
              <w:rPr>
                <w:rFonts w:hint="eastAsia" w:ascii="宋体" w:hAnsi="宋体" w:eastAsia="宋体" w:cs="宋体"/>
                <w:b/>
                <w:color w:val="auto"/>
                <w:szCs w:val="21"/>
                <w:highlight w:val="none"/>
                <w:lang w:eastAsia="en-US"/>
              </w:rPr>
            </w:pPr>
            <w:r>
              <w:rPr>
                <w:rFonts w:hint="eastAsia" w:ascii="宋体" w:hAnsi="宋体" w:eastAsia="宋体" w:cs="宋体"/>
                <w:b/>
                <w:color w:val="auto"/>
                <w:sz w:val="32"/>
                <w:szCs w:val="32"/>
                <w:highlight w:val="none"/>
              </w:rPr>
              <w:br w:type="page" w:clear="all"/>
            </w:r>
            <w:r>
              <w:rPr>
                <w:rFonts w:hint="eastAsia" w:ascii="宋体" w:hAnsi="宋体" w:eastAsia="宋体" w:cs="宋体"/>
                <w:b/>
                <w:color w:val="auto"/>
                <w:szCs w:val="21"/>
                <w:highlight w:val="none"/>
                <w:lang w:eastAsia="en-US"/>
              </w:rPr>
              <w:t xml:space="preserve">序号</w:t>
            </w:r>
            <w:r/>
          </w:p>
        </w:tc>
        <w:tc>
          <w:tcPr>
            <w:tcBorders>
              <w:top w:val="single" w:color="000000" w:sz="6" w:space="0"/>
              <w:left w:val="none" w:color="000000" w:sz="4" w:space="0"/>
              <w:bottom w:val="single" w:color="000000" w:sz="6" w:space="0"/>
              <w:right w:val="single" w:color="000000" w:sz="6" w:space="0"/>
            </w:tcBorders>
            <w:tcW w:w="1418" w:type="dxa"/>
            <w:vAlign w:val="center"/>
            <w:textDirection w:val="lrTb"/>
            <w:noWrap w:val="false"/>
          </w:tcPr>
          <w:p>
            <w:pPr>
              <w:jc w:val="center"/>
              <w:spacing w:before="40" w:after="40" w:line="360" w:lineRule="auto"/>
              <w:rPr>
                <w:rFonts w:hint="eastAsia" w:ascii="宋体" w:hAnsi="宋体" w:eastAsia="宋体" w:cs="宋体"/>
                <w:b/>
                <w:color w:val="auto"/>
                <w:szCs w:val="21"/>
                <w:highlight w:val="none"/>
                <w:lang w:eastAsia="en-US"/>
              </w:rPr>
            </w:pPr>
            <w:r>
              <w:rPr>
                <w:rFonts w:hint="eastAsia" w:ascii="宋体" w:hAnsi="宋体" w:eastAsia="宋体" w:cs="宋体"/>
                <w:b/>
                <w:color w:val="auto"/>
                <w:szCs w:val="21"/>
                <w:highlight w:val="none"/>
                <w:lang w:eastAsia="en-US"/>
              </w:rPr>
              <w:t xml:space="preserve">重要性（★、</w:t>
            </w:r>
            <w:r>
              <w:rPr>
                <w:rFonts w:hint="eastAsia" w:ascii="楷体" w:hAnsi="楷体" w:eastAsia="楷体"/>
                <w:b/>
                <w:color w:val="auto"/>
                <w:szCs w:val="21"/>
                <w:highlight w:val="none"/>
                <w:lang w:val="en-US" w:eastAsia="zh-CN"/>
              </w:rPr>
              <w:t xml:space="preserve">#</w:t>
            </w:r>
            <w:r>
              <w:rPr>
                <w:rFonts w:hint="eastAsia" w:ascii="宋体" w:hAnsi="宋体" w:eastAsia="宋体" w:cs="宋体"/>
                <w:b/>
                <w:color w:val="auto"/>
                <w:szCs w:val="21"/>
                <w:highlight w:val="none"/>
                <w:lang w:eastAsia="en-US"/>
              </w:rPr>
              <w:t xml:space="preserve">）</w:t>
            </w:r>
            <w:r/>
          </w:p>
        </w:tc>
        <w:tc>
          <w:tcPr>
            <w:tcBorders>
              <w:top w:val="single" w:color="000000" w:sz="6" w:space="0"/>
              <w:left w:val="none" w:color="000000" w:sz="4" w:space="0"/>
              <w:bottom w:val="single" w:color="000000" w:sz="6" w:space="0"/>
              <w:right w:val="single" w:color="000000" w:sz="6" w:space="0"/>
            </w:tcBorders>
            <w:tcW w:w="1134" w:type="dxa"/>
            <w:vAlign w:val="center"/>
            <w:textDirection w:val="lrTb"/>
            <w:noWrap w:val="false"/>
          </w:tcPr>
          <w:p>
            <w:pPr>
              <w:jc w:val="center"/>
              <w:spacing w:before="40" w:after="40" w:line="360" w:lineRule="auto"/>
              <w:rPr>
                <w:rFonts w:hint="eastAsia" w:ascii="宋体" w:hAnsi="宋体" w:eastAsia="宋体" w:cs="宋体"/>
                <w:b/>
                <w:color w:val="auto"/>
                <w:szCs w:val="21"/>
                <w:highlight w:val="none"/>
                <w:lang w:eastAsia="en-US"/>
              </w:rPr>
            </w:pPr>
            <w:r>
              <w:rPr>
                <w:rFonts w:hint="eastAsia" w:ascii="宋体" w:hAnsi="宋体" w:eastAsia="宋体" w:cs="宋体"/>
                <w:b/>
                <w:color w:val="auto"/>
                <w:szCs w:val="21"/>
                <w:highlight w:val="none"/>
                <w:lang w:eastAsia="en-US"/>
              </w:rPr>
              <w:t xml:space="preserve">标的名称</w:t>
            </w:r>
            <w:r/>
          </w:p>
        </w:tc>
        <w:tc>
          <w:tcPr>
            <w:tcBorders>
              <w:top w:val="single" w:color="000000" w:sz="6" w:space="0"/>
              <w:left w:val="none" w:color="000000" w:sz="4" w:space="0"/>
              <w:bottom w:val="single" w:color="000000" w:sz="6" w:space="0"/>
              <w:right w:val="single" w:color="000000" w:sz="4" w:space="0"/>
            </w:tcBorders>
            <w:tcW w:w="992" w:type="dxa"/>
            <w:vAlign w:val="center"/>
            <w:textDirection w:val="lrTb"/>
            <w:noWrap w:val="false"/>
          </w:tcPr>
          <w:p>
            <w:pPr>
              <w:jc w:val="center"/>
              <w:spacing w:before="40" w:after="40" w:line="360" w:lineRule="auto"/>
              <w:rPr>
                <w:rFonts w:hint="eastAsia" w:ascii="宋体" w:hAnsi="宋体" w:eastAsia="宋体" w:cs="宋体"/>
                <w:b/>
                <w:color w:val="auto"/>
                <w:szCs w:val="21"/>
                <w:highlight w:val="none"/>
                <w:lang w:eastAsia="en-US"/>
              </w:rPr>
            </w:pPr>
            <w:r>
              <w:rPr>
                <w:rFonts w:hint="eastAsia" w:ascii="宋体" w:hAnsi="宋体" w:eastAsia="宋体" w:cs="宋体"/>
                <w:b/>
                <w:color w:val="auto"/>
                <w:szCs w:val="21"/>
                <w:highlight w:val="none"/>
                <w:lang w:eastAsia="en-US"/>
              </w:rPr>
              <w:t xml:space="preserve">响应产品名称及型号</w:t>
            </w:r>
            <w:r/>
          </w:p>
        </w:tc>
        <w:tc>
          <w:tcPr>
            <w:tcBorders>
              <w:top w:val="single" w:color="000000" w:sz="6" w:space="0"/>
              <w:left w:val="none" w:color="000000" w:sz="4" w:space="0"/>
              <w:bottom w:val="single" w:color="000000" w:sz="6" w:space="0"/>
              <w:right w:val="single" w:color="000000" w:sz="4" w:space="0"/>
            </w:tcBorders>
            <w:tcW w:w="992" w:type="dxa"/>
            <w:vAlign w:val="center"/>
            <w:textDirection w:val="lrTb"/>
            <w:noWrap w:val="false"/>
          </w:tcPr>
          <w:p>
            <w:pPr>
              <w:spacing w:before="40" w:after="40" w:line="360" w:lineRule="auto"/>
              <w:rPr>
                <w:rFonts w:hint="eastAsia" w:ascii="宋体" w:hAnsi="宋体" w:eastAsia="宋体" w:cs="宋体"/>
                <w:b/>
                <w:color w:val="auto"/>
                <w:szCs w:val="21"/>
                <w:highlight w:val="none"/>
                <w:lang w:eastAsia="en-US"/>
              </w:rPr>
            </w:pPr>
            <w:r>
              <w:rPr>
                <w:rFonts w:hint="eastAsia" w:ascii="宋体" w:hAnsi="宋体" w:eastAsia="宋体" w:cs="宋体"/>
                <w:b/>
                <w:color w:val="auto"/>
                <w:szCs w:val="21"/>
                <w:highlight w:val="none"/>
                <w:lang w:eastAsia="en-US"/>
              </w:rPr>
              <w:t xml:space="preserve">指标要求</w:t>
            </w:r>
            <w:r/>
          </w:p>
        </w:tc>
        <w:tc>
          <w:tcPr>
            <w:tcBorders>
              <w:top w:val="single" w:color="000000" w:sz="6" w:space="0"/>
              <w:left w:val="single" w:color="000000" w:sz="4" w:space="0"/>
              <w:bottom w:val="single" w:color="000000" w:sz="6" w:space="0"/>
              <w:right w:val="single" w:color="000000" w:sz="6" w:space="0"/>
            </w:tcBorders>
            <w:tcW w:w="1417" w:type="dxa"/>
            <w:vAlign w:val="center"/>
            <w:textDirection w:val="lrTb"/>
            <w:noWrap w:val="false"/>
          </w:tcPr>
          <w:p>
            <w:pPr>
              <w:spacing w:before="40" w:after="40" w:line="360" w:lineRule="auto"/>
              <w:rPr>
                <w:rFonts w:hint="eastAsia" w:ascii="宋体" w:hAnsi="宋体" w:eastAsia="宋体" w:cs="宋体"/>
                <w:b/>
                <w:color w:val="auto"/>
                <w:szCs w:val="21"/>
                <w:highlight w:val="none"/>
                <w:lang w:eastAsia="en-US"/>
              </w:rPr>
            </w:pPr>
            <w:r>
              <w:rPr>
                <w:rFonts w:hint="eastAsia" w:ascii="宋体" w:hAnsi="宋体" w:eastAsia="宋体" w:cs="宋体"/>
                <w:b/>
                <w:color w:val="auto"/>
                <w:szCs w:val="21"/>
                <w:highlight w:val="none"/>
                <w:lang w:eastAsia="en-US"/>
              </w:rPr>
              <w:t xml:space="preserve">证明材料要求</w:t>
            </w:r>
            <w:r/>
          </w:p>
        </w:tc>
        <w:tc>
          <w:tcPr>
            <w:tcBorders>
              <w:top w:val="single" w:color="000000" w:sz="6" w:space="0"/>
              <w:left w:val="none" w:color="000000" w:sz="4" w:space="0"/>
              <w:bottom w:val="single" w:color="000000" w:sz="6" w:space="0"/>
              <w:right w:val="single" w:color="000000" w:sz="6" w:space="0"/>
            </w:tcBorders>
            <w:tcW w:w="1418" w:type="dxa"/>
            <w:vAlign w:val="center"/>
            <w:textDirection w:val="lrTb"/>
            <w:noWrap w:val="false"/>
          </w:tcPr>
          <w:p>
            <w:pPr>
              <w:jc w:val="center"/>
              <w:spacing w:before="40" w:after="40" w:line="360" w:lineRule="auto"/>
              <w:rPr>
                <w:rFonts w:hint="eastAsia" w:ascii="宋体" w:hAnsi="宋体" w:eastAsia="宋体" w:cs="宋体"/>
                <w:b/>
                <w:color w:val="auto"/>
                <w:szCs w:val="21"/>
                <w:highlight w:val="none"/>
                <w:lang w:eastAsia="en-US"/>
              </w:rPr>
            </w:pPr>
            <w:r>
              <w:rPr>
                <w:rFonts w:hint="eastAsia" w:ascii="宋体" w:hAnsi="宋体" w:eastAsia="宋体" w:cs="宋体"/>
                <w:b/>
                <w:color w:val="auto"/>
                <w:szCs w:val="21"/>
                <w:highlight w:val="none"/>
                <w:lang w:eastAsia="en-US"/>
              </w:rPr>
              <w:t xml:space="preserve">响应情况</w:t>
            </w:r>
            <w:r/>
          </w:p>
        </w:tc>
        <w:tc>
          <w:tcPr>
            <w:tcBorders>
              <w:top w:val="single" w:color="000000" w:sz="6" w:space="0"/>
              <w:left w:val="none" w:color="000000" w:sz="4" w:space="0"/>
              <w:bottom w:val="single" w:color="000000" w:sz="6" w:space="0"/>
              <w:right w:val="single" w:color="000000" w:sz="6" w:space="0"/>
            </w:tcBorders>
            <w:tcW w:w="1134" w:type="dxa"/>
            <w:vAlign w:val="center"/>
            <w:textDirection w:val="lrTb"/>
            <w:noWrap w:val="false"/>
          </w:tcPr>
          <w:p>
            <w:pPr>
              <w:jc w:val="center"/>
              <w:spacing w:before="40" w:after="40"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偏离情况（正偏离/无偏离/负偏离）</w:t>
            </w:r>
            <w:r/>
          </w:p>
        </w:tc>
        <w:tc>
          <w:tcPr>
            <w:tcBorders>
              <w:top w:val="single" w:color="000000" w:sz="6" w:space="0"/>
              <w:left w:val="none" w:color="000000" w:sz="4" w:space="0"/>
              <w:bottom w:val="single" w:color="000000" w:sz="6" w:space="0"/>
              <w:right w:val="single" w:color="000000" w:sz="6" w:space="0"/>
            </w:tcBorders>
            <w:tcW w:w="1148" w:type="dxa"/>
            <w:vAlign w:val="center"/>
            <w:textDirection w:val="lrTb"/>
            <w:noWrap w:val="false"/>
          </w:tcPr>
          <w:p>
            <w:pPr>
              <w:jc w:val="center"/>
              <w:spacing w:before="40" w:after="40"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备注（证明材料所在位置）</w:t>
            </w:r>
            <w:r/>
          </w:p>
        </w:tc>
      </w:tr>
      <w:tr>
        <w:trPr>
          <w:jc w:val="center"/>
          <w:trHeight w:val="964"/>
        </w:trPr>
        <w:tc>
          <w:tcPr>
            <w:tcBorders>
              <w:top w:val="single" w:color="000000" w:sz="6" w:space="0"/>
              <w:left w:val="single" w:color="000000" w:sz="6" w:space="0"/>
              <w:bottom w:val="single" w:color="000000" w:sz="6" w:space="0"/>
              <w:right w:val="single" w:color="000000" w:sz="6" w:space="0"/>
            </w:tcBorders>
            <w:tcW w:w="639" w:type="dxa"/>
            <w:vAlign w:val="top"/>
            <w:textDirection w:val="lrTb"/>
            <w:noWrap w:val="false"/>
          </w:tcPr>
          <w:p>
            <w:pPr>
              <w:jc w:val="center"/>
              <w:spacing w:line="360" w:lineRule="auto"/>
              <w:rPr>
                <w:rFonts w:hint="eastAsia" w:ascii="宋体" w:hAnsi="宋体" w:eastAsia="宋体" w:cs="宋体"/>
                <w:color w:val="auto"/>
                <w:highlight w:val="none"/>
                <w:lang w:eastAsia="en-US"/>
              </w:rPr>
            </w:pPr>
            <w:r>
              <w:rPr>
                <w:rFonts w:hint="eastAsia" w:ascii="宋体" w:hAnsi="宋体" w:eastAsia="宋体" w:cs="宋体"/>
                <w:color w:val="auto"/>
                <w:highlight w:val="none"/>
                <w:lang w:eastAsia="en-US"/>
              </w:rPr>
              <w:t xml:space="preserve">1</w:t>
            </w:r>
            <w:r/>
          </w:p>
        </w:tc>
        <w:tc>
          <w:tcPr>
            <w:tcBorders>
              <w:top w:val="single" w:color="000000" w:sz="6" w:space="0"/>
              <w:left w:val="none" w:color="000000" w:sz="4" w:space="0"/>
              <w:bottom w:val="single" w:color="000000" w:sz="6" w:space="0"/>
              <w:right w:val="single" w:color="000000" w:sz="6" w:space="0"/>
            </w:tcBorders>
            <w:tcW w:w="1418" w:type="dxa"/>
            <w:vAlign w:val="top"/>
            <w:textDirection w:val="lrTb"/>
            <w:noWrap w:val="false"/>
          </w:tcPr>
          <w:p>
            <w:pPr>
              <w:spacing w:line="360" w:lineRule="auto"/>
              <w:rPr>
                <w:rFonts w:hint="eastAsia" w:ascii="宋体" w:hAnsi="宋体" w:eastAsia="宋体" w:cs="宋体"/>
                <w:color w:val="auto"/>
                <w:highlight w:val="none"/>
                <w:u w:val="single"/>
                <w:lang w:eastAsia="en-US"/>
              </w:rPr>
            </w:pPr>
            <w:r>
              <w:rPr>
                <w:rFonts w:hint="eastAsia" w:ascii="宋体" w:hAnsi="宋体" w:eastAsia="宋体" w:cs="宋体"/>
                <w:color w:val="auto"/>
                <w:highlight w:val="none"/>
                <w:u w:val="single"/>
                <w:lang w:eastAsia="en-US"/>
              </w:rPr>
            </w:r>
            <w:r/>
          </w:p>
        </w:tc>
        <w:tc>
          <w:tcPr>
            <w:tcBorders>
              <w:top w:val="single" w:color="000000" w:sz="6" w:space="0"/>
              <w:left w:val="none" w:color="000000" w:sz="4" w:space="0"/>
              <w:bottom w:val="single" w:color="000000" w:sz="6" w:space="0"/>
              <w:right w:val="single" w:color="000000" w:sz="6" w:space="0"/>
            </w:tcBorders>
            <w:tcW w:w="1134" w:type="dxa"/>
            <w:vAlign w:val="top"/>
            <w:textDirection w:val="lrTb"/>
            <w:noWrap w:val="false"/>
          </w:tcPr>
          <w:p>
            <w:pPr>
              <w:spacing w:line="360" w:lineRule="auto"/>
              <w:rPr>
                <w:rFonts w:hint="eastAsia" w:ascii="宋体" w:hAnsi="宋体" w:eastAsia="宋体" w:cs="宋体"/>
                <w:color w:val="auto"/>
                <w:highlight w:val="none"/>
                <w:u w:val="single"/>
                <w:lang w:eastAsia="en-US"/>
              </w:rPr>
            </w:pPr>
            <w:r>
              <w:rPr>
                <w:rFonts w:hint="eastAsia" w:ascii="宋体" w:hAnsi="宋体" w:eastAsia="宋体" w:cs="宋体"/>
                <w:color w:val="auto"/>
                <w:highlight w:val="none"/>
                <w:u w:val="single"/>
                <w:lang w:eastAsia="en-US"/>
              </w:rPr>
            </w:r>
            <w:r/>
          </w:p>
        </w:tc>
        <w:tc>
          <w:tcPr>
            <w:tcBorders>
              <w:top w:val="single" w:color="000000" w:sz="6" w:space="0"/>
              <w:left w:val="none" w:color="000000" w:sz="4" w:space="0"/>
              <w:bottom w:val="single" w:color="000000" w:sz="6" w:space="0"/>
              <w:right w:val="single" w:color="000000" w:sz="4" w:space="0"/>
            </w:tcBorders>
            <w:tcW w:w="992" w:type="dxa"/>
            <w:vAlign w:val="top"/>
            <w:textDirection w:val="lrTb"/>
            <w:noWrap w:val="false"/>
          </w:tcPr>
          <w:p>
            <w:pPr>
              <w:spacing w:line="360" w:lineRule="auto"/>
              <w:rPr>
                <w:rFonts w:hint="eastAsia" w:ascii="宋体" w:hAnsi="宋体" w:eastAsia="宋体" w:cs="宋体"/>
                <w:color w:val="auto"/>
                <w:highlight w:val="none"/>
                <w:u w:val="single"/>
                <w:lang w:eastAsia="en-US"/>
              </w:rPr>
            </w:pPr>
            <w:r>
              <w:rPr>
                <w:rFonts w:hint="eastAsia" w:ascii="宋体" w:hAnsi="宋体" w:eastAsia="宋体" w:cs="宋体"/>
                <w:color w:val="auto"/>
                <w:highlight w:val="none"/>
                <w:u w:val="single"/>
                <w:lang w:eastAsia="en-US"/>
              </w:rPr>
            </w:r>
            <w:r/>
          </w:p>
        </w:tc>
        <w:tc>
          <w:tcPr>
            <w:tcBorders>
              <w:top w:val="single" w:color="000000" w:sz="6" w:space="0"/>
              <w:left w:val="none" w:color="000000" w:sz="4" w:space="0"/>
              <w:bottom w:val="single" w:color="000000" w:sz="6" w:space="0"/>
              <w:right w:val="single" w:color="000000" w:sz="4" w:space="0"/>
            </w:tcBorders>
            <w:tcW w:w="992" w:type="dxa"/>
            <w:vAlign w:val="top"/>
            <w:textDirection w:val="lrTb"/>
            <w:noWrap w:val="false"/>
          </w:tcPr>
          <w:p>
            <w:pPr>
              <w:spacing w:line="360" w:lineRule="auto"/>
              <w:rPr>
                <w:rFonts w:hint="eastAsia" w:ascii="宋体" w:hAnsi="宋体" w:eastAsia="宋体" w:cs="宋体"/>
                <w:color w:val="auto"/>
                <w:highlight w:val="none"/>
                <w:u w:val="single"/>
                <w:lang w:eastAsia="en-US"/>
              </w:rPr>
            </w:pPr>
            <w:r>
              <w:rPr>
                <w:rFonts w:hint="eastAsia" w:ascii="宋体" w:hAnsi="宋体" w:eastAsia="宋体" w:cs="宋体"/>
                <w:color w:val="auto"/>
                <w:highlight w:val="none"/>
                <w:u w:val="single"/>
                <w:lang w:eastAsia="en-US"/>
              </w:rPr>
            </w:r>
            <w:r/>
          </w:p>
        </w:tc>
        <w:tc>
          <w:tcPr>
            <w:tcBorders>
              <w:top w:val="single" w:color="000000" w:sz="6" w:space="0"/>
              <w:left w:val="single" w:color="000000" w:sz="4" w:space="0"/>
              <w:bottom w:val="single" w:color="000000" w:sz="6" w:space="0"/>
              <w:right w:val="single" w:color="000000" w:sz="6" w:space="0"/>
            </w:tcBorders>
            <w:tcW w:w="1417" w:type="dxa"/>
            <w:vAlign w:val="top"/>
            <w:textDirection w:val="lrTb"/>
            <w:noWrap w:val="false"/>
          </w:tcPr>
          <w:p>
            <w:pPr>
              <w:spacing w:line="360" w:lineRule="auto"/>
              <w:rPr>
                <w:rFonts w:hint="eastAsia" w:ascii="宋体" w:hAnsi="宋体" w:eastAsia="宋体" w:cs="宋体"/>
                <w:color w:val="auto"/>
                <w:highlight w:val="none"/>
                <w:u w:val="single"/>
                <w:lang w:eastAsia="en-US"/>
              </w:rPr>
            </w:pPr>
            <w:r>
              <w:rPr>
                <w:rFonts w:hint="eastAsia" w:ascii="宋体" w:hAnsi="宋体" w:eastAsia="宋体" w:cs="宋体"/>
                <w:color w:val="auto"/>
                <w:highlight w:val="none"/>
                <w:u w:val="single"/>
                <w:lang w:eastAsia="en-US"/>
              </w:rPr>
            </w:r>
            <w:r/>
          </w:p>
        </w:tc>
        <w:tc>
          <w:tcPr>
            <w:tcBorders>
              <w:top w:val="single" w:color="000000" w:sz="6" w:space="0"/>
              <w:left w:val="none" w:color="000000" w:sz="4" w:space="0"/>
              <w:bottom w:val="single" w:color="000000" w:sz="6" w:space="0"/>
              <w:right w:val="single" w:color="000000" w:sz="6" w:space="0"/>
            </w:tcBorders>
            <w:tcW w:w="1418" w:type="dxa"/>
            <w:vAlign w:val="top"/>
            <w:textDirection w:val="lrTb"/>
            <w:noWrap w:val="false"/>
          </w:tcPr>
          <w:p>
            <w:pPr>
              <w:spacing w:line="360" w:lineRule="auto"/>
              <w:rPr>
                <w:rFonts w:hint="eastAsia" w:ascii="宋体" w:hAnsi="宋体" w:eastAsia="宋体" w:cs="宋体"/>
                <w:color w:val="auto"/>
                <w:highlight w:val="none"/>
                <w:u w:val="single"/>
                <w:lang w:eastAsia="en-US"/>
              </w:rPr>
            </w:pPr>
            <w:r>
              <w:rPr>
                <w:rFonts w:hint="eastAsia" w:ascii="宋体" w:hAnsi="宋体" w:eastAsia="宋体" w:cs="宋体"/>
                <w:color w:val="auto"/>
                <w:highlight w:val="none"/>
                <w:u w:val="single"/>
                <w:lang w:eastAsia="en-US"/>
              </w:rPr>
            </w:r>
            <w:r/>
          </w:p>
        </w:tc>
        <w:tc>
          <w:tcPr>
            <w:tcBorders>
              <w:top w:val="single" w:color="000000" w:sz="6" w:space="0"/>
              <w:left w:val="none" w:color="000000" w:sz="4" w:space="0"/>
              <w:bottom w:val="single" w:color="000000" w:sz="6" w:space="0"/>
              <w:right w:val="single" w:color="000000" w:sz="6" w:space="0"/>
            </w:tcBorders>
            <w:tcW w:w="1134" w:type="dxa"/>
            <w:vAlign w:val="top"/>
            <w:textDirection w:val="lrTb"/>
            <w:noWrap w:val="false"/>
          </w:tcPr>
          <w:p>
            <w:pPr>
              <w:spacing w:line="360" w:lineRule="auto"/>
              <w:rPr>
                <w:rFonts w:hint="eastAsia" w:ascii="宋体" w:hAnsi="宋体" w:eastAsia="宋体" w:cs="宋体"/>
                <w:color w:val="auto"/>
                <w:highlight w:val="none"/>
                <w:u w:val="single"/>
                <w:lang w:eastAsia="en-US"/>
              </w:rPr>
            </w:pPr>
            <w:r>
              <w:rPr>
                <w:rFonts w:hint="eastAsia" w:ascii="宋体" w:hAnsi="宋体" w:eastAsia="宋体" w:cs="宋体"/>
                <w:color w:val="auto"/>
                <w:highlight w:val="none"/>
                <w:u w:val="single"/>
                <w:lang w:eastAsia="en-US"/>
              </w:rPr>
            </w:r>
            <w:r/>
          </w:p>
        </w:tc>
        <w:tc>
          <w:tcPr>
            <w:tcBorders>
              <w:top w:val="single" w:color="000000" w:sz="6" w:space="0"/>
              <w:left w:val="none" w:color="000000" w:sz="4" w:space="0"/>
              <w:bottom w:val="single" w:color="000000" w:sz="6" w:space="0"/>
              <w:right w:val="single" w:color="000000" w:sz="6" w:space="0"/>
            </w:tcBorders>
            <w:tcW w:w="1148" w:type="dxa"/>
            <w:vAlign w:val="top"/>
            <w:textDirection w:val="lrTb"/>
            <w:noWrap w:val="false"/>
          </w:tcPr>
          <w:p>
            <w:pPr>
              <w:spacing w:line="360" w:lineRule="auto"/>
              <w:rPr>
                <w:rFonts w:hint="eastAsia" w:ascii="宋体" w:hAnsi="宋体" w:eastAsia="宋体" w:cs="宋体"/>
                <w:color w:val="auto"/>
                <w:highlight w:val="none"/>
                <w:u w:val="single"/>
                <w:lang w:eastAsia="en-US"/>
              </w:rPr>
            </w:pPr>
            <w:r>
              <w:rPr>
                <w:rFonts w:hint="eastAsia" w:ascii="宋体" w:hAnsi="宋体" w:eastAsia="宋体" w:cs="宋体"/>
                <w:color w:val="auto"/>
                <w:highlight w:val="none"/>
                <w:u w:val="single"/>
                <w:lang w:eastAsia="en-US"/>
              </w:rPr>
            </w:r>
            <w:r/>
          </w:p>
        </w:tc>
      </w:tr>
      <w:tr>
        <w:trPr>
          <w:jc w:val="center"/>
          <w:trHeight w:val="964"/>
        </w:trPr>
        <w:tc>
          <w:tcPr>
            <w:tcBorders>
              <w:top w:val="single" w:color="000000" w:sz="6" w:space="0"/>
              <w:left w:val="single" w:color="000000" w:sz="6" w:space="0"/>
              <w:bottom w:val="single" w:color="000000" w:sz="6" w:space="0"/>
              <w:right w:val="single" w:color="000000" w:sz="6" w:space="0"/>
            </w:tcBorders>
            <w:tcW w:w="639" w:type="dxa"/>
            <w:vAlign w:val="top"/>
            <w:textDirection w:val="lrTb"/>
            <w:noWrap w:val="false"/>
          </w:tcPr>
          <w:p>
            <w:pPr>
              <w:jc w:val="center"/>
              <w:spacing w:line="360" w:lineRule="auto"/>
              <w:rPr>
                <w:rFonts w:hint="eastAsia" w:ascii="宋体" w:hAnsi="宋体" w:eastAsia="宋体" w:cs="宋体"/>
                <w:color w:val="auto"/>
                <w:highlight w:val="none"/>
                <w:lang w:eastAsia="en-US"/>
              </w:rPr>
            </w:pPr>
            <w:r>
              <w:rPr>
                <w:rFonts w:hint="eastAsia" w:ascii="宋体" w:hAnsi="宋体" w:eastAsia="宋体" w:cs="宋体"/>
                <w:color w:val="auto"/>
                <w:highlight w:val="none"/>
                <w:lang w:eastAsia="en-US"/>
              </w:rPr>
              <w:t xml:space="preserve">2</w:t>
            </w:r>
            <w:r/>
          </w:p>
        </w:tc>
        <w:tc>
          <w:tcPr>
            <w:tcBorders>
              <w:top w:val="single" w:color="000000" w:sz="6" w:space="0"/>
              <w:left w:val="none" w:color="000000" w:sz="4" w:space="0"/>
              <w:bottom w:val="single" w:color="000000" w:sz="6" w:space="0"/>
              <w:right w:val="single" w:color="000000" w:sz="6" w:space="0"/>
            </w:tcBorders>
            <w:tcW w:w="1418" w:type="dxa"/>
            <w:vAlign w:val="top"/>
            <w:textDirection w:val="lrTb"/>
            <w:noWrap w:val="false"/>
          </w:tcPr>
          <w:p>
            <w:pPr>
              <w:spacing w:line="360" w:lineRule="auto"/>
              <w:rPr>
                <w:rFonts w:hint="eastAsia" w:ascii="宋体" w:hAnsi="宋体" w:eastAsia="宋体" w:cs="宋体"/>
                <w:color w:val="auto"/>
                <w:highlight w:val="none"/>
                <w:u w:val="single"/>
                <w:lang w:eastAsia="en-US"/>
              </w:rPr>
            </w:pPr>
            <w:r>
              <w:rPr>
                <w:rFonts w:hint="eastAsia" w:ascii="宋体" w:hAnsi="宋体" w:eastAsia="宋体" w:cs="宋体"/>
                <w:color w:val="auto"/>
                <w:highlight w:val="none"/>
                <w:u w:val="single"/>
                <w:lang w:eastAsia="en-US"/>
              </w:rPr>
            </w:r>
            <w:r/>
          </w:p>
        </w:tc>
        <w:tc>
          <w:tcPr>
            <w:tcBorders>
              <w:top w:val="single" w:color="000000" w:sz="6" w:space="0"/>
              <w:left w:val="none" w:color="000000" w:sz="4" w:space="0"/>
              <w:bottom w:val="single" w:color="000000" w:sz="6" w:space="0"/>
              <w:right w:val="single" w:color="000000" w:sz="6" w:space="0"/>
            </w:tcBorders>
            <w:tcW w:w="1134" w:type="dxa"/>
            <w:vAlign w:val="top"/>
            <w:textDirection w:val="lrTb"/>
            <w:noWrap w:val="false"/>
          </w:tcPr>
          <w:p>
            <w:pPr>
              <w:spacing w:line="360" w:lineRule="auto"/>
              <w:rPr>
                <w:rFonts w:hint="eastAsia" w:ascii="宋体" w:hAnsi="宋体" w:eastAsia="宋体" w:cs="宋体"/>
                <w:color w:val="auto"/>
                <w:highlight w:val="none"/>
                <w:u w:val="single"/>
                <w:lang w:eastAsia="en-US"/>
              </w:rPr>
            </w:pPr>
            <w:r>
              <w:rPr>
                <w:rFonts w:hint="eastAsia" w:ascii="宋体" w:hAnsi="宋体" w:eastAsia="宋体" w:cs="宋体"/>
                <w:color w:val="auto"/>
                <w:highlight w:val="none"/>
                <w:u w:val="single"/>
                <w:lang w:eastAsia="en-US"/>
              </w:rPr>
            </w:r>
            <w:r/>
          </w:p>
        </w:tc>
        <w:tc>
          <w:tcPr>
            <w:tcBorders>
              <w:top w:val="single" w:color="000000" w:sz="6" w:space="0"/>
              <w:left w:val="none" w:color="000000" w:sz="4" w:space="0"/>
              <w:bottom w:val="single" w:color="000000" w:sz="6" w:space="0"/>
              <w:right w:val="single" w:color="000000" w:sz="4" w:space="0"/>
            </w:tcBorders>
            <w:tcW w:w="992" w:type="dxa"/>
            <w:vAlign w:val="top"/>
            <w:textDirection w:val="lrTb"/>
            <w:noWrap w:val="false"/>
          </w:tcPr>
          <w:p>
            <w:pPr>
              <w:spacing w:line="360" w:lineRule="auto"/>
              <w:rPr>
                <w:rFonts w:hint="eastAsia" w:ascii="宋体" w:hAnsi="宋体" w:eastAsia="宋体" w:cs="宋体"/>
                <w:color w:val="auto"/>
                <w:highlight w:val="none"/>
                <w:u w:val="single"/>
                <w:lang w:eastAsia="en-US"/>
              </w:rPr>
            </w:pPr>
            <w:r>
              <w:rPr>
                <w:rFonts w:hint="eastAsia" w:ascii="宋体" w:hAnsi="宋体" w:eastAsia="宋体" w:cs="宋体"/>
                <w:color w:val="auto"/>
                <w:highlight w:val="none"/>
                <w:u w:val="single"/>
                <w:lang w:eastAsia="en-US"/>
              </w:rPr>
            </w:r>
            <w:r/>
          </w:p>
        </w:tc>
        <w:tc>
          <w:tcPr>
            <w:tcBorders>
              <w:top w:val="single" w:color="000000" w:sz="6" w:space="0"/>
              <w:left w:val="none" w:color="000000" w:sz="4" w:space="0"/>
              <w:bottom w:val="single" w:color="000000" w:sz="6" w:space="0"/>
              <w:right w:val="single" w:color="000000" w:sz="4" w:space="0"/>
            </w:tcBorders>
            <w:tcW w:w="992" w:type="dxa"/>
            <w:vAlign w:val="top"/>
            <w:textDirection w:val="lrTb"/>
            <w:noWrap w:val="false"/>
          </w:tcPr>
          <w:p>
            <w:pPr>
              <w:spacing w:line="360" w:lineRule="auto"/>
              <w:rPr>
                <w:rFonts w:hint="eastAsia" w:ascii="宋体" w:hAnsi="宋体" w:eastAsia="宋体" w:cs="宋体"/>
                <w:color w:val="auto"/>
                <w:highlight w:val="none"/>
                <w:u w:val="single"/>
                <w:lang w:eastAsia="en-US"/>
              </w:rPr>
            </w:pPr>
            <w:r>
              <w:rPr>
                <w:rFonts w:hint="eastAsia" w:ascii="宋体" w:hAnsi="宋体" w:eastAsia="宋体" w:cs="宋体"/>
                <w:color w:val="auto"/>
                <w:highlight w:val="none"/>
                <w:u w:val="single"/>
                <w:lang w:eastAsia="en-US"/>
              </w:rPr>
            </w:r>
            <w:r/>
          </w:p>
        </w:tc>
        <w:tc>
          <w:tcPr>
            <w:tcBorders>
              <w:top w:val="single" w:color="000000" w:sz="6" w:space="0"/>
              <w:left w:val="single" w:color="000000" w:sz="4" w:space="0"/>
              <w:bottom w:val="single" w:color="000000" w:sz="6" w:space="0"/>
              <w:right w:val="single" w:color="000000" w:sz="6" w:space="0"/>
            </w:tcBorders>
            <w:tcW w:w="1417" w:type="dxa"/>
            <w:vAlign w:val="top"/>
            <w:textDirection w:val="lrTb"/>
            <w:noWrap w:val="false"/>
          </w:tcPr>
          <w:p>
            <w:pPr>
              <w:spacing w:line="360" w:lineRule="auto"/>
              <w:rPr>
                <w:rFonts w:hint="eastAsia" w:ascii="宋体" w:hAnsi="宋体" w:eastAsia="宋体" w:cs="宋体"/>
                <w:color w:val="auto"/>
                <w:highlight w:val="none"/>
                <w:u w:val="single"/>
                <w:lang w:eastAsia="en-US"/>
              </w:rPr>
            </w:pPr>
            <w:r>
              <w:rPr>
                <w:rFonts w:hint="eastAsia" w:ascii="宋体" w:hAnsi="宋体" w:eastAsia="宋体" w:cs="宋体"/>
                <w:color w:val="auto"/>
                <w:highlight w:val="none"/>
                <w:u w:val="single"/>
                <w:lang w:eastAsia="en-US"/>
              </w:rPr>
            </w:r>
            <w:r/>
          </w:p>
        </w:tc>
        <w:tc>
          <w:tcPr>
            <w:tcBorders>
              <w:top w:val="single" w:color="000000" w:sz="6" w:space="0"/>
              <w:left w:val="none" w:color="000000" w:sz="4" w:space="0"/>
              <w:bottom w:val="single" w:color="000000" w:sz="6" w:space="0"/>
              <w:right w:val="single" w:color="000000" w:sz="6" w:space="0"/>
            </w:tcBorders>
            <w:tcW w:w="1418" w:type="dxa"/>
            <w:vAlign w:val="top"/>
            <w:textDirection w:val="lrTb"/>
            <w:noWrap w:val="false"/>
          </w:tcPr>
          <w:p>
            <w:pPr>
              <w:spacing w:line="360" w:lineRule="auto"/>
              <w:rPr>
                <w:rFonts w:hint="eastAsia" w:ascii="宋体" w:hAnsi="宋体" w:eastAsia="宋体" w:cs="宋体"/>
                <w:color w:val="auto"/>
                <w:highlight w:val="none"/>
                <w:u w:val="single"/>
                <w:lang w:eastAsia="en-US"/>
              </w:rPr>
            </w:pPr>
            <w:r>
              <w:rPr>
                <w:rFonts w:hint="eastAsia" w:ascii="宋体" w:hAnsi="宋体" w:eastAsia="宋体" w:cs="宋体"/>
                <w:color w:val="auto"/>
                <w:highlight w:val="none"/>
                <w:u w:val="single"/>
                <w:lang w:eastAsia="en-US"/>
              </w:rPr>
            </w:r>
            <w:r/>
          </w:p>
        </w:tc>
        <w:tc>
          <w:tcPr>
            <w:tcBorders>
              <w:top w:val="single" w:color="000000" w:sz="6" w:space="0"/>
              <w:left w:val="none" w:color="000000" w:sz="4" w:space="0"/>
              <w:bottom w:val="single" w:color="000000" w:sz="6" w:space="0"/>
              <w:right w:val="single" w:color="000000" w:sz="6" w:space="0"/>
            </w:tcBorders>
            <w:tcW w:w="1134" w:type="dxa"/>
            <w:vAlign w:val="top"/>
            <w:textDirection w:val="lrTb"/>
            <w:noWrap w:val="false"/>
          </w:tcPr>
          <w:p>
            <w:pPr>
              <w:spacing w:line="360" w:lineRule="auto"/>
              <w:rPr>
                <w:rFonts w:hint="eastAsia" w:ascii="宋体" w:hAnsi="宋体" w:eastAsia="宋体" w:cs="宋体"/>
                <w:color w:val="auto"/>
                <w:highlight w:val="none"/>
                <w:u w:val="single"/>
                <w:lang w:eastAsia="en-US"/>
              </w:rPr>
            </w:pPr>
            <w:r>
              <w:rPr>
                <w:rFonts w:hint="eastAsia" w:ascii="宋体" w:hAnsi="宋体" w:eastAsia="宋体" w:cs="宋体"/>
                <w:color w:val="auto"/>
                <w:highlight w:val="none"/>
                <w:u w:val="single"/>
                <w:lang w:eastAsia="en-US"/>
              </w:rPr>
            </w:r>
            <w:r/>
          </w:p>
        </w:tc>
        <w:tc>
          <w:tcPr>
            <w:tcBorders>
              <w:top w:val="single" w:color="000000" w:sz="6" w:space="0"/>
              <w:left w:val="none" w:color="000000" w:sz="4" w:space="0"/>
              <w:bottom w:val="single" w:color="000000" w:sz="6" w:space="0"/>
              <w:right w:val="single" w:color="000000" w:sz="6" w:space="0"/>
            </w:tcBorders>
            <w:tcW w:w="1148" w:type="dxa"/>
            <w:vAlign w:val="top"/>
            <w:textDirection w:val="lrTb"/>
            <w:noWrap w:val="false"/>
          </w:tcPr>
          <w:p>
            <w:pPr>
              <w:spacing w:line="360" w:lineRule="auto"/>
              <w:rPr>
                <w:rFonts w:hint="eastAsia" w:ascii="宋体" w:hAnsi="宋体" w:eastAsia="宋体" w:cs="宋体"/>
                <w:color w:val="auto"/>
                <w:highlight w:val="none"/>
                <w:u w:val="single"/>
                <w:lang w:eastAsia="en-US"/>
              </w:rPr>
            </w:pPr>
            <w:r>
              <w:rPr>
                <w:rFonts w:hint="eastAsia" w:ascii="宋体" w:hAnsi="宋体" w:eastAsia="宋体" w:cs="宋体"/>
                <w:color w:val="auto"/>
                <w:highlight w:val="none"/>
                <w:u w:val="single"/>
                <w:lang w:eastAsia="en-US"/>
              </w:rPr>
            </w:r>
            <w:r/>
          </w:p>
        </w:tc>
      </w:tr>
      <w:tr>
        <w:trPr>
          <w:jc w:val="center"/>
          <w:trHeight w:val="964"/>
        </w:trPr>
        <w:tc>
          <w:tcPr>
            <w:tcBorders>
              <w:top w:val="single" w:color="000000" w:sz="6" w:space="0"/>
              <w:left w:val="single" w:color="000000" w:sz="6" w:space="0"/>
              <w:bottom w:val="single" w:color="000000" w:sz="6" w:space="0"/>
              <w:right w:val="single" w:color="000000" w:sz="6" w:space="0"/>
            </w:tcBorders>
            <w:tcW w:w="639" w:type="dxa"/>
            <w:vAlign w:val="top"/>
            <w:textDirection w:val="lrTb"/>
            <w:noWrap w:val="false"/>
          </w:tcPr>
          <w:p>
            <w:pPr>
              <w:jc w:val="center"/>
              <w:spacing w:line="360" w:lineRule="auto"/>
              <w:rPr>
                <w:rFonts w:hint="eastAsia" w:ascii="宋体" w:hAnsi="宋体" w:eastAsia="宋体" w:cs="宋体"/>
                <w:color w:val="auto"/>
                <w:highlight w:val="none"/>
                <w:lang w:eastAsia="en-US"/>
              </w:rPr>
            </w:pPr>
            <w:r>
              <w:rPr>
                <w:rFonts w:hint="eastAsia" w:ascii="宋体" w:hAnsi="宋体" w:eastAsia="宋体" w:cs="宋体"/>
                <w:color w:val="auto"/>
                <w:highlight w:val="none"/>
                <w:lang w:eastAsia="en-US"/>
              </w:rPr>
              <w:t xml:space="preserve">……</w:t>
            </w:r>
            <w:r/>
          </w:p>
        </w:tc>
        <w:tc>
          <w:tcPr>
            <w:tcBorders>
              <w:top w:val="single" w:color="000000" w:sz="6" w:space="0"/>
              <w:left w:val="none" w:color="000000" w:sz="4" w:space="0"/>
              <w:bottom w:val="single" w:color="000000" w:sz="6" w:space="0"/>
              <w:right w:val="single" w:color="000000" w:sz="6" w:space="0"/>
            </w:tcBorders>
            <w:tcW w:w="1418" w:type="dxa"/>
            <w:vAlign w:val="top"/>
            <w:textDirection w:val="lrTb"/>
            <w:noWrap w:val="false"/>
          </w:tcPr>
          <w:p>
            <w:pPr>
              <w:spacing w:line="360" w:lineRule="auto"/>
              <w:rPr>
                <w:rFonts w:hint="eastAsia" w:ascii="宋体" w:hAnsi="宋体" w:eastAsia="宋体" w:cs="宋体"/>
                <w:color w:val="auto"/>
                <w:highlight w:val="none"/>
                <w:u w:val="single"/>
                <w:lang w:eastAsia="en-US"/>
              </w:rPr>
            </w:pPr>
            <w:r>
              <w:rPr>
                <w:rFonts w:hint="eastAsia" w:ascii="宋体" w:hAnsi="宋体" w:eastAsia="宋体" w:cs="宋体"/>
                <w:color w:val="auto"/>
                <w:highlight w:val="none"/>
                <w:u w:val="single"/>
                <w:lang w:eastAsia="en-US"/>
              </w:rPr>
            </w:r>
            <w:r/>
          </w:p>
        </w:tc>
        <w:tc>
          <w:tcPr>
            <w:tcBorders>
              <w:top w:val="single" w:color="000000" w:sz="6" w:space="0"/>
              <w:left w:val="none" w:color="000000" w:sz="4" w:space="0"/>
              <w:bottom w:val="single" w:color="000000" w:sz="6" w:space="0"/>
              <w:right w:val="single" w:color="000000" w:sz="6" w:space="0"/>
            </w:tcBorders>
            <w:tcW w:w="1134" w:type="dxa"/>
            <w:vAlign w:val="top"/>
            <w:textDirection w:val="lrTb"/>
            <w:noWrap w:val="false"/>
          </w:tcPr>
          <w:p>
            <w:pPr>
              <w:spacing w:line="360" w:lineRule="auto"/>
              <w:rPr>
                <w:rFonts w:hint="eastAsia" w:ascii="宋体" w:hAnsi="宋体" w:eastAsia="宋体" w:cs="宋体"/>
                <w:color w:val="auto"/>
                <w:highlight w:val="none"/>
                <w:u w:val="single"/>
                <w:lang w:eastAsia="en-US"/>
              </w:rPr>
            </w:pPr>
            <w:r>
              <w:rPr>
                <w:rFonts w:hint="eastAsia" w:ascii="宋体" w:hAnsi="宋体" w:eastAsia="宋体" w:cs="宋体"/>
                <w:color w:val="auto"/>
                <w:highlight w:val="none"/>
                <w:u w:val="single"/>
                <w:lang w:eastAsia="en-US"/>
              </w:rPr>
            </w:r>
            <w:r/>
          </w:p>
        </w:tc>
        <w:tc>
          <w:tcPr>
            <w:tcBorders>
              <w:top w:val="single" w:color="000000" w:sz="6" w:space="0"/>
              <w:left w:val="none" w:color="000000" w:sz="4" w:space="0"/>
              <w:bottom w:val="single" w:color="000000" w:sz="6" w:space="0"/>
              <w:right w:val="single" w:color="000000" w:sz="4" w:space="0"/>
            </w:tcBorders>
            <w:tcW w:w="992" w:type="dxa"/>
            <w:vAlign w:val="top"/>
            <w:textDirection w:val="lrTb"/>
            <w:noWrap w:val="false"/>
          </w:tcPr>
          <w:p>
            <w:pPr>
              <w:spacing w:line="360" w:lineRule="auto"/>
              <w:rPr>
                <w:rFonts w:hint="eastAsia" w:ascii="宋体" w:hAnsi="宋体" w:eastAsia="宋体" w:cs="宋体"/>
                <w:color w:val="auto"/>
                <w:highlight w:val="none"/>
                <w:u w:val="single"/>
                <w:lang w:eastAsia="en-US"/>
              </w:rPr>
            </w:pPr>
            <w:r>
              <w:rPr>
                <w:rFonts w:hint="eastAsia" w:ascii="宋体" w:hAnsi="宋体" w:eastAsia="宋体" w:cs="宋体"/>
                <w:color w:val="auto"/>
                <w:highlight w:val="none"/>
                <w:u w:val="single"/>
                <w:lang w:eastAsia="en-US"/>
              </w:rPr>
            </w:r>
            <w:r/>
          </w:p>
        </w:tc>
        <w:tc>
          <w:tcPr>
            <w:tcBorders>
              <w:top w:val="single" w:color="000000" w:sz="6" w:space="0"/>
              <w:left w:val="none" w:color="000000" w:sz="4" w:space="0"/>
              <w:bottom w:val="single" w:color="000000" w:sz="6" w:space="0"/>
              <w:right w:val="single" w:color="000000" w:sz="4" w:space="0"/>
            </w:tcBorders>
            <w:tcW w:w="992" w:type="dxa"/>
            <w:vAlign w:val="top"/>
            <w:textDirection w:val="lrTb"/>
            <w:noWrap w:val="false"/>
          </w:tcPr>
          <w:p>
            <w:pPr>
              <w:spacing w:line="360" w:lineRule="auto"/>
              <w:rPr>
                <w:rFonts w:hint="eastAsia" w:ascii="宋体" w:hAnsi="宋体" w:eastAsia="宋体" w:cs="宋体"/>
                <w:color w:val="auto"/>
                <w:highlight w:val="none"/>
                <w:u w:val="single"/>
                <w:lang w:eastAsia="en-US"/>
              </w:rPr>
            </w:pPr>
            <w:r>
              <w:rPr>
                <w:rFonts w:hint="eastAsia" w:ascii="宋体" w:hAnsi="宋体" w:eastAsia="宋体" w:cs="宋体"/>
                <w:color w:val="auto"/>
                <w:highlight w:val="none"/>
                <w:u w:val="single"/>
                <w:lang w:eastAsia="en-US"/>
              </w:rPr>
            </w:r>
            <w:r/>
          </w:p>
        </w:tc>
        <w:tc>
          <w:tcPr>
            <w:tcBorders>
              <w:top w:val="single" w:color="000000" w:sz="6" w:space="0"/>
              <w:left w:val="single" w:color="000000" w:sz="4" w:space="0"/>
              <w:bottom w:val="single" w:color="000000" w:sz="6" w:space="0"/>
              <w:right w:val="single" w:color="000000" w:sz="6" w:space="0"/>
            </w:tcBorders>
            <w:tcW w:w="1417" w:type="dxa"/>
            <w:vAlign w:val="top"/>
            <w:textDirection w:val="lrTb"/>
            <w:noWrap w:val="false"/>
          </w:tcPr>
          <w:p>
            <w:pPr>
              <w:spacing w:line="360" w:lineRule="auto"/>
              <w:rPr>
                <w:rFonts w:hint="eastAsia" w:ascii="宋体" w:hAnsi="宋体" w:eastAsia="宋体" w:cs="宋体"/>
                <w:color w:val="auto"/>
                <w:highlight w:val="none"/>
                <w:u w:val="single"/>
                <w:lang w:eastAsia="en-US"/>
              </w:rPr>
            </w:pPr>
            <w:r>
              <w:rPr>
                <w:rFonts w:hint="eastAsia" w:ascii="宋体" w:hAnsi="宋体" w:eastAsia="宋体" w:cs="宋体"/>
                <w:color w:val="auto"/>
                <w:highlight w:val="none"/>
                <w:u w:val="single"/>
                <w:lang w:eastAsia="en-US"/>
              </w:rPr>
            </w:r>
            <w:r/>
          </w:p>
        </w:tc>
        <w:tc>
          <w:tcPr>
            <w:tcBorders>
              <w:top w:val="single" w:color="000000" w:sz="6" w:space="0"/>
              <w:left w:val="none" w:color="000000" w:sz="4" w:space="0"/>
              <w:bottom w:val="single" w:color="000000" w:sz="6" w:space="0"/>
              <w:right w:val="single" w:color="000000" w:sz="6" w:space="0"/>
            </w:tcBorders>
            <w:tcW w:w="1418" w:type="dxa"/>
            <w:vAlign w:val="top"/>
            <w:textDirection w:val="lrTb"/>
            <w:noWrap w:val="false"/>
          </w:tcPr>
          <w:p>
            <w:pPr>
              <w:spacing w:line="360" w:lineRule="auto"/>
              <w:rPr>
                <w:rFonts w:hint="eastAsia" w:ascii="宋体" w:hAnsi="宋体" w:eastAsia="宋体" w:cs="宋体"/>
                <w:color w:val="auto"/>
                <w:highlight w:val="none"/>
                <w:u w:val="single"/>
                <w:lang w:eastAsia="en-US"/>
              </w:rPr>
            </w:pPr>
            <w:r>
              <w:rPr>
                <w:rFonts w:hint="eastAsia" w:ascii="宋体" w:hAnsi="宋体" w:eastAsia="宋体" w:cs="宋体"/>
                <w:color w:val="auto"/>
                <w:highlight w:val="none"/>
                <w:u w:val="single"/>
                <w:lang w:eastAsia="en-US"/>
              </w:rPr>
            </w:r>
            <w:r/>
          </w:p>
        </w:tc>
        <w:tc>
          <w:tcPr>
            <w:tcBorders>
              <w:top w:val="single" w:color="000000" w:sz="6" w:space="0"/>
              <w:left w:val="none" w:color="000000" w:sz="4" w:space="0"/>
              <w:bottom w:val="single" w:color="000000" w:sz="6" w:space="0"/>
              <w:right w:val="single" w:color="000000" w:sz="6" w:space="0"/>
            </w:tcBorders>
            <w:tcW w:w="1134" w:type="dxa"/>
            <w:vAlign w:val="top"/>
            <w:textDirection w:val="lrTb"/>
            <w:noWrap w:val="false"/>
          </w:tcPr>
          <w:p>
            <w:pPr>
              <w:spacing w:line="360" w:lineRule="auto"/>
              <w:rPr>
                <w:rFonts w:hint="eastAsia" w:ascii="宋体" w:hAnsi="宋体" w:eastAsia="宋体" w:cs="宋体"/>
                <w:color w:val="auto"/>
                <w:highlight w:val="none"/>
                <w:u w:val="single"/>
                <w:lang w:eastAsia="en-US"/>
              </w:rPr>
            </w:pPr>
            <w:r>
              <w:rPr>
                <w:rFonts w:hint="eastAsia" w:ascii="宋体" w:hAnsi="宋体" w:eastAsia="宋体" w:cs="宋体"/>
                <w:color w:val="auto"/>
                <w:highlight w:val="none"/>
                <w:u w:val="single"/>
                <w:lang w:eastAsia="en-US"/>
              </w:rPr>
            </w:r>
            <w:r/>
          </w:p>
        </w:tc>
        <w:tc>
          <w:tcPr>
            <w:tcBorders>
              <w:top w:val="single" w:color="000000" w:sz="6" w:space="0"/>
              <w:left w:val="none" w:color="000000" w:sz="4" w:space="0"/>
              <w:bottom w:val="single" w:color="000000" w:sz="6" w:space="0"/>
              <w:right w:val="single" w:color="000000" w:sz="6" w:space="0"/>
            </w:tcBorders>
            <w:tcW w:w="1148" w:type="dxa"/>
            <w:vAlign w:val="top"/>
            <w:textDirection w:val="lrTb"/>
            <w:noWrap w:val="false"/>
          </w:tcPr>
          <w:p>
            <w:pPr>
              <w:spacing w:line="360" w:lineRule="auto"/>
              <w:rPr>
                <w:rFonts w:hint="eastAsia" w:ascii="宋体" w:hAnsi="宋体" w:eastAsia="宋体" w:cs="宋体"/>
                <w:color w:val="auto"/>
                <w:highlight w:val="none"/>
                <w:u w:val="single"/>
                <w:lang w:eastAsia="en-US"/>
              </w:rPr>
            </w:pPr>
            <w:r>
              <w:rPr>
                <w:rFonts w:hint="eastAsia" w:ascii="宋体" w:hAnsi="宋体" w:eastAsia="宋体" w:cs="宋体"/>
                <w:color w:val="auto"/>
                <w:highlight w:val="none"/>
                <w:u w:val="single"/>
                <w:lang w:eastAsia="en-US"/>
              </w:rPr>
            </w:r>
            <w:r/>
          </w:p>
        </w:tc>
      </w:tr>
    </w:tbl>
    <w:p>
      <w:pPr>
        <w:pStyle w:val="1037"/>
        <w:ind w:firstLine="480"/>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t xml:space="preserve">注：1.按实际如实填写偏离表，行数不够可自行添加。</w:t>
      </w:r>
      <w:r/>
    </w:p>
    <w:p>
      <w:pPr>
        <w:pStyle w:val="1037"/>
        <w:ind w:firstLine="480"/>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t xml:space="preserve">2.上表所指证明材料为项目需求中要求提供的检测报告、截图、各类证书或其他形式的材料，证明材料附后。请投标人务必认真做好标识，以便评委正确评审，否则由此带来的一切后果，由投标人自行承担。</w:t>
      </w:r>
      <w:r/>
    </w:p>
    <w:p>
      <w:pPr>
        <w:pStyle w:val="1037"/>
        <w:ind w:firstLine="480"/>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t xml:space="preserve">3.项目需求中如出现具体产品的品牌、型号、参数等，仅供投标人更好地理解采购人对设备的需求，不能理解为唯一指定，只要优或相当于其技术参数及功能要求的，均可视为响应。</w:t>
      </w:r>
      <w:r/>
    </w:p>
    <w:p>
      <w:pPr>
        <w:jc w:val="left"/>
        <w:widowControl/>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left"/>
        <w:widowControl/>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br w:type="page" w:clear="all"/>
      </w:r>
      <w:r/>
    </w:p>
    <w:p>
      <w:pPr>
        <w:pStyle w:val="1038"/>
        <w:numPr>
          <w:ilvl w:val="0"/>
          <w:numId w:val="0"/>
        </w:numPr>
        <w:ind w:left="0" w:firstLine="640"/>
        <w:jc w:val="center"/>
        <w:widowControl w:val="off"/>
        <w:rPr>
          <w:rFonts w:hint="eastAsia" w:ascii="宋体" w:hAnsi="宋体" w:eastAsia="宋体" w:cs="宋体"/>
          <w:color w:val="auto"/>
          <w:sz w:val="32"/>
          <w:szCs w:val="32"/>
          <w:highlight w:val="none"/>
          <w:lang w:eastAsia="en-US"/>
        </w:rPr>
      </w:pPr>
      <w:r>
        <w:rPr>
          <w:rFonts w:hint="eastAsia" w:ascii="宋体" w:hAnsi="宋体" w:eastAsia="宋体" w:cs="宋体"/>
          <w:color w:val="auto"/>
          <w:sz w:val="32"/>
          <w:szCs w:val="32"/>
          <w:highlight w:val="none"/>
          <w:lang w:val="zh-CN" w:eastAsia="en-US" w:bidi="ar-SA"/>
        </w:rPr>
        <w:t xml:space="preserve">2</w:t>
      </w:r>
      <w:r>
        <w:rPr>
          <w:rFonts w:hint="eastAsia" w:ascii="宋体" w:hAnsi="宋体" w:cs="宋体"/>
          <w:color w:val="auto"/>
          <w:sz w:val="32"/>
          <w:szCs w:val="32"/>
          <w:highlight w:val="none"/>
          <w:lang w:val="en-US" w:eastAsia="zh-CN" w:bidi="ar-SA"/>
        </w:rPr>
        <w:t xml:space="preserve">.</w:t>
      </w:r>
      <w:r>
        <w:rPr>
          <w:rFonts w:hint="eastAsia" w:ascii="宋体" w:hAnsi="宋体" w:cs="宋体"/>
          <w:color w:val="auto"/>
          <w:sz w:val="32"/>
          <w:szCs w:val="32"/>
          <w:highlight w:val="none"/>
          <w:lang w:val="en-US" w:eastAsia="zh-CN"/>
        </w:rPr>
        <w:t xml:space="preserve">技术</w:t>
      </w:r>
      <w:r>
        <w:rPr>
          <w:rFonts w:hint="eastAsia" w:ascii="宋体" w:hAnsi="宋体" w:eastAsia="宋体" w:cs="宋体"/>
          <w:color w:val="auto"/>
          <w:sz w:val="32"/>
          <w:szCs w:val="32"/>
          <w:highlight w:val="none"/>
          <w:lang w:val="en-US" w:eastAsia="zh-CN"/>
        </w:rPr>
        <w:t xml:space="preserve">方案</w:t>
      </w:r>
      <w:r/>
    </w:p>
    <w:p>
      <w:pPr>
        <w:pStyle w:val="1038"/>
        <w:numPr>
          <w:ilvl w:val="0"/>
          <w:numId w:val="0"/>
        </w:numPr>
        <w:ind w:left="640"/>
        <w:jc w:val="both"/>
        <w:widowControl w:val="off"/>
        <w:rPr>
          <w:rFonts w:hint="eastAsia" w:ascii="宋体" w:hAnsi="宋体" w:eastAsia="宋体" w:cs="宋体"/>
          <w:color w:val="auto"/>
          <w:sz w:val="32"/>
          <w:szCs w:val="32"/>
          <w:highlight w:val="none"/>
          <w:lang w:eastAsia="en-US"/>
        </w:rPr>
      </w:pPr>
      <w:r>
        <w:rPr>
          <w:rFonts w:hint="eastAsia" w:ascii="宋体" w:hAnsi="宋体" w:eastAsia="宋体" w:cs="宋体"/>
          <w:color w:val="auto"/>
          <w:sz w:val="32"/>
          <w:szCs w:val="32"/>
          <w:highlight w:val="none"/>
          <w:lang w:eastAsia="en-US"/>
        </w:rPr>
      </w:r>
      <w:r/>
    </w:p>
    <w:p>
      <w:pPr>
        <w:pStyle w:val="1038"/>
        <w:numPr>
          <w:ilvl w:val="0"/>
          <w:numId w:val="0"/>
        </w:numPr>
        <w:jc w:val="both"/>
        <w:widowControl w:val="off"/>
        <w:rPr>
          <w:rFonts w:hint="eastAsia" w:ascii="宋体" w:hAnsi="宋体" w:eastAsia="宋体" w:cs="宋体"/>
          <w:color w:val="auto"/>
          <w:sz w:val="24"/>
          <w:szCs w:val="32"/>
          <w:highlight w:val="none"/>
          <w:lang w:val="en-US" w:eastAsia="zh-CN"/>
        </w:rPr>
      </w:pPr>
      <w:r>
        <w:rPr>
          <w:rFonts w:hint="eastAsia" w:ascii="宋体" w:hAnsi="宋体" w:eastAsia="宋体" w:cs="宋体"/>
          <w:color w:val="auto"/>
          <w:sz w:val="24"/>
          <w:szCs w:val="32"/>
          <w:highlight w:val="none"/>
          <w:lang w:val="en-US" w:eastAsia="zh-CN"/>
        </w:rPr>
      </w:r>
      <w:r/>
    </w:p>
    <w:p>
      <w:pPr>
        <w:pStyle w:val="1038"/>
        <w:numPr>
          <w:ilvl w:val="0"/>
          <w:numId w:val="0"/>
        </w:numPr>
        <w:jc w:val="both"/>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pStyle w:val="1038"/>
        <w:numPr>
          <w:ilvl w:val="0"/>
          <w:numId w:val="0"/>
        </w:numPr>
        <w:jc w:val="both"/>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pStyle w:val="1038"/>
        <w:numPr>
          <w:ilvl w:val="0"/>
          <w:numId w:val="0"/>
        </w:numPr>
        <w:jc w:val="both"/>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pStyle w:val="1038"/>
        <w:numPr>
          <w:ilvl w:val="0"/>
          <w:numId w:val="0"/>
        </w:numPr>
        <w:jc w:val="both"/>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pStyle w:val="1038"/>
        <w:numPr>
          <w:ilvl w:val="0"/>
          <w:numId w:val="0"/>
        </w:numPr>
        <w:jc w:val="both"/>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pStyle w:val="1038"/>
        <w:numPr>
          <w:ilvl w:val="0"/>
          <w:numId w:val="0"/>
        </w:numPr>
        <w:jc w:val="both"/>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pStyle w:val="1038"/>
        <w:numPr>
          <w:ilvl w:val="0"/>
          <w:numId w:val="0"/>
        </w:numPr>
        <w:jc w:val="both"/>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pStyle w:val="1038"/>
        <w:numPr>
          <w:ilvl w:val="0"/>
          <w:numId w:val="0"/>
        </w:numPr>
        <w:jc w:val="both"/>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pStyle w:val="1038"/>
        <w:numPr>
          <w:ilvl w:val="0"/>
          <w:numId w:val="0"/>
        </w:numPr>
        <w:jc w:val="both"/>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pStyle w:val="1038"/>
        <w:numPr>
          <w:ilvl w:val="0"/>
          <w:numId w:val="0"/>
        </w:numPr>
        <w:jc w:val="both"/>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pStyle w:val="1038"/>
        <w:numPr>
          <w:ilvl w:val="0"/>
          <w:numId w:val="0"/>
        </w:numPr>
        <w:jc w:val="both"/>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pStyle w:val="1038"/>
        <w:numPr>
          <w:ilvl w:val="0"/>
          <w:numId w:val="0"/>
        </w:numPr>
        <w:jc w:val="both"/>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pStyle w:val="1038"/>
        <w:numPr>
          <w:ilvl w:val="0"/>
          <w:numId w:val="0"/>
        </w:numPr>
        <w:jc w:val="both"/>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pStyle w:val="1038"/>
        <w:numPr>
          <w:ilvl w:val="0"/>
          <w:numId w:val="0"/>
        </w:numPr>
        <w:jc w:val="both"/>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pStyle w:val="1038"/>
        <w:numPr>
          <w:ilvl w:val="0"/>
          <w:numId w:val="0"/>
        </w:numPr>
        <w:jc w:val="both"/>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pStyle w:val="1038"/>
        <w:numPr>
          <w:ilvl w:val="0"/>
          <w:numId w:val="0"/>
        </w:numPr>
        <w:jc w:val="both"/>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pStyle w:val="1038"/>
        <w:numPr>
          <w:ilvl w:val="0"/>
          <w:numId w:val="0"/>
        </w:numPr>
        <w:jc w:val="both"/>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pStyle w:val="1038"/>
        <w:numPr>
          <w:ilvl w:val="0"/>
          <w:numId w:val="0"/>
        </w:numPr>
        <w:jc w:val="both"/>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pStyle w:val="1038"/>
        <w:numPr>
          <w:ilvl w:val="0"/>
          <w:numId w:val="0"/>
        </w:numPr>
        <w:jc w:val="both"/>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pStyle w:val="1038"/>
        <w:numPr>
          <w:ilvl w:val="0"/>
          <w:numId w:val="0"/>
        </w:numPr>
        <w:jc w:val="both"/>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pStyle w:val="1038"/>
        <w:numPr>
          <w:ilvl w:val="0"/>
          <w:numId w:val="0"/>
        </w:numPr>
        <w:jc w:val="both"/>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pStyle w:val="1038"/>
        <w:numPr>
          <w:ilvl w:val="0"/>
          <w:numId w:val="0"/>
        </w:numPr>
        <w:jc w:val="both"/>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pStyle w:val="1038"/>
        <w:numPr>
          <w:ilvl w:val="0"/>
          <w:numId w:val="0"/>
        </w:numPr>
        <w:jc w:val="both"/>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pStyle w:val="1038"/>
        <w:numPr>
          <w:ilvl w:val="0"/>
          <w:numId w:val="0"/>
        </w:numPr>
        <w:jc w:val="both"/>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pStyle w:val="1038"/>
        <w:numPr>
          <w:ilvl w:val="0"/>
          <w:numId w:val="0"/>
        </w:numPr>
        <w:jc w:val="both"/>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pStyle w:val="1038"/>
        <w:numPr>
          <w:ilvl w:val="0"/>
          <w:numId w:val="0"/>
        </w:numPr>
        <w:jc w:val="both"/>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pStyle w:val="1038"/>
        <w:numPr>
          <w:ilvl w:val="0"/>
          <w:numId w:val="0"/>
        </w:numPr>
        <w:jc w:val="both"/>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pStyle w:val="1038"/>
        <w:numPr>
          <w:ilvl w:val="0"/>
          <w:numId w:val="0"/>
        </w:numPr>
        <w:jc w:val="both"/>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pStyle w:val="1038"/>
        <w:numPr>
          <w:ilvl w:val="0"/>
          <w:numId w:val="0"/>
        </w:numPr>
        <w:jc w:val="both"/>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pStyle w:val="1038"/>
        <w:numPr>
          <w:ilvl w:val="0"/>
          <w:numId w:val="0"/>
        </w:numPr>
        <w:jc w:val="both"/>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pStyle w:val="1038"/>
        <w:numPr>
          <w:ilvl w:val="0"/>
          <w:numId w:val="0"/>
        </w:numPr>
        <w:jc w:val="both"/>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pStyle w:val="1038"/>
        <w:numPr>
          <w:ilvl w:val="0"/>
          <w:numId w:val="0"/>
        </w:numPr>
        <w:jc w:val="both"/>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pStyle w:val="1038"/>
        <w:numPr>
          <w:ilvl w:val="0"/>
          <w:numId w:val="0"/>
        </w:numPr>
        <w:jc w:val="both"/>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pStyle w:val="1038"/>
        <w:numPr>
          <w:ilvl w:val="0"/>
          <w:numId w:val="0"/>
        </w:numPr>
        <w:jc w:val="both"/>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pStyle w:val="1038"/>
        <w:numPr>
          <w:ilvl w:val="0"/>
          <w:numId w:val="0"/>
        </w:numPr>
        <w:jc w:val="both"/>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pStyle w:val="1038"/>
        <w:numPr>
          <w:ilvl w:val="0"/>
          <w:numId w:val="0"/>
        </w:numPr>
        <w:jc w:val="both"/>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pStyle w:val="1038"/>
        <w:numPr>
          <w:ilvl w:val="0"/>
          <w:numId w:val="0"/>
        </w:numPr>
        <w:jc w:val="both"/>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pStyle w:val="1038"/>
        <w:numPr>
          <w:ilvl w:val="0"/>
          <w:numId w:val="0"/>
        </w:numPr>
        <w:jc w:val="both"/>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pStyle w:val="1038"/>
        <w:numPr>
          <w:ilvl w:val="0"/>
          <w:numId w:val="0"/>
        </w:numPr>
        <w:jc w:val="both"/>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pStyle w:val="1038"/>
        <w:numPr>
          <w:ilvl w:val="0"/>
          <w:numId w:val="0"/>
        </w:numPr>
        <w:jc w:val="both"/>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pStyle w:val="1038"/>
        <w:numPr>
          <w:ilvl w:val="0"/>
          <w:numId w:val="0"/>
        </w:numPr>
        <w:jc w:val="both"/>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pStyle w:val="1038"/>
        <w:numPr>
          <w:ilvl w:val="0"/>
          <w:numId w:val="0"/>
        </w:numPr>
        <w:jc w:val="both"/>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pStyle w:val="1038"/>
        <w:numPr>
          <w:ilvl w:val="0"/>
          <w:numId w:val="0"/>
        </w:numPr>
        <w:jc w:val="both"/>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jc w:val="both"/>
        <w:widowControl/>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widowControl/>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both"/>
        <w:widowControl/>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widowControl/>
        <w:rPr>
          <w:rFonts w:hint="eastAsia" w:ascii="楷体" w:hAnsi="楷体" w:eastAsia="楷体"/>
          <w:b/>
          <w:color w:val="auto"/>
          <w:sz w:val="32"/>
          <w:szCs w:val="32"/>
          <w:highlight w:val="none"/>
        </w:rPr>
      </w:pPr>
      <w:r>
        <w:rPr>
          <w:rFonts w:hint="eastAsia" w:ascii="楷体" w:hAnsi="楷体" w:eastAsia="楷体"/>
          <w:b/>
          <w:color w:val="auto"/>
          <w:sz w:val="32"/>
          <w:szCs w:val="32"/>
          <w:highlight w:val="none"/>
        </w:rPr>
        <w:t xml:space="preserve">六、商务部分（与评分标准对应）</w:t>
      </w:r>
      <w:r/>
    </w:p>
    <w:p>
      <w:pPr>
        <w:ind w:firstLine="560"/>
        <w:jc w:val="left"/>
        <w:keepLines w:val="0"/>
        <w:keepNext w:val="0"/>
        <w:pageBreakBefore w:val="0"/>
        <w:spacing w:line="240" w:lineRule="auto"/>
        <w:widowControl/>
        <w:rPr>
          <w:rFonts w:hint="eastAsia" w:ascii="新宋体" w:hAnsi="新宋体" w:eastAsia="新宋体" w:cs="新宋体"/>
          <w:b w:val="0"/>
          <w:bCs/>
          <w:color w:val="auto"/>
          <w:sz w:val="28"/>
          <w:szCs w:val="28"/>
          <w:highlight w:val="none"/>
        </w:rPr>
      </w:pPr>
      <w:r>
        <w:rPr>
          <w:rFonts w:hint="eastAsia" w:ascii="新宋体" w:hAnsi="新宋体" w:eastAsia="新宋体" w:cs="新宋体"/>
          <w:b w:val="0"/>
          <w:bCs/>
          <w:color w:val="auto"/>
          <w:sz w:val="28"/>
          <w:szCs w:val="28"/>
          <w:highlight w:val="none"/>
        </w:rPr>
      </w:r>
      <w:r/>
    </w:p>
    <w:p>
      <w:pPr>
        <w:pStyle w:val="1021"/>
        <w:jc w:val="both"/>
        <w:rPr>
          <w:rFonts w:hint="eastAsia"/>
          <w:color w:val="auto"/>
          <w:highlight w:val="none"/>
        </w:rPr>
      </w:pPr>
      <w:r>
        <w:rPr>
          <w:rFonts w:hint="eastAsia"/>
          <w:color w:val="auto"/>
          <w:highlight w:val="none"/>
        </w:rPr>
      </w:r>
      <w:r/>
    </w:p>
    <w:p>
      <w:pPr>
        <w:pStyle w:val="1038"/>
        <w:numPr>
          <w:ilvl w:val="0"/>
          <w:numId w:val="0"/>
        </w:numPr>
        <w:ind w:left="0" w:firstLine="640"/>
        <w:jc w:val="both"/>
        <w:widowControl w:val="off"/>
        <w:rPr>
          <w:rFonts w:hint="eastAsia" w:ascii="宋体" w:hAnsi="宋体" w:eastAsia="宋体" w:cs="宋体"/>
          <w:color w:val="auto"/>
          <w:sz w:val="32"/>
          <w:szCs w:val="32"/>
          <w:highlight w:val="none"/>
          <w:lang w:val="zh-CN" w:eastAsia="en-US" w:bidi="ar-SA"/>
        </w:rPr>
      </w:pPr>
      <w:r>
        <w:rPr>
          <w:rFonts w:hint="eastAsia" w:ascii="宋体" w:hAnsi="宋体" w:eastAsia="宋体" w:cs="宋体"/>
          <w:color w:val="auto"/>
          <w:sz w:val="32"/>
          <w:szCs w:val="32"/>
          <w:highlight w:val="none"/>
          <w:lang w:val="zh-CN" w:eastAsia="en-US" w:bidi="ar-SA"/>
        </w:rPr>
      </w:r>
      <w:r/>
    </w:p>
    <w:p>
      <w:pPr>
        <w:pStyle w:val="1023"/>
        <w:ind w:firstLine="3020"/>
        <w:jc w:val="left"/>
        <w:spacing w:line="36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br w:type="page" w:clear="all"/>
      </w:r>
      <w:r/>
    </w:p>
    <w:p>
      <w:pPr>
        <w:pStyle w:val="1023"/>
        <w:ind w:firstLine="0"/>
        <w:jc w:val="center"/>
        <w:spacing w:line="36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七、其他部分</w:t>
      </w:r>
      <w:r/>
    </w:p>
    <w:p>
      <w:pPr>
        <w:jc w:val="center"/>
        <w:spacing w:line="360" w:lineRule="auto"/>
        <w:widowControl/>
        <w:rPr>
          <w:rFonts w:hint="eastAsia" w:ascii="楷体" w:hAnsi="楷体" w:eastAsia="楷体"/>
          <w:b/>
          <w:color w:val="auto"/>
          <w:sz w:val="32"/>
          <w:szCs w:val="32"/>
          <w:highlight w:val="none"/>
        </w:rPr>
      </w:pPr>
      <w:r>
        <w:rPr>
          <w:rFonts w:hint="eastAsia" w:ascii="楷体" w:hAnsi="楷体" w:eastAsia="楷体"/>
          <w:b/>
          <w:color w:val="auto"/>
          <w:sz w:val="32"/>
          <w:szCs w:val="32"/>
          <w:highlight w:val="none"/>
        </w:rPr>
        <w:t xml:space="preserve">（</w:t>
      </w:r>
      <w:r>
        <w:rPr>
          <w:rFonts w:hint="eastAsia" w:ascii="楷体" w:hAnsi="楷体" w:eastAsia="楷体"/>
          <w:b/>
          <w:color w:val="auto"/>
          <w:sz w:val="32"/>
          <w:szCs w:val="32"/>
          <w:highlight w:val="none"/>
          <w:lang w:eastAsia="zh-CN"/>
        </w:rPr>
        <w:t xml:space="preserve">一</w:t>
      </w:r>
      <w:r>
        <w:rPr>
          <w:rFonts w:hint="eastAsia" w:ascii="楷体" w:hAnsi="楷体" w:eastAsia="楷体"/>
          <w:b/>
          <w:color w:val="auto"/>
          <w:sz w:val="32"/>
          <w:szCs w:val="32"/>
          <w:highlight w:val="none"/>
        </w:rPr>
        <w:t xml:space="preserve">）按招标文件要求投标人所能提供的</w:t>
      </w:r>
      <w:r>
        <w:rPr>
          <w:rFonts w:ascii="楷体" w:hAnsi="楷体" w:eastAsia="楷体"/>
          <w:b/>
          <w:color w:val="auto"/>
          <w:sz w:val="32"/>
          <w:szCs w:val="32"/>
          <w:highlight w:val="none"/>
        </w:rPr>
        <w:t xml:space="preserve">其他文件</w:t>
      </w:r>
      <w:r/>
    </w:p>
    <w:p>
      <w:pPr>
        <w:pStyle w:val="1023"/>
        <w:ind w:left="0" w:firstLine="0"/>
        <w:jc w:val="center"/>
        <w:spacing w:line="56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rPr>
          <w:color w:val="auto"/>
          <w:highlight w:val="none"/>
        </w:rPr>
      </w:pPr>
      <w:r>
        <w:rPr>
          <w:color w:val="auto"/>
          <w:highlight w:val="none"/>
        </w:rPr>
      </w:r>
      <w:r/>
    </w:p>
    <w:sectPr>
      <w:footerReference w:type="first" r:id="rId16"/>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新宋体">
    <w:panose1 w:val="02010609030101010101"/>
  </w:font>
  <w:font w:name="楷体">
    <w:panose1 w:val="02010609060101010101"/>
  </w:font>
  <w:font w:name="Symbol">
    <w:panose1 w:val="05050102010706020507"/>
  </w:font>
  <w:font w:name="Wingdings">
    <w:panose1 w:val="05000000000000000000"/>
  </w:font>
  <w:font w:name="Courier New">
    <w:panose1 w:val="02070309020205020404"/>
  </w:font>
  <w:font w:name="等线">
    <w:panose1 w:val="02010600030101010101"/>
  </w:font>
  <w:font w:name="方正行楷简体">
    <w:panose1 w:val="020B0503020202020204"/>
  </w:font>
  <w:font w:name="Calibri">
    <w:panose1 w:val="020F0502020204030204"/>
  </w:font>
  <w:font w:name="楷体_GB2312">
    <w:panose1 w:val="02010609060101010101"/>
  </w:font>
  <w:font w:name="幼圆">
    <w:panose1 w:val="02010509060101010101"/>
  </w:font>
  <w:font w:name="Arial">
    <w:panose1 w:val="020B0604020202020204"/>
  </w:font>
  <w:font w:name="宋体">
    <w:panose1 w:val="02010600030101010101"/>
  </w:font>
  <w:font w:name="Wingdings 2">
    <w:panose1 w:val="05020102010507070707"/>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0"/>
      <w:tabs>
        <w:tab w:val="center" w:pos="4153" w:leader="none"/>
        <w:tab w:val="right" w:pos="8306" w:leader="none"/>
      </w:tabs>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58"/>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58"/>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8"/>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0"/>
      <w:tabs>
        <w:tab w:val="center" w:pos="4153" w:leader="none"/>
        <w:tab w:val="right" w:pos="8306" w:leader="none"/>
      </w:tabs>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58"/>
                          </w:pPr>
                          <w:r>
                            <w:fldChar w:fldCharType="begin"/>
                          </w:r>
                          <w:r>
                            <w:instrText xml:space="preserve"> PAGE  \* MERGEFORMAT </w:instrText>
                          </w:r>
                          <w:r>
                            <w:fldChar w:fldCharType="separate"/>
                          </w:r>
                          <w:r>
                            <w:t xml:space="preserve">30</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58"/>
                    </w:pPr>
                    <w:r>
                      <w:fldChar w:fldCharType="begin"/>
                    </w:r>
                    <w:r>
                      <w:instrText xml:space="preserve"> PAGE  \* MERGEFORMAT </w:instrText>
                    </w:r>
                    <w:r>
                      <w:fldChar w:fldCharType="separate"/>
                    </w:r>
                    <w:r>
                      <w:t xml:space="preserve">30</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8"/>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58"/>
                          </w:pPr>
                          <w:r>
                            <w:fldChar w:fldCharType="begin"/>
                          </w:r>
                          <w:r>
                            <w:instrText xml:space="preserve"> PAGE  \* MERGEFORMAT </w:instrText>
                          </w:r>
                          <w:r>
                            <w:fldChar w:fldCharType="separate"/>
                          </w:r>
                          <w:r>
                            <w:t xml:space="preserve">29</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58"/>
                    </w:pPr>
                    <w:r>
                      <w:fldChar w:fldCharType="begin"/>
                    </w:r>
                    <w:r>
                      <w:instrText xml:space="preserve"> PAGE  \* MERGEFORMAT </w:instrText>
                    </w:r>
                    <w:r>
                      <w:fldChar w:fldCharType="separate"/>
                    </w:r>
                    <w:r>
                      <w:t xml:space="preserve">29</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1"/>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1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58"/>
                          </w:pPr>
                          <w:r>
                            <w:fldChar w:fldCharType="begin"/>
                          </w:r>
                          <w:r>
                            <w:instrText xml:space="preserve"> PAGE  \* MERGEFORMAT </w:instrText>
                          </w:r>
                          <w:r>
                            <w:fldChar w:fldCharType="separate"/>
                          </w:r>
                          <w:r>
                            <w:t xml:space="preserve">187</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4" o:spid="_x0000_s4"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58"/>
                    </w:pPr>
                    <w:r>
                      <w:fldChar w:fldCharType="begin"/>
                    </w:r>
                    <w:r>
                      <w:instrText xml:space="preserve"> PAGE  \* MERGEFORMAT </w:instrText>
                    </w:r>
                    <w:r>
                      <w:fldChar w:fldCharType="separate"/>
                    </w:r>
                    <w:r>
                      <w:t xml:space="preserve">187</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1"/>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1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58"/>
                          </w:pPr>
                          <w:r>
                            <w:fldChar w:fldCharType="begin"/>
                          </w:r>
                          <w:r>
                            <w:instrText xml:space="preserve"> PAGE  \* MERGEFORMAT </w:instrText>
                          </w:r>
                          <w:r>
                            <w:fldChar w:fldCharType="separate"/>
                          </w:r>
                          <w:r>
                            <w:t xml:space="preserve">186</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5" o:spid="_x0000_s5"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58"/>
                    </w:pPr>
                    <w:r>
                      <w:fldChar w:fldCharType="begin"/>
                    </w:r>
                    <w:r>
                      <w:instrText xml:space="preserve"> PAGE  \* MERGEFORMAT </w:instrText>
                    </w:r>
                    <w:r>
                      <w:fldChar w:fldCharType="separate"/>
                    </w:r>
                    <w:r>
                      <w:t xml:space="preserve">186</w:t>
                    </w:r>
                    <w:r>
                      <w:fldChar w:fldCharType="end"/>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1"/>
      <w:jc w:val="center"/>
    </w:pPr>
    <w:r>
      <w:fldChar w:fldCharType="begin"/>
    </w:r>
    <w:r>
      <w:rPr>
        <w:rStyle w:val="1042"/>
      </w:rPr>
      <w:instrText xml:space="preserve"> PAGE </w:instrText>
    </w:r>
    <w:r>
      <w:fldChar w:fldCharType="separate"/>
    </w:r>
    <w:r>
      <w:rPr>
        <w:rStyle w:val="1042"/>
        <w:rFonts w:hint="eastAsia"/>
      </w:rPr>
      <w:t xml:space="preserve">６８</w:t>
    </w:r>
    <w: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9"/>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page">
                <wp:align>right</wp:align>
              </wp:positionH>
              <wp:positionV relativeFrom="page">
                <wp:align>top</wp:align>
              </wp:positionV>
              <wp:extent cx="443865" cy="443865"/>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443865" cy="443865"/>
                      </a:xfrm>
                      <a:prstGeom prst="rect">
                        <a:avLst/>
                      </a:prstGeom>
                      <a:noFill/>
                      <a:ln>
                        <a:noFill/>
                      </a:ln>
                    </wps:spPr>
                    <wps:txbx>
                      <w:txbxContent>
                        <w:p>
                          <w:pPr>
                            <w:rPr>
                              <w:rFonts w:ascii="Arial" w:hAnsi="Arial" w:eastAsia="Arial" w:cs="Arial"/>
                              <w:color w:val="000000"/>
                              <w:sz w:val="16"/>
                              <w:szCs w:val="16"/>
                            </w:rPr>
                          </w:pPr>
                          <w:r>
                            <w:rPr>
                              <w:rFonts w:ascii="Arial" w:hAnsi="Arial" w:eastAsia="Arial" w:cs="Arial"/>
                              <w:color w:val="000000"/>
                              <w:sz w:val="16"/>
                              <w:szCs w:val="16"/>
                            </w:rPr>
                            <w:t xml:space="preserve">KONE Internal</w:t>
                          </w:r>
                          <w:r/>
                        </w:p>
                        <w:p>
                          <w:r/>
                          <w:r/>
                        </w:p>
                      </w:txbxContent>
                    </wps:txbx>
                    <wps:bodyPr wrap="none" lIns="0" tIns="190500" rIns="254000" bIns="0" upright="1">
                      <a:spAutoFit/>
                    </wps:bodyPr>
                  </wps:wsp>
                </a:graphicData>
              </a:graphic>
            </wp:anchor>
          </w:drawing>
        </mc:Choice>
        <mc:Fallback>
          <w:pict>
            <v:shape id="shape 0" o:spid="_x0000_s0" o:spt="202" type="#_x0000_t202" style="position:absolute;z-index:251659264;o:allowoverlap:true;o:allowincell:true;mso-position-horizontal-relative:page;mso-position-horizontal:right;mso-position-vertical-relative:page;mso-position-vertical:top;width:34.9pt;height:34.9pt;mso-wrap-distance-left:9.0pt;mso-wrap-distance-top:0.0pt;mso-wrap-distance-right:9.0pt;mso-wrap-distance-bottom:0.0pt;visibility:visible;" filled="f" stroked="f">
              <v:textbox inset="0,0,0,0">
                <w:txbxContent>
                  <w:p>
                    <w:pPr>
                      <w:rPr>
                        <w:rFonts w:ascii="Arial" w:hAnsi="Arial" w:eastAsia="Arial" w:cs="Arial"/>
                        <w:color w:val="000000"/>
                        <w:sz w:val="16"/>
                        <w:szCs w:val="16"/>
                      </w:rPr>
                    </w:pPr>
                    <w:r>
                      <w:rPr>
                        <w:rFonts w:ascii="Arial" w:hAnsi="Arial" w:eastAsia="Arial" w:cs="Arial"/>
                        <w:color w:val="000000"/>
                        <w:sz w:val="16"/>
                        <w:szCs w:val="16"/>
                      </w:rPr>
                      <w:t xml:space="preserve">KONE Internal</w:t>
                    </w:r>
                    <w:r/>
                  </w:p>
                  <w:p>
                    <w:r/>
                    <w:r/>
                  </w:p>
                </w:txbxContent>
              </v:textbox>
            </v:shape>
          </w:pict>
        </mc:Fallback>
      </mc:AlternateConten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3">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39" w:default="1">
    <w:name w:val="Normal"/>
    <w:next w:val="851"/>
    <w:link w:val="104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40">
    <w:name w:val="Heading 1"/>
    <w:basedOn w:val="839"/>
    <w:next w:val="839"/>
    <w:link w:val="873"/>
    <w:uiPriority w:val="9"/>
    <w:qFormat/>
    <w:pPr>
      <w:keepLines/>
      <w:keepNext/>
      <w:spacing w:before="480" w:after="200"/>
      <w:outlineLvl w:val="0"/>
    </w:pPr>
    <w:rPr>
      <w:rFonts w:ascii="Arial" w:hAnsi="Arial" w:eastAsia="Arial" w:cs="Arial"/>
      <w:sz w:val="40"/>
      <w:szCs w:val="40"/>
    </w:rPr>
  </w:style>
  <w:style w:type="paragraph" w:styleId="841">
    <w:name w:val="Heading 2"/>
    <w:basedOn w:val="839"/>
    <w:next w:val="839"/>
    <w:link w:val="874"/>
    <w:uiPriority w:val="9"/>
    <w:unhideWhenUsed/>
    <w:qFormat/>
    <w:pPr>
      <w:keepLines/>
      <w:keepNext/>
      <w:spacing w:before="360" w:after="200"/>
      <w:outlineLvl w:val="1"/>
    </w:pPr>
    <w:rPr>
      <w:rFonts w:ascii="Arial" w:hAnsi="Arial" w:eastAsia="Arial" w:cs="Arial"/>
      <w:sz w:val="34"/>
    </w:rPr>
  </w:style>
  <w:style w:type="paragraph" w:styleId="842">
    <w:name w:val="Heading 3"/>
    <w:basedOn w:val="839"/>
    <w:next w:val="839"/>
    <w:link w:val="875"/>
    <w:uiPriority w:val="9"/>
    <w:unhideWhenUsed/>
    <w:qFormat/>
    <w:pPr>
      <w:keepLines/>
      <w:keepNext/>
      <w:spacing w:before="320" w:after="200"/>
      <w:outlineLvl w:val="2"/>
    </w:pPr>
    <w:rPr>
      <w:rFonts w:ascii="Arial" w:hAnsi="Arial" w:eastAsia="Arial" w:cs="Arial"/>
      <w:sz w:val="30"/>
      <w:szCs w:val="30"/>
    </w:rPr>
  </w:style>
  <w:style w:type="paragraph" w:styleId="843">
    <w:name w:val="Heading 4"/>
    <w:basedOn w:val="839"/>
    <w:next w:val="839"/>
    <w:link w:val="876"/>
    <w:uiPriority w:val="9"/>
    <w:unhideWhenUsed/>
    <w:qFormat/>
    <w:pPr>
      <w:keepLines/>
      <w:keepNext/>
      <w:spacing w:before="320" w:after="200"/>
      <w:outlineLvl w:val="3"/>
    </w:pPr>
    <w:rPr>
      <w:rFonts w:ascii="Arial" w:hAnsi="Arial" w:eastAsia="Arial" w:cs="Arial"/>
      <w:b/>
      <w:bCs/>
      <w:sz w:val="26"/>
      <w:szCs w:val="26"/>
    </w:rPr>
  </w:style>
  <w:style w:type="paragraph" w:styleId="844">
    <w:name w:val="Heading 5"/>
    <w:basedOn w:val="839"/>
    <w:next w:val="839"/>
    <w:link w:val="877"/>
    <w:uiPriority w:val="9"/>
    <w:unhideWhenUsed/>
    <w:qFormat/>
    <w:pPr>
      <w:keepLines/>
      <w:keepNext/>
      <w:spacing w:before="320" w:after="200"/>
      <w:outlineLvl w:val="4"/>
    </w:pPr>
    <w:rPr>
      <w:rFonts w:ascii="Arial" w:hAnsi="Arial" w:eastAsia="Arial" w:cs="Arial"/>
      <w:b/>
      <w:bCs/>
      <w:sz w:val="24"/>
      <w:szCs w:val="24"/>
    </w:rPr>
  </w:style>
  <w:style w:type="paragraph" w:styleId="845">
    <w:name w:val="Heading 6"/>
    <w:basedOn w:val="839"/>
    <w:next w:val="839"/>
    <w:link w:val="878"/>
    <w:uiPriority w:val="9"/>
    <w:unhideWhenUsed/>
    <w:qFormat/>
    <w:pPr>
      <w:keepLines/>
      <w:keepNext/>
      <w:spacing w:before="320" w:after="200"/>
      <w:outlineLvl w:val="5"/>
    </w:pPr>
    <w:rPr>
      <w:rFonts w:ascii="Arial" w:hAnsi="Arial" w:eastAsia="Arial" w:cs="Arial"/>
      <w:b/>
      <w:bCs/>
      <w:sz w:val="22"/>
      <w:szCs w:val="22"/>
    </w:rPr>
  </w:style>
  <w:style w:type="paragraph" w:styleId="846">
    <w:name w:val="Heading 7"/>
    <w:basedOn w:val="839"/>
    <w:next w:val="839"/>
    <w:link w:val="879"/>
    <w:uiPriority w:val="9"/>
    <w:unhideWhenUsed/>
    <w:qFormat/>
    <w:pPr>
      <w:keepLines/>
      <w:keepNext/>
      <w:spacing w:before="320" w:after="200"/>
      <w:outlineLvl w:val="6"/>
    </w:pPr>
    <w:rPr>
      <w:rFonts w:ascii="Arial" w:hAnsi="Arial" w:eastAsia="Arial" w:cs="Arial"/>
      <w:b/>
      <w:bCs/>
      <w:i/>
      <w:iCs/>
      <w:sz w:val="22"/>
      <w:szCs w:val="22"/>
    </w:rPr>
  </w:style>
  <w:style w:type="paragraph" w:styleId="847">
    <w:name w:val="Heading 8"/>
    <w:basedOn w:val="839"/>
    <w:next w:val="839"/>
    <w:link w:val="880"/>
    <w:uiPriority w:val="9"/>
    <w:unhideWhenUsed/>
    <w:qFormat/>
    <w:pPr>
      <w:keepLines/>
      <w:keepNext/>
      <w:spacing w:before="320" w:after="200"/>
      <w:outlineLvl w:val="7"/>
    </w:pPr>
    <w:rPr>
      <w:rFonts w:ascii="Arial" w:hAnsi="Arial" w:eastAsia="Arial" w:cs="Arial"/>
      <w:i/>
      <w:iCs/>
      <w:sz w:val="22"/>
      <w:szCs w:val="22"/>
    </w:rPr>
  </w:style>
  <w:style w:type="paragraph" w:styleId="848">
    <w:name w:val="Heading 9"/>
    <w:basedOn w:val="839"/>
    <w:next w:val="839"/>
    <w:link w:val="881"/>
    <w:uiPriority w:val="9"/>
    <w:unhideWhenUsed/>
    <w:qFormat/>
    <w:pPr>
      <w:keepLines/>
      <w:keepNext/>
      <w:spacing w:before="320" w:after="200"/>
      <w:outlineLvl w:val="8"/>
    </w:pPr>
    <w:rPr>
      <w:rFonts w:ascii="Arial" w:hAnsi="Arial" w:eastAsia="Arial" w:cs="Arial"/>
      <w:i/>
      <w:iCs/>
      <w:sz w:val="21"/>
      <w:szCs w:val="21"/>
    </w:rPr>
  </w:style>
  <w:style w:type="character" w:styleId="849" w:default="1">
    <w:name w:val="Default Paragraph Font"/>
    <w:uiPriority w:val="0"/>
    <w:semiHidden/>
    <w:qFormat/>
  </w:style>
  <w:style w:type="table" w:styleId="850" w:default="1">
    <w:name w:val="Normal Table"/>
    <w:uiPriority w:val="0"/>
    <w:semiHidden/>
    <w:qFormat/>
    <w:tblPr>
      <w:tblCellMar>
        <w:left w:w="108" w:type="dxa"/>
        <w:top w:w="0" w:type="dxa"/>
        <w:right w:w="108" w:type="dxa"/>
        <w:bottom w:w="0" w:type="dxa"/>
      </w:tblCellMar>
    </w:tblPr>
  </w:style>
  <w:style w:type="paragraph" w:styleId="851" w:customStyle="1">
    <w:name w:val="正文文本111"/>
    <w:basedOn w:val="839"/>
    <w:next w:val="839"/>
    <w:uiPriority w:val="0"/>
    <w:qFormat/>
    <w:pPr>
      <w:spacing w:after="120"/>
    </w:pPr>
  </w:style>
  <w:style w:type="paragraph" w:styleId="852">
    <w:name w:val="toc 7"/>
    <w:basedOn w:val="839"/>
    <w:next w:val="839"/>
    <w:uiPriority w:val="39"/>
    <w:unhideWhenUsed/>
    <w:qFormat/>
    <w:pPr>
      <w:ind w:left="1701" w:right="0" w:firstLine="0"/>
      <w:spacing w:after="57"/>
    </w:pPr>
  </w:style>
  <w:style w:type="paragraph" w:styleId="853">
    <w:name w:val="Caption"/>
    <w:basedOn w:val="839"/>
    <w:next w:val="839"/>
    <w:uiPriority w:val="35"/>
    <w:semiHidden/>
    <w:unhideWhenUsed/>
    <w:qFormat/>
    <w:pPr>
      <w:spacing w:line="276" w:lineRule="auto"/>
    </w:pPr>
    <w:rPr>
      <w:b/>
      <w:bCs/>
      <w:color w:val="4874cb" w:themeColor="accent1"/>
      <w:sz w:val="18"/>
      <w:szCs w:val="18"/>
      <w14:textFill>
        <w14:solidFill>
          <w14:schemeClr w14:val="accent1"/>
        </w14:solidFill>
      </w14:textFill>
    </w:rPr>
  </w:style>
  <w:style w:type="paragraph" w:styleId="854">
    <w:name w:val="toc 5"/>
    <w:basedOn w:val="839"/>
    <w:next w:val="839"/>
    <w:uiPriority w:val="39"/>
    <w:unhideWhenUsed/>
    <w:qFormat/>
    <w:pPr>
      <w:ind w:left="1134" w:right="0" w:firstLine="0"/>
      <w:spacing w:after="57"/>
    </w:pPr>
  </w:style>
  <w:style w:type="paragraph" w:styleId="855">
    <w:name w:val="toc 3"/>
    <w:basedOn w:val="839"/>
    <w:next w:val="839"/>
    <w:uiPriority w:val="39"/>
    <w:unhideWhenUsed/>
    <w:qFormat/>
    <w:pPr>
      <w:ind w:left="567" w:right="0" w:firstLine="0"/>
      <w:spacing w:after="57"/>
    </w:pPr>
  </w:style>
  <w:style w:type="paragraph" w:styleId="856">
    <w:name w:val="toc 8"/>
    <w:basedOn w:val="839"/>
    <w:next w:val="839"/>
    <w:uiPriority w:val="39"/>
    <w:unhideWhenUsed/>
    <w:qFormat/>
    <w:pPr>
      <w:ind w:left="1984" w:right="0" w:firstLine="0"/>
      <w:spacing w:after="57"/>
    </w:pPr>
  </w:style>
  <w:style w:type="paragraph" w:styleId="857">
    <w:name w:val="endnote text"/>
    <w:basedOn w:val="839"/>
    <w:link w:val="1019"/>
    <w:uiPriority w:val="99"/>
    <w:semiHidden/>
    <w:unhideWhenUsed/>
    <w:qFormat/>
    <w:pPr>
      <w:spacing w:after="0" w:line="240" w:lineRule="auto"/>
    </w:pPr>
    <w:rPr>
      <w:sz w:val="20"/>
    </w:rPr>
  </w:style>
  <w:style w:type="paragraph" w:styleId="858">
    <w:name w:val="Footer"/>
    <w:basedOn w:val="839"/>
    <w:uiPriority w:val="0"/>
    <w:qFormat/>
    <w:pPr>
      <w:jc w:val="left"/>
      <w:tabs>
        <w:tab w:val="center" w:pos="4153" w:leader="none"/>
        <w:tab w:val="right" w:pos="8306" w:leader="none"/>
      </w:tabs>
    </w:pPr>
    <w:rPr>
      <w:sz w:val="18"/>
    </w:rPr>
  </w:style>
  <w:style w:type="paragraph" w:styleId="859">
    <w:name w:val="Header"/>
    <w:basedOn w:val="839"/>
    <w:uiPriority w:val="0"/>
    <w:qFormat/>
    <w:pPr>
      <w:jc w:val="both"/>
      <w:spacing w:line="240" w:lineRule="auto"/>
      <w:tabs>
        <w:tab w:val="center" w:pos="4153" w:leader="none"/>
        <w:tab w:val="right" w:pos="8306" w:leader="none"/>
      </w:tabs>
      <w:pBdr>
        <w:top w:val="none" w:color="auto" w:sz="0" w:space="1"/>
        <w:left w:val="none" w:color="auto" w:sz="0" w:space="4"/>
        <w:bottom w:val="none" w:color="auto" w:sz="0" w:space="1"/>
        <w:right w:val="none" w:color="auto" w:sz="0" w:space="4"/>
      </w:pBdr>
      <w:outlineLvl w:val="9"/>
    </w:pPr>
    <w:rPr>
      <w:sz w:val="18"/>
    </w:rPr>
  </w:style>
  <w:style w:type="paragraph" w:styleId="860">
    <w:name w:val="toc 1"/>
    <w:basedOn w:val="839"/>
    <w:next w:val="839"/>
    <w:uiPriority w:val="39"/>
    <w:unhideWhenUsed/>
    <w:qFormat/>
    <w:pPr>
      <w:ind w:left="0" w:right="0" w:firstLine="0"/>
      <w:spacing w:after="57"/>
    </w:pPr>
  </w:style>
  <w:style w:type="paragraph" w:styleId="861">
    <w:name w:val="toc 4"/>
    <w:basedOn w:val="839"/>
    <w:next w:val="839"/>
    <w:uiPriority w:val="39"/>
    <w:unhideWhenUsed/>
    <w:qFormat/>
    <w:pPr>
      <w:ind w:left="850" w:right="0" w:firstLine="0"/>
      <w:spacing w:after="57"/>
    </w:pPr>
  </w:style>
  <w:style w:type="paragraph" w:styleId="862">
    <w:name w:val="Subtitle"/>
    <w:basedOn w:val="839"/>
    <w:next w:val="839"/>
    <w:link w:val="885"/>
    <w:uiPriority w:val="11"/>
    <w:qFormat/>
    <w:pPr>
      <w:spacing w:before="200" w:after="200"/>
    </w:pPr>
    <w:rPr>
      <w:sz w:val="24"/>
      <w:szCs w:val="24"/>
    </w:rPr>
  </w:style>
  <w:style w:type="paragraph" w:styleId="863">
    <w:name w:val="footnote text"/>
    <w:basedOn w:val="839"/>
    <w:link w:val="1018"/>
    <w:uiPriority w:val="99"/>
    <w:semiHidden/>
    <w:unhideWhenUsed/>
    <w:qFormat/>
    <w:pPr>
      <w:spacing w:after="40" w:line="240" w:lineRule="auto"/>
    </w:pPr>
    <w:rPr>
      <w:sz w:val="18"/>
    </w:rPr>
  </w:style>
  <w:style w:type="paragraph" w:styleId="864">
    <w:name w:val="toc 6"/>
    <w:basedOn w:val="839"/>
    <w:next w:val="839"/>
    <w:uiPriority w:val="39"/>
    <w:unhideWhenUsed/>
    <w:qFormat/>
    <w:pPr>
      <w:ind w:left="1417" w:right="0" w:firstLine="0"/>
      <w:spacing w:after="57"/>
    </w:pPr>
  </w:style>
  <w:style w:type="paragraph" w:styleId="865">
    <w:name w:val="table of figures"/>
    <w:basedOn w:val="839"/>
    <w:next w:val="839"/>
    <w:uiPriority w:val="99"/>
    <w:unhideWhenUsed/>
    <w:qFormat/>
    <w:pPr>
      <w:spacing w:after="0" w:afterAutospacing="0"/>
    </w:pPr>
  </w:style>
  <w:style w:type="paragraph" w:styleId="866">
    <w:name w:val="toc 2"/>
    <w:basedOn w:val="839"/>
    <w:next w:val="839"/>
    <w:uiPriority w:val="39"/>
    <w:unhideWhenUsed/>
    <w:qFormat/>
    <w:pPr>
      <w:ind w:left="283" w:right="0" w:firstLine="0"/>
      <w:spacing w:after="57"/>
    </w:pPr>
  </w:style>
  <w:style w:type="paragraph" w:styleId="867">
    <w:name w:val="toc 9"/>
    <w:basedOn w:val="839"/>
    <w:next w:val="839"/>
    <w:uiPriority w:val="39"/>
    <w:unhideWhenUsed/>
    <w:qFormat/>
    <w:pPr>
      <w:ind w:left="2268" w:right="0" w:firstLine="0"/>
      <w:spacing w:after="57"/>
    </w:pPr>
  </w:style>
  <w:style w:type="paragraph" w:styleId="868">
    <w:name w:val="Title"/>
    <w:basedOn w:val="839"/>
    <w:next w:val="839"/>
    <w:link w:val="884"/>
    <w:uiPriority w:val="10"/>
    <w:qFormat/>
    <w:pPr>
      <w:contextualSpacing/>
      <w:spacing w:before="300" w:after="200"/>
    </w:pPr>
    <w:rPr>
      <w:sz w:val="48"/>
      <w:szCs w:val="48"/>
    </w:rPr>
  </w:style>
  <w:style w:type="table" w:styleId="869">
    <w:name w:val="Table Grid"/>
    <w:basedOn w:val="850"/>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70">
    <w:name w:val="endnote reference"/>
    <w:basedOn w:val="849"/>
    <w:uiPriority w:val="99"/>
    <w:semiHidden/>
    <w:unhideWhenUsed/>
    <w:qFormat/>
    <w:rPr>
      <w:vertAlign w:val="superscript"/>
    </w:rPr>
  </w:style>
  <w:style w:type="character" w:styleId="871">
    <w:name w:val="Hyperlink"/>
    <w:uiPriority w:val="99"/>
    <w:unhideWhenUsed/>
    <w:qFormat/>
    <w:rPr>
      <w:color w:val="0026e5" w:themeColor="hyperlink"/>
      <w:u w:val="single"/>
      <w14:textFill>
        <w14:solidFill>
          <w14:schemeClr w14:val="hlink"/>
        </w14:solidFill>
      </w14:textFill>
    </w:rPr>
  </w:style>
  <w:style w:type="character" w:styleId="872">
    <w:name w:val="footnote reference"/>
    <w:basedOn w:val="849"/>
    <w:uiPriority w:val="99"/>
    <w:unhideWhenUsed/>
    <w:qFormat/>
    <w:rPr>
      <w:vertAlign w:val="superscript"/>
    </w:rPr>
  </w:style>
  <w:style w:type="character" w:styleId="873" w:customStyle="1">
    <w:name w:val="Heading 1 Char"/>
    <w:basedOn w:val="849"/>
    <w:link w:val="840"/>
    <w:uiPriority w:val="9"/>
    <w:qFormat/>
    <w:rPr>
      <w:rFonts w:ascii="Arial" w:hAnsi="Arial" w:eastAsia="Arial" w:cs="Arial"/>
      <w:sz w:val="40"/>
      <w:szCs w:val="40"/>
    </w:rPr>
  </w:style>
  <w:style w:type="character" w:styleId="874" w:customStyle="1">
    <w:name w:val="Heading 2 Char"/>
    <w:basedOn w:val="849"/>
    <w:link w:val="841"/>
    <w:uiPriority w:val="9"/>
    <w:qFormat/>
    <w:rPr>
      <w:rFonts w:ascii="Arial" w:hAnsi="Arial" w:eastAsia="Arial" w:cs="Arial"/>
      <w:sz w:val="34"/>
    </w:rPr>
  </w:style>
  <w:style w:type="character" w:styleId="875" w:customStyle="1">
    <w:name w:val="Heading 3 Char"/>
    <w:basedOn w:val="849"/>
    <w:link w:val="842"/>
    <w:uiPriority w:val="9"/>
    <w:qFormat/>
    <w:rPr>
      <w:rFonts w:ascii="Arial" w:hAnsi="Arial" w:eastAsia="Arial" w:cs="Arial"/>
      <w:sz w:val="30"/>
      <w:szCs w:val="30"/>
    </w:rPr>
  </w:style>
  <w:style w:type="character" w:styleId="876" w:customStyle="1">
    <w:name w:val="Heading 4 Char"/>
    <w:basedOn w:val="849"/>
    <w:link w:val="843"/>
    <w:uiPriority w:val="9"/>
    <w:qFormat/>
    <w:rPr>
      <w:rFonts w:ascii="Arial" w:hAnsi="Arial" w:eastAsia="Arial" w:cs="Arial"/>
      <w:b/>
      <w:bCs/>
      <w:sz w:val="26"/>
      <w:szCs w:val="26"/>
    </w:rPr>
  </w:style>
  <w:style w:type="character" w:styleId="877" w:customStyle="1">
    <w:name w:val="Heading 5 Char"/>
    <w:basedOn w:val="849"/>
    <w:link w:val="844"/>
    <w:uiPriority w:val="9"/>
    <w:qFormat/>
    <w:rPr>
      <w:rFonts w:ascii="Arial" w:hAnsi="Arial" w:eastAsia="Arial" w:cs="Arial"/>
      <w:b/>
      <w:bCs/>
      <w:sz w:val="24"/>
      <w:szCs w:val="24"/>
    </w:rPr>
  </w:style>
  <w:style w:type="character" w:styleId="878" w:customStyle="1">
    <w:name w:val="Heading 6 Char"/>
    <w:basedOn w:val="849"/>
    <w:link w:val="845"/>
    <w:uiPriority w:val="9"/>
    <w:qFormat/>
    <w:rPr>
      <w:rFonts w:ascii="Arial" w:hAnsi="Arial" w:eastAsia="Arial" w:cs="Arial"/>
      <w:b/>
      <w:bCs/>
      <w:sz w:val="22"/>
      <w:szCs w:val="22"/>
    </w:rPr>
  </w:style>
  <w:style w:type="character" w:styleId="879" w:customStyle="1">
    <w:name w:val="Heading 7 Char"/>
    <w:basedOn w:val="849"/>
    <w:link w:val="846"/>
    <w:uiPriority w:val="9"/>
    <w:qFormat/>
    <w:rPr>
      <w:rFonts w:ascii="Arial" w:hAnsi="Arial" w:eastAsia="Arial" w:cs="Arial"/>
      <w:b/>
      <w:bCs/>
      <w:i/>
      <w:iCs/>
      <w:sz w:val="22"/>
      <w:szCs w:val="22"/>
    </w:rPr>
  </w:style>
  <w:style w:type="character" w:styleId="880" w:customStyle="1">
    <w:name w:val="Heading 8 Char"/>
    <w:basedOn w:val="849"/>
    <w:link w:val="847"/>
    <w:uiPriority w:val="9"/>
    <w:qFormat/>
    <w:rPr>
      <w:rFonts w:ascii="Arial" w:hAnsi="Arial" w:eastAsia="Arial" w:cs="Arial"/>
      <w:i/>
      <w:iCs/>
      <w:sz w:val="22"/>
      <w:szCs w:val="22"/>
    </w:rPr>
  </w:style>
  <w:style w:type="character" w:styleId="881" w:customStyle="1">
    <w:name w:val="Heading 9 Char"/>
    <w:basedOn w:val="849"/>
    <w:link w:val="848"/>
    <w:uiPriority w:val="9"/>
    <w:qFormat/>
    <w:rPr>
      <w:rFonts w:ascii="Arial" w:hAnsi="Arial" w:eastAsia="Arial" w:cs="Arial"/>
      <w:i/>
      <w:iCs/>
      <w:sz w:val="21"/>
      <w:szCs w:val="21"/>
    </w:rPr>
  </w:style>
  <w:style w:type="paragraph" w:styleId="882">
    <w:name w:val="List Paragraph"/>
    <w:basedOn w:val="839"/>
    <w:uiPriority w:val="34"/>
    <w:qFormat/>
    <w:pPr>
      <w:contextualSpacing/>
      <w:ind w:left="720"/>
    </w:pPr>
  </w:style>
  <w:style w:type="paragraph" w:styleId="883">
    <w:name w:val="No Spacing"/>
    <w:uiPriority w:val="1"/>
    <w:qFormat/>
    <w:pPr>
      <w:spacing w:before="0" w:after="0" w:line="240" w:lineRule="auto"/>
    </w:pPr>
    <w:rPr>
      <w:rFonts w:hint="default" w:asciiTheme="minorHAnsi" w:hAnsiTheme="minorHAnsi" w:eastAsiaTheme="minorEastAsia" w:cstheme="minorBidi"/>
    </w:rPr>
  </w:style>
  <w:style w:type="character" w:styleId="884" w:customStyle="1">
    <w:name w:val="Title Char"/>
    <w:basedOn w:val="849"/>
    <w:link w:val="868"/>
    <w:uiPriority w:val="10"/>
    <w:qFormat/>
    <w:rPr>
      <w:sz w:val="48"/>
      <w:szCs w:val="48"/>
    </w:rPr>
  </w:style>
  <w:style w:type="character" w:styleId="885" w:customStyle="1">
    <w:name w:val="Subtitle Char"/>
    <w:basedOn w:val="849"/>
    <w:link w:val="862"/>
    <w:uiPriority w:val="11"/>
    <w:qFormat/>
    <w:rPr>
      <w:sz w:val="24"/>
      <w:szCs w:val="24"/>
    </w:rPr>
  </w:style>
  <w:style w:type="paragraph" w:styleId="886">
    <w:name w:val="Quote"/>
    <w:basedOn w:val="839"/>
    <w:next w:val="839"/>
    <w:link w:val="887"/>
    <w:uiPriority w:val="29"/>
    <w:qFormat/>
    <w:pPr>
      <w:ind w:left="720" w:right="720"/>
    </w:pPr>
    <w:rPr>
      <w:i/>
    </w:rPr>
  </w:style>
  <w:style w:type="character" w:styleId="887" w:customStyle="1">
    <w:name w:val="Quote Char"/>
    <w:link w:val="886"/>
    <w:uiPriority w:val="29"/>
    <w:qFormat/>
    <w:rPr>
      <w:i/>
    </w:rPr>
  </w:style>
  <w:style w:type="paragraph" w:styleId="888">
    <w:name w:val="Intense Quote"/>
    <w:basedOn w:val="839"/>
    <w:next w:val="839"/>
    <w:link w:val="88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89" w:customStyle="1">
    <w:name w:val="Intense Quote Char"/>
    <w:link w:val="888"/>
    <w:uiPriority w:val="30"/>
    <w:qFormat/>
    <w:rPr>
      <w:i/>
    </w:rPr>
  </w:style>
  <w:style w:type="character" w:styleId="890" w:customStyle="1">
    <w:name w:val="Header Char"/>
    <w:basedOn w:val="849"/>
    <w:uiPriority w:val="99"/>
    <w:qFormat/>
  </w:style>
  <w:style w:type="character" w:styleId="891" w:customStyle="1">
    <w:name w:val="Footer Char"/>
    <w:basedOn w:val="849"/>
    <w:uiPriority w:val="99"/>
    <w:qFormat/>
  </w:style>
  <w:style w:type="character" w:styleId="892" w:customStyle="1">
    <w:name w:val="Caption Char"/>
    <w:uiPriority w:val="99"/>
    <w:qFormat/>
  </w:style>
  <w:style w:type="table" w:styleId="893" w:customStyle="1">
    <w:name w:val="Table Grid Light"/>
    <w:basedOn w:val="850"/>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94" w:customStyle="1">
    <w:name w:val="Plain Table 1"/>
    <w:basedOn w:val="850"/>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95" w:customStyle="1">
    <w:name w:val="Plain Table 2"/>
    <w:basedOn w:val="850"/>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96" w:customStyle="1">
    <w:name w:val="Plain Table 3"/>
    <w:basedOn w:val="85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97" w:customStyle="1">
    <w:name w:val="Plain Table 4"/>
    <w:basedOn w:val="85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98" w:customStyle="1">
    <w:name w:val="Plain Table 5"/>
    <w:basedOn w:val="85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99" w:customStyle="1">
    <w:name w:val="Grid Table 1 Light"/>
    <w:basedOn w:val="850"/>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00" w:customStyle="1">
    <w:name w:val="Grid Table 1 Light - Accent 1"/>
    <w:basedOn w:val="850"/>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b/>
        <w:color w:val="404040"/>
      </w:rPr>
    </w:tblStylePr>
    <w:tblStylePr w:type="firstRow">
      <w:rPr>
        <w:b/>
        <w:color w:val="404040"/>
      </w:rPr>
      <w:tcPr>
        <w:tcBorders>
          <w:bottom w:val="single" w:color="94ADE0" w:themeColor="accent1" w:themeTint="95" w:sz="12" w:space="0"/>
        </w:tcBorders>
      </w:tcPr>
    </w:tblStylePr>
    <w:tblStylePr w:type="lastCol">
      <w:rPr>
        <w:b/>
        <w:color w:val="404040"/>
      </w:rPr>
    </w:tblStylePr>
    <w:tblStylePr w:type="lastRow">
      <w:rPr>
        <w:b/>
        <w:color w:val="404040"/>
      </w:rPr>
    </w:tblStylePr>
  </w:style>
  <w:style w:type="table" w:styleId="901" w:customStyle="1">
    <w:name w:val="Grid Table 1 Light - Accent 2"/>
    <w:basedOn w:val="850"/>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b/>
        <w:color w:val="404040"/>
      </w:rPr>
    </w:tblStylePr>
    <w:tblStylePr w:type="firstRow">
      <w:rPr>
        <w:b/>
        <w:color w:val="404040"/>
      </w:rPr>
      <w:tcPr>
        <w:tcBorders>
          <w:bottom w:val="single" w:color="F5B585" w:themeColor="accent2" w:themeTint="95" w:sz="12" w:space="0"/>
        </w:tcBorders>
      </w:tcPr>
    </w:tblStylePr>
    <w:tblStylePr w:type="lastCol">
      <w:rPr>
        <w:b/>
        <w:color w:val="404040"/>
      </w:rPr>
    </w:tblStylePr>
    <w:tblStylePr w:type="lastRow">
      <w:rPr>
        <w:b/>
        <w:color w:val="404040"/>
      </w:rPr>
    </w:tblStylePr>
  </w:style>
  <w:style w:type="table" w:styleId="902" w:customStyle="1">
    <w:name w:val="Grid Table 1 Light - Accent 3"/>
    <w:basedOn w:val="850"/>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b/>
        <w:color w:val="404040"/>
      </w:rPr>
    </w:tblStylePr>
    <w:tblStylePr w:type="firstRow">
      <w:rPr>
        <w:b/>
        <w:color w:val="404040"/>
      </w:rPr>
      <w:tcPr>
        <w:tcBorders>
          <w:bottom w:val="single" w:color="FDDA64" w:themeColor="accent3" w:themeTint="95" w:sz="12" w:space="0"/>
        </w:tcBorders>
      </w:tcPr>
    </w:tblStylePr>
    <w:tblStylePr w:type="lastCol">
      <w:rPr>
        <w:b/>
        <w:color w:val="404040"/>
      </w:rPr>
    </w:tblStylePr>
    <w:tblStylePr w:type="lastRow">
      <w:rPr>
        <w:b/>
        <w:color w:val="404040"/>
      </w:rPr>
    </w:tblStylePr>
  </w:style>
  <w:style w:type="table" w:styleId="903" w:customStyle="1">
    <w:name w:val="Grid Table 1 Light - Accent 4"/>
    <w:basedOn w:val="850"/>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b/>
        <w:color w:val="404040"/>
      </w:rPr>
    </w:tblStylePr>
    <w:tblStylePr w:type="firstRow">
      <w:rPr>
        <w:b/>
        <w:color w:val="404040"/>
      </w:rPr>
      <w:tcPr>
        <w:tcBorders>
          <w:bottom w:val="single" w:color="AED890" w:themeColor="accent4" w:themeTint="95" w:sz="12" w:space="0"/>
        </w:tcBorders>
      </w:tcPr>
    </w:tblStylePr>
    <w:tblStylePr w:type="lastCol">
      <w:rPr>
        <w:b/>
        <w:color w:val="404040"/>
      </w:rPr>
    </w:tblStylePr>
    <w:tblStylePr w:type="lastRow">
      <w:rPr>
        <w:b/>
        <w:color w:val="404040"/>
      </w:rPr>
    </w:tblStylePr>
  </w:style>
  <w:style w:type="table" w:styleId="904" w:customStyle="1">
    <w:name w:val="Grid Table 1 Light - Accent 5"/>
    <w:basedOn w:val="850"/>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b/>
        <w:color w:val="404040"/>
      </w:rPr>
    </w:tblStylePr>
    <w:tblStylePr w:type="firstRow">
      <w:rPr>
        <w:b/>
        <w:color w:val="404040"/>
      </w:rPr>
      <w:tcPr>
        <w:tcBorders>
          <w:bottom w:val="single" w:color="80DFD7" w:themeColor="accent5" w:themeTint="95" w:sz="12" w:space="0"/>
        </w:tcBorders>
      </w:tcPr>
    </w:tblStylePr>
    <w:tblStylePr w:type="lastCol">
      <w:rPr>
        <w:b/>
        <w:color w:val="404040"/>
      </w:rPr>
    </w:tblStylePr>
    <w:tblStylePr w:type="lastRow">
      <w:rPr>
        <w:b/>
        <w:color w:val="404040"/>
      </w:rPr>
    </w:tblStylePr>
  </w:style>
  <w:style w:type="table" w:styleId="905" w:customStyle="1">
    <w:name w:val="Grid Table 1 Light - Accent 6"/>
    <w:basedOn w:val="850"/>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b/>
        <w:color w:val="404040"/>
      </w:rPr>
    </w:tblStylePr>
    <w:tblStylePr w:type="firstRow">
      <w:rPr>
        <w:b/>
        <w:color w:val="404040"/>
      </w:rPr>
      <w:tcPr>
        <w:tcBorders>
          <w:bottom w:val="single" w:color="EF96A0" w:themeColor="accent6" w:themeTint="95" w:sz="12" w:space="0"/>
        </w:tcBorders>
      </w:tcPr>
    </w:tblStylePr>
    <w:tblStylePr w:type="lastCol">
      <w:rPr>
        <w:b/>
        <w:color w:val="404040"/>
      </w:rPr>
    </w:tblStylePr>
    <w:tblStylePr w:type="lastRow">
      <w:rPr>
        <w:b/>
        <w:color w:val="404040"/>
      </w:rPr>
    </w:tblStylePr>
  </w:style>
  <w:style w:type="table" w:styleId="906" w:customStyle="1">
    <w:name w:val="Grid Table 2"/>
    <w:basedOn w:val="850"/>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07" w:customStyle="1">
    <w:name w:val="Grid Table 2 - Accent 1"/>
    <w:basedOn w:val="850"/>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77FCF"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77FCF" w:themeColor="accent1" w:themeTint="EA" w:sz="4" w:space="0"/>
          <w:left w:val="none" w:color="000000" w:sz="4" w:space="0"/>
          <w:bottom w:val="none" w:color="000000" w:sz="4" w:space="0"/>
          <w:right w:val="none" w:color="000000" w:sz="4" w:space="0"/>
        </w:tcBorders>
      </w:tcPr>
    </w:tblStylePr>
  </w:style>
  <w:style w:type="table" w:styleId="908" w:customStyle="1">
    <w:name w:val="Grid Table 2 - Accent 2"/>
    <w:basedOn w:val="850"/>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483"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483" w:themeColor="accent2" w:themeTint="97" w:sz="4" w:space="0"/>
          <w:left w:val="none" w:color="000000" w:sz="4" w:space="0"/>
          <w:bottom w:val="none" w:color="000000" w:sz="4" w:space="0"/>
          <w:right w:val="none" w:color="000000" w:sz="4" w:space="0"/>
        </w:tcBorders>
      </w:tcPr>
    </w:tblStylePr>
  </w:style>
  <w:style w:type="table" w:styleId="909" w:customStyle="1">
    <w:name w:val="Grid Table 2 - Accent 3"/>
    <w:basedOn w:val="850"/>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3BA02"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3BA02" w:themeColor="accent3" w:themeTint="FE" w:sz="4" w:space="0"/>
          <w:left w:val="none" w:color="000000" w:sz="4" w:space="0"/>
          <w:bottom w:val="none" w:color="000000" w:sz="4" w:space="0"/>
          <w:right w:val="none" w:color="000000" w:sz="4" w:space="0"/>
        </w:tcBorders>
      </w:tcPr>
    </w:tblStylePr>
  </w:style>
  <w:style w:type="table" w:styleId="910" w:customStyle="1">
    <w:name w:val="Grid Table 2 - Accent 4"/>
    <w:basedOn w:val="850"/>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BD78C"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BD78C" w:themeColor="accent4" w:themeTint="9A" w:sz="4" w:space="0"/>
          <w:left w:val="none" w:color="000000" w:sz="4" w:space="0"/>
          <w:bottom w:val="none" w:color="000000" w:sz="4" w:space="0"/>
          <w:right w:val="none" w:color="000000" w:sz="4" w:space="0"/>
        </w:tcBorders>
      </w:tcPr>
    </w:tblStylePr>
  </w:style>
  <w:style w:type="table" w:styleId="911" w:customStyle="1">
    <w:name w:val="Grid Table 2 - Accent 5"/>
    <w:basedOn w:val="850"/>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30C0B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30C0B4" w:themeColor="accent5" w:sz="4" w:space="0"/>
          <w:left w:val="none" w:color="000000" w:sz="4" w:space="0"/>
          <w:bottom w:val="none" w:color="000000" w:sz="4" w:space="0"/>
          <w:right w:val="none" w:color="000000" w:sz="4" w:space="0"/>
        </w:tcBorders>
      </w:tcPr>
    </w:tblStylePr>
  </w:style>
  <w:style w:type="table" w:styleId="912" w:customStyle="1">
    <w:name w:val="Grid Table 2 - Accent 6"/>
    <w:basedOn w:val="850"/>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E54C5E"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E54C5E" w:themeColor="accent6" w:sz="4" w:space="0"/>
          <w:left w:val="none" w:color="000000" w:sz="4" w:space="0"/>
          <w:bottom w:val="none" w:color="000000" w:sz="4" w:space="0"/>
          <w:right w:val="none" w:color="000000" w:sz="4" w:space="0"/>
        </w:tcBorders>
      </w:tcPr>
    </w:tblStylePr>
  </w:style>
  <w:style w:type="table" w:styleId="913" w:customStyle="1">
    <w:name w:val="Grid Table 3"/>
    <w:basedOn w:val="850"/>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4" w:customStyle="1">
    <w:name w:val="Grid Table 3 - Accent 1"/>
    <w:basedOn w:val="850"/>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5" w:customStyle="1">
    <w:name w:val="Grid Table 3 - Accent 2"/>
    <w:basedOn w:val="850"/>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6" w:customStyle="1">
    <w:name w:val="Grid Table 3 - Accent 3"/>
    <w:basedOn w:val="850"/>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7" w:customStyle="1">
    <w:name w:val="Grid Table 3 - Accent 4"/>
    <w:basedOn w:val="850"/>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8" w:customStyle="1">
    <w:name w:val="Grid Table 3 - Accent 5"/>
    <w:basedOn w:val="850"/>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9" w:customStyle="1">
    <w:name w:val="Grid Table 3 - Accent 6"/>
    <w:basedOn w:val="850"/>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0" w:customStyle="1">
    <w:name w:val="Grid Table 4"/>
    <w:basedOn w:val="850"/>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21" w:customStyle="1">
    <w:name w:val="Grid Table 4 - Accent 1"/>
    <w:basedOn w:val="850"/>
    <w:uiPriority w:val="5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Pr>
    <w:tblStylePr w:type="band1Horz">
      <w:rPr>
        <w:rFonts w:ascii="Arial" w:hAnsi="Arial"/>
        <w:color w:val="404040"/>
        <w:sz w:val="22"/>
      </w:rPr>
      <w:tcPr>
        <w:shd w:val="clear" w:color="dbe3f4" w:themeColor="accent1" w:themeTint="32" w:fill="dbe3f4" w:themeFill="accent1" w:themeFillTint="32"/>
      </w:tcPr>
    </w:tblStylePr>
    <w:tblStylePr w:type="band1Vert">
      <w:rPr>
        <w:rFonts w:ascii="Arial" w:hAnsi="Arial"/>
        <w:color w:val="404040"/>
        <w:sz w:val="22"/>
      </w:rPr>
      <w:tcPr>
        <w:shd w:val="clear" w:color="dbe3f4" w:themeColor="accent1" w:themeTint="32" w:fill="dbe3f4" w:themeFill="accent1" w:themeFillTint="32"/>
      </w:tcPr>
    </w:tblStylePr>
    <w:tblStylePr w:type="firstCol">
      <w:rPr>
        <w:b/>
        <w:color w:val="404040"/>
      </w:rPr>
    </w:tblStylePr>
    <w:tblStylePr w:type="firstRow">
      <w:rPr>
        <w:rFonts w:ascii="Arial" w:hAnsi="Arial"/>
        <w:b/>
        <w:color w:val="ffffff"/>
        <w:sz w:val="22"/>
      </w:rPr>
      <w:tcPr>
        <w:shd w:val="clear" w:color="577fcf" w:themeColor="accent1" w:themeTint="EA" w:fill="577fcf" w:themeFill="accent1" w:themeFillTint="EA"/>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tcPr>
    </w:tblStylePr>
    <w:tblStylePr w:type="lastCol">
      <w:rPr>
        <w:b/>
        <w:color w:val="404040"/>
      </w:rPr>
    </w:tblStylePr>
    <w:tblStylePr w:type="lastRow">
      <w:rPr>
        <w:b/>
        <w:color w:val="404040"/>
      </w:rPr>
      <w:tcPr>
        <w:tcBorders>
          <w:top w:val="single" w:color="577FCF" w:themeColor="accent1" w:themeTint="EA" w:sz="4" w:space="0"/>
        </w:tcBorders>
      </w:tcPr>
    </w:tblStylePr>
  </w:style>
  <w:style w:type="table" w:styleId="922" w:customStyle="1">
    <w:name w:val="Grid Table 4 - Accent 2"/>
    <w:basedOn w:val="850"/>
    <w:uiPriority w:val="5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insideV w:val="single" w:color="F5B889" w:themeColor="accent2" w:themeTint="90"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cBorders>
      </w:tcPr>
    </w:tblStylePr>
    <w:tblStylePr w:type="lastCol">
      <w:rPr>
        <w:b/>
        <w:color w:val="404040"/>
      </w:rPr>
    </w:tblStylePr>
    <w:tblStylePr w:type="lastRow">
      <w:rPr>
        <w:b/>
        <w:color w:val="404040"/>
      </w:rPr>
      <w:tcPr>
        <w:tcBorders>
          <w:top w:val="single" w:color="F4B483" w:themeColor="accent2" w:themeTint="97" w:sz="4" w:space="0"/>
        </w:tcBorders>
      </w:tcPr>
    </w:tblStylePr>
  </w:style>
  <w:style w:type="table" w:styleId="923" w:customStyle="1">
    <w:name w:val="Grid Table 4 - Accent 3"/>
    <w:basedOn w:val="850"/>
    <w:uiPriority w:val="5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insideV w:val="single" w:color="FDDB6A" w:themeColor="accent3" w:themeTint="90"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rFonts w:ascii="Arial" w:hAnsi="Arial"/>
        <w:b/>
        <w:color w:val="ffffff"/>
        <w:sz w:val="22"/>
      </w:rPr>
      <w:tcPr>
        <w:shd w:val="clear" w:color="f3ba02" w:themeColor="accent3" w:themeTint="FE" w:fill="f3ba02" w:themeFill="accent3" w:themeFillTint="FE"/>
        <w:tc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tcBorders>
      </w:tcPr>
    </w:tblStylePr>
    <w:tblStylePr w:type="lastCol">
      <w:rPr>
        <w:b/>
        <w:color w:val="404040"/>
      </w:rPr>
    </w:tblStylePr>
    <w:tblStylePr w:type="lastRow">
      <w:rPr>
        <w:b/>
        <w:color w:val="404040"/>
      </w:rPr>
      <w:tcPr>
        <w:tcBorders>
          <w:top w:val="single" w:color="F3BA02" w:themeColor="accent3" w:themeTint="FE" w:sz="4" w:space="0"/>
        </w:tcBorders>
      </w:tcPr>
    </w:tblStylePr>
  </w:style>
  <w:style w:type="table" w:styleId="924" w:customStyle="1">
    <w:name w:val="Grid Table 4 - Accent 4"/>
    <w:basedOn w:val="850"/>
    <w:uiPriority w:val="5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insideV w:val="single" w:color="B1D994" w:themeColor="accent4" w:themeTint="90"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tcPr>
    </w:tblStylePr>
    <w:tblStylePr w:type="lastCol">
      <w:rPr>
        <w:b/>
        <w:color w:val="404040"/>
      </w:rPr>
    </w:tblStylePr>
    <w:tblStylePr w:type="lastRow">
      <w:rPr>
        <w:b/>
        <w:color w:val="404040"/>
      </w:rPr>
      <w:tcPr>
        <w:tcBorders>
          <w:top w:val="single" w:color="ABD78C" w:themeColor="accent4" w:themeTint="9A" w:sz="4" w:space="0"/>
        </w:tcBorders>
      </w:tcPr>
    </w:tblStylePr>
  </w:style>
  <w:style w:type="table" w:styleId="925" w:customStyle="1">
    <w:name w:val="Grid Table 4 - Accent 5"/>
    <w:basedOn w:val="850"/>
    <w:uiPriority w:val="5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rFonts w:ascii="Arial" w:hAnsi="Arial"/>
        <w:b/>
        <w:color w:val="ffffff"/>
        <w:sz w:val="22"/>
      </w:rPr>
      <w:tcPr>
        <w:shd w:val="clear" w:color="30c0b4" w:themeColor="accent5" w:fill="30c0b4" w:themeFill="accent5"/>
        <w:tcBorders>
          <w:top w:val="single" w:color="30C0B4" w:themeColor="accent5" w:sz="4" w:space="0"/>
          <w:left w:val="single" w:color="30C0B4" w:themeColor="accent5" w:sz="4" w:space="0"/>
          <w:bottom w:val="single" w:color="30C0B4" w:themeColor="accent5" w:sz="4" w:space="0"/>
          <w:right w:val="single" w:color="30C0B4" w:themeColor="accent5" w:sz="4" w:space="0"/>
        </w:tcBorders>
      </w:tcPr>
    </w:tblStylePr>
    <w:tblStylePr w:type="lastCol">
      <w:rPr>
        <w:b/>
        <w:color w:val="404040"/>
      </w:rPr>
    </w:tblStylePr>
    <w:tblStylePr w:type="lastRow">
      <w:rPr>
        <w:b/>
        <w:color w:val="404040"/>
      </w:rPr>
      <w:tcPr>
        <w:tcBorders>
          <w:top w:val="single" w:color="30C0B4" w:themeColor="accent5" w:sz="4" w:space="0"/>
        </w:tcBorders>
      </w:tcPr>
    </w:tblStylePr>
  </w:style>
  <w:style w:type="table" w:styleId="926" w:customStyle="1">
    <w:name w:val="Grid Table 4 - Accent 6"/>
    <w:basedOn w:val="850"/>
    <w:uiPriority w:val="5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e54c5e" w:themeColor="accent6" w:fill="e54c5e" w:themeFill="accent6"/>
        <w:tcBorders>
          <w:top w:val="single" w:color="E54C5E" w:themeColor="accent6" w:sz="4" w:space="0"/>
          <w:left w:val="single" w:color="E54C5E" w:themeColor="accent6" w:sz="4" w:space="0"/>
          <w:bottom w:val="single" w:color="E54C5E" w:themeColor="accent6" w:sz="4" w:space="0"/>
          <w:right w:val="single" w:color="E54C5E" w:themeColor="accent6" w:sz="4" w:space="0"/>
        </w:tcBorders>
      </w:tcPr>
    </w:tblStylePr>
    <w:tblStylePr w:type="lastCol">
      <w:rPr>
        <w:b/>
        <w:color w:val="404040"/>
      </w:rPr>
    </w:tblStylePr>
    <w:tblStylePr w:type="lastRow">
      <w:rPr>
        <w:b/>
        <w:color w:val="404040"/>
      </w:rPr>
      <w:tcPr>
        <w:tcBorders>
          <w:top w:val="single" w:color="E54C5E" w:themeColor="accent6" w:sz="4" w:space="0"/>
        </w:tcBorders>
      </w:tcPr>
    </w:tblStylePr>
  </w:style>
  <w:style w:type="table" w:styleId="927" w:customStyle="1">
    <w:name w:val="Grid Table 5 Dark"/>
    <w:basedOn w:val="85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28" w:customStyle="1">
    <w:name w:val="Grid Table 5 Dark- Accent 1"/>
    <w:basedOn w:val="85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bbfe7" w:themeColor="accent1" w:themeTint="75" w:fill="abbfe7" w:themeFill="accent1" w:themeFillTint="75"/>
      </w:tcPr>
    </w:tblStylePr>
    <w:tblStylePr w:type="band1Vert">
      <w:tcPr>
        <w:shd w:val="clear" w:color="abbfe7" w:themeColor="accent1" w:themeTint="75" w:fill="abbfe7" w:themeFill="accent1" w:themeFillTint="75"/>
      </w:tcPr>
    </w:tblStylePr>
    <w:tblStylePr w:type="firstCol">
      <w:rPr>
        <w:rFonts w:ascii="Arial" w:hAnsi="Arial"/>
        <w:b/>
        <w:color w:val="ffffff"/>
        <w:sz w:val="22"/>
      </w:rPr>
      <w:tcPr>
        <w:shd w:val="clear" w:color="4874cb" w:themeColor="accent1" w:fill="4874cb" w:themeFill="accent1"/>
      </w:tcPr>
    </w:tblStylePr>
    <w:tblStylePr w:type="firstRow">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shd w:val="clear" w:color="4874cb" w:themeColor="accent1" w:fill="4874cb" w:themeFill="accent1"/>
        <w:tcBorders>
          <w:top w:val="single" w:color="FFFFFF" w:themeColor="light1" w:sz="4" w:space="0"/>
        </w:tcBorders>
      </w:tcPr>
    </w:tblStylePr>
  </w:style>
  <w:style w:type="table" w:styleId="929" w:customStyle="1">
    <w:name w:val="Grid Table 5 Dark - Accent 2"/>
    <w:basedOn w:val="85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7c59f" w:themeColor="accent2" w:themeTint="75" w:fill="f7c59f" w:themeFill="accent2" w:themeFillTint="75"/>
      </w:tcPr>
    </w:tblStylePr>
    <w:tblStylePr w:type="band1Vert">
      <w:tcPr>
        <w:shd w:val="clear" w:color="f7c59f" w:themeColor="accent2" w:themeTint="75" w:fill="f7c59f" w:themeFill="accent2" w:themeFillTint="75"/>
      </w:tcPr>
    </w:tblStylePr>
    <w:tblStylePr w:type="firstCol">
      <w:rPr>
        <w:rFonts w:ascii="Arial" w:hAnsi="Arial"/>
        <w:b/>
        <w:color w:val="ffffff"/>
        <w:sz w:val="22"/>
      </w:rPr>
      <w:tcPr>
        <w:shd w:val="clear" w:color="ee822f" w:themeColor="accent2" w:fill="ee822f" w:themeFill="accent2"/>
      </w:tcPr>
    </w:tblStylePr>
    <w:tblStylePr w:type="firstRow">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shd w:val="clear" w:color="ee822f" w:themeColor="accent2" w:fill="ee822f" w:themeFill="accent2"/>
        <w:tcBorders>
          <w:top w:val="single" w:color="FFFFFF" w:themeColor="light1" w:sz="4" w:space="0"/>
        </w:tcBorders>
      </w:tcPr>
    </w:tblStylePr>
  </w:style>
  <w:style w:type="table" w:styleId="930" w:customStyle="1">
    <w:name w:val="Grid Table 5 Dark - Accent 3"/>
    <w:basedOn w:val="85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de185" w:themeColor="accent3" w:themeTint="75" w:fill="fde185" w:themeFill="accent3" w:themeFillTint="75"/>
      </w:tcPr>
    </w:tblStylePr>
    <w:tblStylePr w:type="band1Vert">
      <w:tcPr>
        <w:shd w:val="clear" w:color="fde185" w:themeColor="accent3" w:themeTint="75" w:fill="fde185" w:themeFill="accent3" w:themeFillTint="75"/>
      </w:tcPr>
    </w:tblStylePr>
    <w:tblStylePr w:type="firstCol">
      <w:rPr>
        <w:rFonts w:ascii="Arial" w:hAnsi="Arial"/>
        <w:b/>
        <w:color w:val="ffffff"/>
        <w:sz w:val="22"/>
      </w:rPr>
      <w:tcPr>
        <w:shd w:val="clear" w:color="f2ba02" w:themeColor="accent3" w:fill="f2ba02" w:themeFill="accent3"/>
      </w:tcPr>
    </w:tblStylePr>
    <w:tblStylePr w:type="firstRow">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shd w:val="clear" w:color="f2ba02" w:themeColor="accent3" w:fill="f2ba02" w:themeFill="accent3"/>
        <w:tcBorders>
          <w:top w:val="single" w:color="FFFFFF" w:themeColor="light1" w:sz="4" w:space="0"/>
        </w:tcBorders>
      </w:tcPr>
    </w:tblStylePr>
  </w:style>
  <w:style w:type="table" w:styleId="931" w:customStyle="1">
    <w:name w:val="Grid Table 5 Dark- Accent 4"/>
    <w:basedOn w:val="85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fe0a8" w:themeColor="accent4" w:themeTint="75" w:fill="bfe0a8" w:themeFill="accent4" w:themeFillTint="75"/>
      </w:tcPr>
    </w:tblStylePr>
    <w:tblStylePr w:type="band1Vert">
      <w:tcPr>
        <w:shd w:val="clear" w:color="bfe0a8" w:themeColor="accent4" w:themeTint="75" w:fill="bfe0a8" w:themeFill="accent4" w:themeFillTint="75"/>
      </w:tcPr>
    </w:tblStylePr>
    <w:tblStylePr w:type="firstCol">
      <w:rPr>
        <w:rFonts w:ascii="Arial" w:hAnsi="Arial"/>
        <w:b/>
        <w:color w:val="ffffff"/>
        <w:sz w:val="22"/>
      </w:rPr>
      <w:tcPr>
        <w:shd w:val="clear" w:color="75bd42" w:themeColor="accent4" w:fill="75bd42" w:themeFill="accent4"/>
      </w:tcPr>
    </w:tblStylePr>
    <w:tblStylePr w:type="firstRow">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shd w:val="clear" w:color="75bd42" w:themeColor="accent4" w:fill="75bd42" w:themeFill="accent4"/>
        <w:tcBorders>
          <w:top w:val="single" w:color="FFFFFF" w:themeColor="light1" w:sz="4" w:space="0"/>
        </w:tcBorders>
      </w:tcPr>
    </w:tblStylePr>
  </w:style>
  <w:style w:type="table" w:styleId="932" w:customStyle="1">
    <w:name w:val="Grid Table 5 Dark - Accent 5"/>
    <w:basedOn w:val="85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9be6e0" w:themeColor="accent5" w:themeTint="75" w:fill="9be6e0" w:themeFill="accent5" w:themeFillTint="75"/>
      </w:tcPr>
    </w:tblStylePr>
    <w:tblStylePr w:type="band1Vert">
      <w:tcPr>
        <w:shd w:val="clear" w:color="9be6e0" w:themeColor="accent5" w:themeTint="75" w:fill="9be6e0" w:themeFill="accent5" w:themeFillTint="75"/>
      </w:tcPr>
    </w:tblStylePr>
    <w:tblStylePr w:type="firstCol">
      <w:rPr>
        <w:rFonts w:ascii="Arial" w:hAnsi="Arial"/>
        <w:b/>
        <w:color w:val="ffffff"/>
        <w:sz w:val="22"/>
      </w:rPr>
      <w:tcPr>
        <w:shd w:val="clear" w:color="30c0b4" w:themeColor="accent5" w:fill="30c0b4" w:themeFill="accent5"/>
      </w:tcPr>
    </w:tblStylePr>
    <w:tblStylePr w:type="firstRow">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shd w:val="clear" w:color="30c0b4" w:themeColor="accent5" w:fill="30c0b4" w:themeFill="accent5"/>
        <w:tcBorders>
          <w:top w:val="single" w:color="FFFFFF" w:themeColor="light1" w:sz="4" w:space="0"/>
        </w:tcBorders>
      </w:tcPr>
    </w:tblStylePr>
  </w:style>
  <w:style w:type="table" w:styleId="933" w:customStyle="1">
    <w:name w:val="Grid Table 5 Dark - Accent 6"/>
    <w:basedOn w:val="85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3acb5" w:themeColor="accent6" w:themeTint="75" w:fill="f3acb5" w:themeFill="accent6" w:themeFillTint="75"/>
      </w:tcPr>
    </w:tblStylePr>
    <w:tblStylePr w:type="band1Vert">
      <w:tcPr>
        <w:shd w:val="clear" w:color="f3acb5" w:themeColor="accent6" w:themeTint="75" w:fill="f3acb5" w:themeFill="accent6" w:themeFillTint="75"/>
      </w:tcPr>
    </w:tblStylePr>
    <w:tblStylePr w:type="firstCol">
      <w:rPr>
        <w:rFonts w:ascii="Arial" w:hAnsi="Arial"/>
        <w:b/>
        <w:color w:val="ffffff"/>
        <w:sz w:val="22"/>
      </w:rPr>
      <w:tcPr>
        <w:shd w:val="clear" w:color="e54c5e" w:themeColor="accent6" w:fill="e54c5e" w:themeFill="accent6"/>
      </w:tcPr>
    </w:tblStylePr>
    <w:tblStylePr w:type="firstRow">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shd w:val="clear" w:color="e54c5e" w:themeColor="accent6" w:fill="e54c5e" w:themeFill="accent6"/>
        <w:tcBorders>
          <w:top w:val="single" w:color="FFFFFF" w:themeColor="light1" w:sz="4" w:space="0"/>
        </w:tcBorders>
      </w:tcPr>
    </w:tblStylePr>
  </w:style>
  <w:style w:type="table" w:styleId="934" w:customStyle="1">
    <w:name w:val="Grid Table 6 Colorful"/>
    <w:basedOn w:val="850"/>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35" w:customStyle="1">
    <w:name w:val="Grid Table 6 Colorful - Accent 1"/>
    <w:basedOn w:val="850"/>
    <w:uiPriority w:val="99"/>
    <w:qFormat/>
    <w:pPr>
      <w:spacing w:after="0" w:line="240" w:lineRule="auto"/>
    </w:pPr>
    <w:tblPr>
      <w:tblBorders>
        <w:top w:val="single" w:color="A3B9E4" w:themeColor="accent1" w:themeTint="80" w:sz="4" w:space="0"/>
        <w:left w:val="single" w:color="A3B9E4" w:themeColor="accent1" w:themeTint="80" w:sz="4" w:space="0"/>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b/>
        <w:color w:val="a4bae5" w:themeColor="accent1" w:themeTint="80"/>
        <w14:textFill>
          <w14:solidFill>
            <w14:schemeClr w14:val="accent1">
              <w14:lumMod w14:val="50000"/>
              <w14:lumOff w14:val="50000"/>
            </w14:schemeClr>
          </w14:solidFill>
        </w14:textFill>
      </w:rPr>
    </w:tblStylePr>
    <w:tblStylePr w:type="firstRow">
      <w:rPr>
        <w:b/>
        <w:color w:val="a4bae5" w:themeColor="accent1" w:themeTint="80"/>
        <w14:textFill>
          <w14:solidFill>
            <w14:schemeClr w14:val="accent1">
              <w14:lumMod w14:val="50000"/>
              <w14:lumOff w14:val="50000"/>
            </w14:schemeClr>
          </w14:solidFill>
        </w14:textFill>
      </w:rPr>
      <w:tcPr>
        <w:tcBorders>
          <w:bottom w:val="single" w:color="A3B9E4" w:themeColor="accent1" w:themeTint="80" w:sz="12" w:space="0"/>
        </w:tcBorders>
      </w:tcPr>
    </w:tblStylePr>
    <w:tblStylePr w:type="lastCol">
      <w:rPr>
        <w:b/>
        <w:color w:val="a4bae5" w:themeColor="accent1" w:themeTint="80"/>
        <w14:textFill>
          <w14:solidFill>
            <w14:schemeClr w14:val="accent1">
              <w14:lumMod w14:val="50000"/>
              <w14:lumOff w14:val="50000"/>
            </w14:schemeClr>
          </w14:solidFill>
        </w14:textFill>
      </w:rPr>
    </w:tblStylePr>
    <w:tblStylePr w:type="lastRow">
      <w:rPr>
        <w:b/>
        <w:color w:val="a4bae5" w:themeColor="accent1" w:themeTint="80"/>
        <w14:textFill>
          <w14:solidFill>
            <w14:schemeClr w14:val="accent1">
              <w14:lumMod w14:val="50000"/>
              <w14:lumOff w14:val="50000"/>
            </w14:schemeClr>
          </w14:solidFill>
        </w14:textFill>
      </w:rPr>
    </w:tblStylePr>
  </w:style>
  <w:style w:type="table" w:styleId="936" w:customStyle="1">
    <w:name w:val="Grid Table 6 Colorful - Accent 2"/>
    <w:basedOn w:val="850"/>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12"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blStylePr>
  </w:style>
  <w:style w:type="table" w:styleId="937" w:customStyle="1">
    <w:name w:val="Grid Table 6 Colorful - Accent 3"/>
    <w:basedOn w:val="850"/>
    <w:uiPriority w:val="99"/>
    <w:qFormat/>
    <w:pPr>
      <w:spacing w:after="0" w:line="240" w:lineRule="auto"/>
    </w:pPr>
    <w:tblPr>
      <w:tbl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b/>
        <w:color w:val="f2ba02" w:themeColor="accent3" w:themeTint="FF"/>
        <w14:textFill>
          <w14:solidFill>
            <w14:schemeClr w14:val="accent3">
              <w14:lumMod w14:val="100000"/>
              <w14:lumOff w14:val="0"/>
            </w14:schemeClr>
          </w14:solidFill>
        </w14:textFill>
      </w:rPr>
    </w:tblStylePr>
    <w:tblStylePr w:type="firstRow">
      <w:rPr>
        <w:b/>
        <w:color w:val="f2ba02" w:themeColor="accent3" w:themeTint="FF"/>
        <w14:textFill>
          <w14:solidFill>
            <w14:schemeClr w14:val="accent3">
              <w14:lumMod w14:val="100000"/>
              <w14:lumOff w14:val="0"/>
            </w14:schemeClr>
          </w14:solidFill>
        </w14:textFill>
      </w:rPr>
      <w:tcPr>
        <w:tcBorders>
          <w:bottom w:val="single" w:color="F3BA02" w:themeColor="accent3" w:themeTint="FE" w:sz="12" w:space="0"/>
        </w:tcBorders>
      </w:tcPr>
    </w:tblStylePr>
    <w:tblStylePr w:type="lastCol">
      <w:rPr>
        <w:b/>
        <w:color w:val="f2ba02" w:themeColor="accent3" w:themeTint="FF"/>
        <w14:textFill>
          <w14:solidFill>
            <w14:schemeClr w14:val="accent3">
              <w14:lumMod w14:val="100000"/>
              <w14:lumOff w14:val="0"/>
            </w14:schemeClr>
          </w14:solidFill>
        </w14:textFill>
      </w:rPr>
    </w:tblStylePr>
    <w:tblStylePr w:type="lastRow">
      <w:rPr>
        <w:b/>
        <w:color w:val="f2ba02" w:themeColor="accent3" w:themeTint="FF"/>
        <w14:textFill>
          <w14:solidFill>
            <w14:schemeClr w14:val="accent3">
              <w14:lumMod w14:val="100000"/>
              <w14:lumOff w14:val="0"/>
            </w14:schemeClr>
          </w14:solidFill>
        </w14:textFill>
      </w:rPr>
    </w:tblStylePr>
  </w:style>
  <w:style w:type="table" w:styleId="938" w:customStyle="1">
    <w:name w:val="Grid Table 6 Colorful - Accent 4"/>
    <w:basedOn w:val="850"/>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12"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blStylePr>
  </w:style>
  <w:style w:type="table" w:styleId="939" w:customStyle="1">
    <w:name w:val="Grid Table 6 Colorful - Accent 5"/>
    <w:basedOn w:val="850"/>
    <w:uiPriority w:val="99"/>
    <w:qFormat/>
    <w:pPr>
      <w:spacing w:after="0" w:line="240" w:lineRule="auto"/>
    </w:pPr>
    <w:tblPr>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30C0B4" w:themeColor="accent5" w:sz="12" w:space="0"/>
        </w:tcBorders>
      </w:tcPr>
    </w:tblStylePr>
    <w:tblStylePr w:type="lastCol">
      <w:rPr>
        <w:b/>
        <w:color w:val="1c6f68" w:themeColor="accent5" w:themeShade="94"/>
      </w:rPr>
    </w:tblStylePr>
    <w:tblStylePr w:type="lastRow">
      <w:rPr>
        <w:b/>
        <w:color w:val="1c6f68" w:themeColor="accent5" w:themeShade="94"/>
      </w:rPr>
    </w:tblStylePr>
  </w:style>
  <w:style w:type="table" w:styleId="940" w:customStyle="1">
    <w:name w:val="Grid Table 6 Colorful - Accent 6"/>
    <w:basedOn w:val="850"/>
    <w:uiPriority w:val="99"/>
    <w:qFormat/>
    <w:pPr>
      <w:spacing w:after="0" w:line="240" w:lineRule="auto"/>
    </w:pPr>
    <w:tblPr>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1c6f68" w:themeColor="accent5"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E54C5E" w:themeColor="accent6" w:sz="12" w:space="0"/>
        </w:tcBorders>
      </w:tcPr>
    </w:tblStylePr>
    <w:tblStylePr w:type="lastCol">
      <w:rPr>
        <w:b/>
        <w:color w:val="1c6f68" w:themeColor="accent5" w:themeShade="94"/>
      </w:rPr>
    </w:tblStylePr>
    <w:tblStylePr w:type="lastRow">
      <w:rPr>
        <w:b/>
        <w:color w:val="1c6f68" w:themeColor="accent5" w:themeShade="94"/>
      </w:rPr>
    </w:tblStylePr>
  </w:style>
  <w:style w:type="table" w:styleId="941" w:customStyle="1">
    <w:name w:val="Grid Table 7 Colorful"/>
    <w:basedOn w:val="850"/>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42" w:customStyle="1">
    <w:name w:val="Grid Table 7 Colorful - Accent 1"/>
    <w:basedOn w:val="850"/>
    <w:uiPriority w:val="99"/>
    <w:qFormat/>
    <w:pPr>
      <w:spacing w:after="0" w:line="240" w:lineRule="auto"/>
    </w:pPr>
    <w:tblPr>
      <w:tblBorders>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rFonts w:ascii="Arial" w:hAnsi="Arial"/>
        <w:i/>
        <w:color w:val="a4bae5"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3B9E4" w:themeColor="accent1" w:themeTint="80" w:sz="4" w:space="0"/>
        </w:tcBorders>
      </w:tcPr>
    </w:tblStylePr>
    <w:tblStylePr w:type="fir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3B9E4" w:themeColor="accent1" w:themeTint="80" w:sz="4" w:space="0"/>
          <w:right w:val="none" w:color="000000" w:sz="4" w:space="0"/>
        </w:tcBorders>
      </w:tcPr>
    </w:tblStylePr>
    <w:tblStylePr w:type="lastCol">
      <w:rPr>
        <w:rFonts w:ascii="Arial" w:hAnsi="Arial"/>
        <w:i/>
        <w:color w:val="a4bae5"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3B9E4" w:themeColor="accent1" w:themeTint="80" w:sz="4" w:space="0"/>
          <w:bottom w:val="none" w:color="000000" w:sz="4" w:space="0"/>
          <w:right w:val="none" w:color="000000" w:sz="4" w:space="0"/>
        </w:tcBorders>
      </w:tcPr>
    </w:tblStylePr>
    <w:tblStylePr w:type="la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3B9E4" w:themeColor="accent1" w:themeTint="80" w:sz="4" w:space="0"/>
          <w:left w:val="none" w:color="000000" w:sz="4" w:space="0"/>
          <w:bottom w:val="none" w:color="000000" w:sz="4" w:space="0"/>
          <w:right w:val="none" w:color="000000" w:sz="4" w:space="0"/>
        </w:tcBorders>
      </w:tcPr>
    </w:tblStylePr>
  </w:style>
  <w:style w:type="table" w:styleId="943" w:customStyle="1">
    <w:name w:val="Grid Table 7 Colorful - Accent 2"/>
    <w:basedOn w:val="850"/>
    <w:uiPriority w:val="99"/>
    <w:qFormat/>
    <w:pPr>
      <w:spacing w:after="0" w:line="240" w:lineRule="auto"/>
    </w:pPr>
    <w:tblPr>
      <w:tblBorders>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944" w:customStyle="1">
    <w:name w:val="Grid Table 7 Colorful - Accent 3"/>
    <w:basedOn w:val="850"/>
    <w:uiPriority w:val="99"/>
    <w:qFormat/>
    <w:pPr>
      <w:spacing w:after="0" w:line="240" w:lineRule="auto"/>
    </w:pPr>
    <w:tblPr>
      <w:tblBorders>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rFonts w:ascii="Arial" w:hAnsi="Arial"/>
        <w:i/>
        <w:color w:val="f2ba02"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F3BA02" w:themeColor="accent3" w:themeTint="FE" w:sz="4" w:space="0"/>
        </w:tcBorders>
      </w:tcPr>
    </w:tblStylePr>
    <w:tblStylePr w:type="fir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F3BA02" w:themeColor="accent3" w:themeTint="FE" w:sz="4" w:space="0"/>
          <w:right w:val="none" w:color="000000" w:sz="4" w:space="0"/>
        </w:tcBorders>
      </w:tcPr>
    </w:tblStylePr>
    <w:tblStylePr w:type="lastCol">
      <w:rPr>
        <w:rFonts w:ascii="Arial" w:hAnsi="Arial"/>
        <w:i/>
        <w:color w:val="f2ba02"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F3BA02" w:themeColor="accent3" w:themeTint="FE" w:sz="4" w:space="0"/>
          <w:bottom w:val="none" w:color="000000" w:sz="4" w:space="0"/>
          <w:right w:val="none" w:color="000000" w:sz="4" w:space="0"/>
        </w:tcBorders>
      </w:tcPr>
    </w:tblStylePr>
    <w:tblStylePr w:type="la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F3BA02" w:themeColor="accent3" w:themeTint="FE" w:sz="4" w:space="0"/>
          <w:left w:val="none" w:color="000000" w:sz="4" w:space="0"/>
          <w:bottom w:val="none" w:color="000000" w:sz="4" w:space="0"/>
          <w:right w:val="none" w:color="000000" w:sz="4" w:space="0"/>
        </w:tcBorders>
      </w:tcPr>
    </w:tblStylePr>
  </w:style>
  <w:style w:type="table" w:styleId="945" w:customStyle="1">
    <w:name w:val="Grid Table 7 Colorful - Accent 4"/>
    <w:basedOn w:val="850"/>
    <w:uiPriority w:val="99"/>
    <w:qFormat/>
    <w:pPr>
      <w:spacing w:after="0" w:line="240" w:lineRule="auto"/>
    </w:pPr>
    <w:tblPr>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946" w:customStyle="1">
    <w:name w:val="Grid Table 7 Colorful - Accent 5"/>
    <w:basedOn w:val="850"/>
    <w:uiPriority w:val="99"/>
    <w:qFormat/>
    <w:pPr>
      <w:spacing w:after="0" w:line="240" w:lineRule="auto"/>
    </w:pPr>
    <w:tblPr>
      <w:tblBorders>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rFonts w:ascii="Arial" w:hAnsi="Arial"/>
        <w:i/>
        <w:color w:val="1c6f68" w:themeColor="accent5" w:themeShade="94"/>
        <w:sz w:val="22"/>
      </w:rPr>
      <w:pPr>
        <w:jc w:val="right"/>
      </w:pPr>
      <w:tcPr>
        <w:shd w:val="clear" w:color="ffffff" w:fill="auto"/>
        <w:tcBorders>
          <w:top w:val="none" w:color="000000" w:sz="4" w:space="0"/>
          <w:left w:val="none" w:color="000000" w:sz="4" w:space="0"/>
          <w:bottom w:val="none" w:color="000000" w:sz="4" w:space="0"/>
          <w:right w:val="single" w:color="85E0D8" w:themeColor="accent5" w:themeTint="90" w:sz="4" w:space="0"/>
        </w:tcBorders>
      </w:tcPr>
    </w:tblStylePr>
    <w:tblStylePr w:type="firstRow">
      <w:rPr>
        <w:rFonts w:ascii="Arial" w:hAnsi="Arial"/>
        <w:b/>
        <w:color w:val="1c6f68" w:themeColor="accent5" w:themeShade="94"/>
        <w:sz w:val="22"/>
      </w:rPr>
      <w:tcPr>
        <w:shd w:val="clear" w:color="ffffff" w:themeColor="light1" w:fill="ffffff" w:themeFill="light1"/>
        <w:tcBorders>
          <w:top w:val="none" w:color="000000" w:sz="4" w:space="0"/>
          <w:left w:val="none" w:color="000000" w:sz="4" w:space="0"/>
          <w:bottom w:val="single" w:color="85E0D8" w:themeColor="accent5" w:themeTint="90" w:sz="4" w:space="0"/>
          <w:right w:val="none" w:color="000000" w:sz="4" w:space="0"/>
        </w:tcBorders>
      </w:tcPr>
    </w:tblStylePr>
    <w:tblStylePr w:type="lastCol">
      <w:rPr>
        <w:rFonts w:ascii="Arial" w:hAnsi="Arial"/>
        <w:i/>
        <w:color w:val="1c6f68" w:themeColor="accent5" w:themeShade="94"/>
        <w:sz w:val="22"/>
      </w:rPr>
      <w:tcPr>
        <w:shd w:val="clear" w:color="ffffff" w:fill="auto"/>
        <w:tcBorders>
          <w:top w:val="none" w:color="000000" w:sz="4" w:space="0"/>
          <w:left w:val="single" w:color="85E0D8" w:themeColor="accent5" w:themeTint="90" w:sz="4" w:space="0"/>
          <w:bottom w:val="none" w:color="000000" w:sz="4" w:space="0"/>
          <w:right w:val="none" w:color="000000" w:sz="4" w:space="0"/>
        </w:tcBorders>
      </w:tcPr>
    </w:tblStylePr>
    <w:tblStylePr w:type="lastRow">
      <w:rPr>
        <w:rFonts w:ascii="Arial" w:hAnsi="Arial"/>
        <w:b/>
        <w:color w:val="1c6f68" w:themeColor="accent5" w:themeShade="94"/>
        <w:sz w:val="22"/>
      </w:rPr>
      <w:tcPr>
        <w:shd w:val="clear" w:color="ffffff" w:themeColor="light1" w:fill="ffffff" w:themeFill="light1"/>
        <w:tcBorders>
          <w:top w:val="single" w:color="85E0D8" w:themeColor="accent5" w:themeTint="90" w:sz="4" w:space="0"/>
          <w:left w:val="none" w:color="000000" w:sz="4" w:space="0"/>
          <w:bottom w:val="none" w:color="000000" w:sz="4" w:space="0"/>
          <w:right w:val="none" w:color="000000" w:sz="4" w:space="0"/>
        </w:tcBorders>
      </w:tcPr>
    </w:tblStylePr>
  </w:style>
  <w:style w:type="table" w:styleId="947" w:customStyle="1">
    <w:name w:val="Grid Table 7 Colorful - Accent 6"/>
    <w:basedOn w:val="850"/>
    <w:uiPriority w:val="99"/>
    <w:qFormat/>
    <w:pPr>
      <w:spacing w:after="0" w:line="240" w:lineRule="auto"/>
    </w:pPr>
    <w:tblPr>
      <w:tblBorders>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9a1626" w:themeColor="accent6"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9a1626" w:themeColor="accent6" w:themeShade="94"/>
        <w:sz w:val="22"/>
      </w:rPr>
    </w:tblStylePr>
    <w:tblStylePr w:type="firstCol">
      <w:rPr>
        <w:rFonts w:ascii="Arial" w:hAnsi="Arial"/>
        <w:i/>
        <w:color w:val="9a1626" w:themeColor="accent6" w:themeShade="94"/>
        <w:sz w:val="22"/>
      </w:rPr>
      <w:pPr>
        <w:jc w:val="right"/>
      </w:pPr>
      <w:tcPr>
        <w:shd w:val="clear" w:color="ffffff" w:fill="auto"/>
        <w:tcBorders>
          <w:top w:val="none" w:color="000000" w:sz="4" w:space="0"/>
          <w:left w:val="none" w:color="000000" w:sz="4" w:space="0"/>
          <w:bottom w:val="none" w:color="000000" w:sz="4" w:space="0"/>
          <w:right w:val="single" w:color="F099A4" w:themeColor="accent6" w:themeTint="90" w:sz="4" w:space="0"/>
        </w:tcBorders>
      </w:tcPr>
    </w:tblStylePr>
    <w:tblStylePr w:type="firstRow">
      <w:rPr>
        <w:rFonts w:ascii="Arial" w:hAnsi="Arial"/>
        <w:b/>
        <w:color w:val="9a1626" w:themeColor="accent6" w:themeShade="94"/>
        <w:sz w:val="22"/>
      </w:rPr>
      <w:tcPr>
        <w:shd w:val="clear" w:color="ffffff" w:themeColor="light1" w:fill="ffffff" w:themeFill="light1"/>
        <w:tcBorders>
          <w:top w:val="none" w:color="000000" w:sz="4" w:space="0"/>
          <w:left w:val="none" w:color="000000" w:sz="4" w:space="0"/>
          <w:bottom w:val="single" w:color="F099A4" w:themeColor="accent6" w:themeTint="90" w:sz="4" w:space="0"/>
          <w:right w:val="none" w:color="000000" w:sz="4" w:space="0"/>
        </w:tcBorders>
      </w:tcPr>
    </w:tblStylePr>
    <w:tblStylePr w:type="lastCol">
      <w:rPr>
        <w:rFonts w:ascii="Arial" w:hAnsi="Arial"/>
        <w:i/>
        <w:color w:val="9a1626" w:themeColor="accent6" w:themeShade="94"/>
        <w:sz w:val="22"/>
      </w:rPr>
      <w:tcPr>
        <w:shd w:val="clear" w:color="ffffff" w:fill="auto"/>
        <w:tcBorders>
          <w:top w:val="none" w:color="000000" w:sz="4" w:space="0"/>
          <w:left w:val="single" w:color="F099A4" w:themeColor="accent6" w:themeTint="90" w:sz="4" w:space="0"/>
          <w:bottom w:val="none" w:color="000000" w:sz="4" w:space="0"/>
          <w:right w:val="none" w:color="000000" w:sz="4" w:space="0"/>
        </w:tcBorders>
      </w:tcPr>
    </w:tblStylePr>
    <w:tblStylePr w:type="lastRow">
      <w:rPr>
        <w:rFonts w:ascii="Arial" w:hAnsi="Arial"/>
        <w:b/>
        <w:color w:val="9a1626" w:themeColor="accent6" w:themeShade="94"/>
        <w:sz w:val="22"/>
      </w:rPr>
      <w:tcPr>
        <w:shd w:val="clear" w:color="ffffff" w:themeColor="light1" w:fill="ffffff" w:themeFill="light1"/>
        <w:tcBorders>
          <w:top w:val="single" w:color="F099A4" w:themeColor="accent6" w:themeTint="90" w:sz="4" w:space="0"/>
          <w:left w:val="none" w:color="000000" w:sz="4" w:space="0"/>
          <w:bottom w:val="none" w:color="000000" w:sz="4" w:space="0"/>
          <w:right w:val="none" w:color="000000" w:sz="4" w:space="0"/>
        </w:tcBorders>
      </w:tcPr>
    </w:tblStylePr>
  </w:style>
  <w:style w:type="table" w:styleId="948" w:customStyle="1">
    <w:name w:val="List Table 1 Light"/>
    <w:basedOn w:val="850"/>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49" w:customStyle="1">
    <w:name w:val="List Table 1 Light - Accent 1"/>
    <w:basedOn w:val="850"/>
    <w:uiPriority w:val="99"/>
    <w:qFormat/>
    <w:pPr>
      <w:spacing w:after="0" w:line="240" w:lineRule="auto"/>
    </w:pPr>
    <w:tblPr/>
    <w:tblStylePr w:type="band1Horz">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874CB" w:themeColor="accent1" w:sz="4" w:space="0"/>
          <w:right w:val="none" w:color="000000" w:sz="4" w:space="0"/>
        </w:tcBorders>
      </w:tcPr>
    </w:tblStylePr>
    <w:tblStylePr w:type="lastCol">
      <w:rPr>
        <w:b/>
        <w:color w:val="404040"/>
      </w:rPr>
    </w:tblStylePr>
    <w:tblStylePr w:type="lastRow">
      <w:rPr>
        <w:b/>
        <w:color w:val="404040"/>
      </w:rPr>
      <w:tcPr>
        <w:tcBorders>
          <w:top w:val="single" w:color="4874CB" w:themeColor="accent1" w:sz="4" w:space="0"/>
          <w:left w:val="none" w:color="000000" w:sz="4" w:space="0"/>
          <w:bottom w:val="none" w:color="000000" w:sz="4" w:space="0"/>
          <w:right w:val="none" w:color="000000" w:sz="4" w:space="0"/>
        </w:tcBorders>
      </w:tcPr>
    </w:tblStylePr>
  </w:style>
  <w:style w:type="table" w:styleId="950" w:customStyle="1">
    <w:name w:val="List Table 1 Light - Accent 2"/>
    <w:basedOn w:val="850"/>
    <w:uiPriority w:val="99"/>
    <w:qFormat/>
    <w:pPr>
      <w:spacing w:after="0" w:line="240" w:lineRule="auto"/>
    </w:pPr>
    <w:tblPr/>
    <w:tblStylePr w:type="band1Horz">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E822F" w:themeColor="accent2" w:sz="4" w:space="0"/>
          <w:right w:val="none" w:color="000000" w:sz="4" w:space="0"/>
        </w:tcBorders>
      </w:tcPr>
    </w:tblStylePr>
    <w:tblStylePr w:type="lastCol">
      <w:rPr>
        <w:b/>
        <w:color w:val="404040"/>
      </w:rPr>
    </w:tblStylePr>
    <w:tblStylePr w:type="lastRow">
      <w:rPr>
        <w:b/>
        <w:color w:val="404040"/>
      </w:rPr>
      <w:tcPr>
        <w:tcBorders>
          <w:top w:val="single" w:color="EE822F" w:themeColor="accent2" w:sz="4" w:space="0"/>
          <w:left w:val="none" w:color="000000" w:sz="4" w:space="0"/>
          <w:bottom w:val="none" w:color="000000" w:sz="4" w:space="0"/>
          <w:right w:val="none" w:color="000000" w:sz="4" w:space="0"/>
        </w:tcBorders>
      </w:tcPr>
    </w:tblStylePr>
  </w:style>
  <w:style w:type="table" w:styleId="951" w:customStyle="1">
    <w:name w:val="List Table 1 Light - Accent 3"/>
    <w:basedOn w:val="850"/>
    <w:uiPriority w:val="99"/>
    <w:qFormat/>
    <w:pPr>
      <w:spacing w:after="0" w:line="240" w:lineRule="auto"/>
    </w:pPr>
    <w:tblPr/>
    <w:tblStylePr w:type="band1Horz">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2BA02" w:themeColor="accent3" w:sz="4" w:space="0"/>
          <w:right w:val="none" w:color="000000" w:sz="4" w:space="0"/>
        </w:tcBorders>
      </w:tcPr>
    </w:tblStylePr>
    <w:tblStylePr w:type="lastCol">
      <w:rPr>
        <w:b/>
        <w:color w:val="404040"/>
      </w:rPr>
    </w:tblStylePr>
    <w:tblStylePr w:type="lastRow">
      <w:rPr>
        <w:b/>
        <w:color w:val="404040"/>
      </w:rPr>
      <w:tcPr>
        <w:tcBorders>
          <w:top w:val="single" w:color="F2BA02" w:themeColor="accent3" w:sz="4" w:space="0"/>
          <w:left w:val="none" w:color="000000" w:sz="4" w:space="0"/>
          <w:bottom w:val="none" w:color="000000" w:sz="4" w:space="0"/>
          <w:right w:val="none" w:color="000000" w:sz="4" w:space="0"/>
        </w:tcBorders>
      </w:tcPr>
    </w:tblStylePr>
  </w:style>
  <w:style w:type="table" w:styleId="952" w:customStyle="1">
    <w:name w:val="List Table 1 Light - Accent 4"/>
    <w:basedOn w:val="850"/>
    <w:uiPriority w:val="99"/>
    <w:qFormat/>
    <w:pPr>
      <w:spacing w:after="0" w:line="240" w:lineRule="auto"/>
    </w:pPr>
    <w:tblPr/>
    <w:tblStylePr w:type="band1Horz">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5BD42" w:themeColor="accent4" w:sz="4" w:space="0"/>
          <w:right w:val="none" w:color="000000" w:sz="4" w:space="0"/>
        </w:tcBorders>
      </w:tcPr>
    </w:tblStylePr>
    <w:tblStylePr w:type="lastCol">
      <w:rPr>
        <w:b/>
        <w:color w:val="404040"/>
      </w:rPr>
    </w:tblStylePr>
    <w:tblStylePr w:type="lastRow">
      <w:rPr>
        <w:b/>
        <w:color w:val="404040"/>
      </w:rPr>
      <w:tcPr>
        <w:tcBorders>
          <w:top w:val="single" w:color="75BD42" w:themeColor="accent4" w:sz="4" w:space="0"/>
          <w:left w:val="none" w:color="000000" w:sz="4" w:space="0"/>
          <w:bottom w:val="none" w:color="000000" w:sz="4" w:space="0"/>
          <w:right w:val="none" w:color="000000" w:sz="4" w:space="0"/>
        </w:tcBorders>
      </w:tcPr>
    </w:tblStylePr>
  </w:style>
  <w:style w:type="table" w:styleId="953" w:customStyle="1">
    <w:name w:val="List Table 1 Light - Accent 5"/>
    <w:basedOn w:val="850"/>
    <w:uiPriority w:val="99"/>
    <w:qFormat/>
    <w:pPr>
      <w:spacing w:after="0" w:line="240" w:lineRule="auto"/>
    </w:pPr>
    <w:tblPr/>
    <w:tblStylePr w:type="band1Horz">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30C0B4" w:themeColor="accent5" w:sz="4" w:space="0"/>
          <w:right w:val="none" w:color="000000" w:sz="4" w:space="0"/>
        </w:tcBorders>
      </w:tcPr>
    </w:tblStylePr>
    <w:tblStylePr w:type="lastCol">
      <w:rPr>
        <w:b/>
        <w:color w:val="404040"/>
      </w:rPr>
    </w:tblStylePr>
    <w:tblStylePr w:type="lastRow">
      <w:rPr>
        <w:b/>
        <w:color w:val="404040"/>
      </w:rPr>
      <w:tcPr>
        <w:tcBorders>
          <w:top w:val="single" w:color="30C0B4" w:themeColor="accent5" w:sz="4" w:space="0"/>
          <w:left w:val="none" w:color="000000" w:sz="4" w:space="0"/>
          <w:bottom w:val="none" w:color="000000" w:sz="4" w:space="0"/>
          <w:right w:val="none" w:color="000000" w:sz="4" w:space="0"/>
        </w:tcBorders>
      </w:tcPr>
    </w:tblStylePr>
  </w:style>
  <w:style w:type="table" w:styleId="954" w:customStyle="1">
    <w:name w:val="List Table 1 Light - Accent 6"/>
    <w:basedOn w:val="850"/>
    <w:uiPriority w:val="99"/>
    <w:qFormat/>
    <w:pPr>
      <w:spacing w:after="0" w:line="240" w:lineRule="auto"/>
    </w:pPr>
    <w:tblPr/>
    <w:tblStylePr w:type="band1Horz">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54C5E" w:themeColor="accent6" w:sz="4" w:space="0"/>
          <w:right w:val="none" w:color="000000" w:sz="4" w:space="0"/>
        </w:tcBorders>
      </w:tcPr>
    </w:tblStylePr>
    <w:tblStylePr w:type="lastCol">
      <w:rPr>
        <w:b/>
        <w:color w:val="404040"/>
      </w:rPr>
    </w:tblStylePr>
    <w:tblStylePr w:type="lastRow">
      <w:rPr>
        <w:b/>
        <w:color w:val="404040"/>
      </w:rPr>
      <w:tcPr>
        <w:tcBorders>
          <w:top w:val="single" w:color="E54C5E" w:themeColor="accent6" w:sz="4" w:space="0"/>
          <w:left w:val="none" w:color="000000" w:sz="4" w:space="0"/>
          <w:bottom w:val="none" w:color="000000" w:sz="4" w:space="0"/>
          <w:right w:val="none" w:color="000000" w:sz="4" w:space="0"/>
        </w:tcBorders>
      </w:tcPr>
    </w:tblStylePr>
  </w:style>
  <w:style w:type="table" w:styleId="955" w:customStyle="1">
    <w:name w:val="List Table 2"/>
    <w:basedOn w:val="850"/>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56" w:customStyle="1">
    <w:name w:val="List Table 2 - Accent 1"/>
    <w:basedOn w:val="850"/>
    <w:uiPriority w:val="99"/>
    <w:qFormat/>
    <w:pPr>
      <w:spacing w:after="0" w:line="240" w:lineRule="auto"/>
    </w:pPr>
    <w:tblPr>
      <w:tblBorders>
        <w:top w:val="single" w:color="97B0E1" w:themeColor="accent1" w:themeTint="90" w:sz="4" w:space="0"/>
        <w:bottom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style>
  <w:style w:type="table" w:styleId="957" w:customStyle="1">
    <w:name w:val="List Table 2 - Accent 2"/>
    <w:basedOn w:val="850"/>
    <w:uiPriority w:val="99"/>
    <w:qFormat/>
    <w:pPr>
      <w:spacing w:after="0" w:line="240" w:lineRule="auto"/>
    </w:pPr>
    <w:tblPr>
      <w:tblBorders>
        <w:top w:val="single" w:color="F5B889" w:themeColor="accent2" w:themeTint="90" w:sz="4" w:space="0"/>
        <w:bottom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style>
  <w:style w:type="table" w:styleId="958" w:customStyle="1">
    <w:name w:val="List Table 2 - Accent 3"/>
    <w:basedOn w:val="850"/>
    <w:uiPriority w:val="99"/>
    <w:qFormat/>
    <w:pPr>
      <w:spacing w:after="0" w:line="240" w:lineRule="auto"/>
    </w:pPr>
    <w:tblPr>
      <w:tblBorders>
        <w:top w:val="single" w:color="FDDB6A" w:themeColor="accent3" w:themeTint="90" w:sz="4" w:space="0"/>
        <w:bottom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style>
  <w:style w:type="table" w:styleId="959" w:customStyle="1">
    <w:name w:val="List Table 2 - Accent 4"/>
    <w:basedOn w:val="850"/>
    <w:uiPriority w:val="99"/>
    <w:qFormat/>
    <w:pPr>
      <w:spacing w:after="0" w:line="240" w:lineRule="auto"/>
    </w:pPr>
    <w:tblPr>
      <w:tblBorders>
        <w:top w:val="single" w:color="B1D994" w:themeColor="accent4" w:themeTint="90" w:sz="4" w:space="0"/>
        <w:bottom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style>
  <w:style w:type="table" w:styleId="960" w:customStyle="1">
    <w:name w:val="List Table 2 - Accent 5"/>
    <w:basedOn w:val="850"/>
    <w:uiPriority w:val="99"/>
    <w:qFormat/>
    <w:pPr>
      <w:spacing w:after="0" w:line="240" w:lineRule="auto"/>
    </w:pPr>
    <w:tblPr>
      <w:tblBorders>
        <w:top w:val="single" w:color="85E0D8" w:themeColor="accent5" w:themeTint="90" w:sz="4" w:space="0"/>
        <w:bottom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style>
  <w:style w:type="table" w:styleId="961" w:customStyle="1">
    <w:name w:val="List Table 2 - Accent 6"/>
    <w:basedOn w:val="850"/>
    <w:uiPriority w:val="99"/>
    <w:qFormat/>
    <w:pPr>
      <w:spacing w:after="0" w:line="240" w:lineRule="auto"/>
    </w:pPr>
    <w:tblPr>
      <w:tblBorders>
        <w:top w:val="single" w:color="F099A4" w:themeColor="accent6" w:themeTint="90" w:sz="4" w:space="0"/>
        <w:bottom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style>
  <w:style w:type="table" w:styleId="962" w:customStyle="1">
    <w:name w:val="List Table 3"/>
    <w:basedOn w:val="850"/>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63" w:customStyle="1">
    <w:name w:val="List Table 3 - Accent 1"/>
    <w:basedOn w:val="850"/>
    <w:uiPriority w:val="99"/>
    <w:qFormat/>
    <w:pPr>
      <w:spacing w:after="0" w:line="240" w:lineRule="auto"/>
    </w:pPr>
    <w:tblPr>
      <w:tblBorders>
        <w:top w:val="single" w:color="4874CB" w:themeColor="accent1" w:sz="4" w:space="0"/>
        <w:left w:val="single" w:color="4874CB" w:themeColor="accent1" w:sz="4" w:space="0"/>
        <w:bottom w:val="single" w:color="4874CB" w:themeColor="accent1" w:sz="4" w:space="0"/>
        <w:right w:val="single" w:color="4874CB" w:themeColor="accent1" w:sz="4" w:space="0"/>
      </w:tblBorders>
    </w:tblPr>
    <w:tblStylePr w:type="band1Horz">
      <w:rPr>
        <w:rFonts w:ascii="Arial" w:hAnsi="Arial"/>
        <w:color w:val="404040"/>
        <w:sz w:val="22"/>
      </w:rPr>
      <w:tcPr>
        <w:tcBorders>
          <w:top w:val="single" w:color="4874CB" w:themeColor="accent1" w:sz="4" w:space="0"/>
          <w:bottom w:val="single" w:color="4874CB" w:themeColor="accent1" w:sz="4" w:space="0"/>
        </w:tcBorders>
      </w:tc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964" w:customStyle="1">
    <w:name w:val="List Table 3 - Accent 2"/>
    <w:basedOn w:val="850"/>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blBorders>
    </w:tblPr>
    <w:tblStylePr w:type="band1Horz">
      <w:rPr>
        <w:rFonts w:ascii="Arial" w:hAnsi="Arial"/>
        <w:color w:val="404040"/>
        <w:sz w:val="22"/>
      </w:rPr>
      <w:tcPr>
        <w:tcBorders>
          <w:top w:val="single" w:color="F4B483" w:themeColor="accent2" w:themeTint="97" w:sz="4" w:space="0"/>
          <w:bottom w:val="single" w:color="F4B483" w:themeColor="accent2" w:themeTint="97" w:sz="4" w:space="0"/>
        </w:tcBorders>
      </w:tcPr>
    </w:tblStylePr>
    <w:tblStylePr w:type="band1Vert">
      <w:rPr>
        <w:rFonts w:ascii="Arial" w:hAnsi="Arial"/>
        <w:color w:val="404040"/>
        <w:sz w:val="22"/>
      </w:rPr>
      <w:tcPr>
        <w:tcBorders>
          <w:left w:val="single" w:color="F4B483" w:themeColor="accent2" w:themeTint="97" w:sz="4" w:space="0"/>
          <w:right w:val="single" w:color="F4B483" w:themeColor="accent2" w:themeTint="97" w:sz="4" w:space="0"/>
        </w:tcBorders>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Pr>
    </w:tblStylePr>
    <w:tblStylePr w:type="lastCol">
      <w:rPr>
        <w:b/>
        <w:color w:val="404040"/>
      </w:rPr>
    </w:tblStylePr>
    <w:tblStylePr w:type="lastRow">
      <w:rPr>
        <w:b/>
        <w:color w:val="404040"/>
      </w:rPr>
    </w:tblStylePr>
  </w:style>
  <w:style w:type="table" w:styleId="965" w:customStyle="1">
    <w:name w:val="List Table 3 - Accent 3"/>
    <w:basedOn w:val="850"/>
    <w:uiPriority w:val="99"/>
    <w:qFormat/>
    <w:pPr>
      <w:spacing w:after="0" w:line="240" w:lineRule="auto"/>
    </w:pPr>
    <w:tblPr>
      <w:tblBorders>
        <w:top w:val="single" w:color="FDD961" w:themeColor="accent3" w:themeTint="98" w:sz="4" w:space="0"/>
        <w:left w:val="single" w:color="FDD961" w:themeColor="accent3" w:themeTint="98" w:sz="4" w:space="0"/>
        <w:bottom w:val="single" w:color="FDD961" w:themeColor="accent3" w:themeTint="98" w:sz="4" w:space="0"/>
        <w:right w:val="single" w:color="FDD961" w:themeColor="accent3" w:themeTint="98" w:sz="4" w:space="0"/>
      </w:tblBorders>
    </w:tblPr>
    <w:tblStylePr w:type="band1Horz">
      <w:rPr>
        <w:rFonts w:ascii="Arial" w:hAnsi="Arial"/>
        <w:color w:val="404040"/>
        <w:sz w:val="22"/>
      </w:rPr>
      <w:tcPr>
        <w:tcBorders>
          <w:top w:val="single" w:color="FDD961" w:themeColor="accent3" w:themeTint="98" w:sz="4" w:space="0"/>
          <w:bottom w:val="single" w:color="FDD961" w:themeColor="accent3" w:themeTint="98" w:sz="4" w:space="0"/>
        </w:tcBorders>
      </w:tcPr>
    </w:tblStylePr>
    <w:tblStylePr w:type="band1Vert">
      <w:rPr>
        <w:rFonts w:ascii="Arial" w:hAnsi="Arial"/>
        <w:color w:val="404040"/>
        <w:sz w:val="22"/>
      </w:rPr>
      <w:tcPr>
        <w:tcBorders>
          <w:left w:val="single" w:color="FDD961" w:themeColor="accent3" w:themeTint="98" w:sz="4" w:space="0"/>
          <w:right w:val="single" w:color="FDD961" w:themeColor="accent3" w:themeTint="98" w:sz="4" w:space="0"/>
        </w:tcBorders>
      </w:tcPr>
    </w:tblStylePr>
    <w:tblStylePr w:type="firstCol">
      <w:rPr>
        <w:b/>
        <w:color w:val="404040"/>
      </w:rPr>
    </w:tblStylePr>
    <w:tblStylePr w:type="firstRow">
      <w:rPr>
        <w:rFonts w:ascii="Arial" w:hAnsi="Arial"/>
        <w:b/>
        <w:color w:val="ffffff"/>
        <w:sz w:val="22"/>
      </w:rPr>
      <w:tcPr>
        <w:shd w:val="clear" w:color="fdd961" w:themeColor="accent3" w:themeTint="98" w:fill="fdd961" w:themeFill="accent3" w:themeFillTint="98"/>
      </w:tcPr>
    </w:tblStylePr>
    <w:tblStylePr w:type="lastCol">
      <w:rPr>
        <w:b/>
        <w:color w:val="404040"/>
      </w:rPr>
    </w:tblStylePr>
    <w:tblStylePr w:type="lastRow">
      <w:rPr>
        <w:b/>
        <w:color w:val="404040"/>
      </w:rPr>
    </w:tblStylePr>
  </w:style>
  <w:style w:type="table" w:styleId="966" w:customStyle="1">
    <w:name w:val="List Table 3 - Accent 4"/>
    <w:basedOn w:val="850"/>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Pr>
    </w:tblStylePr>
    <w:tblStylePr w:type="lastCol">
      <w:rPr>
        <w:b/>
        <w:color w:val="404040"/>
      </w:rPr>
    </w:tblStylePr>
    <w:tblStylePr w:type="lastRow">
      <w:rPr>
        <w:b/>
        <w:color w:val="404040"/>
      </w:rPr>
    </w:tblStylePr>
  </w:style>
  <w:style w:type="table" w:styleId="967" w:customStyle="1">
    <w:name w:val="List Table 3 - Accent 5"/>
    <w:basedOn w:val="850"/>
    <w:uiPriority w:val="99"/>
    <w:qFormat/>
    <w:pPr>
      <w:spacing w:after="0" w:line="240" w:lineRule="auto"/>
    </w:pPr>
    <w:tblPr>
      <w:tblBorders>
        <w:top w:val="single" w:color="7CDED6" w:themeColor="accent5" w:themeTint="9A" w:sz="4" w:space="0"/>
        <w:left w:val="single" w:color="7CDED6" w:themeColor="accent5" w:themeTint="9A" w:sz="4" w:space="0"/>
        <w:bottom w:val="single" w:color="7CDED6" w:themeColor="accent5" w:themeTint="9A" w:sz="4" w:space="0"/>
        <w:right w:val="single" w:color="7CDED6" w:themeColor="accent5" w:themeTint="9A" w:sz="4" w:space="0"/>
      </w:tblBorders>
    </w:tblPr>
    <w:tblStylePr w:type="band1Horz">
      <w:rPr>
        <w:rFonts w:ascii="Arial" w:hAnsi="Arial"/>
        <w:color w:val="404040"/>
        <w:sz w:val="22"/>
      </w:rPr>
      <w:tcPr>
        <w:tcBorders>
          <w:top w:val="single" w:color="7CDED6" w:themeColor="accent5" w:themeTint="9A" w:sz="4" w:space="0"/>
          <w:bottom w:val="single" w:color="7CDED6" w:themeColor="accent5" w:themeTint="9A" w:sz="4" w:space="0"/>
        </w:tcBorders>
      </w:tcPr>
    </w:tblStylePr>
    <w:tblStylePr w:type="band1Vert">
      <w:rPr>
        <w:rFonts w:ascii="Arial" w:hAnsi="Arial"/>
        <w:color w:val="404040"/>
        <w:sz w:val="22"/>
      </w:rPr>
      <w:tcPr>
        <w:tcBorders>
          <w:left w:val="single" w:color="7CDED6" w:themeColor="accent5" w:themeTint="9A" w:sz="4" w:space="0"/>
          <w:right w:val="single" w:color="7CDED6" w:themeColor="accent5" w:themeTint="9A" w:sz="4" w:space="0"/>
        </w:tcBorders>
      </w:tcPr>
    </w:tblStylePr>
    <w:tblStylePr w:type="firstCol">
      <w:rPr>
        <w:b/>
        <w:color w:val="404040"/>
      </w:rPr>
    </w:tblStylePr>
    <w:tblStylePr w:type="firstRow">
      <w:rPr>
        <w:rFonts w:ascii="Arial" w:hAnsi="Arial"/>
        <w:b/>
        <w:color w:val="ffffff"/>
        <w:sz w:val="22"/>
      </w:rPr>
      <w:tcPr>
        <w:shd w:val="clear" w:color="7cded6" w:themeColor="accent5" w:themeTint="9A" w:fill="7cded6" w:themeFill="accent5" w:themeFillTint="9A"/>
      </w:tcPr>
    </w:tblStylePr>
    <w:tblStylePr w:type="lastCol">
      <w:rPr>
        <w:b/>
        <w:color w:val="404040"/>
      </w:rPr>
    </w:tblStylePr>
    <w:tblStylePr w:type="lastRow">
      <w:rPr>
        <w:b/>
        <w:color w:val="404040"/>
      </w:rPr>
    </w:tblStylePr>
  </w:style>
  <w:style w:type="table" w:styleId="968" w:customStyle="1">
    <w:name w:val="List Table 3 - Accent 6"/>
    <w:basedOn w:val="850"/>
    <w:uiPriority w:val="99"/>
    <w:qFormat/>
    <w:pPr>
      <w:spacing w:after="0" w:line="240" w:lineRule="auto"/>
    </w:pPr>
    <w:tblPr>
      <w:tblBorders>
        <w:top w:val="single" w:color="EF949F" w:themeColor="accent6" w:themeTint="98" w:sz="4" w:space="0"/>
        <w:left w:val="single" w:color="EF949F" w:themeColor="accent6" w:themeTint="98" w:sz="4" w:space="0"/>
        <w:bottom w:val="single" w:color="EF949F" w:themeColor="accent6" w:themeTint="98" w:sz="4" w:space="0"/>
        <w:right w:val="single" w:color="EF949F" w:themeColor="accent6" w:themeTint="98" w:sz="4" w:space="0"/>
      </w:tblBorders>
    </w:tblPr>
    <w:tblStylePr w:type="band1Horz">
      <w:rPr>
        <w:rFonts w:ascii="Arial" w:hAnsi="Arial"/>
        <w:color w:val="404040"/>
        <w:sz w:val="22"/>
      </w:rPr>
      <w:tcPr>
        <w:tcBorders>
          <w:top w:val="single" w:color="EF949F" w:themeColor="accent6" w:themeTint="98" w:sz="4" w:space="0"/>
          <w:bottom w:val="single" w:color="EF949F" w:themeColor="accent6" w:themeTint="98" w:sz="4" w:space="0"/>
        </w:tcBorders>
      </w:tcPr>
    </w:tblStylePr>
    <w:tblStylePr w:type="band1Vert">
      <w:rPr>
        <w:rFonts w:ascii="Arial" w:hAnsi="Arial"/>
        <w:color w:val="404040"/>
        <w:sz w:val="22"/>
      </w:rPr>
      <w:tcPr>
        <w:tcBorders>
          <w:left w:val="single" w:color="EF949F" w:themeColor="accent6" w:themeTint="98" w:sz="4" w:space="0"/>
          <w:right w:val="single" w:color="EF949F" w:themeColor="accent6" w:themeTint="98" w:sz="4" w:space="0"/>
        </w:tcBorders>
      </w:tcPr>
    </w:tblStylePr>
    <w:tblStylePr w:type="firstCol">
      <w:rPr>
        <w:b/>
        <w:color w:val="404040"/>
      </w:rPr>
    </w:tblStylePr>
    <w:tblStylePr w:type="firstRow">
      <w:rPr>
        <w:rFonts w:ascii="Arial" w:hAnsi="Arial"/>
        <w:b/>
        <w:color w:val="ffffff"/>
        <w:sz w:val="22"/>
      </w:rPr>
      <w:tcPr>
        <w:shd w:val="clear" w:color="ef949f" w:themeColor="accent6" w:themeTint="98" w:fill="ef949f" w:themeFill="accent6" w:themeFillTint="98"/>
      </w:tcPr>
    </w:tblStylePr>
    <w:tblStylePr w:type="lastCol">
      <w:rPr>
        <w:b/>
        <w:color w:val="404040"/>
      </w:rPr>
    </w:tblStylePr>
    <w:tblStylePr w:type="lastRow">
      <w:rPr>
        <w:b/>
        <w:color w:val="404040"/>
      </w:rPr>
    </w:tblStylePr>
  </w:style>
  <w:style w:type="table" w:styleId="969" w:customStyle="1">
    <w:name w:val="List Table 4"/>
    <w:basedOn w:val="850"/>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70" w:customStyle="1">
    <w:name w:val="List Table 4 - Accent 1"/>
    <w:basedOn w:val="850"/>
    <w:uiPriority w:val="9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971" w:customStyle="1">
    <w:name w:val="List Table 4 - Accent 2"/>
    <w:basedOn w:val="850"/>
    <w:uiPriority w:val="9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b/>
        <w:color w:val="404040"/>
      </w:rPr>
    </w:tblStylePr>
    <w:tblStylePr w:type="firstRow">
      <w:rPr>
        <w:rFonts w:ascii="Arial" w:hAnsi="Arial"/>
        <w:b/>
        <w:color w:val="ffffff"/>
        <w:sz w:val="22"/>
      </w:rPr>
      <w:tcPr>
        <w:shd w:val="clear" w:color="ee822f" w:themeColor="accent2" w:fill="ee822f" w:themeFill="accent2"/>
      </w:tcPr>
    </w:tblStylePr>
    <w:tblStylePr w:type="lastCol">
      <w:rPr>
        <w:b/>
        <w:color w:val="404040"/>
      </w:rPr>
    </w:tblStylePr>
    <w:tblStylePr w:type="lastRow">
      <w:rPr>
        <w:b/>
        <w:color w:val="404040"/>
      </w:rPr>
    </w:tblStylePr>
  </w:style>
  <w:style w:type="table" w:styleId="972" w:customStyle="1">
    <w:name w:val="List Table 4 - Accent 3"/>
    <w:basedOn w:val="850"/>
    <w:uiPriority w:val="9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b/>
        <w:color w:val="404040"/>
      </w:rPr>
    </w:tblStylePr>
    <w:tblStylePr w:type="firstRow">
      <w:rPr>
        <w:rFonts w:ascii="Arial" w:hAnsi="Arial"/>
        <w:b/>
        <w:color w:val="ffffff"/>
        <w:sz w:val="22"/>
      </w:rPr>
      <w:tcPr>
        <w:shd w:val="clear" w:color="f2ba02" w:themeColor="accent3" w:fill="f2ba02" w:themeFill="accent3"/>
      </w:tcPr>
    </w:tblStylePr>
    <w:tblStylePr w:type="lastCol">
      <w:rPr>
        <w:b/>
        <w:color w:val="404040"/>
      </w:rPr>
    </w:tblStylePr>
    <w:tblStylePr w:type="lastRow">
      <w:rPr>
        <w:b/>
        <w:color w:val="404040"/>
      </w:rPr>
    </w:tblStylePr>
  </w:style>
  <w:style w:type="table" w:styleId="973" w:customStyle="1">
    <w:name w:val="List Table 4 - Accent 4"/>
    <w:basedOn w:val="850"/>
    <w:uiPriority w:val="9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75bd42" w:themeColor="accent4" w:fill="75bd42" w:themeFill="accent4"/>
      </w:tcPr>
    </w:tblStylePr>
    <w:tblStylePr w:type="lastCol">
      <w:rPr>
        <w:b/>
        <w:color w:val="404040"/>
      </w:rPr>
    </w:tblStylePr>
    <w:tblStylePr w:type="lastRow">
      <w:rPr>
        <w:b/>
        <w:color w:val="404040"/>
      </w:rPr>
    </w:tblStylePr>
  </w:style>
  <w:style w:type="table" w:styleId="974" w:customStyle="1">
    <w:name w:val="List Table 4 - Accent 5"/>
    <w:basedOn w:val="850"/>
    <w:uiPriority w:val="9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b/>
        <w:color w:val="404040"/>
      </w:rPr>
    </w:tblStylePr>
    <w:tblStylePr w:type="firstRow">
      <w:rPr>
        <w:rFonts w:ascii="Arial" w:hAnsi="Arial"/>
        <w:b/>
        <w:color w:val="ffffff"/>
        <w:sz w:val="22"/>
      </w:rPr>
      <w:tcPr>
        <w:shd w:val="clear" w:color="30c0b4" w:themeColor="accent5" w:fill="30c0b4" w:themeFill="accent5"/>
      </w:tcPr>
    </w:tblStylePr>
    <w:tblStylePr w:type="lastCol">
      <w:rPr>
        <w:b/>
        <w:color w:val="404040"/>
      </w:rPr>
    </w:tblStylePr>
    <w:tblStylePr w:type="lastRow">
      <w:rPr>
        <w:b/>
        <w:color w:val="404040"/>
      </w:rPr>
    </w:tblStylePr>
  </w:style>
  <w:style w:type="table" w:styleId="975" w:customStyle="1">
    <w:name w:val="List Table 4 - Accent 6"/>
    <w:basedOn w:val="850"/>
    <w:uiPriority w:val="9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b/>
        <w:color w:val="404040"/>
      </w:rPr>
    </w:tblStylePr>
    <w:tblStylePr w:type="firstRow">
      <w:rPr>
        <w:rFonts w:ascii="Arial" w:hAnsi="Arial"/>
        <w:b/>
        <w:color w:val="ffffff"/>
        <w:sz w:val="22"/>
      </w:rPr>
      <w:tcPr>
        <w:shd w:val="clear" w:color="e54c5e" w:themeColor="accent6" w:fill="e54c5e" w:themeFill="accent6"/>
      </w:tcPr>
    </w:tblStylePr>
    <w:tblStylePr w:type="lastCol">
      <w:rPr>
        <w:b/>
        <w:color w:val="404040"/>
      </w:rPr>
    </w:tblStylePr>
    <w:tblStylePr w:type="lastRow">
      <w:rPr>
        <w:b/>
        <w:color w:val="404040"/>
      </w:rPr>
    </w:tblStylePr>
  </w:style>
  <w:style w:type="table" w:styleId="976" w:customStyle="1">
    <w:name w:val="List Table 5 Dark"/>
    <w:basedOn w:val="850"/>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7" w:customStyle="1">
    <w:name w:val="List Table 5 Dark - Accent 1"/>
    <w:basedOn w:val="850"/>
    <w:uiPriority w:val="99"/>
    <w:qFormat/>
    <w:pPr>
      <w:spacing w:after="0" w:line="240" w:lineRule="auto"/>
    </w:pPr>
    <w:tblPr>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Pr>
    <w:tblStylePr w:type="band1Horz">
      <w:tcPr>
        <w:shd w:val="clear" w:color="4874cb" w:themeColor="accent1" w:fill="4874cb" w:themeFill="accent1"/>
        <w:tcBorders>
          <w:top w:val="single" w:color="FFFFFF" w:themeColor="light1" w:sz="4" w:space="0"/>
          <w:bottom w:val="single" w:color="FFFFFF" w:themeColor="light1" w:sz="4" w:space="0"/>
        </w:tcBorders>
      </w:tcPr>
    </w:tblStylePr>
    <w:tblStylePr w:type="band1Vert">
      <w:tcPr>
        <w:shd w:val="clear" w:color="4874cb" w:themeColor="accent1" w:fill="4874cb" w:themeFill="accent1"/>
        <w:tcBorders>
          <w:left w:val="single" w:color="FFFFFF" w:themeColor="light1" w:sz="4" w:space="0"/>
          <w:right w:val="single" w:color="FFFFFF" w:themeColor="light1" w:sz="4" w:space="0"/>
        </w:tcBorders>
      </w:tcPr>
    </w:tblStylePr>
    <w:tblStylePr w:type="band2Horz">
      <w:tcPr>
        <w:shd w:val="clear" w:color="4874cb" w:themeColor="accent1" w:fill="4874cb"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874CB"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874cb" w:themeColor="accent1" w:fill="4874cb" w:themeFill="accent1"/>
        <w:tcBorders>
          <w:top w:val="single" w:color="4874CB" w:themeColor="accent1" w:sz="32" w:space="0"/>
          <w:bottom w:val="single" w:color="FFFFFF" w:themeColor="light1" w:sz="12" w:space="0"/>
        </w:tcBorders>
      </w:tcPr>
    </w:tblStylePr>
    <w:tblStylePr w:type="lastCol">
      <w:tcPr>
        <w:tcBorders>
          <w:left w:val="single" w:color="FFFFFF" w:themeColor="light1" w:sz="4" w:space="0"/>
          <w:right w:val="single" w:color="4874CB"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8" w:customStyle="1">
    <w:name w:val="List Table 5 Dark - Accent 2"/>
    <w:basedOn w:val="850"/>
    <w:uiPriority w:val="99"/>
    <w:qFormat/>
    <w:pPr>
      <w:spacing w:after="0" w:line="240" w:lineRule="auto"/>
    </w:pPr>
    <w:tblPr>
      <w:tblBorders>
        <w:top w:val="single" w:color="F4B483" w:themeColor="accent2" w:themeTint="97" w:sz="32" w:space="0"/>
        <w:left w:val="single" w:color="F4B483" w:themeColor="accent2" w:themeTint="97" w:sz="32" w:space="0"/>
        <w:bottom w:val="single" w:color="F4B483" w:themeColor="accent2" w:themeTint="97" w:sz="32" w:space="0"/>
        <w:right w:val="single" w:color="F4B483" w:themeColor="accent2" w:themeTint="97" w:sz="32" w:space="0"/>
      </w:tblBorders>
    </w:tblPr>
    <w:tblStylePr w:type="band1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1Vert">
      <w:tcPr>
        <w:shd w:val="clear" w:color="f4b483" w:themeColor="accent2" w:themeTint="97" w:fill="f4b483" w:themeFill="accent2" w:themeFillTint="97"/>
        <w:tcBorders>
          <w:left w:val="single" w:color="FFFFFF" w:themeColor="light1" w:sz="4" w:space="0"/>
          <w:right w:val="single" w:color="FFFFFF" w:themeColor="light1" w:sz="4" w:space="0"/>
        </w:tcBorders>
      </w:tcPr>
    </w:tblStylePr>
    <w:tblStylePr w:type="band2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483"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483" w:themeColor="accent2" w:themeTint="97" w:fill="f4b483" w:themeFill="accent2" w:themeFillTint="97"/>
        <w:tcBorders>
          <w:top w:val="single" w:color="F4B483" w:themeColor="accent2" w:themeTint="97" w:sz="32" w:space="0"/>
          <w:bottom w:val="single" w:color="FFFFFF" w:themeColor="light1" w:sz="12" w:space="0"/>
        </w:tcBorders>
      </w:tcPr>
    </w:tblStylePr>
    <w:tblStylePr w:type="lastCol">
      <w:tcPr>
        <w:tcBorders>
          <w:left w:val="single" w:color="FFFFFF" w:themeColor="light1" w:sz="4" w:space="0"/>
          <w:right w:val="single" w:color="F4B483"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9" w:customStyle="1">
    <w:name w:val="List Table 5 Dark - Accent 3"/>
    <w:basedOn w:val="850"/>
    <w:uiPriority w:val="99"/>
    <w:qFormat/>
    <w:pPr>
      <w:spacing w:after="0" w:line="240" w:lineRule="auto"/>
    </w:pPr>
    <w:tblPr>
      <w:tblBorders>
        <w:top w:val="single" w:color="FDD961" w:themeColor="accent3" w:themeTint="98" w:sz="32" w:space="0"/>
        <w:left w:val="single" w:color="FDD961" w:themeColor="accent3" w:themeTint="98" w:sz="32" w:space="0"/>
        <w:bottom w:val="single" w:color="FDD961" w:themeColor="accent3" w:themeTint="98" w:sz="32" w:space="0"/>
        <w:right w:val="single" w:color="FDD961" w:themeColor="accent3" w:themeTint="98" w:sz="32" w:space="0"/>
      </w:tblBorders>
    </w:tblPr>
    <w:tblStylePr w:type="band1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1Vert">
      <w:tcPr>
        <w:shd w:val="clear" w:color="fdd961" w:themeColor="accent3" w:themeTint="98" w:fill="fdd961" w:themeFill="accent3" w:themeFillTint="98"/>
        <w:tcBorders>
          <w:left w:val="single" w:color="FFFFFF" w:themeColor="light1" w:sz="4" w:space="0"/>
          <w:right w:val="single" w:color="FFFFFF" w:themeColor="light1" w:sz="4" w:space="0"/>
        </w:tcBorders>
      </w:tcPr>
    </w:tblStylePr>
    <w:tblStylePr w:type="band2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DD961"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dd961" w:themeColor="accent3" w:themeTint="98" w:fill="fdd961" w:themeFill="accent3" w:themeFillTint="98"/>
        <w:tcBorders>
          <w:top w:val="single" w:color="FDD961" w:themeColor="accent3" w:themeTint="98" w:sz="32" w:space="0"/>
          <w:bottom w:val="single" w:color="FFFFFF" w:themeColor="light1" w:sz="12" w:space="0"/>
        </w:tcBorders>
      </w:tcPr>
    </w:tblStylePr>
    <w:tblStylePr w:type="lastCol">
      <w:tcPr>
        <w:tcBorders>
          <w:left w:val="single" w:color="FFFFFF" w:themeColor="light1" w:sz="4" w:space="0"/>
          <w:right w:val="single" w:color="FDD961"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0" w:customStyle="1">
    <w:name w:val="List Table 5 Dark - Accent 4"/>
    <w:basedOn w:val="850"/>
    <w:uiPriority w:val="99"/>
    <w:qFormat/>
    <w:pPr>
      <w:spacing w:after="0" w:line="240" w:lineRule="auto"/>
    </w:pPr>
    <w:tblPr>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Pr>
    <w:tblStylePr w:type="band1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1Vert">
      <w:tcPr>
        <w:shd w:val="clear" w:color="abd78c" w:themeColor="accent4" w:themeTint="9A" w:fill="abd78c" w:themeFill="accent4" w:themeFillTint="9A"/>
        <w:tcBorders>
          <w:left w:val="single" w:color="FFFFFF" w:themeColor="light1" w:sz="4" w:space="0"/>
          <w:right w:val="single" w:color="FFFFFF" w:themeColor="light1" w:sz="4" w:space="0"/>
        </w:tcBorders>
      </w:tcPr>
    </w:tblStylePr>
    <w:tblStylePr w:type="band2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BD78C"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bd78c" w:themeColor="accent4" w:themeTint="9A" w:fill="abd78c" w:themeFill="accent4" w:themeFillTint="9A"/>
        <w:tcBorders>
          <w:top w:val="single" w:color="ABD78C" w:themeColor="accent4" w:themeTint="9A" w:sz="32" w:space="0"/>
          <w:bottom w:val="single" w:color="FFFFFF" w:themeColor="light1" w:sz="12" w:space="0"/>
        </w:tcBorders>
      </w:tcPr>
    </w:tblStylePr>
    <w:tblStylePr w:type="lastCol">
      <w:tcPr>
        <w:tcBorders>
          <w:left w:val="single" w:color="FFFFFF" w:themeColor="light1" w:sz="4" w:space="0"/>
          <w:right w:val="single" w:color="ABD78C"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1" w:customStyle="1">
    <w:name w:val="List Table 5 Dark - Accent 5"/>
    <w:basedOn w:val="850"/>
    <w:uiPriority w:val="99"/>
    <w:qFormat/>
    <w:pPr>
      <w:spacing w:after="0" w:line="240" w:lineRule="auto"/>
    </w:pPr>
    <w:tblPr>
      <w:tblBorders>
        <w:top w:val="single" w:color="7CDED6" w:themeColor="accent5" w:themeTint="9A" w:sz="32" w:space="0"/>
        <w:left w:val="single" w:color="7CDED6" w:themeColor="accent5" w:themeTint="9A" w:sz="32" w:space="0"/>
        <w:bottom w:val="single" w:color="7CDED6" w:themeColor="accent5" w:themeTint="9A" w:sz="32" w:space="0"/>
        <w:right w:val="single" w:color="7CDED6" w:themeColor="accent5" w:themeTint="9A" w:sz="32" w:space="0"/>
      </w:tblBorders>
    </w:tblPr>
    <w:tblStylePr w:type="band1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1Vert">
      <w:tcPr>
        <w:shd w:val="clear" w:color="7cded6" w:themeColor="accent5" w:themeTint="9A" w:fill="7cded6" w:themeFill="accent5" w:themeFillTint="9A"/>
        <w:tcBorders>
          <w:left w:val="single" w:color="FFFFFF" w:themeColor="light1" w:sz="4" w:space="0"/>
          <w:right w:val="single" w:color="FFFFFF" w:themeColor="light1" w:sz="4" w:space="0"/>
        </w:tcBorders>
      </w:tcPr>
    </w:tblStylePr>
    <w:tblStylePr w:type="band2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CDED6"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cded6" w:themeColor="accent5" w:themeTint="9A" w:fill="7cded6" w:themeFill="accent5" w:themeFillTint="9A"/>
        <w:tcBorders>
          <w:top w:val="single" w:color="7CDED6" w:themeColor="accent5" w:themeTint="9A" w:sz="32" w:space="0"/>
          <w:bottom w:val="single" w:color="FFFFFF" w:themeColor="light1" w:sz="12" w:space="0"/>
        </w:tcBorders>
      </w:tcPr>
    </w:tblStylePr>
    <w:tblStylePr w:type="lastCol">
      <w:tcPr>
        <w:tcBorders>
          <w:left w:val="single" w:color="FFFFFF" w:themeColor="light1" w:sz="4" w:space="0"/>
          <w:right w:val="single" w:color="7CDED6"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2" w:customStyle="1">
    <w:name w:val="List Table 5 Dark - Accent 6"/>
    <w:basedOn w:val="850"/>
    <w:uiPriority w:val="99"/>
    <w:qFormat/>
    <w:pPr>
      <w:spacing w:after="0" w:line="240" w:lineRule="auto"/>
    </w:pPr>
    <w:tblPr>
      <w:tblBorders>
        <w:top w:val="single" w:color="EF949F" w:themeColor="accent6" w:themeTint="98" w:sz="32" w:space="0"/>
        <w:left w:val="single" w:color="EF949F" w:themeColor="accent6" w:themeTint="98" w:sz="32" w:space="0"/>
        <w:bottom w:val="single" w:color="EF949F" w:themeColor="accent6" w:themeTint="98" w:sz="32" w:space="0"/>
        <w:right w:val="single" w:color="EF949F" w:themeColor="accent6" w:themeTint="98" w:sz="32" w:space="0"/>
      </w:tblBorders>
    </w:tblPr>
    <w:tblStylePr w:type="band1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1Vert">
      <w:tcPr>
        <w:shd w:val="clear" w:color="ef949f" w:themeColor="accent6" w:themeTint="98" w:fill="ef949f" w:themeFill="accent6" w:themeFillTint="98"/>
        <w:tcBorders>
          <w:left w:val="single" w:color="FFFFFF" w:themeColor="light1" w:sz="4" w:space="0"/>
          <w:right w:val="single" w:color="FFFFFF" w:themeColor="light1" w:sz="4" w:space="0"/>
        </w:tcBorders>
      </w:tcPr>
    </w:tblStylePr>
    <w:tblStylePr w:type="band2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EF949F"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ef949f" w:themeColor="accent6" w:themeTint="98" w:fill="ef949f" w:themeFill="accent6" w:themeFillTint="98"/>
        <w:tcBorders>
          <w:top w:val="single" w:color="EF949F" w:themeColor="accent6" w:themeTint="98" w:sz="32" w:space="0"/>
          <w:bottom w:val="single" w:color="FFFFFF" w:themeColor="light1" w:sz="12" w:space="0"/>
        </w:tcBorders>
      </w:tcPr>
    </w:tblStylePr>
    <w:tblStylePr w:type="lastCol">
      <w:tcPr>
        <w:tcBorders>
          <w:left w:val="single" w:color="FFFFFF" w:themeColor="light1" w:sz="4" w:space="0"/>
          <w:right w:val="single" w:color="EF949F"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3" w:customStyle="1">
    <w:name w:val="List Table 6 Colorful"/>
    <w:basedOn w:val="850"/>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84" w:customStyle="1">
    <w:name w:val="List Table 6 Colorful - Accent 1"/>
    <w:basedOn w:val="850"/>
    <w:uiPriority w:val="99"/>
    <w:qFormat/>
    <w:pPr>
      <w:spacing w:after="0" w:line="240" w:lineRule="auto"/>
    </w:pPr>
    <w:tblPr>
      <w:tblBorders>
        <w:top w:val="single" w:color="4874CB" w:themeColor="accent1" w:sz="4" w:space="0"/>
        <w:bottom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b/>
        <w:color w:val="23417c" w:themeColor="accent1" w:themeShade="94"/>
      </w:rPr>
    </w:tblStylePr>
    <w:tblStylePr w:type="firstRow">
      <w:rPr>
        <w:b/>
        <w:color w:val="23417c" w:themeColor="accent1" w:themeShade="94"/>
      </w:rPr>
      <w:tcPr>
        <w:tcBorders>
          <w:bottom w:val="single" w:color="4874CB" w:themeColor="accent1" w:sz="4" w:space="0"/>
        </w:tcBorders>
      </w:tcPr>
    </w:tblStylePr>
    <w:tblStylePr w:type="lastCol">
      <w:rPr>
        <w:b/>
        <w:color w:val="23417c" w:themeColor="accent1" w:themeShade="94"/>
      </w:rPr>
    </w:tblStylePr>
    <w:tblStylePr w:type="lastRow">
      <w:rPr>
        <w:b/>
        <w:color w:val="23417c" w:themeColor="accent1" w:themeShade="94"/>
      </w:rPr>
      <w:tcPr>
        <w:tcBorders>
          <w:top w:val="single" w:color="4874CB" w:themeColor="accent1" w:sz="4" w:space="0"/>
        </w:tcBorders>
      </w:tcPr>
    </w:tblStylePr>
  </w:style>
  <w:style w:type="table" w:styleId="985" w:customStyle="1">
    <w:name w:val="List Table 6 Colorful - Accent 2"/>
    <w:basedOn w:val="850"/>
    <w:uiPriority w:val="99"/>
    <w:qFormat/>
    <w:pPr>
      <w:spacing w:after="0" w:line="240" w:lineRule="auto"/>
    </w:pPr>
    <w:tblPr>
      <w:tblBorders>
        <w:top w:val="single" w:color="F4B483" w:themeColor="accent2" w:themeTint="97" w:sz="4" w:space="0"/>
        <w:bottom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4"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cPr>
        <w:tcBorders>
          <w:top w:val="single" w:color="F4B483" w:themeColor="accent2" w:themeTint="97" w:sz="4" w:space="0"/>
        </w:tcBorders>
      </w:tcPr>
    </w:tblStylePr>
  </w:style>
  <w:style w:type="table" w:styleId="986" w:customStyle="1">
    <w:name w:val="List Table 6 Colorful - Accent 3"/>
    <w:basedOn w:val="850"/>
    <w:uiPriority w:val="99"/>
    <w:qFormat/>
    <w:pPr>
      <w:spacing w:after="0" w:line="240" w:lineRule="auto"/>
    </w:pPr>
    <w:tblPr>
      <w:tblBorders>
        <w:top w:val="single" w:color="FDD961" w:themeColor="accent3" w:themeTint="98" w:sz="4" w:space="0"/>
        <w:bottom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b/>
        <w:color w:val="fed961" w:themeColor="accent3" w:themeTint="99"/>
        <w14:textFill>
          <w14:solidFill>
            <w14:schemeClr w14:val="accent3">
              <w14:lumMod w14:val="60000"/>
              <w14:lumOff w14:val="40000"/>
            </w14:schemeClr>
          </w14:solidFill>
        </w14:textFill>
      </w:rPr>
    </w:tblStylePr>
    <w:tblStylePr w:type="firstRow">
      <w:rPr>
        <w:b/>
        <w:color w:val="fed961" w:themeColor="accent3" w:themeTint="99"/>
        <w14:textFill>
          <w14:solidFill>
            <w14:schemeClr w14:val="accent3">
              <w14:lumMod w14:val="60000"/>
              <w14:lumOff w14:val="40000"/>
            </w14:schemeClr>
          </w14:solidFill>
        </w14:textFill>
      </w:rPr>
      <w:tcPr>
        <w:tcBorders>
          <w:bottom w:val="single" w:color="FDD961" w:themeColor="accent3" w:themeTint="98" w:sz="4" w:space="0"/>
        </w:tcBorders>
      </w:tcPr>
    </w:tblStylePr>
    <w:tblStylePr w:type="lastCol">
      <w:rPr>
        <w:b/>
        <w:color w:val="fed961" w:themeColor="accent3" w:themeTint="99"/>
        <w14:textFill>
          <w14:solidFill>
            <w14:schemeClr w14:val="accent3">
              <w14:lumMod w14:val="60000"/>
              <w14:lumOff w14:val="40000"/>
            </w14:schemeClr>
          </w14:solidFill>
        </w14:textFill>
      </w:rPr>
    </w:tblStylePr>
    <w:tblStylePr w:type="lastRow">
      <w:rPr>
        <w:b/>
        <w:color w:val="fed961" w:themeColor="accent3" w:themeTint="99"/>
        <w14:textFill>
          <w14:solidFill>
            <w14:schemeClr w14:val="accent3">
              <w14:lumMod w14:val="60000"/>
              <w14:lumOff w14:val="40000"/>
            </w14:schemeClr>
          </w14:solidFill>
        </w14:textFill>
      </w:rPr>
      <w:tcPr>
        <w:tcBorders>
          <w:top w:val="single" w:color="FDD961" w:themeColor="accent3" w:themeTint="98" w:sz="4" w:space="0"/>
        </w:tcBorders>
      </w:tcPr>
    </w:tblStylePr>
  </w:style>
  <w:style w:type="table" w:styleId="987" w:customStyle="1">
    <w:name w:val="List Table 6 Colorful - Accent 4"/>
    <w:basedOn w:val="850"/>
    <w:uiPriority w:val="99"/>
    <w:qFormat/>
    <w:pPr>
      <w:spacing w:after="0" w:line="240" w:lineRule="auto"/>
    </w:pPr>
    <w:tblPr>
      <w:tblBorders>
        <w:top w:val="single" w:color="ABD78C" w:themeColor="accent4" w:themeTint="9A" w:sz="4" w:space="0"/>
        <w:bottom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4"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cPr>
        <w:tcBorders>
          <w:top w:val="single" w:color="ABD78C" w:themeColor="accent4" w:themeTint="9A" w:sz="4" w:space="0"/>
        </w:tcBorders>
      </w:tcPr>
    </w:tblStylePr>
  </w:style>
  <w:style w:type="table" w:styleId="988" w:customStyle="1">
    <w:name w:val="List Table 6 Colorful - Accent 5"/>
    <w:basedOn w:val="850"/>
    <w:uiPriority w:val="99"/>
    <w:qFormat/>
    <w:pPr>
      <w:spacing w:after="0" w:line="240" w:lineRule="auto"/>
    </w:pPr>
    <w:tblPr>
      <w:tblBorders>
        <w:top w:val="single" w:color="7CDED6" w:themeColor="accent5" w:themeTint="9A" w:sz="4" w:space="0"/>
        <w:bottom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b/>
        <w:color w:val="7ddfd7" w:themeColor="accent5" w:themeTint="99"/>
        <w14:textFill>
          <w14:solidFill>
            <w14:schemeClr w14:val="accent5">
              <w14:lumMod w14:val="60000"/>
              <w14:lumOff w14:val="40000"/>
            </w14:schemeClr>
          </w14:solidFill>
        </w14:textFill>
      </w:rPr>
    </w:tblStylePr>
    <w:tblStylePr w:type="firstRow">
      <w:rPr>
        <w:b/>
        <w:color w:val="7ddfd7" w:themeColor="accent5" w:themeTint="99"/>
        <w14:textFill>
          <w14:solidFill>
            <w14:schemeClr w14:val="accent5">
              <w14:lumMod w14:val="60000"/>
              <w14:lumOff w14:val="40000"/>
            </w14:schemeClr>
          </w14:solidFill>
        </w14:textFill>
      </w:rPr>
      <w:tcPr>
        <w:tcBorders>
          <w:bottom w:val="single" w:color="7CDED6" w:themeColor="accent5" w:themeTint="9A" w:sz="4" w:space="0"/>
        </w:tcBorders>
      </w:tcPr>
    </w:tblStylePr>
    <w:tblStylePr w:type="lastCol">
      <w:rPr>
        <w:b/>
        <w:color w:val="7ddfd7" w:themeColor="accent5" w:themeTint="99"/>
        <w14:textFill>
          <w14:solidFill>
            <w14:schemeClr w14:val="accent5">
              <w14:lumMod w14:val="60000"/>
              <w14:lumOff w14:val="40000"/>
            </w14:schemeClr>
          </w14:solidFill>
        </w14:textFill>
      </w:rPr>
    </w:tblStylePr>
    <w:tblStylePr w:type="lastRow">
      <w:rPr>
        <w:b/>
        <w:color w:val="7ddfd7" w:themeColor="accent5" w:themeTint="99"/>
        <w14:textFill>
          <w14:solidFill>
            <w14:schemeClr w14:val="accent5">
              <w14:lumMod w14:val="60000"/>
              <w14:lumOff w14:val="40000"/>
            </w14:schemeClr>
          </w14:solidFill>
        </w14:textFill>
      </w:rPr>
      <w:tcPr>
        <w:tcBorders>
          <w:top w:val="single" w:color="7CDED6" w:themeColor="accent5" w:themeTint="9A" w:sz="4" w:space="0"/>
        </w:tcBorders>
      </w:tcPr>
    </w:tblStylePr>
  </w:style>
  <w:style w:type="table" w:styleId="989" w:customStyle="1">
    <w:name w:val="List Table 6 Colorful - Accent 6"/>
    <w:basedOn w:val="850"/>
    <w:uiPriority w:val="99"/>
    <w:qFormat/>
    <w:pPr>
      <w:spacing w:after="0" w:line="240" w:lineRule="auto"/>
    </w:pPr>
    <w:tblPr>
      <w:tblBorders>
        <w:top w:val="single" w:color="EF949F" w:themeColor="accent6" w:themeTint="98" w:sz="4" w:space="0"/>
        <w:bottom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b/>
        <w:color w:val="ef949e" w:themeColor="accent6" w:themeTint="99"/>
        <w14:textFill>
          <w14:solidFill>
            <w14:schemeClr w14:val="accent6">
              <w14:lumMod w14:val="60000"/>
              <w14:lumOff w14:val="40000"/>
            </w14:schemeClr>
          </w14:solidFill>
        </w14:textFill>
      </w:rPr>
    </w:tblStylePr>
    <w:tblStylePr w:type="firstRow">
      <w:rPr>
        <w:b/>
        <w:color w:val="ef949e" w:themeColor="accent6" w:themeTint="99"/>
        <w14:textFill>
          <w14:solidFill>
            <w14:schemeClr w14:val="accent6">
              <w14:lumMod w14:val="60000"/>
              <w14:lumOff w14:val="40000"/>
            </w14:schemeClr>
          </w14:solidFill>
        </w14:textFill>
      </w:rPr>
      <w:tcPr>
        <w:tcBorders>
          <w:bottom w:val="single" w:color="EF949F" w:themeColor="accent6" w:themeTint="98" w:sz="4" w:space="0"/>
        </w:tcBorders>
      </w:tcPr>
    </w:tblStylePr>
    <w:tblStylePr w:type="lastCol">
      <w:rPr>
        <w:b/>
        <w:color w:val="ef949e" w:themeColor="accent6" w:themeTint="99"/>
        <w14:textFill>
          <w14:solidFill>
            <w14:schemeClr w14:val="accent6">
              <w14:lumMod w14:val="60000"/>
              <w14:lumOff w14:val="40000"/>
            </w14:schemeClr>
          </w14:solidFill>
        </w14:textFill>
      </w:rPr>
    </w:tblStylePr>
    <w:tblStylePr w:type="lastRow">
      <w:rPr>
        <w:b/>
        <w:color w:val="ef949e" w:themeColor="accent6" w:themeTint="99"/>
        <w14:textFill>
          <w14:solidFill>
            <w14:schemeClr w14:val="accent6">
              <w14:lumMod w14:val="60000"/>
              <w14:lumOff w14:val="40000"/>
            </w14:schemeClr>
          </w14:solidFill>
        </w14:textFill>
      </w:rPr>
      <w:tcPr>
        <w:tcBorders>
          <w:top w:val="single" w:color="EF949F" w:themeColor="accent6" w:themeTint="98" w:sz="4" w:space="0"/>
        </w:tcBorders>
      </w:tcPr>
    </w:tblStylePr>
  </w:style>
  <w:style w:type="table" w:styleId="990" w:customStyle="1">
    <w:name w:val="List Table 7 Colorful"/>
    <w:basedOn w:val="850"/>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91" w:customStyle="1">
    <w:name w:val="List Table 7 Colorful - Accent 1"/>
    <w:basedOn w:val="850"/>
    <w:uiPriority w:val="99"/>
    <w:qFormat/>
    <w:pPr>
      <w:spacing w:after="0" w:line="240" w:lineRule="auto"/>
    </w:pPr>
    <w:tblPr>
      <w:tblBorders>
        <w:right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rFonts w:ascii="Arial" w:hAnsi="Arial"/>
        <w:i/>
        <w:color w:val="23417c" w:themeColor="accent1" w:themeShade="94"/>
        <w:sz w:val="22"/>
      </w:rPr>
      <w:pPr>
        <w:jc w:val="right"/>
      </w:pPr>
      <w:tcPr>
        <w:shd w:val="clear" w:color="ffffff" w:fill="auto"/>
        <w:tcBorders>
          <w:top w:val="none" w:color="000000" w:sz="4" w:space="0"/>
          <w:left w:val="none" w:color="000000" w:sz="4" w:space="0"/>
          <w:bottom w:val="none" w:color="000000" w:sz="4" w:space="0"/>
          <w:right w:val="single" w:color="4874CB" w:themeColor="accent1" w:sz="4" w:space="0"/>
        </w:tcBorders>
      </w:tcPr>
    </w:tblStylePr>
    <w:tblStylePr w:type="firstRow">
      <w:rPr>
        <w:rFonts w:ascii="Arial" w:hAnsi="Arial"/>
        <w:i/>
        <w:color w:val="23417c" w:themeColor="accent1" w:themeShade="94"/>
        <w:sz w:val="22"/>
      </w:rPr>
      <w:tcPr>
        <w:shd w:val="clear" w:color="ffffff" w:themeColor="light1" w:fill="ffffff" w:themeFill="light1"/>
        <w:tcBorders>
          <w:top w:val="none" w:color="000000" w:sz="4" w:space="0"/>
          <w:left w:val="none" w:color="000000" w:sz="4" w:space="0"/>
          <w:bottom w:val="single" w:color="4874CB" w:themeColor="accent1" w:sz="4" w:space="0"/>
          <w:right w:val="none" w:color="000000" w:sz="4" w:space="0"/>
        </w:tcBorders>
      </w:tcPr>
    </w:tblStylePr>
    <w:tblStylePr w:type="lastCol">
      <w:rPr>
        <w:rFonts w:ascii="Arial" w:hAnsi="Arial"/>
        <w:i/>
        <w:color w:val="23417c" w:themeColor="accent1" w:themeShade="94"/>
        <w:sz w:val="22"/>
      </w:rPr>
      <w:tcPr>
        <w:shd w:val="clear" w:color="ffffff" w:fill="auto"/>
        <w:tcBorders>
          <w:top w:val="none" w:color="000000" w:sz="4" w:space="0"/>
          <w:left w:val="single" w:color="4874CB" w:themeColor="accent1" w:sz="4" w:space="0"/>
          <w:bottom w:val="none" w:color="000000" w:sz="4" w:space="0"/>
          <w:right w:val="none" w:color="000000" w:sz="4" w:space="0"/>
        </w:tcBorders>
      </w:tcPr>
    </w:tblStylePr>
    <w:tblStylePr w:type="lastRow">
      <w:rPr>
        <w:rFonts w:ascii="Arial" w:hAnsi="Arial"/>
        <w:i/>
        <w:color w:val="23417c" w:themeColor="accent1" w:themeShade="94"/>
        <w:sz w:val="22"/>
      </w:rPr>
      <w:tcPr>
        <w:shd w:val="clear" w:color="ffffff" w:themeColor="light1" w:fill="ffffff" w:themeFill="light1"/>
        <w:tcBorders>
          <w:top w:val="single" w:color="4874CB" w:themeColor="accent1" w:sz="4" w:space="0"/>
          <w:left w:val="none" w:color="000000" w:sz="4" w:space="0"/>
          <w:bottom w:val="none" w:color="000000" w:sz="4" w:space="0"/>
          <w:right w:val="none" w:color="000000" w:sz="4" w:space="0"/>
        </w:tcBorders>
      </w:tcPr>
    </w:tblStylePr>
  </w:style>
  <w:style w:type="table" w:styleId="992" w:customStyle="1">
    <w:name w:val="List Table 7 Colorful - Accent 2"/>
    <w:basedOn w:val="850"/>
    <w:uiPriority w:val="99"/>
    <w:qFormat/>
    <w:pPr>
      <w:spacing w:after="0" w:line="240" w:lineRule="auto"/>
    </w:pPr>
    <w:tblPr>
      <w:tblBorders>
        <w:right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993" w:customStyle="1">
    <w:name w:val="List Table 7 Colorful - Accent 3"/>
    <w:basedOn w:val="850"/>
    <w:uiPriority w:val="99"/>
    <w:qFormat/>
    <w:pPr>
      <w:spacing w:after="0" w:line="240" w:lineRule="auto"/>
    </w:pPr>
    <w:tblPr>
      <w:tblBorders>
        <w:right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rFonts w:ascii="Arial" w:hAnsi="Arial"/>
        <w:i/>
        <w:color w:val="fed961"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DD961" w:themeColor="accent3" w:themeTint="98" w:sz="4" w:space="0"/>
        </w:tcBorders>
      </w:tcPr>
    </w:tblStylePr>
    <w:tblStylePr w:type="fir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DD961" w:themeColor="accent3" w:themeTint="98" w:sz="4" w:space="0"/>
          <w:right w:val="none" w:color="000000" w:sz="4" w:space="0"/>
        </w:tcBorders>
      </w:tcPr>
    </w:tblStylePr>
    <w:tblStylePr w:type="lastCol">
      <w:rPr>
        <w:rFonts w:ascii="Arial" w:hAnsi="Arial"/>
        <w:i/>
        <w:color w:val="fed961"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FDD961" w:themeColor="accent3" w:themeTint="98" w:sz="4" w:space="0"/>
          <w:bottom w:val="none" w:color="000000" w:sz="4" w:space="0"/>
          <w:right w:val="none" w:color="000000" w:sz="4" w:space="0"/>
        </w:tcBorders>
      </w:tcPr>
    </w:tblStylePr>
    <w:tblStylePr w:type="la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FDD961" w:themeColor="accent3" w:themeTint="98" w:sz="4" w:space="0"/>
          <w:left w:val="none" w:color="000000" w:sz="4" w:space="0"/>
          <w:bottom w:val="none" w:color="000000" w:sz="4" w:space="0"/>
          <w:right w:val="none" w:color="000000" w:sz="4" w:space="0"/>
        </w:tcBorders>
      </w:tcPr>
    </w:tblStylePr>
  </w:style>
  <w:style w:type="table" w:styleId="994" w:customStyle="1">
    <w:name w:val="List Table 7 Colorful - Accent 4"/>
    <w:basedOn w:val="850"/>
    <w:uiPriority w:val="99"/>
    <w:qFormat/>
    <w:pPr>
      <w:spacing w:after="0" w:line="240" w:lineRule="auto"/>
    </w:pPr>
    <w:tblPr>
      <w:tblBorders>
        <w:right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995" w:customStyle="1">
    <w:name w:val="List Table 7 Colorful - Accent 5"/>
    <w:basedOn w:val="850"/>
    <w:uiPriority w:val="99"/>
    <w:qFormat/>
    <w:pPr>
      <w:spacing w:after="0" w:line="240" w:lineRule="auto"/>
    </w:pPr>
    <w:tblPr>
      <w:tblBorders>
        <w:right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rFonts w:ascii="Arial" w:hAnsi="Arial"/>
        <w:i/>
        <w:color w:val="7ddfd7"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7CDED6" w:themeColor="accent5" w:themeTint="9A" w:sz="4" w:space="0"/>
        </w:tcBorders>
      </w:tcPr>
    </w:tblStylePr>
    <w:tblStylePr w:type="fir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7CDED6" w:themeColor="accent5" w:themeTint="9A" w:sz="4" w:space="0"/>
          <w:right w:val="none" w:color="000000" w:sz="4" w:space="0"/>
        </w:tcBorders>
      </w:tcPr>
    </w:tblStylePr>
    <w:tblStylePr w:type="lastCol">
      <w:rPr>
        <w:rFonts w:ascii="Arial" w:hAnsi="Arial"/>
        <w:i/>
        <w:color w:val="7ddfd7"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7CDED6" w:themeColor="accent5" w:themeTint="9A" w:sz="4" w:space="0"/>
          <w:bottom w:val="none" w:color="000000" w:sz="4" w:space="0"/>
          <w:right w:val="none" w:color="000000" w:sz="4" w:space="0"/>
        </w:tcBorders>
      </w:tcPr>
    </w:tblStylePr>
    <w:tblStylePr w:type="la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7CDED6" w:themeColor="accent5" w:themeTint="9A" w:sz="4" w:space="0"/>
          <w:left w:val="none" w:color="000000" w:sz="4" w:space="0"/>
          <w:bottom w:val="none" w:color="000000" w:sz="4" w:space="0"/>
          <w:right w:val="none" w:color="000000" w:sz="4" w:space="0"/>
        </w:tcBorders>
      </w:tcPr>
    </w:tblStylePr>
  </w:style>
  <w:style w:type="table" w:styleId="996" w:customStyle="1">
    <w:name w:val="List Table 7 Colorful - Accent 6"/>
    <w:basedOn w:val="850"/>
    <w:uiPriority w:val="99"/>
    <w:qFormat/>
    <w:pPr>
      <w:spacing w:after="0" w:line="240" w:lineRule="auto"/>
    </w:pPr>
    <w:tblPr>
      <w:tblBorders>
        <w:right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rFonts w:ascii="Arial" w:hAnsi="Arial"/>
        <w:i/>
        <w:color w:val="ef949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EF949F" w:themeColor="accent6" w:themeTint="98" w:sz="4" w:space="0"/>
        </w:tcBorders>
      </w:tcPr>
    </w:tblStylePr>
    <w:tblStylePr w:type="fir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EF949F" w:themeColor="accent6" w:themeTint="98" w:sz="4" w:space="0"/>
          <w:right w:val="none" w:color="000000" w:sz="4" w:space="0"/>
        </w:tcBorders>
      </w:tcPr>
    </w:tblStylePr>
    <w:tblStylePr w:type="lastCol">
      <w:rPr>
        <w:rFonts w:ascii="Arial" w:hAnsi="Arial"/>
        <w:i/>
        <w:color w:val="ef949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EF949F" w:themeColor="accent6" w:themeTint="98" w:sz="4" w:space="0"/>
          <w:bottom w:val="none" w:color="000000" w:sz="4" w:space="0"/>
          <w:right w:val="none" w:color="000000" w:sz="4" w:space="0"/>
        </w:tcBorders>
      </w:tcPr>
    </w:tblStylePr>
    <w:tblStylePr w:type="la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EF949F" w:themeColor="accent6" w:themeTint="98" w:sz="4" w:space="0"/>
          <w:left w:val="none" w:color="000000" w:sz="4" w:space="0"/>
          <w:bottom w:val="none" w:color="000000" w:sz="4" w:space="0"/>
          <w:right w:val="none" w:color="000000" w:sz="4" w:space="0"/>
        </w:tcBorders>
      </w:tcPr>
    </w:tblStylePr>
  </w:style>
  <w:style w:type="table" w:styleId="997" w:customStyle="1">
    <w:name w:val="Lined - Accent"/>
    <w:basedOn w:val="85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98" w:customStyle="1">
    <w:name w:val="Lined - Accent 1"/>
    <w:basedOn w:val="85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999" w:customStyle="1">
    <w:name w:val="Lined - Accent 2"/>
    <w:basedOn w:val="85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1000" w:customStyle="1">
    <w:name w:val="Lined - Accent 3"/>
    <w:basedOn w:val="85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1001" w:customStyle="1">
    <w:name w:val="Lined - Accent 4"/>
    <w:basedOn w:val="85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1002" w:customStyle="1">
    <w:name w:val="Lined - Accent 5"/>
    <w:basedOn w:val="85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1003" w:customStyle="1">
    <w:name w:val="Lined - Accent 6"/>
    <w:basedOn w:val="85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1004" w:customStyle="1">
    <w:name w:val="Bordered &amp; Lined - Accent"/>
    <w:basedOn w:val="850"/>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05" w:customStyle="1">
    <w:name w:val="Bordered &amp; Lined - Accent 1"/>
    <w:basedOn w:val="850"/>
    <w:uiPriority w:val="99"/>
    <w:qFormat/>
    <w:pPr>
      <w:spacing w:after="0" w:line="240" w:lineRule="auto"/>
    </w:pPr>
    <w:rPr>
      <w:color w:val="404040"/>
    </w:rPr>
    <w:tblPr>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1006" w:customStyle="1">
    <w:name w:val="Bordered &amp; Lined - Accent 2"/>
    <w:basedOn w:val="850"/>
    <w:uiPriority w:val="99"/>
    <w:qFormat/>
    <w:pPr>
      <w:spacing w:after="0" w:line="240" w:lineRule="auto"/>
    </w:pPr>
    <w:rPr>
      <w:color w:val="404040"/>
    </w:rPr>
    <w:tblPr>
      <w:tblBorders>
        <w:top w:val="single" w:color="994A0C" w:themeColor="accent2" w:themeShade="95" w:sz="4" w:space="0"/>
        <w:left w:val="single" w:color="994A0C" w:themeColor="accent2" w:themeShade="95" w:sz="4" w:space="0"/>
        <w:bottom w:val="single" w:color="994A0C" w:themeColor="accent2" w:themeShade="95" w:sz="4" w:space="0"/>
        <w:right w:val="single" w:color="994A0C" w:themeColor="accent2" w:themeShade="95" w:sz="4" w:space="0"/>
        <w:insideH w:val="single" w:color="994A0C" w:themeColor="accent2" w:themeShade="95" w:sz="4" w:space="0"/>
        <w:insideV w:val="single" w:color="994A0C"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1007" w:customStyle="1">
    <w:name w:val="Bordered &amp; Lined - Accent 3"/>
    <w:basedOn w:val="850"/>
    <w:uiPriority w:val="99"/>
    <w:qFormat/>
    <w:pPr>
      <w:spacing w:after="0" w:line="240" w:lineRule="auto"/>
    </w:pPr>
    <w:rPr>
      <w:color w:val="404040"/>
    </w:rPr>
    <w:tblPr>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1008" w:customStyle="1">
    <w:name w:val="Bordered &amp; Lined - Accent 4"/>
    <w:basedOn w:val="850"/>
    <w:uiPriority w:val="99"/>
    <w:qFormat/>
    <w:pPr>
      <w:spacing w:after="0" w:line="240" w:lineRule="auto"/>
    </w:pPr>
    <w:rPr>
      <w:color w:val="404040"/>
    </w:rPr>
    <w:tblPr>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1009" w:customStyle="1">
    <w:name w:val="Bordered &amp; Lined - Accent 5"/>
    <w:basedOn w:val="850"/>
    <w:uiPriority w:val="99"/>
    <w:qFormat/>
    <w:pPr>
      <w:spacing w:after="0" w:line="240" w:lineRule="auto"/>
    </w:pPr>
    <w:rPr>
      <w:color w:val="404040"/>
    </w:rPr>
    <w:tblPr>
      <w:tblBorders>
        <w:top w:val="single" w:color="1C7069" w:themeColor="accent5" w:themeShade="95" w:sz="4" w:space="0"/>
        <w:left w:val="single" w:color="1C7069" w:themeColor="accent5" w:themeShade="95" w:sz="4" w:space="0"/>
        <w:bottom w:val="single" w:color="1C7069" w:themeColor="accent5" w:themeShade="95" w:sz="4" w:space="0"/>
        <w:right w:val="single" w:color="1C7069" w:themeColor="accent5" w:themeShade="95" w:sz="4" w:space="0"/>
        <w:insideH w:val="single" w:color="1C7069" w:themeColor="accent5" w:themeShade="95" w:sz="4" w:space="0"/>
        <w:insideV w:val="single" w:color="1C706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1010" w:customStyle="1">
    <w:name w:val="Bordered &amp; Lined - Accent 6"/>
    <w:basedOn w:val="850"/>
    <w:uiPriority w:val="99"/>
    <w:qFormat/>
    <w:pPr>
      <w:spacing w:after="0" w:line="240" w:lineRule="auto"/>
    </w:pPr>
    <w:rPr>
      <w:color w:val="404040"/>
    </w:rPr>
    <w:tblPr>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1011" w:customStyle="1">
    <w:name w:val="Bordered"/>
    <w:basedOn w:val="850"/>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12" w:customStyle="1">
    <w:name w:val="Bordered - Accent 1"/>
    <w:basedOn w:val="850"/>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874CB" w:themeColor="accent1" w:sz="12" w:space="0"/>
        </w:tcBorders>
      </w:tcPr>
    </w:tblStylePr>
    <w:tblStylePr w:type="lastCol">
      <w:rPr>
        <w:rFonts w:ascii="Arial" w:hAnsi="Arial"/>
        <w:color w:val="404040"/>
        <w:sz w:val="22"/>
      </w:rPr>
      <w:tcPr>
        <w:tcBorders>
          <w:left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style>
  <w:style w:type="table" w:styleId="1013" w:customStyle="1">
    <w:name w:val="Bordered - Accent 2"/>
    <w:basedOn w:val="850"/>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483" w:themeColor="accent2" w:themeTint="97" w:sz="12" w:space="0"/>
        </w:tcBorders>
      </w:tcPr>
    </w:tblStylePr>
    <w:tblStylePr w:type="lastCol">
      <w:rPr>
        <w:rFonts w:ascii="Arial" w:hAnsi="Arial"/>
        <w:color w:val="404040"/>
        <w:sz w:val="22"/>
      </w:rPr>
      <w:tcPr>
        <w:tcBorders>
          <w:left w:val="single" w:color="F4B483" w:themeColor="accent2" w:themeTint="97" w:sz="12" w:space="0"/>
        </w:tcBorders>
      </w:tcPr>
    </w:tblStylePr>
    <w:tblStylePr w:type="lastRow">
      <w:rPr>
        <w:rFonts w:ascii="Arial" w:hAnsi="Arial"/>
        <w:color w:val="404040"/>
        <w:sz w:val="22"/>
      </w:rPr>
      <w:tcPr>
        <w:tcBorders>
          <w:top w:val="single" w:color="F4B483" w:themeColor="accent2" w:themeTint="97" w:sz="12" w:space="0"/>
        </w:tcBorders>
      </w:tcPr>
    </w:tblStylePr>
  </w:style>
  <w:style w:type="table" w:styleId="1014" w:customStyle="1">
    <w:name w:val="Bordered - Accent 3"/>
    <w:basedOn w:val="850"/>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DD961" w:themeColor="accent3" w:themeTint="98" w:sz="12" w:space="0"/>
        </w:tcBorders>
      </w:tcPr>
    </w:tblStylePr>
    <w:tblStylePr w:type="lastCol">
      <w:rPr>
        <w:rFonts w:ascii="Arial" w:hAnsi="Arial"/>
        <w:color w:val="404040"/>
        <w:sz w:val="22"/>
      </w:rPr>
      <w:tcPr>
        <w:tcBorders>
          <w:left w:val="single" w:color="FDD961" w:themeColor="accent3" w:themeTint="98" w:sz="12" w:space="0"/>
        </w:tcBorders>
      </w:tcPr>
    </w:tblStylePr>
    <w:tblStylePr w:type="lastRow">
      <w:rPr>
        <w:rFonts w:ascii="Arial" w:hAnsi="Arial"/>
        <w:color w:val="404040"/>
        <w:sz w:val="22"/>
      </w:rPr>
      <w:tcPr>
        <w:tcBorders>
          <w:top w:val="single" w:color="FDD961" w:themeColor="accent3" w:themeTint="98" w:sz="12" w:space="0"/>
        </w:tcBorders>
      </w:tcPr>
    </w:tblStylePr>
  </w:style>
  <w:style w:type="table" w:styleId="1015" w:customStyle="1">
    <w:name w:val="Bordered - Accent 4"/>
    <w:basedOn w:val="850"/>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BD78C" w:themeColor="accent4" w:themeTint="9A" w:sz="12" w:space="0"/>
        </w:tcBorders>
      </w:tcPr>
    </w:tblStylePr>
    <w:tblStylePr w:type="lastCol">
      <w:rPr>
        <w:rFonts w:ascii="Arial" w:hAnsi="Arial"/>
        <w:color w:val="404040"/>
        <w:sz w:val="22"/>
      </w:rPr>
      <w:tcPr>
        <w:tcBorders>
          <w:left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style>
  <w:style w:type="table" w:styleId="1016" w:customStyle="1">
    <w:name w:val="Bordered - Accent 5"/>
    <w:basedOn w:val="850"/>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CDED6" w:themeColor="accent5" w:themeTint="9A" w:sz="12" w:space="0"/>
        </w:tcBorders>
      </w:tcPr>
    </w:tblStylePr>
    <w:tblStylePr w:type="lastCol">
      <w:rPr>
        <w:rFonts w:ascii="Arial" w:hAnsi="Arial"/>
        <w:color w:val="404040"/>
        <w:sz w:val="22"/>
      </w:rPr>
      <w:tcPr>
        <w:tcBorders>
          <w:left w:val="single" w:color="7CDED6" w:themeColor="accent5" w:themeTint="9A" w:sz="12" w:space="0"/>
        </w:tcBorders>
      </w:tcPr>
    </w:tblStylePr>
    <w:tblStylePr w:type="lastRow">
      <w:rPr>
        <w:rFonts w:ascii="Arial" w:hAnsi="Arial"/>
        <w:color w:val="404040"/>
        <w:sz w:val="22"/>
      </w:rPr>
      <w:tcPr>
        <w:tcBorders>
          <w:top w:val="single" w:color="7CDED6" w:themeColor="accent5" w:themeTint="9A" w:sz="12" w:space="0"/>
        </w:tcBorders>
      </w:tcPr>
    </w:tblStylePr>
  </w:style>
  <w:style w:type="table" w:styleId="1017" w:customStyle="1">
    <w:name w:val="Bordered - Accent 6"/>
    <w:basedOn w:val="850"/>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EF949F" w:themeColor="accent6" w:themeTint="98" w:sz="12" w:space="0"/>
        </w:tcBorders>
      </w:tcPr>
    </w:tblStylePr>
    <w:tblStylePr w:type="lastCol">
      <w:rPr>
        <w:rFonts w:ascii="Arial" w:hAnsi="Arial"/>
        <w:color w:val="404040"/>
        <w:sz w:val="22"/>
      </w:rPr>
      <w:tcPr>
        <w:tcBorders>
          <w:left w:val="single" w:color="EF949F" w:themeColor="accent6" w:themeTint="98" w:sz="12" w:space="0"/>
        </w:tcBorders>
      </w:tcPr>
    </w:tblStylePr>
    <w:tblStylePr w:type="lastRow">
      <w:rPr>
        <w:rFonts w:ascii="Arial" w:hAnsi="Arial"/>
        <w:color w:val="404040"/>
        <w:sz w:val="22"/>
      </w:rPr>
      <w:tcPr>
        <w:tcBorders>
          <w:top w:val="single" w:color="EF949F" w:themeColor="accent6" w:themeTint="98" w:sz="12" w:space="0"/>
        </w:tcBorders>
      </w:tcPr>
    </w:tblStylePr>
  </w:style>
  <w:style w:type="character" w:styleId="1018" w:customStyle="1">
    <w:name w:val="Footnote Text Char"/>
    <w:link w:val="863"/>
    <w:uiPriority w:val="99"/>
    <w:qFormat/>
    <w:rPr>
      <w:sz w:val="18"/>
    </w:rPr>
  </w:style>
  <w:style w:type="character" w:styleId="1019" w:customStyle="1">
    <w:name w:val="Endnote Text Char"/>
    <w:link w:val="857"/>
    <w:uiPriority w:val="99"/>
    <w:qFormat/>
    <w:rPr>
      <w:sz w:val="20"/>
    </w:rPr>
  </w:style>
  <w:style w:type="paragraph" w:styleId="1020" w:customStyle="1">
    <w:name w:val="TOC Heading"/>
    <w:uiPriority w:val="39"/>
    <w:unhideWhenUsed/>
    <w:qFormat/>
    <w:rPr>
      <w:rFonts w:hint="default" w:asciiTheme="minorHAnsi" w:hAnsiTheme="minorHAnsi" w:eastAsiaTheme="minorEastAsia" w:cstheme="minorBidi"/>
    </w:rPr>
  </w:style>
  <w:style w:type="paragraph" w:styleId="1021" w:customStyle="1">
    <w:name w:val="标题 21"/>
    <w:basedOn w:val="839"/>
    <w:next w:val="839"/>
    <w:uiPriority w:val="0"/>
    <w:qFormat/>
    <w:pPr>
      <w:jc w:val="center"/>
      <w:keepLines/>
      <w:keepNext/>
      <w:spacing w:before="260" w:after="260" w:line="416" w:lineRule="auto"/>
      <w:outlineLvl w:val="1"/>
    </w:pPr>
    <w:rPr>
      <w:rFonts w:ascii="幼圆" w:hAnsi="Arial" w:eastAsia="楷体_GB2312"/>
      <w:b/>
      <w:sz w:val="44"/>
      <w:szCs w:val="20"/>
    </w:rPr>
  </w:style>
  <w:style w:type="paragraph" w:styleId="1022" w:customStyle="1">
    <w:name w:val="标题 311"/>
    <w:basedOn w:val="839"/>
    <w:next w:val="1023"/>
    <w:uiPriority w:val="0"/>
    <w:qFormat/>
    <w:pPr>
      <w:keepLines/>
      <w:keepNext/>
      <w:spacing w:before="260" w:after="260" w:line="416" w:lineRule="auto"/>
      <w:outlineLvl w:val="2"/>
    </w:pPr>
    <w:rPr>
      <w:b/>
      <w:sz w:val="32"/>
      <w:szCs w:val="20"/>
      <w:lang w:val="en-US" w:eastAsia="en-US"/>
    </w:rPr>
  </w:style>
  <w:style w:type="paragraph" w:styleId="1023" w:customStyle="1">
    <w:name w:val="正文缩进11"/>
    <w:basedOn w:val="839"/>
    <w:uiPriority w:val="0"/>
    <w:unhideWhenUsed/>
    <w:qFormat/>
    <w:pPr>
      <w:ind w:firstLine="420"/>
    </w:pPr>
    <w:rPr>
      <w:sz w:val="20"/>
      <w:lang w:val="en-US" w:eastAsia="en-US"/>
    </w:rPr>
  </w:style>
  <w:style w:type="paragraph" w:styleId="1024" w:customStyle="1">
    <w:name w:val="列出段落3"/>
    <w:basedOn w:val="839"/>
    <w:uiPriority w:val="99"/>
    <w:qFormat/>
    <w:pPr>
      <w:ind w:firstLine="420"/>
    </w:pPr>
    <w:rPr>
      <w:rFonts w:ascii="Calibri" w:hAnsi="Calibri"/>
      <w:szCs w:val="22"/>
    </w:rPr>
  </w:style>
  <w:style w:type="character" w:styleId="1025" w:customStyle="1">
    <w:name w:val="超链接11"/>
    <w:basedOn w:val="1026"/>
    <w:link w:val="839"/>
    <w:uiPriority w:val="99"/>
    <w:unhideWhenUsed/>
    <w:qFormat/>
    <w:rPr>
      <w:rFonts w:hint="default" w:ascii="Times New Roman" w:hAnsi="Times New Roman" w:eastAsia="宋体" w:cs="Times New Roman"/>
      <w:sz w:val="21"/>
      <w:szCs w:val="24"/>
      <w:lang w:val="en-US" w:eastAsia="zh-CN" w:bidi="ar-SA"/>
    </w:rPr>
  </w:style>
  <w:style w:type="character" w:styleId="1026" w:customStyle="1">
    <w:name w:val="默认段落字体12"/>
    <w:link w:val="839"/>
    <w:uiPriority w:val="1"/>
    <w:unhideWhenUsed/>
    <w:qFormat/>
  </w:style>
  <w:style w:type="paragraph" w:styleId="1027" w:customStyle="1">
    <w:name w:val="正文缩进12"/>
    <w:basedOn w:val="839"/>
    <w:uiPriority w:val="0"/>
    <w:unhideWhenUsed/>
    <w:qFormat/>
    <w:pPr>
      <w:ind w:firstLine="420"/>
    </w:pPr>
  </w:style>
  <w:style w:type="paragraph" w:styleId="1028" w:customStyle="1">
    <w:name w:val="列出段落12"/>
    <w:basedOn w:val="839"/>
    <w:uiPriority w:val="0"/>
    <w:qFormat/>
    <w:pPr>
      <w:ind w:firstLine="420"/>
    </w:pPr>
  </w:style>
  <w:style w:type="paragraph" w:styleId="1029" w:customStyle="1">
    <w:name w:val="Normal_0"/>
    <w:uiPriority w:val="0"/>
    <w:qFormat/>
    <w:rPr>
      <w:rFonts w:hint="default" w:ascii="Times New Roman" w:hAnsi="Times New Roman" w:eastAsia="Times New Roman" w:cs="Times New Roman"/>
      <w:sz w:val="24"/>
      <w:szCs w:val="24"/>
      <w:lang w:bidi="ar-SA"/>
    </w:rPr>
  </w:style>
  <w:style w:type="character" w:styleId="1030" w:customStyle="1">
    <w:name w:val="titlebody"/>
    <w:link w:val="839"/>
    <w:uiPriority w:val="0"/>
    <w:qFormat/>
    <w:rPr>
      <w:rFonts w:ascii="宋体" w:hAnsi="宋体" w:eastAsia="宋体" w:cs="宋体"/>
      <w:b/>
      <w:bCs/>
      <w:color w:val="000000"/>
      <w:sz w:val="24"/>
      <w:szCs w:val="24"/>
    </w:rPr>
  </w:style>
  <w:style w:type="paragraph" w:styleId="1031" w:customStyle="1">
    <w:name w:val="正文文本缩进 311"/>
    <w:basedOn w:val="839"/>
    <w:uiPriority w:val="0"/>
    <w:qFormat/>
    <w:pPr>
      <w:ind w:left="520" w:firstLine="425"/>
      <w:jc w:val="center"/>
    </w:pPr>
    <w:rPr>
      <w:rFonts w:ascii="方正行楷简体" w:hAnsi="Arial" w:eastAsia="方正行楷简体" w:cs="Arial"/>
      <w:sz w:val="36"/>
      <w:szCs w:val="22"/>
    </w:rPr>
  </w:style>
  <w:style w:type="paragraph" w:styleId="1032" w:customStyle="1">
    <w:name w:val="正文文本缩进11"/>
    <w:basedOn w:val="839"/>
    <w:uiPriority w:val="0"/>
    <w:qFormat/>
    <w:pPr>
      <w:ind w:firstLine="645"/>
    </w:pPr>
    <w:rPr>
      <w:rFonts w:ascii="楷体_GB2312" w:hAnsi="等线" w:eastAsia="楷体_GB2312" w:cs="Arial"/>
      <w:sz w:val="32"/>
      <w:szCs w:val="22"/>
    </w:rPr>
  </w:style>
  <w:style w:type="paragraph" w:styleId="1033" w:customStyle="1">
    <w:name w:val="正文_1"/>
    <w:uiPriority w:val="0"/>
    <w:qFormat/>
    <w:pPr>
      <w:jc w:val="both"/>
      <w:widowControl w:val="off"/>
    </w:pPr>
    <w:rPr>
      <w:rFonts w:hint="default" w:ascii="Times New Roman" w:hAnsi="Times New Roman" w:eastAsia="宋体" w:cs="Times New Roman"/>
      <w:sz w:val="21"/>
      <w:szCs w:val="22"/>
    </w:rPr>
  </w:style>
  <w:style w:type="paragraph" w:styleId="1034" w:customStyle="1">
    <w:name w:val="普通(网站)12"/>
    <w:basedOn w:val="839"/>
    <w:uiPriority w:val="0"/>
    <w:qFormat/>
    <w:pPr>
      <w:jc w:val="left"/>
      <w:spacing w:before="100" w:beforeAutospacing="1" w:after="100" w:afterAutospacing="1"/>
      <w:widowControl/>
    </w:pPr>
    <w:rPr>
      <w:rFonts w:ascii="宋体" w:hAnsi="宋体" w:eastAsia="宋体" w:cs="宋体"/>
      <w:color w:val="000000"/>
      <w:sz w:val="24"/>
    </w:rPr>
  </w:style>
  <w:style w:type="paragraph" w:styleId="1035" w:customStyle="1">
    <w:name w:val="正文文本11"/>
    <w:basedOn w:val="839"/>
    <w:uiPriority w:val="0"/>
    <w:qFormat/>
    <w:rPr>
      <w:rFonts w:ascii="楷体_GB2312" w:hAnsi="Arial" w:eastAsia="楷体_GB2312" w:cs="Arial"/>
      <w:sz w:val="28"/>
      <w:szCs w:val="22"/>
    </w:rPr>
  </w:style>
  <w:style w:type="paragraph" w:styleId="1036" w:customStyle="1">
    <w:name w:val="正文文本缩进12"/>
    <w:basedOn w:val="839"/>
    <w:uiPriority w:val="0"/>
    <w:qFormat/>
    <w:pPr>
      <w:ind w:firstLine="645"/>
    </w:pPr>
    <w:rPr>
      <w:rFonts w:ascii="楷体_GB2312" w:hAnsi="Arial" w:eastAsia="楷体_GB2312" w:cs="Times New Roman"/>
      <w:sz w:val="32"/>
      <w:szCs w:val="22"/>
    </w:rPr>
  </w:style>
  <w:style w:type="paragraph" w:styleId="1037" w:customStyle="1">
    <w:name w:val="Normal_1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38" w:customStyle="1">
    <w:name w:val="首行缩进"/>
    <w:basedOn w:val="839"/>
    <w:uiPriority w:val="0"/>
    <w:qFormat/>
    <w:pPr>
      <w:ind w:firstLine="480"/>
    </w:pPr>
    <w:rPr>
      <w:lang w:val="zh-CN"/>
    </w:rPr>
  </w:style>
  <w:style w:type="paragraph" w:styleId="1039" w:customStyle="1">
    <w:name w:val="页眉11"/>
    <w:basedOn w:val="839"/>
    <w:uiPriority w:val="99"/>
    <w:unhideWhenUsed/>
    <w:qFormat/>
    <w:pPr>
      <w:spacing w:after="0" w:line="240" w:lineRule="auto"/>
      <w:tabs>
        <w:tab w:val="center" w:pos="7143" w:leader="none"/>
        <w:tab w:val="right" w:pos="14287" w:leader="none"/>
      </w:tabs>
    </w:pPr>
  </w:style>
  <w:style w:type="paragraph" w:styleId="1040" w:customStyle="1">
    <w:name w:val="页脚11"/>
    <w:basedOn w:val="839"/>
    <w:uiPriority w:val="99"/>
    <w:unhideWhenUsed/>
    <w:qFormat/>
    <w:pPr>
      <w:spacing w:after="0" w:line="240" w:lineRule="auto"/>
      <w:tabs>
        <w:tab w:val="center" w:pos="7143" w:leader="none"/>
        <w:tab w:val="right" w:pos="14287" w:leader="none"/>
      </w:tabs>
    </w:pPr>
  </w:style>
  <w:style w:type="paragraph" w:styleId="1041" w:customStyle="1">
    <w:name w:val="Footer1"/>
    <w:basedOn w:val="839"/>
    <w:uiPriority w:val="99"/>
    <w:unhideWhenUsed/>
    <w:qFormat/>
    <w:pPr>
      <w:jc w:val="left"/>
      <w:tabs>
        <w:tab w:val="center" w:pos="4153" w:leader="none"/>
        <w:tab w:val="right" w:pos="8306" w:leader="none"/>
      </w:tabs>
    </w:pPr>
    <w:rPr>
      <w:sz w:val="18"/>
      <w:szCs w:val="18"/>
    </w:rPr>
  </w:style>
  <w:style w:type="character" w:styleId="1042" w:customStyle="1">
    <w:name w:val="页码11"/>
    <w:basedOn w:val="1043"/>
    <w:link w:val="839"/>
    <w:uiPriority w:val="0"/>
    <w:qFormat/>
  </w:style>
  <w:style w:type="character" w:styleId="1043" w:customStyle="1">
    <w:name w:val="默认段落字体11"/>
    <w:link w:val="839"/>
    <w:uiPriority w:val="1"/>
    <w:unhideWhenUsed/>
    <w:qFormat/>
  </w:style>
  <w:style w:type="character" w:styleId="1044" w:customStyle="1">
    <w:name w:val="font11"/>
    <w:basedOn w:val="849"/>
    <w:uiPriority w:val="0"/>
    <w:qFormat/>
    <w:rPr>
      <w:rFonts w:hint="eastAsia" w:ascii="宋体" w:hAnsi="宋体" w:eastAsia="宋体" w:cs="宋体"/>
      <w:color w:val="000000"/>
      <w:sz w:val="22"/>
      <w:szCs w:val="22"/>
      <w:u w:val="none"/>
    </w:rPr>
  </w:style>
  <w:style w:type="character" w:styleId="1045" w:customStyle="1">
    <w:name w:val="font31"/>
    <w:basedOn w:val="849"/>
    <w:uiPriority w:val="0"/>
    <w:qFormat/>
    <w:rPr>
      <w:rFonts w:hint="eastAsia" w:ascii="宋体" w:hAnsi="宋体" w:eastAsia="宋体" w:cs="宋体"/>
      <w:b/>
      <w:bCs/>
      <w:color w:val="000000"/>
      <w:sz w:val="22"/>
      <w:szCs w:val="22"/>
      <w:u w:val="none"/>
    </w:rPr>
  </w:style>
  <w:style w:type="numbering" w:styleId="7084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footer" Target="footer6.xml" /><Relationship Id="rId16" Type="http://schemas.openxmlformats.org/officeDocument/2006/relationships/footer" Target="footer7.xml" /><Relationship Id="rId17"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WPS_1709353813</dc:creator>
  <cp:lastModifiedBy>陈涛</cp:lastModifiedBy>
  <cp:revision>4</cp:revision>
  <dcterms:created xsi:type="dcterms:W3CDTF">2026-05-30T05:47:00Z</dcterms:created>
  <dcterms:modified xsi:type="dcterms:W3CDTF">2026-07-27T06:58:25Z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A81FE85D4B164F8193B3F0F9DDCE7166_13</vt:lpwstr>
  </property>
  <property fmtid="{D5CDD505-2E9C-101B-9397-08002B2CF9AE}" pid="4" name="KSOTemplateDocerSaveRecord">
    <vt:lpwstr>eyJoZGlkIjoiMzFhMWY5MTlkYTE4ZDk2ZjRlMWRmZGIxZjJkOTMxZmUiLCJ1c2VySWQiOiIxNTgxODUzMTkyIn0=</vt:lpwstr>
  </property>
</Properties>
</file>