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center"/>
        <w:spacing w:line="360" w:lineRule="auto"/>
        <w:tabs>
          <w:tab w:val="left" w:pos="390" w:leader="none"/>
          <w:tab w:val="center" w:pos="4404" w:leader="none"/>
        </w:tabs>
        <w:rPr>
          <w:rFonts w:hint="eastAsia" w:ascii="宋体" w:hAnsi="宋体" w:eastAsia="宋体" w:cs="宋体"/>
          <w:color w:val="000000"/>
          <w:sz w:val="76"/>
          <w:szCs w:val="76"/>
          <w:highlight w:val="none"/>
        </w:rPr>
        <w:outlineLvl w:val="9"/>
      </w:pPr>
      <w:r>
        <w:rPr>
          <w:rFonts w:hint="eastAsia" w:ascii="宋体" w:hAnsi="宋体" w:eastAsia="宋体" w:cs="宋体"/>
          <w:color w:val="000000"/>
          <w:sz w:val="76"/>
          <w:szCs w:val="76"/>
          <w:highlight w:val="none"/>
        </w:rPr>
      </w:r>
      <w:r/>
    </w:p>
    <w:p>
      <w:pPr>
        <w:pStyle w:val="708"/>
        <w:jc w:val="center"/>
        <w:spacing w:line="360" w:lineRule="auto"/>
        <w:tabs>
          <w:tab w:val="left" w:pos="390" w:leader="none"/>
          <w:tab w:val="center" w:pos="4404" w:leader="none"/>
        </w:tabs>
        <w:rPr>
          <w:rFonts w:hint="eastAsia" w:ascii="宋体" w:hAnsi="宋体" w:eastAsia="宋体" w:cs="宋体"/>
          <w:b/>
          <w:bCs/>
          <w:color w:val="000000"/>
          <w:sz w:val="76"/>
          <w:szCs w:val="76"/>
          <w:highlight w:val="none"/>
        </w:rPr>
        <w:outlineLvl w:val="9"/>
      </w:pPr>
      <w:r>
        <w:rPr>
          <w:rFonts w:hint="eastAsia" w:ascii="宋体" w:hAnsi="宋体" w:eastAsia="宋体" w:cs="宋体"/>
          <w:b/>
          <w:bCs/>
          <w:color w:val="000000"/>
          <w:sz w:val="76"/>
          <w:szCs w:val="76"/>
          <w:highlight w:val="none"/>
        </w:rPr>
        <w:t xml:space="preserve">公开招标文件</w:t>
      </w:r>
      <w:r>
        <w:rPr>
          <w:rFonts w:hint="eastAsia" w:ascii="宋体" w:hAnsi="宋体" w:eastAsia="宋体" w:cs="宋体"/>
          <w:b/>
          <w:bCs/>
          <w:color w:val="000000"/>
          <w:sz w:val="76"/>
          <w:szCs w:val="76"/>
          <w:highlight w:val="none"/>
        </w:rPr>
      </w:r>
      <w:r/>
    </w:p>
    <w:p>
      <w:pPr>
        <w:pStyle w:val="708"/>
        <w:jc w:val="right"/>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08"/>
              <w:ind w:firstLine="883"/>
              <w:spacing w:line="360" w:lineRule="auto"/>
              <w:rPr>
                <w:rFonts w:hint="eastAsia" w:ascii="宋体" w:hAnsi="宋体" w:eastAsia="宋体" w:cs="宋体"/>
                <w:b/>
                <w:bCs/>
                <w:color w:val="000000"/>
                <w:sz w:val="44"/>
                <w:highlight w:val="none"/>
                <w:lang w:eastAsia="zh-CN"/>
              </w:rPr>
              <w:outlineLvl w:val="9"/>
            </w:pPr>
            <w:r>
              <w:rPr>
                <w:rFonts w:hint="eastAsia" w:ascii="宋体" w:hAnsi="宋体" w:eastAsia="宋体" w:cs="宋体"/>
                <w:b/>
                <w:bCs/>
                <w:color w:val="000000"/>
                <w:sz w:val="44"/>
                <w:highlight w:val="none"/>
              </w:rPr>
              <w:t xml:space="preserve">项目编号：</w:t>
            </w:r>
            <w:r>
              <w:rPr>
                <w:rFonts w:hint="eastAsia" w:ascii="宋体" w:hAnsi="宋体" w:cs="宋体"/>
                <w:b/>
                <w:bCs/>
                <w:color w:val="000000"/>
                <w:sz w:val="44"/>
                <w:highlight w:val="none"/>
                <w:lang w:val="zh-CN"/>
              </w:rPr>
              <w:t xml:space="preserve">JSZC-320192-JCZJ-G2026-0009</w:t>
            </w:r>
            <w:r>
              <w:rPr>
                <w:rFonts w:hint="eastAsia" w:ascii="宋体" w:hAnsi="宋体" w:cs="宋体"/>
                <w:b/>
                <w:bCs/>
                <w:color w:val="000000"/>
                <w:sz w:val="44"/>
                <w:highlight w:val="none"/>
                <w:lang w:val="zh-CN" w:eastAsia="zh-CN"/>
              </w:rPr>
              <w:t xml:space="preserve"> </w:t>
            </w:r>
            <w:r>
              <w:rPr>
                <w:rFonts w:hint="eastAsia" w:ascii="宋体" w:hAnsi="宋体" w:eastAsia="宋体" w:cs="宋体"/>
                <w:b/>
                <w:bCs/>
                <w:color w:val="000000"/>
                <w:sz w:val="44"/>
                <w:highlight w:val="none"/>
                <w:lang w:eastAsia="zh-CN"/>
              </w:rPr>
            </w:r>
            <w:r/>
          </w:p>
          <w:p>
            <w:pPr>
              <w:pStyle w:val="708"/>
              <w:ind w:left="3087" w:hanging="2209"/>
              <w:spacing w:line="288" w:lineRule="auto"/>
              <w:widowControl/>
              <w:rPr>
                <w:rFonts w:hint="eastAsia" w:ascii="宋体" w:hAnsi="宋体" w:eastAsia="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项目名称：</w:t>
            </w:r>
            <w:r>
              <w:rPr>
                <w:rFonts w:hint="eastAsia" w:ascii="宋体" w:hAnsi="宋体" w:cs="宋体"/>
                <w:b/>
                <w:bCs/>
                <w:color w:val="000000"/>
                <w:sz w:val="44"/>
                <w:highlight w:val="none"/>
                <w:lang w:val="zh-CN"/>
              </w:rPr>
              <w:t xml:space="preserve">侨康路学校新建工程项目功能室设备采购</w:t>
            </w:r>
            <w:r>
              <w:rPr>
                <w:rFonts w:hint="eastAsia" w:ascii="宋体" w:hAnsi="宋体" w:eastAsia="宋体" w:cs="宋体"/>
                <w:b/>
                <w:bCs/>
                <w:color w:val="000000"/>
                <w:sz w:val="44"/>
                <w:highlight w:val="none"/>
                <w:lang w:val="zh-CN"/>
              </w:rPr>
            </w:r>
            <w:r/>
          </w:p>
          <w:p>
            <w:pPr>
              <w:pStyle w:val="790"/>
              <w:ind w:firstLine="64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ind w:left="3087" w:hanging="2209"/>
              <w:spacing w:line="360" w:lineRule="auto"/>
              <w:rPr>
                <w:rFonts w:hint="eastAsia" w:ascii="宋体" w:hAnsi="宋体" w:eastAsia="宋体" w:cs="宋体"/>
                <w:b/>
                <w:bCs/>
                <w:color w:val="000000"/>
                <w:sz w:val="44"/>
                <w:szCs w:val="44"/>
                <w:highlight w:val="none"/>
                <w:lang w:val="zh-CN"/>
              </w:rPr>
              <w:outlineLvl w:val="9"/>
            </w:pPr>
            <w:r>
              <w:rPr>
                <w:rFonts w:hint="eastAsia" w:ascii="宋体" w:hAnsi="宋体" w:eastAsia="宋体" w:cs="宋体"/>
                <w:b/>
                <w:bCs/>
                <w:color w:val="000000"/>
                <w:sz w:val="44"/>
                <w:szCs w:val="44"/>
                <w:highlight w:val="none"/>
                <w:lang w:val="zh-CN"/>
              </w:rPr>
            </w:r>
            <w:r/>
          </w:p>
        </w:tc>
      </w:tr>
    </w:tbl>
    <w:p>
      <w:pPr>
        <w:pStyle w:val="708"/>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jc w:val="left"/>
        <w:keepLines w:val="0"/>
        <w:keepNext w:val="0"/>
        <w:pageBreakBefore w:val="0"/>
        <w:spacing w:line="360" w:lineRule="auto"/>
        <w:widowControl w:val="off"/>
        <w:rPr>
          <w:rFonts w:hint="eastAsia" w:ascii="宋体" w:hAnsi="宋体" w:eastAsia="宋体" w:cs="宋体"/>
          <w:b/>
          <w:bCs/>
          <w:color w:val="000000"/>
          <w:sz w:val="44"/>
          <w:highlight w:val="none"/>
          <w:lang w:eastAsia="zh-CN"/>
        </w:rPr>
        <w:outlineLvl w:val="9"/>
      </w:pPr>
      <w:r>
        <w:rPr>
          <w:rFonts w:hint="eastAsia" w:ascii="宋体" w:hAnsi="宋体" w:eastAsia="宋体" w:cs="宋体"/>
          <w:b/>
          <w:bCs/>
          <w:color w:val="000000"/>
          <w:sz w:val="44"/>
          <w:szCs w:val="22"/>
          <w:highlight w:val="none"/>
        </w:rPr>
        <w:t xml:space="preserve">代理机构：</w:t>
      </w:r>
      <w:r>
        <w:rPr>
          <w:rFonts w:hint="eastAsia" w:ascii="宋体" w:hAnsi="宋体" w:cs="宋体"/>
          <w:b/>
          <w:bCs/>
          <w:color w:val="000000"/>
          <w:sz w:val="44"/>
          <w:highlight w:val="none"/>
          <w:lang w:eastAsia="zh-CN"/>
        </w:rPr>
        <w:t xml:space="preserve">南京建淳造价师事务所有限公司</w:t>
      </w:r>
      <w:r>
        <w:rPr>
          <w:rFonts w:hint="eastAsia" w:ascii="宋体" w:hAnsi="宋体" w:eastAsia="宋体" w:cs="宋体"/>
          <w:b/>
          <w:bCs/>
          <w:color w:val="000000"/>
          <w:sz w:val="44"/>
          <w:highlight w:val="none"/>
          <w:lang w:eastAsia="zh-CN"/>
        </w:rPr>
      </w:r>
      <w:r/>
    </w:p>
    <w:p>
      <w:pPr>
        <w:pStyle w:val="708"/>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t xml:space="preserve">日    期：二〇二</w:t>
      </w:r>
      <w:r>
        <w:rPr>
          <w:rFonts w:hint="eastAsia" w:ascii="宋体" w:hAnsi="宋体" w:eastAsia="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年</w:t>
      </w:r>
      <w:r>
        <w:rPr>
          <w:rFonts w:hint="eastAsia" w:ascii="宋体" w:hAnsi="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月</w:t>
      </w:r>
      <w:r>
        <w:rPr>
          <w:rFonts w:hint="eastAsia" w:ascii="宋体" w:hAnsi="宋体" w:eastAsia="宋体" w:cs="宋体"/>
          <w:b/>
          <w:bCs/>
          <w:color w:val="000000"/>
          <w:sz w:val="44"/>
          <w:szCs w:val="22"/>
          <w:highlight w:val="none"/>
        </w:rPr>
      </w:r>
      <w:r/>
    </w:p>
    <w:p>
      <w:pPr>
        <w:pStyle w:val="708"/>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r>
      <w:r/>
    </w:p>
    <w:p>
      <w:pPr>
        <w:pStyle w:val="708"/>
        <w:ind w:left="0" w:right="0" w:firstLine="0"/>
        <w:jc w:val="center"/>
        <w:spacing w:before="0" w:after="0" w:line="240" w:lineRule="auto"/>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p>
      <w:pPr>
        <w:pStyle w:val="708"/>
        <w:ind w:left="0" w:right="0" w:firstLine="0"/>
        <w:jc w:val="center"/>
        <w:spacing w:before="0" w:after="0" w:line="240" w:lineRule="auto"/>
        <w:rPr>
          <w:b/>
          <w:bCs/>
          <w:color w:val="000000"/>
          <w:sz w:val="48"/>
          <w:szCs w:val="48"/>
          <w:highlight w:val="none"/>
        </w:rPr>
      </w:pPr>
      <w:r>
        <w:rPr>
          <w:rFonts w:ascii="宋体" w:hAnsi="宋体" w:eastAsia="宋体"/>
          <w:b/>
          <w:bCs/>
          <w:color w:val="000000"/>
          <w:sz w:val="48"/>
          <w:szCs w:val="48"/>
          <w:highlight w:val="none"/>
        </w:rPr>
        <w:t xml:space="preserve">目录</w:t>
      </w:r>
      <w:r>
        <w:rPr>
          <w:b/>
          <w:bCs/>
          <w:color w:val="000000"/>
          <w:sz w:val="48"/>
          <w:szCs w:val="48"/>
          <w:highlight w:val="none"/>
        </w:rPr>
      </w:r>
      <w:r/>
    </w:p>
    <w:p>
      <w:pPr>
        <w:pStyle w:val="764"/>
        <w:tabs>
          <w:tab w:val="right" w:pos="9468" w:leader="dot"/>
        </w:tabs>
        <w:rPr>
          <w:color w:val="000000"/>
          <w:highlight w:val="none"/>
        </w:rPr>
      </w:pPr>
      <w:r>
        <w:rPr>
          <w:rFonts w:hint="eastAsia" w:ascii="宋体" w:hAnsi="宋体" w:eastAsia="宋体" w:cs="宋体"/>
          <w:b/>
          <w:bCs/>
          <w:color w:val="000000"/>
          <w:spacing w:val="-10"/>
          <w:sz w:val="24"/>
          <w:szCs w:val="24"/>
          <w:highlight w:val="none"/>
          <w:lang w:val="en-US" w:eastAsia="zh-CN" w:bidi="ar-SA"/>
        </w:rPr>
        <w:fldChar w:fldCharType="begin"/>
      </w:r>
      <w:r>
        <w:rPr>
          <w:rFonts w:hint="eastAsia" w:ascii="宋体" w:hAnsi="宋体" w:eastAsia="宋体" w:cs="宋体"/>
          <w:b/>
          <w:bCs/>
          <w:color w:val="000000"/>
          <w:spacing w:val="-10"/>
          <w:sz w:val="24"/>
          <w:szCs w:val="24"/>
          <w:highlight w:val="none"/>
          <w:lang w:val="en-US" w:eastAsia="zh-CN" w:bidi="ar-SA"/>
        </w:rPr>
        <w:instrText xml:space="preserve">TOC \o "1-3" \h \u </w:instrText>
      </w:r>
      <w:r>
        <w:rPr>
          <w:rFonts w:hint="eastAsia" w:ascii="宋体" w:hAnsi="宋体" w:eastAsia="宋体" w:cs="宋体"/>
          <w:b/>
          <w:bCs/>
          <w:color w:val="000000"/>
          <w:spacing w:val="-10"/>
          <w:sz w:val="24"/>
          <w:szCs w:val="24"/>
          <w:highlight w:val="none"/>
          <w:lang w:val="en-US" w:eastAsia="zh-CN" w:bidi="ar-SA"/>
        </w:rPr>
        <w:fldChar w:fldCharType="separate"/>
      </w: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_Toc20085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_Toc20085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_Toc11453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_Toc11453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_Toc12410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_Toc12410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_Toc13238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_Toc13238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四、提交投标文件开始时间、开标时间</w:t>
      </w:r>
      <w:r>
        <w:rPr>
          <w:color w:val="000000"/>
          <w:highlight w:val="none"/>
        </w:rPr>
        <w:tab/>
      </w:r>
      <w:r>
        <w:rPr>
          <w:color w:val="000000"/>
          <w:highlight w:val="none"/>
        </w:rPr>
        <w:fldChar w:fldCharType="begin"/>
      </w:r>
      <w:r>
        <w:rPr>
          <w:color w:val="000000"/>
          <w:highlight w:val="none"/>
        </w:rPr>
        <w:instrText xml:space="preserve"> PAGEREF _Toc28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_Toc21578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_Toc21578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_Toc14484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六</w:t>
      </w:r>
      <w:r>
        <w:rPr>
          <w:rFonts w:hint="eastAsia" w:ascii="宋体" w:hAnsi="宋体" w:eastAsia="宋体" w:cs="宋体"/>
          <w:color w:val="000000"/>
          <w:szCs w:val="24"/>
          <w:highlight w:val="none"/>
        </w:rPr>
        <w:t xml:space="preserve">、公告期限</w:t>
      </w:r>
      <w:r>
        <w:rPr>
          <w:color w:val="000000"/>
          <w:highlight w:val="none"/>
        </w:rPr>
        <w:tab/>
      </w:r>
      <w:r>
        <w:rPr>
          <w:color w:val="000000"/>
          <w:highlight w:val="none"/>
        </w:rPr>
        <w:fldChar w:fldCharType="begin"/>
      </w:r>
      <w:r>
        <w:rPr>
          <w:color w:val="000000"/>
          <w:highlight w:val="none"/>
        </w:rPr>
        <w:instrText xml:space="preserve"> PAGEREF _Toc14484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_Toc616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七</w:t>
      </w:r>
      <w:r>
        <w:rPr>
          <w:rFonts w:hint="eastAsia" w:ascii="宋体" w:hAnsi="宋体" w:eastAsia="宋体" w:cs="宋体"/>
          <w:color w:val="000000"/>
          <w:szCs w:val="24"/>
          <w:highlight w:val="none"/>
        </w:rPr>
        <w:t xml:space="preserve">、其他补充事宜</w:t>
      </w:r>
      <w:r>
        <w:rPr>
          <w:color w:val="000000"/>
          <w:highlight w:val="none"/>
        </w:rPr>
        <w:tab/>
      </w:r>
      <w:r>
        <w:rPr>
          <w:color w:val="000000"/>
          <w:highlight w:val="none"/>
        </w:rPr>
        <w:fldChar w:fldCharType="begin"/>
      </w:r>
      <w:r>
        <w:rPr>
          <w:color w:val="000000"/>
          <w:highlight w:val="none"/>
        </w:rPr>
        <w:instrText xml:space="preserve"> PAGEREF _Toc616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_Toc13636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八、对本次招标提出询问，请按以下方式联系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_Toc13636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_Toc20055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_Toc20055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_Toc1565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一、总 则</w:t>
      </w:r>
      <w:r>
        <w:rPr>
          <w:color w:val="000000"/>
          <w:highlight w:val="none"/>
        </w:rPr>
        <w:tab/>
      </w:r>
      <w:r>
        <w:rPr>
          <w:color w:val="000000"/>
          <w:highlight w:val="none"/>
        </w:rPr>
        <w:fldChar w:fldCharType="begin"/>
      </w:r>
      <w:r>
        <w:rPr>
          <w:color w:val="000000"/>
          <w:highlight w:val="none"/>
        </w:rPr>
        <w:instrText xml:space="preserve"> PAGEREF _Toc1565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_Toc19961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二、招标文件</w:t>
      </w:r>
      <w:r>
        <w:rPr>
          <w:color w:val="000000"/>
          <w:highlight w:val="none"/>
        </w:rPr>
        <w:tab/>
      </w:r>
      <w:r>
        <w:rPr>
          <w:color w:val="000000"/>
          <w:highlight w:val="none"/>
        </w:rPr>
        <w:fldChar w:fldCharType="begin"/>
      </w:r>
      <w:r>
        <w:rPr>
          <w:color w:val="000000"/>
          <w:highlight w:val="none"/>
        </w:rPr>
        <w:instrText xml:space="preserve"> PAGEREF _Toc19961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50"/>
        <w:ind w:left="0" w:firstLine="180"/>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三</w:t>
      </w:r>
      <w:r>
        <w:rPr>
          <w:rFonts w:hint="eastAsia" w:ascii="宋体" w:hAnsi="宋体" w:eastAsia="宋体" w:cs="宋体"/>
          <w:i w:val="0"/>
          <w:smallCaps/>
          <w:color w:val="000000"/>
          <w:szCs w:val="24"/>
          <w:highlight w:val="none"/>
          <w:lang w:val="en-US" w:eastAsia="zh-CN" w:bidi="ar"/>
        </w:rPr>
        <w:t xml:space="preserve">、投标</w:t>
      </w:r>
      <w:r>
        <w:rPr>
          <w:color w:val="000000"/>
          <w:highlight w:val="none"/>
        </w:rPr>
        <w:tab/>
      </w:r>
      <w:r>
        <w:rPr>
          <w:color w:val="000000"/>
          <w:highlight w:val="none"/>
        </w:rPr>
        <w:fldChar w:fldCharType="begin"/>
      </w:r>
      <w:r>
        <w:rPr>
          <w:color w:val="000000"/>
          <w:highlight w:val="none"/>
        </w:rPr>
        <w:instrText xml:space="preserve"> PAGEREF _Toc72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_Toc1379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lang w:val="zh-CN"/>
        </w:rPr>
        <w:t xml:space="preserve">四、开标、评标与确定中标供应商</w:t>
      </w:r>
      <w:r>
        <w:rPr>
          <w:color w:val="000000"/>
          <w:highlight w:val="none"/>
        </w:rPr>
        <w:tab/>
      </w:r>
      <w:r>
        <w:rPr>
          <w:color w:val="000000"/>
          <w:highlight w:val="none"/>
        </w:rPr>
        <w:fldChar w:fldCharType="begin"/>
      </w:r>
      <w:r>
        <w:rPr>
          <w:color w:val="000000"/>
          <w:highlight w:val="none"/>
        </w:rPr>
        <w:instrText xml:space="preserve"> PAGEREF _Toc1379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_Toc13547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五</w:t>
      </w:r>
      <w:r>
        <w:rPr>
          <w:rFonts w:hint="eastAsia" w:ascii="宋体" w:hAnsi="宋体" w:eastAsia="宋体" w:cs="宋体"/>
          <w:bCs/>
          <w:color w:val="000000"/>
          <w:szCs w:val="24"/>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_Toc13547 \h </w:instrText>
      </w:r>
      <w:r>
        <w:rPr>
          <w:color w:val="000000"/>
          <w:highlight w:val="none"/>
        </w:rPr>
        <w:fldChar w:fldCharType="separate"/>
      </w:r>
      <w:r>
        <w:rPr>
          <w:color w:val="000000"/>
          <w:highlight w:val="none"/>
        </w:rPr>
        <w:t xml:space="preserve">18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_Toc28924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六</w:t>
      </w:r>
      <w:r>
        <w:rPr>
          <w:rFonts w:hint="eastAsia" w:ascii="宋体" w:hAnsi="宋体" w:eastAsia="宋体" w:cs="宋体"/>
          <w:bCs/>
          <w:color w:val="000000"/>
          <w:szCs w:val="24"/>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_Toc28924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_Toc1856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eastAsia="zh-CN" w:bidi="ar-SA"/>
        </w:rPr>
        <w:t xml:space="preserve">第三章</w:t>
      </w:r>
      <w:r>
        <w:rPr>
          <w:rFonts w:hint="eastAsia" w:ascii="宋体" w:hAnsi="宋体" w:eastAsia="宋体" w:cs="宋体"/>
          <w:bCs/>
          <w:color w:val="000000"/>
          <w:spacing w:val="-10"/>
          <w:szCs w:val="36"/>
          <w:highlight w:val="none"/>
          <w:lang w:val="en-US" w:eastAsia="zh-CN" w:bidi="ar-SA"/>
        </w:rPr>
        <w:t xml:space="preserve">   </w:t>
      </w:r>
      <w:r>
        <w:rPr>
          <w:rFonts w:hint="eastAsia" w:ascii="宋体" w:hAnsi="宋体" w:eastAsia="宋体" w:cs="宋体"/>
          <w:bCs/>
          <w:color w:val="000000"/>
          <w:spacing w:val="-10"/>
          <w:szCs w:val="36"/>
          <w:highlight w:val="none"/>
          <w:lang w:val="zh-CN"/>
        </w:rPr>
        <w:t xml:space="preserve">评标方法和标准</w:t>
      </w:r>
      <w:r>
        <w:rPr>
          <w:color w:val="000000"/>
          <w:highlight w:val="none"/>
        </w:rPr>
        <w:tab/>
      </w:r>
      <w:r>
        <w:rPr>
          <w:color w:val="000000"/>
          <w:highlight w:val="none"/>
        </w:rPr>
        <w:fldChar w:fldCharType="begin"/>
      </w:r>
      <w:r>
        <w:rPr>
          <w:color w:val="000000"/>
          <w:highlight w:val="none"/>
        </w:rPr>
        <w:instrText xml:space="preserve"> PAGEREF _Toc1856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_Toc9659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一、采用综合评分法</w:t>
      </w:r>
      <w:r>
        <w:rPr>
          <w:color w:val="000000"/>
          <w:highlight w:val="none"/>
        </w:rPr>
        <w:tab/>
      </w:r>
      <w:r>
        <w:rPr>
          <w:color w:val="000000"/>
          <w:highlight w:val="none"/>
        </w:rPr>
        <w:fldChar w:fldCharType="begin"/>
      </w:r>
      <w:r>
        <w:rPr>
          <w:color w:val="000000"/>
          <w:highlight w:val="none"/>
        </w:rPr>
        <w:instrText xml:space="preserve"> PAGEREF _Toc9659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_Toc9317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二、综合评分法评审评分细则</w:t>
      </w:r>
      <w:r>
        <w:rPr>
          <w:color w:val="000000"/>
          <w:highlight w:val="none"/>
        </w:rPr>
        <w:tab/>
      </w:r>
      <w:r>
        <w:rPr>
          <w:color w:val="000000"/>
          <w:highlight w:val="none"/>
        </w:rPr>
        <w:fldChar w:fldCharType="begin"/>
      </w:r>
      <w:r>
        <w:rPr>
          <w:color w:val="000000"/>
          <w:highlight w:val="none"/>
        </w:rPr>
        <w:instrText xml:space="preserve"> PAGEREF _Toc9317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_Toc24644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第四章  </w:t>
      </w:r>
      <w:r>
        <w:rPr>
          <w:rFonts w:hint="eastAsia" w:ascii="宋体" w:hAnsi="宋体" w:eastAsia="宋体" w:cs="宋体"/>
          <w:bCs/>
          <w:color w:val="000000"/>
          <w:spacing w:val="-10"/>
          <w:szCs w:val="36"/>
          <w:highlight w:val="none"/>
        </w:rPr>
        <w:t xml:space="preserve">采购项目技术、规格和数量要求等</w:t>
      </w:r>
      <w:r>
        <w:rPr>
          <w:color w:val="000000"/>
          <w:highlight w:val="none"/>
        </w:rPr>
        <w:tab/>
      </w:r>
      <w:r>
        <w:rPr>
          <w:color w:val="000000"/>
          <w:highlight w:val="none"/>
        </w:rPr>
        <w:fldChar w:fldCharType="begin"/>
      </w:r>
      <w:r>
        <w:rPr>
          <w:color w:val="000000"/>
          <w:highlight w:val="none"/>
        </w:rPr>
        <w:instrText xml:space="preserve"> PAGEREF _Toc24644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_Toc29312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rPr>
        <w:t xml:space="preserve">第五章  合同主要条款及格式</w:t>
      </w:r>
      <w:r>
        <w:rPr>
          <w:color w:val="000000"/>
          <w:highlight w:val="none"/>
        </w:rPr>
        <w:tab/>
      </w:r>
      <w:r>
        <w:rPr>
          <w:color w:val="000000"/>
          <w:highlight w:val="none"/>
        </w:rPr>
        <w:fldChar w:fldCharType="begin"/>
      </w:r>
      <w:r>
        <w:rPr>
          <w:color w:val="000000"/>
          <w:highlight w:val="none"/>
        </w:rPr>
        <w:instrText xml:space="preserve"> PAGEREF _Toc29312 \h </w:instrText>
      </w:r>
      <w:r>
        <w:rPr>
          <w:color w:val="000000"/>
          <w:highlight w:val="none"/>
        </w:rPr>
        <w:fldChar w:fldCharType="separate"/>
      </w:r>
      <w:r>
        <w:rPr>
          <w:color w:val="000000"/>
          <w:highlight w:val="none"/>
        </w:rPr>
        <w:t xml:space="preserve">33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_Toc28908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第六章 </w:t>
      </w:r>
      <w:r>
        <w:rPr>
          <w:rFonts w:hint="eastAsia" w:ascii="宋体" w:hAnsi="宋体" w:eastAsia="宋体" w:cs="宋体"/>
          <w:bCs/>
          <w:color w:val="000000"/>
          <w:szCs w:val="36"/>
          <w:highlight w:val="none"/>
        </w:rPr>
        <w:t xml:space="preserve">投标文件</w:t>
      </w:r>
      <w:r>
        <w:rPr>
          <w:rFonts w:hint="eastAsia" w:ascii="宋体" w:hAnsi="宋体" w:eastAsia="宋体" w:cs="宋体"/>
          <w:bCs/>
          <w:color w:val="000000"/>
          <w:szCs w:val="36"/>
          <w:highlight w:val="none"/>
          <w:lang w:val="zh-CN"/>
        </w:rPr>
        <w:t xml:space="preserve">格式及附件</w:t>
      </w:r>
      <w:r>
        <w:rPr>
          <w:color w:val="000000"/>
          <w:highlight w:val="none"/>
        </w:rPr>
        <w:tab/>
      </w:r>
      <w:r>
        <w:rPr>
          <w:color w:val="000000"/>
          <w:highlight w:val="none"/>
        </w:rPr>
        <w:fldChar w:fldCharType="begin"/>
      </w:r>
      <w:r>
        <w:rPr>
          <w:color w:val="000000"/>
          <w:highlight w:val="none"/>
        </w:rPr>
        <w:instrText xml:space="preserve"> PAGEREF _Toc28908 \h </w:instrText>
      </w:r>
      <w:r>
        <w:rPr>
          <w:color w:val="000000"/>
          <w:highlight w:val="none"/>
        </w:rPr>
        <w:fldChar w:fldCharType="separate"/>
      </w:r>
      <w:r>
        <w:rPr>
          <w:color w:val="000000"/>
          <w:highlight w:val="none"/>
        </w:rPr>
        <w:t xml:space="preserve">44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_Toc7750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附件一、投标申请及声明格式</w:t>
      </w:r>
      <w:r>
        <w:rPr>
          <w:color w:val="000000"/>
          <w:highlight w:val="none"/>
        </w:rPr>
        <w:tab/>
      </w:r>
      <w:r>
        <w:rPr>
          <w:color w:val="000000"/>
          <w:highlight w:val="none"/>
        </w:rPr>
        <w:fldChar w:fldCharType="begin"/>
      </w:r>
      <w:r>
        <w:rPr>
          <w:color w:val="000000"/>
          <w:highlight w:val="none"/>
        </w:rPr>
        <w:instrText xml:space="preserve"> PAGEREF _Toc7750 \h </w:instrText>
      </w:r>
      <w:r>
        <w:rPr>
          <w:color w:val="000000"/>
          <w:highlight w:val="none"/>
        </w:rPr>
        <w:fldChar w:fldCharType="separate"/>
      </w:r>
      <w:r>
        <w:rPr>
          <w:color w:val="000000"/>
          <w:highlight w:val="none"/>
        </w:rPr>
        <w:t xml:space="preserve">45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_Toc997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附件二、法定代表人授权书格式</w:t>
      </w:r>
      <w:r>
        <w:rPr>
          <w:color w:val="000000"/>
          <w:highlight w:val="none"/>
        </w:rPr>
        <w:tab/>
      </w:r>
      <w:r>
        <w:rPr>
          <w:color w:val="000000"/>
          <w:highlight w:val="none"/>
        </w:rPr>
        <w:fldChar w:fldCharType="begin"/>
      </w:r>
      <w:r>
        <w:rPr>
          <w:color w:val="000000"/>
          <w:highlight w:val="none"/>
        </w:rPr>
        <w:instrText xml:space="preserve"> PAGEREF _Toc997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_Toc26869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附件三、开标一览表格式</w:t>
      </w:r>
      <w:r>
        <w:rPr>
          <w:color w:val="000000"/>
          <w:highlight w:val="none"/>
        </w:rPr>
        <w:tab/>
      </w:r>
      <w:r>
        <w:rPr>
          <w:color w:val="000000"/>
          <w:highlight w:val="none"/>
        </w:rPr>
        <w:fldChar w:fldCharType="begin"/>
      </w:r>
      <w:r>
        <w:rPr>
          <w:color w:val="000000"/>
          <w:highlight w:val="none"/>
        </w:rPr>
        <w:instrText xml:space="preserve"> PAGEREF _Toc26869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_Toc6952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附件四、投标项目供货一览表格式</w:t>
      </w:r>
      <w:r>
        <w:rPr>
          <w:color w:val="000000"/>
          <w:highlight w:val="none"/>
        </w:rPr>
        <w:tab/>
      </w:r>
      <w:r>
        <w:rPr>
          <w:color w:val="000000"/>
          <w:highlight w:val="none"/>
        </w:rPr>
        <w:fldChar w:fldCharType="begin"/>
      </w:r>
      <w:r>
        <w:rPr>
          <w:color w:val="000000"/>
          <w:highlight w:val="none"/>
        </w:rPr>
        <w:instrText xml:space="preserve"> PAGEREF _Toc6952 \h </w:instrText>
      </w:r>
      <w:r>
        <w:rPr>
          <w:color w:val="000000"/>
          <w:highlight w:val="none"/>
        </w:rPr>
        <w:fldChar w:fldCharType="separate"/>
      </w:r>
      <w:r>
        <w:rPr>
          <w:color w:val="000000"/>
          <w:highlight w:val="none"/>
        </w:rPr>
        <w:t xml:space="preserve">49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_Toc14038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附件五、技术条款偏离表格式</w:t>
      </w:r>
      <w:r>
        <w:rPr>
          <w:color w:val="000000"/>
          <w:highlight w:val="none"/>
        </w:rPr>
        <w:tab/>
      </w:r>
      <w:r>
        <w:rPr>
          <w:color w:val="000000"/>
          <w:highlight w:val="none"/>
        </w:rPr>
        <w:fldChar w:fldCharType="begin"/>
      </w:r>
      <w:r>
        <w:rPr>
          <w:color w:val="000000"/>
          <w:highlight w:val="none"/>
        </w:rPr>
        <w:instrText xml:space="preserve"> PAGEREF _Toc14038 \h </w:instrText>
      </w:r>
      <w:r>
        <w:rPr>
          <w:color w:val="000000"/>
          <w:highlight w:val="none"/>
        </w:rPr>
        <w:fldChar w:fldCharType="separate"/>
      </w:r>
      <w:r>
        <w:rPr>
          <w:color w:val="000000"/>
          <w:highlight w:val="none"/>
        </w:rPr>
        <w:t xml:space="preserve">50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_Toc2470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附件六、商务条款偏离表格式</w:t>
      </w:r>
      <w:r>
        <w:rPr>
          <w:color w:val="000000"/>
          <w:highlight w:val="none"/>
        </w:rPr>
        <w:tab/>
      </w:r>
      <w:r>
        <w:rPr>
          <w:color w:val="000000"/>
          <w:highlight w:val="none"/>
        </w:rPr>
        <w:fldChar w:fldCharType="begin"/>
      </w:r>
      <w:r>
        <w:rPr>
          <w:color w:val="000000"/>
          <w:highlight w:val="none"/>
        </w:rPr>
        <w:instrText xml:space="preserve"> PAGEREF _Toc2470 \h </w:instrText>
      </w:r>
      <w:r>
        <w:rPr>
          <w:color w:val="000000"/>
          <w:highlight w:val="none"/>
        </w:rPr>
        <w:fldChar w:fldCharType="separate"/>
      </w:r>
      <w:r>
        <w:rPr>
          <w:color w:val="000000"/>
          <w:highlight w:val="none"/>
        </w:rPr>
        <w:t xml:space="preserve">51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_Toc10648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附件七、核心产品品牌一览表（实质性格式）</w:t>
      </w:r>
      <w:r>
        <w:rPr>
          <w:color w:val="000000"/>
          <w:highlight w:val="none"/>
        </w:rPr>
        <w:tab/>
      </w:r>
      <w:r>
        <w:rPr>
          <w:color w:val="000000"/>
          <w:highlight w:val="none"/>
        </w:rPr>
        <w:fldChar w:fldCharType="begin"/>
      </w:r>
      <w:r>
        <w:rPr>
          <w:color w:val="000000"/>
          <w:highlight w:val="none"/>
        </w:rPr>
        <w:instrText xml:space="preserve"> PAGEREF _Toc10648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_Toc8906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附件八、中小企业声明函格式</w:t>
      </w:r>
      <w:r>
        <w:rPr>
          <w:color w:val="000000"/>
          <w:highlight w:val="none"/>
        </w:rPr>
        <w:tab/>
      </w:r>
      <w:r>
        <w:rPr>
          <w:color w:val="000000"/>
          <w:highlight w:val="none"/>
        </w:rPr>
        <w:fldChar w:fldCharType="begin"/>
      </w:r>
      <w:r>
        <w:rPr>
          <w:color w:val="000000"/>
          <w:highlight w:val="none"/>
        </w:rPr>
        <w:instrText xml:space="preserve"> PAGEREF _Toc8906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_Toc1423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附件九、无重大违法记录声明格式</w:t>
      </w:r>
      <w:r>
        <w:rPr>
          <w:color w:val="000000"/>
          <w:highlight w:val="none"/>
        </w:rPr>
        <w:tab/>
      </w:r>
      <w:r>
        <w:rPr>
          <w:color w:val="000000"/>
          <w:highlight w:val="none"/>
        </w:rPr>
        <w:fldChar w:fldCharType="begin"/>
      </w:r>
      <w:r>
        <w:rPr>
          <w:color w:val="000000"/>
          <w:highlight w:val="none"/>
        </w:rPr>
        <w:instrText xml:space="preserve"> PAGEREF _Toc1423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_Toc9701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附件十、具备履行合同所必需的设备和专业技术能力的声明格式及证明材料</w:t>
      </w:r>
      <w:r>
        <w:rPr>
          <w:color w:val="000000"/>
          <w:highlight w:val="none"/>
        </w:rPr>
        <w:tab/>
      </w:r>
      <w:r>
        <w:rPr>
          <w:color w:val="000000"/>
          <w:highlight w:val="none"/>
        </w:rPr>
        <w:fldChar w:fldCharType="begin"/>
      </w:r>
      <w:r>
        <w:rPr>
          <w:color w:val="000000"/>
          <w:highlight w:val="none"/>
        </w:rPr>
        <w:instrText xml:space="preserve"> PAGEREF _Toc9701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_Toc4067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附件十一、南京市政府采购供应商信用记录表暨信用承诺书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_Toc4067 \h </w:instrText>
      </w:r>
      <w:r>
        <w:rPr>
          <w:color w:val="000000"/>
          <w:highlight w:val="none"/>
        </w:rPr>
        <w:fldChar w:fldCharType="separate"/>
      </w:r>
      <w:r>
        <w:rPr>
          <w:color w:val="000000"/>
          <w:highlight w:val="none"/>
        </w:rPr>
        <w:t xml:space="preserve">56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_Toc16914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附件十二、</w:t>
      </w:r>
      <w:r>
        <w:rPr>
          <w:rFonts w:hint="eastAsia" w:ascii="宋体" w:hAnsi="宋体" w:eastAsia="宋体" w:cs="宋体"/>
          <w:bCs/>
          <w:color w:val="000000"/>
          <w:spacing w:val="15"/>
          <w:szCs w:val="24"/>
          <w:highlight w:val="none"/>
        </w:rPr>
        <w:t xml:space="preserve">安全生产责任承诺书</w:t>
      </w:r>
      <w:r>
        <w:rPr>
          <w:color w:val="000000"/>
          <w:highlight w:val="none"/>
        </w:rPr>
        <w:tab/>
      </w:r>
      <w:r>
        <w:rPr>
          <w:color w:val="000000"/>
          <w:highlight w:val="none"/>
        </w:rPr>
        <w:fldChar w:fldCharType="begin"/>
      </w:r>
      <w:r>
        <w:rPr>
          <w:color w:val="000000"/>
          <w:highlight w:val="none"/>
        </w:rPr>
        <w:instrText xml:space="preserve"> PAGEREF _Toc16914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_Toc10109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附件十三、残疾人福利性单位声明函</w:t>
      </w:r>
      <w:r>
        <w:rPr>
          <w:color w:val="000000"/>
          <w:highlight w:val="none"/>
        </w:rPr>
        <w:tab/>
      </w:r>
      <w:r>
        <w:rPr>
          <w:color w:val="000000"/>
          <w:highlight w:val="none"/>
        </w:rPr>
        <w:fldChar w:fldCharType="begin"/>
      </w:r>
      <w:r>
        <w:rPr>
          <w:color w:val="000000"/>
          <w:highlight w:val="none"/>
        </w:rPr>
        <w:instrText xml:space="preserve"> PAGEREF _Toc10109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_Toc24073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附件十四、属于监狱企业的证明文件</w:t>
      </w:r>
      <w:r>
        <w:rPr>
          <w:color w:val="000000"/>
          <w:highlight w:val="none"/>
        </w:rPr>
        <w:tab/>
      </w:r>
      <w:r>
        <w:rPr>
          <w:color w:val="000000"/>
          <w:highlight w:val="none"/>
        </w:rPr>
        <w:fldChar w:fldCharType="begin"/>
      </w:r>
      <w:r>
        <w:rPr>
          <w:color w:val="000000"/>
          <w:highlight w:val="none"/>
        </w:rPr>
        <w:instrText xml:space="preserve"> PAGEREF _Toc24073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_Toc13811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附件十五、供应商认为需提供的其他资料</w:t>
      </w:r>
      <w:r>
        <w:rPr>
          <w:color w:val="000000"/>
          <w:highlight w:val="none"/>
        </w:rPr>
        <w:tab/>
      </w:r>
      <w:r>
        <w:rPr>
          <w:color w:val="000000"/>
          <w:highlight w:val="none"/>
        </w:rPr>
        <w:fldChar w:fldCharType="begin"/>
      </w:r>
      <w:r>
        <w:rPr>
          <w:color w:val="000000"/>
          <w:highlight w:val="none"/>
        </w:rPr>
        <w:instrText xml:space="preserve"> PAGEREF _Toc13811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_Toc27578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w:t>
      </w:r>
      <w:r>
        <w:rPr>
          <w:rFonts w:hint="eastAsia" w:ascii="宋体" w:hAnsi="宋体" w:eastAsia="宋体" w:cs="宋体"/>
          <w:color w:val="000000"/>
          <w:szCs w:val="24"/>
          <w:highlight w:val="none"/>
          <w:lang w:val="en-US" w:eastAsia="zh-CN"/>
        </w:rPr>
        <w:t xml:space="preserve">十六</w:t>
      </w:r>
      <w:r>
        <w:rPr>
          <w:rFonts w:hint="eastAsia" w:ascii="宋体" w:hAnsi="宋体" w:eastAsia="宋体" w:cs="宋体"/>
          <w:color w:val="000000"/>
          <w:szCs w:val="24"/>
          <w:highlight w:val="none"/>
        </w:rPr>
        <w:t xml:space="preserve">、联合体协议格式</w:t>
      </w:r>
      <w:r>
        <w:rPr>
          <w:color w:val="000000"/>
          <w:highlight w:val="none"/>
        </w:rPr>
        <w:tab/>
      </w:r>
      <w:r>
        <w:rPr>
          <w:color w:val="000000"/>
          <w:highlight w:val="none"/>
        </w:rPr>
        <w:fldChar w:fldCharType="begin"/>
      </w:r>
      <w:r>
        <w:rPr>
          <w:color w:val="000000"/>
          <w:highlight w:val="none"/>
        </w:rPr>
        <w:instrText xml:space="preserve"> PAGEREF _Toc27578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_Toc16709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七</w:t>
      </w:r>
      <w:r>
        <w:rPr>
          <w:rFonts w:hint="eastAsia" w:ascii="宋体" w:hAnsi="宋体" w:cs="宋体"/>
          <w:color w:val="000000"/>
          <w:szCs w:val="24"/>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_Toc16709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08"/>
        <w:ind w:left="0"/>
        <w:jc w:val="left"/>
        <w:keepLines w:val="0"/>
        <w:keepNext w:val="0"/>
        <w:pageBreakBefore w:val="0"/>
        <w:spacing w:line="360" w:lineRule="auto"/>
        <w:widowControl w:val="off"/>
        <w:rPr>
          <w:rFonts w:hint="eastAsia" w:ascii="宋体" w:hAnsi="宋体" w:eastAsia="宋体" w:cs="宋体"/>
          <w:bCs/>
          <w:color w:val="000000"/>
          <w:spacing w:val="-10"/>
          <w:sz w:val="24"/>
          <w:szCs w:val="24"/>
          <w:highlight w:val="none"/>
          <w:lang w:val="en-US" w:eastAsia="zh-CN" w:bidi="ar-SA"/>
        </w:rPr>
        <w:outlineLvl w:val="9"/>
      </w:pPr>
      <w:r>
        <w:rPr>
          <w:rFonts w:hint="eastAsia" w:ascii="宋体" w:hAnsi="宋体" w:eastAsia="宋体" w:cs="宋体"/>
          <w:bCs/>
          <w:color w:val="000000"/>
          <w:spacing w:val="-10"/>
          <w:sz w:val="24"/>
          <w:szCs w:val="24"/>
          <w:highlight w:val="none"/>
          <w:lang w:val="en-US" w:eastAsia="zh-CN" w:bidi="ar-SA"/>
        </w:rPr>
        <w:fldChar w:fldCharType="end"/>
      </w:r>
      <w:r>
        <w:rPr>
          <w:rFonts w:hint="eastAsia" w:ascii="宋体" w:hAnsi="宋体" w:eastAsia="宋体" w:cs="宋体"/>
          <w:bCs/>
          <w:color w:val="000000"/>
          <w:spacing w:val="-10"/>
          <w:sz w:val="24"/>
          <w:szCs w:val="24"/>
          <w:highlight w:val="none"/>
          <w:lang w:val="en-US" w:eastAsia="zh-CN" w:bidi="ar-SA"/>
        </w:rPr>
      </w:r>
      <w:r/>
    </w:p>
    <w:p>
      <w:pPr>
        <w:pStyle w:val="708"/>
        <w:jc w:val="center"/>
        <w:spacing w:line="360" w:lineRule="auto"/>
        <w:rPr>
          <w:rFonts w:hint="eastAsia" w:ascii="宋体" w:hAnsi="宋体" w:eastAsia="宋体" w:cs="宋体"/>
          <w:bCs/>
          <w:color w:val="000000"/>
          <w:spacing w:val="-10"/>
          <w:sz w:val="21"/>
          <w:szCs w:val="36"/>
          <w:highlight w:val="none"/>
          <w:lang w:val="en-US" w:eastAsia="zh-CN" w:bidi="ar-SA"/>
        </w:rPr>
        <w:outlineLvl w:val="9"/>
      </w:pPr>
      <w:r>
        <w:rPr>
          <w:rFonts w:hint="eastAsia" w:ascii="宋体" w:hAnsi="宋体" w:eastAsia="宋体" w:cs="宋体"/>
          <w:bCs/>
          <w:color w:val="000000"/>
          <w:spacing w:val="-10"/>
          <w:sz w:val="21"/>
          <w:szCs w:val="36"/>
          <w:highlight w:val="none"/>
          <w:lang w:val="en-US" w:eastAsia="zh-CN" w:bidi="ar-SA"/>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z w:val="36"/>
          <w:szCs w:val="36"/>
          <w:highlight w:val="none"/>
          <w:lang w:val="zh-CN"/>
        </w:rPr>
        <w:outlineLvl w:val="0"/>
      </w:pPr>
      <w:r/>
      <w:bookmarkStart w:id="0" w:name="_Toc20085"/>
      <w:r/>
      <w:bookmarkStart w:id="1" w:name="_Toc745"/>
      <w:r>
        <w:rPr>
          <w:rFonts w:hint="eastAsia" w:ascii="宋体" w:hAnsi="宋体" w:eastAsia="宋体" w:cs="宋体"/>
          <w:b/>
          <w:bCs/>
          <w:color w:val="000000"/>
          <w:spacing w:val="-10"/>
          <w:sz w:val="36"/>
          <w:szCs w:val="36"/>
          <w:highlight w:val="none"/>
        </w:rPr>
        <w:t xml:space="preserve">第一章  投标邀请</w:t>
      </w:r>
      <w:bookmarkEnd w:id="0"/>
      <w:r/>
      <w:bookmarkEnd w:id="1"/>
      <w:r>
        <w:rPr>
          <w:rFonts w:hint="eastAsia" w:ascii="宋体" w:hAnsi="宋体" w:eastAsia="宋体" w:cs="宋体"/>
          <w:b/>
          <w:bCs/>
          <w:color w:val="000000"/>
          <w:sz w:val="36"/>
          <w:szCs w:val="36"/>
          <w:highlight w:val="none"/>
          <w:lang w:val="zh-CN"/>
        </w:rPr>
      </w:r>
      <w:r/>
    </w:p>
    <w:p>
      <w:pPr>
        <w:pStyle w:val="708"/>
        <w:ind w:firstLine="48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cs="宋体"/>
          <w:b/>
          <w:color w:val="000000"/>
          <w:sz w:val="24"/>
          <w:szCs w:val="24"/>
          <w:highlight w:val="none"/>
          <w:lang w:eastAsia="zh-CN"/>
        </w:rPr>
        <w:t xml:space="preserve">南京建淳造价师事务所有限公司</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代理机构名称，</w:t>
      </w:r>
      <w:r>
        <w:rPr>
          <w:rFonts w:hint="eastAsia" w:ascii="宋体" w:hAnsi="宋体" w:eastAsia="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lang w:eastAsia="zh-CN"/>
        </w:rPr>
        <w:t xml:space="preserve">南京江北新区管理委员会教育局</w:t>
      </w:r>
      <w:r>
        <w:rPr>
          <w:rFonts w:hint="eastAsia" w:ascii="宋体" w:hAnsi="宋体" w:eastAsia="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侨康路学校新建工程项目功能室设备采购</w:t>
      </w:r>
      <w:r>
        <w:rPr>
          <w:rFonts w:hint="eastAsia" w:ascii="宋体" w:hAnsi="宋体" w:eastAsia="宋体" w:cs="宋体"/>
          <w:bCs/>
          <w:color w:val="000000"/>
          <w:sz w:val="24"/>
          <w:szCs w:val="24"/>
          <w:highlight w:val="none"/>
        </w:rPr>
        <w:t xml:space="preserve">（项目名称）进行公开招标，</w:t>
      </w:r>
      <w:r>
        <w:rPr>
          <w:rFonts w:hint="eastAsia" w:ascii="宋体" w:hAnsi="宋体" w:eastAsia="宋体" w:cs="宋体"/>
          <w:bCs/>
          <w:color w:val="000000"/>
          <w:sz w:val="24"/>
          <w:szCs w:val="24"/>
          <w:highlight w:val="none"/>
          <w:lang w:val="zh-CN"/>
        </w:rPr>
        <w:t xml:space="preserve">兹邀请符合资格条件的供应商投标。</w:t>
      </w:r>
      <w:r>
        <w:rPr>
          <w:rFonts w:hint="eastAsia" w:ascii="宋体" w:hAnsi="宋体" w:eastAsia="宋体" w:cs="宋体"/>
          <w:bCs/>
          <w:color w:val="000000"/>
          <w:sz w:val="24"/>
          <w:szCs w:val="24"/>
          <w:highlight w:val="none"/>
        </w:rPr>
      </w:r>
      <w:r/>
    </w:p>
    <w:p>
      <w:pPr>
        <w:pStyle w:val="708"/>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000000"/>
          <w:sz w:val="24"/>
          <w:szCs w:val="24"/>
          <w:highlight w:val="none"/>
        </w:rPr>
        <w:outlineLvl w:val="0"/>
      </w:pPr>
      <w:r/>
      <w:bookmarkStart w:id="2" w:name="_Toc6870"/>
      <w:r/>
      <w:bookmarkStart w:id="3" w:name="_Toc11453"/>
      <w:r>
        <w:rPr>
          <w:rFonts w:hint="eastAsia" w:ascii="宋体" w:hAnsi="宋体" w:eastAsia="宋体" w:cs="宋体"/>
          <w:b/>
          <w:bCs/>
          <w:color w:val="000000"/>
          <w:sz w:val="24"/>
          <w:szCs w:val="24"/>
          <w:highlight w:val="none"/>
        </w:rPr>
        <w:t xml:space="preserve">一、项目基本情况：</w:t>
      </w:r>
      <w:bookmarkEnd w:id="2"/>
      <w:r/>
      <w:bookmarkEnd w:id="3"/>
      <w:r>
        <w:rPr>
          <w:rFonts w:hint="eastAsia" w:ascii="宋体" w:hAnsi="宋体" w:eastAsia="宋体" w:cs="宋体"/>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zh-CN"/>
        </w:rPr>
        <w:t xml:space="preserve">1、项目编号：</w:t>
      </w:r>
      <w:r>
        <w:rPr>
          <w:rFonts w:hint="eastAsia" w:ascii="宋体" w:hAnsi="宋体" w:cs="宋体"/>
          <w:bCs/>
          <w:color w:val="000000"/>
          <w:sz w:val="24"/>
          <w:szCs w:val="24"/>
          <w:highlight w:val="none"/>
          <w:lang w:val="zh-CN"/>
        </w:rPr>
        <w:t xml:space="preserve">JSZC-320192-JCZJ-G2026-0009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2、项目名称：</w:t>
      </w:r>
      <w:r>
        <w:rPr>
          <w:rFonts w:hint="eastAsia" w:ascii="宋体" w:hAnsi="宋体" w:cs="宋体"/>
          <w:bCs/>
          <w:color w:val="000000"/>
          <w:sz w:val="24"/>
          <w:szCs w:val="24"/>
          <w:highlight w:val="none"/>
          <w:lang w:val="zh-CN"/>
        </w:rPr>
        <w:t xml:space="preserve">侨康路学校新建工程项目功能室设备采购</w:t>
      </w:r>
      <w:r>
        <w:rPr>
          <w:rFonts w:hint="eastAsia" w:ascii="宋体" w:hAnsi="宋体" w:eastAsia="宋体" w:cs="宋体"/>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侨康路学校新建工程项目功能室设备采购</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详见采购文件。</w:t>
      </w:r>
      <w:r>
        <w:rPr>
          <w:rFonts w:hint="eastAsia" w:ascii="宋体" w:hAnsi="宋体" w:eastAsia="宋体" w:cs="宋体"/>
          <w:bCs/>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4、采购方式：公开招标</w:t>
      </w:r>
      <w:r>
        <w:rPr>
          <w:rFonts w:hint="eastAsia" w:ascii="宋体" w:hAnsi="宋体" w:eastAsia="宋体" w:cs="宋体"/>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采购预算：</w:t>
      </w:r>
      <w:r>
        <w:rPr>
          <w:rFonts w:hint="eastAsia" w:ascii="宋体" w:hAnsi="宋体" w:cs="宋体"/>
          <w:bCs/>
          <w:color w:val="000000"/>
          <w:sz w:val="24"/>
          <w:szCs w:val="24"/>
          <w:highlight w:val="none"/>
          <w:lang w:val="en-US" w:eastAsia="zh-CN"/>
        </w:rPr>
        <w:t xml:space="preserve"> 378.66</w:t>
      </w:r>
      <w:r>
        <w:rPr>
          <w:rFonts w:hint="eastAsia" w:ascii="宋体" w:hAnsi="宋体" w:eastAsia="宋体" w:cs="宋体"/>
          <w:bCs/>
          <w:color w:val="000000"/>
          <w:sz w:val="24"/>
          <w:szCs w:val="24"/>
          <w:highlight w:val="none"/>
          <w:lang w:val="zh-CN"/>
        </w:rPr>
        <w:t xml:space="preserve">万元。</w:t>
      </w:r>
      <w:r>
        <w:rPr>
          <w:rFonts w:hint="eastAsia" w:ascii="宋体" w:hAnsi="宋体" w:eastAsia="宋体" w:cs="宋体"/>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6、最高限价：</w:t>
      </w:r>
      <w:r>
        <w:rPr>
          <w:rFonts w:hint="eastAsia" w:ascii="宋体" w:hAnsi="宋体" w:cs="宋体"/>
          <w:b/>
          <w:bCs/>
          <w:color w:val="000000"/>
          <w:sz w:val="24"/>
          <w:szCs w:val="24"/>
          <w:highlight w:val="none"/>
          <w:lang w:val="en-US" w:eastAsia="zh-CN"/>
        </w:rPr>
        <w:t xml:space="preserve"> 378.66万</w:t>
      </w:r>
      <w:r>
        <w:rPr>
          <w:rFonts w:hint="eastAsia" w:ascii="宋体" w:hAnsi="宋体" w:eastAsia="宋体" w:cs="宋体"/>
          <w:b/>
          <w:bCs/>
          <w:color w:val="000000"/>
          <w:sz w:val="24"/>
          <w:szCs w:val="24"/>
          <w:highlight w:val="none"/>
        </w:rPr>
        <w:t xml:space="preserve">元</w:t>
      </w:r>
      <w:r>
        <w:rPr>
          <w:rFonts w:hint="eastAsia" w:ascii="宋体" w:hAnsi="宋体" w:eastAsia="宋体" w:cs="宋体"/>
          <w:color w:val="000000"/>
          <w:sz w:val="24"/>
          <w:szCs w:val="24"/>
          <w:highlight w:val="none"/>
        </w:rPr>
        <w:t xml:space="preserve">（超过最高限价的投标报价将被作为无效标处理）</w:t>
      </w:r>
      <w:r>
        <w:rPr>
          <w:rFonts w:hint="eastAsia" w:ascii="宋体" w:hAnsi="宋体" w:eastAsia="宋体" w:cs="宋体"/>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zh-CN"/>
        </w:rPr>
        <w:t xml:space="preserve">5、合同履行期限：</w:t>
      </w:r>
      <w:r>
        <w:rPr>
          <w:rFonts w:hint="eastAsia" w:ascii="宋体" w:hAnsi="宋体" w:cs="宋体"/>
          <w:bCs/>
          <w:color w:val="000000"/>
          <w:sz w:val="24"/>
          <w:szCs w:val="24"/>
          <w:highlight w:val="none"/>
          <w:lang w:eastAsia="zh-CN"/>
        </w:rPr>
        <w:t xml:space="preserve">合同签订后30日历天内交付并完成安装调试及验收等相关工作。</w:t>
      </w:r>
      <w:r>
        <w:rPr>
          <w:rFonts w:hint="eastAsia" w:ascii="宋体" w:hAnsi="宋体" w:eastAsia="宋体" w:cs="宋体"/>
          <w:bCs/>
          <w:color w:val="000000"/>
          <w:sz w:val="24"/>
          <w:szCs w:val="24"/>
          <w:highlight w:val="none"/>
          <w:lang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本项目不接受联合体。</w:t>
      </w:r>
      <w:r>
        <w:rPr>
          <w:rFonts w:hint="eastAsia" w:ascii="宋体" w:hAnsi="宋体" w:eastAsia="宋体" w:cs="宋体"/>
          <w:bCs/>
          <w:color w:val="000000"/>
          <w:sz w:val="24"/>
          <w:szCs w:val="24"/>
          <w:highlight w:val="none"/>
          <w:lang w:val="zh-CN"/>
        </w:rPr>
      </w:r>
      <w:r/>
    </w:p>
    <w:p>
      <w:pPr>
        <w:pStyle w:val="708"/>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000000"/>
          <w:sz w:val="24"/>
          <w:szCs w:val="24"/>
          <w:highlight w:val="none"/>
        </w:rPr>
        <w:outlineLvl w:val="1"/>
      </w:pPr>
      <w:r/>
      <w:bookmarkStart w:id="4" w:name="_Toc28359090"/>
      <w:r/>
      <w:bookmarkStart w:id="5" w:name="_Toc31154"/>
      <w:r/>
      <w:bookmarkStart w:id="6" w:name="_Toc35393799"/>
      <w:r/>
      <w:bookmarkStart w:id="7" w:name="_Toc28359013"/>
      <w:r/>
      <w:bookmarkStart w:id="8" w:name="_Toc12410"/>
      <w:r/>
      <w:bookmarkStart w:id="9" w:name="_Toc35393630"/>
      <w:r>
        <w:rPr>
          <w:rFonts w:hint="eastAsia" w:ascii="宋体" w:hAnsi="宋体" w:eastAsia="宋体" w:cs="宋体"/>
          <w:b/>
          <w:bCs/>
          <w:color w:val="000000"/>
          <w:sz w:val="24"/>
          <w:szCs w:val="24"/>
          <w:highlight w:val="none"/>
        </w:rPr>
        <w:t xml:space="preserve">二、申请人的资格要求：</w:t>
      </w:r>
      <w:bookmarkEnd w:id="4"/>
      <w:r/>
      <w:bookmarkEnd w:id="5"/>
      <w:r/>
      <w:bookmarkEnd w:id="6"/>
      <w:r/>
      <w:bookmarkEnd w:id="7"/>
      <w:r/>
      <w:bookmarkEnd w:id="8"/>
      <w:r/>
      <w:bookmarkEnd w:id="9"/>
      <w:r>
        <w:rPr>
          <w:rFonts w:hint="eastAsia" w:ascii="宋体" w:hAnsi="宋体" w:eastAsia="宋体" w:cs="宋体"/>
          <w:b/>
          <w:bCs/>
          <w:color w:val="000000"/>
          <w:sz w:val="24"/>
          <w:szCs w:val="24"/>
          <w:highlight w:val="none"/>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、满足《中华人民共和国政府采购法》第二十二条规定。</w:t>
      </w:r>
      <w:r>
        <w:rPr>
          <w:rFonts w:hint="eastAsia" w:ascii="宋体" w:hAnsi="宋体" w:eastAsia="宋体" w:cs="宋体"/>
          <w:b/>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（1）具有独立承担民事责任的能力；《提供南京市政府采购供应商信用记录表暨信用承诺书》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（2）具有良好的商业信誉和健全的财务会计制度；《提供南京市政府采购供应商信用记录表暨信用承诺书》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（3）具有履行合同所必需的设备和专业技术能力；《提供南京市政府采购供应商信用记录表暨信用承诺书》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（4）有依法缴纳税收和社会保障资金的良好记录；《提供南京市政府采购供应商信用记录表暨信用承诺书》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（5）参加政府采购活动前三年内，在经营活动中没有重大违法记录；《提供南京市政府采购供应商信用记录表暨信用承诺书》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2、落实政府采购政策需满足的资格要求：</w:t>
      </w:r>
      <w:bookmarkStart w:id="10" w:name="OLE_LINK2"/>
      <w:r>
        <w:rPr>
          <w:rFonts w:hint="eastAsia" w:ascii="宋体" w:hAnsi="宋体" w:eastAsia="宋体" w:cs="宋体"/>
          <w:b w:val="0"/>
          <w:bCs/>
          <w:color w:val="000000"/>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1112"/>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zh-CN"/>
        </w:rPr>
        <w:t xml:space="preserve">本项目的特定资格：</w:t>
      </w:r>
      <w:r>
        <w:rPr>
          <w:rFonts w:hint="eastAsia" w:hAnsi="宋体" w:cs="宋体"/>
          <w:b/>
          <w:bCs/>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拒绝下述供应商参加本次采购活动：</w:t>
      </w:r>
      <w:r>
        <w:rPr>
          <w:rFonts w:hint="eastAsia" w:ascii="宋体" w:hAnsi="宋体" w:eastAsia="宋体" w:cs="宋体"/>
          <w:b/>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（3）供应商被“信用中国”网站、“中国政府采购网”网站列入失信执行人、重大税收违法案件当事人名单、政府采购严重违法失信行为记录名单。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708"/>
        <w:ind w:firstLine="482"/>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、是否接受进口产品：否。</w:t>
      </w:r>
      <w:r>
        <w:rPr>
          <w:rFonts w:hint="eastAsia" w:ascii="宋体" w:hAnsi="宋体" w:eastAsia="宋体" w:cs="宋体"/>
          <w:b/>
          <w:bCs/>
          <w:color w:val="000000"/>
          <w:sz w:val="24"/>
          <w:szCs w:val="24"/>
          <w:highlight w:val="none"/>
        </w:rPr>
      </w:r>
      <w:r/>
    </w:p>
    <w:p>
      <w:pPr>
        <w:pStyle w:val="1112"/>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1" w:name="_Toc13238"/>
      <w:r/>
      <w:bookmarkStart w:id="12" w:name="_Toc31712"/>
      <w:r>
        <w:rPr>
          <w:rFonts w:hint="eastAsia" w:ascii="宋体" w:hAnsi="宋体" w:eastAsia="宋体" w:cs="宋体"/>
          <w:b/>
          <w:color w:val="000000"/>
          <w:sz w:val="24"/>
          <w:szCs w:val="24"/>
          <w:highlight w:val="none"/>
        </w:rPr>
        <w:t xml:space="preserve">三、获取招标文件</w:t>
      </w:r>
      <w:bookmarkEnd w:id="11"/>
      <w:r/>
      <w:bookmarkEnd w:id="12"/>
      <w:r>
        <w:rPr>
          <w:rFonts w:hint="eastAsia" w:ascii="宋体" w:hAnsi="宋体" w:eastAsia="宋体" w:cs="宋体"/>
          <w:b/>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时间：自</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lang w:val="zh-CN"/>
        </w:rPr>
        <w:t xml:space="preserve">公告发布之日起5个工作日。</w:t>
      </w:r>
      <w:r>
        <w:rPr>
          <w:rFonts w:hint="eastAsia" w:ascii="宋体" w:hAnsi="宋体" w:eastAsia="宋体" w:cs="宋体"/>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地点：江苏政府采购网</w:t>
      </w:r>
      <w:r>
        <w:rPr>
          <w:rFonts w:hint="eastAsia" w:ascii="宋体" w:hAnsi="宋体" w:eastAsia="宋体" w:cs="宋体"/>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获取方式：网上下载</w:t>
      </w:r>
      <w:r>
        <w:rPr>
          <w:rFonts w:hint="eastAsia" w:ascii="宋体" w:hAnsi="宋体" w:eastAsia="宋体" w:cs="宋体"/>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售价：0.00元</w:t>
      </w:r>
      <w:r>
        <w:rPr>
          <w:rFonts w:hint="eastAsia" w:ascii="宋体" w:hAnsi="宋体" w:eastAsia="宋体" w:cs="宋体"/>
          <w:color w:val="000000"/>
          <w:sz w:val="24"/>
          <w:szCs w:val="24"/>
          <w:highlight w:val="none"/>
          <w:lang w:val="zh-CN"/>
        </w:rPr>
      </w:r>
      <w:r/>
    </w:p>
    <w:p>
      <w:pPr>
        <w:pStyle w:val="708"/>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获取方法：</w:t>
      </w:r>
      <w:r>
        <w:rPr>
          <w:rFonts w:hint="eastAsia" w:ascii="宋体" w:hAnsi="宋体" w:eastAsia="宋体" w:cs="宋体"/>
          <w:color w:val="000000"/>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szCs w:val="24"/>
          <w:highlight w:val="none"/>
          <w:lang w:val="zh-CN"/>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3" w:name="_Toc28"/>
      <w:r/>
      <w:bookmarkStart w:id="14" w:name="_Toc8452"/>
      <w:r>
        <w:rPr>
          <w:rFonts w:hint="eastAsia" w:ascii="宋体" w:hAnsi="宋体" w:eastAsia="宋体" w:cs="宋体"/>
          <w:b/>
          <w:color w:val="000000"/>
          <w:sz w:val="24"/>
          <w:szCs w:val="24"/>
          <w:highlight w:val="none"/>
        </w:rPr>
        <w:t xml:space="preserve">四、提交投标文件</w:t>
      </w:r>
      <w:r>
        <w:rPr>
          <w:rFonts w:hint="eastAsia" w:ascii="宋体" w:hAnsi="宋体" w:cs="宋体"/>
          <w:b/>
          <w:color w:val="000000"/>
          <w:sz w:val="24"/>
          <w:szCs w:val="24"/>
          <w:highlight w:val="none"/>
          <w:lang w:val="en-US" w:eastAsia="zh-CN"/>
        </w:rPr>
        <w:t xml:space="preserve">截止</w:t>
      </w:r>
      <w:r>
        <w:rPr>
          <w:rFonts w:hint="eastAsia" w:ascii="宋体" w:hAnsi="宋体" w:eastAsia="宋体" w:cs="宋体"/>
          <w:b/>
          <w:color w:val="000000"/>
          <w:sz w:val="24"/>
          <w:szCs w:val="24"/>
          <w:highlight w:val="none"/>
        </w:rPr>
        <w:t xml:space="preserve">时间、开标时间</w:t>
      </w:r>
      <w:bookmarkEnd w:id="13"/>
      <w:r/>
      <w:bookmarkEnd w:id="14"/>
      <w:r>
        <w:rPr>
          <w:rFonts w:hint="eastAsia" w:ascii="宋体" w:hAnsi="宋体" w:eastAsia="宋体" w:cs="宋体"/>
          <w:b/>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提交投标文件截止时间及开标时间：</w:t>
      </w:r>
      <w:r>
        <w:rPr>
          <w:rFonts w:hint="eastAsia" w:ascii="宋体" w:hAnsi="宋体" w:eastAsia="宋体" w:cs="宋体"/>
          <w:b/>
          <w:bCs w:val="0"/>
          <w:color w:val="000000"/>
          <w:sz w:val="24"/>
          <w:szCs w:val="24"/>
          <w:highlight w:val="red"/>
          <w:lang w:eastAsia="zh-CN"/>
        </w:rPr>
        <w:t xml:space="preserve">2026</w:t>
      </w:r>
      <w:r>
        <w:rPr>
          <w:rFonts w:hint="eastAsia" w:ascii="宋体" w:hAnsi="宋体" w:eastAsia="宋体" w:cs="宋体"/>
          <w:b/>
          <w:bCs w:val="0"/>
          <w:color w:val="000000"/>
          <w:sz w:val="24"/>
          <w:szCs w:val="24"/>
          <w:highlight w:val="red"/>
        </w:rPr>
        <w:t xml:space="preserve">年</w:t>
      </w:r>
      <w:r>
        <w:rPr>
          <w:rFonts w:hint="eastAsia" w:ascii="宋体" w:hAnsi="宋体" w:cs="宋体"/>
          <w:b/>
          <w:bCs w:val="0"/>
          <w:color w:val="000000"/>
          <w:sz w:val="24"/>
          <w:szCs w:val="24"/>
          <w:highlight w:val="red"/>
          <w:lang w:val="en-US" w:eastAsia="zh-CN"/>
        </w:rPr>
        <w:t xml:space="preserve">7</w:t>
      </w:r>
      <w:r>
        <w:rPr>
          <w:rFonts w:hint="eastAsia" w:ascii="宋体" w:hAnsi="宋体" w:eastAsia="宋体" w:cs="宋体"/>
          <w:b/>
          <w:bCs w:val="0"/>
          <w:color w:val="000000"/>
          <w:sz w:val="24"/>
          <w:szCs w:val="24"/>
          <w:highlight w:val="red"/>
        </w:rPr>
        <w:t xml:space="preserve">月</w:t>
      </w:r>
      <w:r>
        <w:rPr>
          <w:rFonts w:hint="eastAsia" w:ascii="宋体" w:hAnsi="宋体" w:cs="宋体"/>
          <w:b/>
          <w:bCs w:val="0"/>
          <w:color w:val="000000"/>
          <w:sz w:val="24"/>
          <w:szCs w:val="24"/>
          <w:highlight w:val="red"/>
          <w:lang w:val="en-US" w:eastAsia="zh-CN"/>
        </w:rPr>
        <w:t xml:space="preserve">16</w:t>
      </w:r>
      <w:r>
        <w:rPr>
          <w:rFonts w:hint="eastAsia" w:ascii="宋体" w:hAnsi="宋体" w:eastAsia="宋体" w:cs="宋体"/>
          <w:b/>
          <w:bCs w:val="0"/>
          <w:color w:val="000000"/>
          <w:sz w:val="24"/>
          <w:szCs w:val="24"/>
          <w:highlight w:val="red"/>
        </w:rPr>
        <w:t xml:space="preserve">日</w:t>
      </w:r>
      <w:r>
        <w:rPr>
          <w:rFonts w:hint="eastAsia" w:ascii="宋体" w:hAnsi="宋体" w:cs="宋体"/>
          <w:b/>
          <w:bCs w:val="0"/>
          <w:color w:val="000000"/>
          <w:sz w:val="24"/>
          <w:szCs w:val="24"/>
          <w:highlight w:val="red"/>
          <w:lang w:val="en-US" w:eastAsia="zh-CN"/>
        </w:rPr>
        <w:t xml:space="preserve">9</w:t>
      </w:r>
      <w:r>
        <w:rPr>
          <w:rFonts w:hint="eastAsia" w:ascii="宋体" w:hAnsi="宋体" w:eastAsia="宋体" w:cs="宋体"/>
          <w:b/>
          <w:bCs w:val="0"/>
          <w:color w:val="000000"/>
          <w:sz w:val="24"/>
          <w:szCs w:val="24"/>
          <w:highlight w:val="red"/>
        </w:rPr>
        <w:t xml:space="preserve">时</w:t>
      </w:r>
      <w:r>
        <w:rPr>
          <w:rFonts w:hint="eastAsia" w:ascii="宋体" w:hAnsi="宋体" w:cs="宋体"/>
          <w:b/>
          <w:bCs w:val="0"/>
          <w:color w:val="000000"/>
          <w:sz w:val="24"/>
          <w:szCs w:val="24"/>
          <w:highlight w:val="red"/>
          <w:lang w:val="en-US" w:eastAsia="zh-CN"/>
        </w:rPr>
        <w:t xml:space="preserve">30</w:t>
      </w:r>
      <w:r>
        <w:rPr>
          <w:rFonts w:hint="eastAsia" w:ascii="宋体" w:hAnsi="宋体" w:eastAsia="宋体" w:cs="宋体"/>
          <w:b/>
          <w:bCs w:val="0"/>
          <w:color w:val="000000"/>
          <w:sz w:val="24"/>
          <w:szCs w:val="24"/>
          <w:highlight w:val="red"/>
        </w:rPr>
        <w:t xml:space="preserve">分</w:t>
      </w:r>
      <w:r>
        <w:rPr>
          <w:rFonts w:hint="eastAsia" w:ascii="宋体" w:hAnsi="宋体" w:eastAsia="宋体" w:cs="宋体"/>
          <w:b/>
          <w:bCs w:val="0"/>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递交</w:t>
      </w:r>
      <w:r>
        <w:rPr>
          <w:rFonts w:hint="eastAsia" w:ascii="宋体" w:hAnsi="宋体" w:eastAsia="宋体" w:cs="宋体"/>
          <w:bCs/>
          <w:color w:val="000000"/>
          <w:sz w:val="24"/>
          <w:szCs w:val="24"/>
          <w:highlight w:val="none"/>
        </w:rPr>
        <w:t xml:space="preserve">投标文件</w:t>
      </w:r>
      <w:r>
        <w:rPr>
          <w:rFonts w:hint="eastAsia" w:ascii="宋体" w:hAnsi="宋体" w:eastAsia="宋体" w:cs="宋体"/>
          <w:bCs/>
          <w:color w:val="000000"/>
          <w:sz w:val="24"/>
          <w:szCs w:val="24"/>
          <w:highlight w:val="none"/>
          <w:lang w:val="zh-CN"/>
        </w:rPr>
        <w:t xml:space="preserve">、开标地点：</w:t>
      </w:r>
      <w:r>
        <w:rPr>
          <w:rFonts w:hint="eastAsia" w:ascii="宋体" w:hAnsi="宋体" w:eastAsia="宋体" w:cs="宋体"/>
          <w:color w:val="000000"/>
          <w:sz w:val="24"/>
          <w:szCs w:val="24"/>
          <w:highlight w:val="none"/>
        </w:rPr>
        <w:t xml:space="preserve">江苏省政府采购管理交易系统（苏采云）</w:t>
      </w:r>
      <w:r>
        <w:rPr>
          <w:rFonts w:hint="eastAsia" w:ascii="宋体" w:hAnsi="宋体" w:eastAsia="宋体" w:cs="宋体"/>
          <w:color w:val="000000"/>
          <w:sz w:val="24"/>
          <w:szCs w:val="24"/>
          <w:highlight w:val="none"/>
        </w:rPr>
      </w:r>
      <w:r/>
    </w:p>
    <w:p>
      <w:pPr>
        <w:pStyle w:val="708"/>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bookmarkStart w:id="15" w:name="_Toc22212"/>
      <w:r/>
      <w:bookmarkStart w:id="16" w:name="_Toc21578"/>
      <w:r>
        <w:rPr>
          <w:rFonts w:hint="eastAsia" w:ascii="宋体" w:hAnsi="宋体" w:eastAsia="宋体" w:cs="宋体"/>
          <w:b/>
          <w:bCs/>
          <w:color w:val="000000"/>
          <w:sz w:val="24"/>
          <w:szCs w:val="24"/>
          <w:highlight w:val="none"/>
        </w:rPr>
        <w:t xml:space="preserve">五、开启</w:t>
      </w:r>
      <w:bookmarkEnd w:id="15"/>
      <w:r/>
      <w:bookmarkEnd w:id="16"/>
      <w:r>
        <w:rPr>
          <w:rFonts w:hint="eastAsia" w:ascii="宋体" w:hAnsi="宋体" w:eastAsia="宋体" w:cs="宋体"/>
          <w:b/>
          <w:bCs/>
          <w:color w:val="000000"/>
          <w:sz w:val="24"/>
          <w:szCs w:val="24"/>
          <w:highlight w:val="none"/>
        </w:rPr>
      </w:r>
      <w:r/>
    </w:p>
    <w:p>
      <w:pPr>
        <w:pStyle w:val="708"/>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z w:val="24"/>
          <w:szCs w:val="24"/>
          <w:highlight w:val="none"/>
        </w:rPr>
        <w:t xml:space="preserve">时间：</w:t>
      </w:r>
      <w:r>
        <w:rPr>
          <w:rFonts w:hint="eastAsia" w:ascii="宋体" w:hAnsi="宋体" w:eastAsia="宋体" w:cs="宋体"/>
          <w:b/>
          <w:bCs w:val="0"/>
          <w:color w:val="000000"/>
          <w:sz w:val="24"/>
          <w:szCs w:val="24"/>
          <w:highlight w:val="red"/>
          <w:lang w:eastAsia="zh-CN"/>
        </w:rPr>
        <w:t xml:space="preserve">2026</w:t>
      </w:r>
      <w:r>
        <w:rPr>
          <w:rFonts w:hint="eastAsia" w:ascii="宋体" w:hAnsi="宋体" w:eastAsia="宋体" w:cs="宋体"/>
          <w:b/>
          <w:bCs w:val="0"/>
          <w:color w:val="000000"/>
          <w:sz w:val="24"/>
          <w:szCs w:val="24"/>
          <w:highlight w:val="red"/>
        </w:rPr>
        <w:t xml:space="preserve">年</w:t>
      </w:r>
      <w:r>
        <w:rPr>
          <w:rFonts w:hint="eastAsia" w:ascii="宋体" w:hAnsi="宋体" w:cs="宋体"/>
          <w:b/>
          <w:bCs w:val="0"/>
          <w:color w:val="000000"/>
          <w:sz w:val="24"/>
          <w:szCs w:val="24"/>
          <w:highlight w:val="red"/>
          <w:lang w:val="en-US" w:eastAsia="zh-CN"/>
        </w:rPr>
        <w:t xml:space="preserve">7</w:t>
      </w:r>
      <w:r>
        <w:rPr>
          <w:rFonts w:hint="eastAsia" w:ascii="宋体" w:hAnsi="宋体" w:eastAsia="宋体" w:cs="宋体"/>
          <w:b/>
          <w:bCs w:val="0"/>
          <w:color w:val="000000"/>
          <w:sz w:val="24"/>
          <w:szCs w:val="24"/>
          <w:highlight w:val="red"/>
        </w:rPr>
        <w:t xml:space="preserve">月</w:t>
      </w:r>
      <w:r>
        <w:rPr>
          <w:rFonts w:hint="eastAsia" w:ascii="宋体" w:hAnsi="宋体" w:cs="宋体"/>
          <w:b/>
          <w:bCs w:val="0"/>
          <w:color w:val="000000"/>
          <w:sz w:val="24"/>
          <w:szCs w:val="24"/>
          <w:highlight w:val="red"/>
          <w:lang w:val="en-US" w:eastAsia="zh-CN"/>
        </w:rPr>
        <w:t xml:space="preserve">16</w:t>
      </w:r>
      <w:r>
        <w:rPr>
          <w:rFonts w:hint="eastAsia" w:ascii="宋体" w:hAnsi="宋体" w:eastAsia="宋体" w:cs="宋体"/>
          <w:b/>
          <w:bCs w:val="0"/>
          <w:color w:val="000000"/>
          <w:sz w:val="24"/>
          <w:szCs w:val="24"/>
          <w:highlight w:val="red"/>
        </w:rPr>
        <w:t xml:space="preserve">日</w:t>
      </w:r>
      <w:r>
        <w:rPr>
          <w:rFonts w:hint="eastAsia" w:ascii="宋体" w:hAnsi="宋体" w:cs="宋体"/>
          <w:b/>
          <w:bCs w:val="0"/>
          <w:color w:val="000000"/>
          <w:sz w:val="24"/>
          <w:szCs w:val="24"/>
          <w:highlight w:val="red"/>
          <w:lang w:val="en-US" w:eastAsia="zh-CN"/>
        </w:rPr>
        <w:t xml:space="preserve">9</w:t>
      </w:r>
      <w:r>
        <w:rPr>
          <w:rFonts w:hint="eastAsia" w:ascii="宋体" w:hAnsi="宋体" w:eastAsia="宋体" w:cs="宋体"/>
          <w:b/>
          <w:bCs w:val="0"/>
          <w:color w:val="000000"/>
          <w:sz w:val="24"/>
          <w:szCs w:val="24"/>
          <w:highlight w:val="red"/>
        </w:rPr>
        <w:t xml:space="preserve">时</w:t>
      </w:r>
      <w:r>
        <w:rPr>
          <w:rFonts w:hint="eastAsia" w:ascii="宋体" w:hAnsi="宋体" w:cs="宋体"/>
          <w:b/>
          <w:bCs w:val="0"/>
          <w:color w:val="000000"/>
          <w:sz w:val="24"/>
          <w:szCs w:val="24"/>
          <w:highlight w:val="red"/>
          <w:lang w:val="en-US" w:eastAsia="zh-CN"/>
        </w:rPr>
        <w:t xml:space="preserve">30</w:t>
      </w:r>
      <w:r>
        <w:rPr>
          <w:rFonts w:hint="eastAsia" w:ascii="宋体" w:hAnsi="宋体" w:eastAsia="宋体" w:cs="宋体"/>
          <w:b/>
          <w:bCs w:val="0"/>
          <w:color w:val="000000"/>
          <w:sz w:val="24"/>
          <w:szCs w:val="24"/>
          <w:highlight w:val="red"/>
        </w:rPr>
        <w:t xml:space="preserve">分</w:t>
      </w:r>
      <w:r>
        <w:rPr>
          <w:rFonts w:hint="eastAsia" w:ascii="宋体" w:hAnsi="宋体" w:eastAsia="宋体" w:cs="宋体"/>
          <w:b/>
          <w:bCs w:val="0"/>
          <w:color w:val="000000"/>
          <w:sz w:val="24"/>
          <w:szCs w:val="24"/>
          <w:highlight w:val="none"/>
        </w:rPr>
        <w:t xml:space="preserve">（北京时间）</w:t>
      </w:r>
      <w:r>
        <w:rPr>
          <w:rFonts w:hint="eastAsia" w:ascii="宋体" w:hAnsi="宋体" w:eastAsia="宋体" w:cs="宋体"/>
          <w:color w:val="000000"/>
          <w:spacing w:val="8"/>
          <w:sz w:val="24"/>
          <w:szCs w:val="24"/>
          <w:highlight w:val="none"/>
        </w:rPr>
      </w:r>
      <w:r/>
    </w:p>
    <w:p>
      <w:pPr>
        <w:pStyle w:val="708"/>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地点：</w:t>
      </w:r>
      <w:r>
        <w:rPr>
          <w:rFonts w:hint="eastAsia" w:ascii="宋体" w:hAnsi="宋体" w:eastAsia="宋体" w:cs="宋体"/>
          <w:color w:val="000000"/>
          <w:sz w:val="24"/>
          <w:szCs w:val="24"/>
          <w:highlight w:val="none"/>
        </w:rPr>
        <w:t xml:space="preserve">“苏采云”网上开标大厅</w:t>
      </w:r>
      <w:r>
        <w:rPr>
          <w:rFonts w:hint="eastAsia" w:ascii="宋体" w:hAnsi="宋体" w:eastAsia="宋体" w:cs="宋体"/>
          <w:color w:val="000000"/>
          <w:spacing w:val="8"/>
          <w:sz w:val="24"/>
          <w:szCs w:val="24"/>
          <w:highlight w:val="none"/>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7" w:name="_Toc3442"/>
      <w:r/>
      <w:bookmarkStart w:id="18" w:name="_Toc14484"/>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bookmarkEnd w:id="17"/>
      <w:r/>
      <w:bookmarkEnd w:id="18"/>
      <w:r>
        <w:rPr>
          <w:rFonts w:hint="eastAsia" w:ascii="宋体" w:hAnsi="宋体" w:eastAsia="宋体" w:cs="宋体"/>
          <w:b/>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rPr>
        <w:t xml:space="preserve">自本公告在法定媒体发布之日起五个工作日</w:t>
      </w:r>
      <w:r>
        <w:rPr>
          <w:rFonts w:hint="eastAsia" w:ascii="宋体" w:hAnsi="宋体" w:eastAsia="宋体" w:cs="宋体"/>
          <w:b/>
          <w:color w:val="000000"/>
          <w:sz w:val="24"/>
          <w:szCs w:val="24"/>
          <w:highlight w:val="none"/>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9" w:name="_Toc19274"/>
      <w:r/>
      <w:bookmarkStart w:id="20" w:name="_Toc616"/>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、其他补充事宜</w:t>
      </w:r>
      <w:bookmarkEnd w:id="19"/>
      <w:r/>
      <w:bookmarkEnd w:id="20"/>
      <w:r>
        <w:rPr>
          <w:rFonts w:hint="eastAsia" w:ascii="宋体" w:hAnsi="宋体" w:eastAsia="宋体" w:cs="宋体"/>
          <w:b/>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bookmarkStart w:id="21" w:name="_Toc13636"/>
      <w:r/>
      <w:bookmarkStart w:id="22" w:name="_Toc28423"/>
      <w:r>
        <w:rPr>
          <w:rFonts w:hint="eastAsia" w:ascii="宋体" w:hAnsi="宋体" w:cs="宋体"/>
          <w:color w:val="000000"/>
          <w:sz w:val="24"/>
          <w:szCs w:val="24"/>
          <w:highlight w:val="none"/>
        </w:rPr>
        <w:t xml:space="preserve">1．是否接受进口产品：不接受。</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2．集中考察现场及答疑时间、地点：采购人不统一组织现场踏勘。</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3．政府采购信用承诺</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（1）符合国家相关规定的财务状况报告；</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（2）依法缴纳税收的证明材料；</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（3）依法缴纳社会保障资金的证明材料；</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（4）具备履行政府采购合同所必需的设备和专业技术能力的证明材料；</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（5）参加政府采购活动前三年内在经营活动中没有重大违法记录的证明材料；</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（6）未被列入失信被执行人、重大税收违法失信主体、政府采购严重违法失信行为记录名单的证明材料。</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供应商涉及以下情形的，不适用信用承诺：</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（1）供应商被列入严重失信主体名单；</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（2）被相关监管部门作出行政处罚且尚在处罚有效期内；</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（3）其他法律、行政法规规定的不适用信用承诺的情形。</w:t>
      </w:r>
      <w:r>
        <w:rPr>
          <w:rFonts w:hint="eastAsia" w:ascii="宋体" w:hAnsi="宋体" w:cs="宋体"/>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highlight w:val="none"/>
        </w:rPr>
      </w:r>
      <w:r/>
    </w:p>
    <w:p>
      <w:pPr>
        <w:pStyle w:val="708"/>
        <w:numPr>
          <w:ilvl w:val="0"/>
          <w:numId w:val="0"/>
        </w:numPr>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4．</w:t>
      </w:r>
      <w:r>
        <w:rPr>
          <w:rFonts w:hint="eastAsia" w:ascii="宋体" w:hAnsi="宋体" w:cs="宋体"/>
          <w:color w:val="000000"/>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cs="宋体"/>
          <w:color w:val="000000"/>
          <w:sz w:val="24"/>
          <w:szCs w:val="24"/>
          <w:highlight w:val="none"/>
        </w:rPr>
      </w:r>
      <w:r/>
    </w:p>
    <w:p>
      <w:pPr>
        <w:pStyle w:val="708"/>
        <w:ind w:firstLine="422"/>
        <w:spacing w:line="360" w:lineRule="auto"/>
        <w:shd w:val="clear" w:color="auto" w:fill="ffffff"/>
        <w:widowControl/>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bidi="ar-SA"/>
        </w:rPr>
        <w:t xml:space="preserve">5．</w:t>
      </w:r>
      <w:r>
        <w:rPr>
          <w:rFonts w:hint="eastAsia" w:ascii="宋体" w:hAnsi="宋体" w:cs="宋体"/>
          <w:color w:val="000000"/>
          <w:sz w:val="24"/>
          <w:szCs w:val="24"/>
          <w:highlight w:val="none"/>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highlight w:val="none"/>
        </w:rPr>
      </w:r>
      <w:r/>
    </w:p>
    <w:p>
      <w:pPr>
        <w:pStyle w:val="708"/>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八、对本次招标提出询问，请按以下方式联系</w:t>
      </w:r>
      <w:bookmarkEnd w:id="21"/>
      <w:r/>
      <w:bookmarkEnd w:id="22"/>
      <w:r>
        <w:rPr>
          <w:rFonts w:hint="eastAsia" w:ascii="宋体" w:hAnsi="宋体" w:eastAsia="宋体" w:cs="宋体"/>
          <w:b/>
          <w:bCs/>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南京江北新区管理委员会教育局</w:t>
      </w:r>
      <w:r>
        <w:rPr>
          <w:rFonts w:hint="eastAsia" w:ascii="宋体" w:hAnsi="宋体" w:eastAsia="宋体" w:cs="宋体"/>
          <w:color w:val="000000"/>
          <w:sz w:val="24"/>
          <w:szCs w:val="24"/>
          <w:highlight w:val="none"/>
          <w:lang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址：南京市</w:t>
      </w:r>
      <w:r>
        <w:rPr>
          <w:rFonts w:hint="eastAsia" w:ascii="宋体" w:hAnsi="宋体" w:eastAsia="宋体" w:cs="宋体"/>
          <w:color w:val="000000"/>
          <w:sz w:val="24"/>
          <w:szCs w:val="24"/>
          <w:highlight w:val="none"/>
          <w:lang w:val="en-US" w:eastAsia="zh-CN"/>
        </w:rPr>
        <w:t xml:space="preserve">浦口区行知路8号</w:t>
      </w:r>
      <w:r>
        <w:rPr>
          <w:rFonts w:hint="eastAsia"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奚老师</w:t>
      </w:r>
      <w:r>
        <w:rPr>
          <w:rFonts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025-58111956</w:t>
      </w:r>
      <w:r>
        <w:rPr>
          <w:rFonts w:hint="eastAsia" w:ascii="宋体" w:hAnsi="宋体" w:eastAsia="宋体" w:cs="宋体"/>
          <w:color w:val="000000"/>
          <w:sz w:val="24"/>
          <w:szCs w:val="24"/>
          <w:highlight w:val="none"/>
          <w:lang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lang w:val="en-US" w:eastAsia="zh-CN"/>
        </w:rPr>
        <w:t xml:space="preserve">南京市建邺区江东中路186-1号宏普捷座7楼703室</w:t>
      </w:r>
      <w:r>
        <w:rPr>
          <w:rFonts w:hint="eastAsia" w:ascii="宋体" w:hAnsi="宋体" w:eastAsia="宋体" w:cs="宋体"/>
          <w:color w:val="000000"/>
          <w:sz w:val="24"/>
          <w:szCs w:val="24"/>
          <w:highlight w:val="none"/>
          <w:lang w:val="en-US" w:eastAsia="zh-CN"/>
        </w:rPr>
      </w:r>
      <w:r/>
    </w:p>
    <w:p>
      <w:pPr>
        <w:pStyle w:val="708"/>
        <w:ind w:firstLine="420"/>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金工</w:t>
      </w:r>
      <w:r>
        <w:rPr>
          <w:rFonts w:hint="eastAsia"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17715289656</w:t>
      </w:r>
      <w:r>
        <w:rPr>
          <w:rFonts w:hint="eastAsia"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金工</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17715289656</w:t>
      </w:r>
      <w:r>
        <w:rPr>
          <w:rFonts w:hint="eastAsia" w:ascii="宋体" w:hAnsi="宋体" w:eastAsia="宋体" w:cs="宋体"/>
          <w:color w:val="000000"/>
          <w:sz w:val="24"/>
          <w:szCs w:val="24"/>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0"/>
      </w:pPr>
      <w:r/>
      <w:bookmarkStart w:id="23" w:name="_Toc9011"/>
      <w:r/>
      <w:bookmarkStart w:id="24" w:name="_Toc20055"/>
      <w:r>
        <w:rPr>
          <w:rFonts w:hint="eastAsia" w:ascii="宋体" w:hAnsi="宋体" w:eastAsia="宋体" w:cs="宋体"/>
          <w:b/>
          <w:bCs/>
          <w:color w:val="000000"/>
          <w:spacing w:val="-10"/>
          <w:sz w:val="36"/>
          <w:szCs w:val="36"/>
          <w:highlight w:val="none"/>
        </w:rPr>
        <w:br w:type="textWrapping" w:clear="all"/>
      </w:r>
      <w:r>
        <w:rPr>
          <w:rFonts w:hint="eastAsia" w:ascii="宋体" w:hAnsi="宋体" w:eastAsia="宋体" w:cs="宋体"/>
          <w:b/>
          <w:bCs/>
          <w:color w:val="000000"/>
          <w:spacing w:val="-10"/>
          <w:sz w:val="36"/>
          <w:szCs w:val="36"/>
          <w:highlight w:val="none"/>
        </w:rPr>
      </w:r>
      <w:r/>
    </w:p>
    <w:p>
      <w:pPr>
        <w:pStyle w:val="708"/>
        <w:rPr>
          <w:rFonts w:hint="eastAsia" w:ascii="宋体" w:hAnsi="宋体" w:eastAsia="宋体" w:cs="宋体"/>
          <w:b/>
          <w:bCs/>
          <w:color w:val="000000"/>
          <w:spacing w:val="-10"/>
          <w:sz w:val="36"/>
          <w:szCs w:val="36"/>
          <w:highlight w:val="none"/>
        </w:rPr>
      </w:pPr>
      <w:r>
        <w:rPr>
          <w:rFonts w:hint="eastAsia" w:ascii="宋体" w:hAnsi="宋体" w:eastAsia="宋体" w:cs="宋体"/>
          <w:b/>
          <w:bCs/>
          <w:color w:val="000000"/>
          <w:spacing w:val="-10"/>
          <w:sz w:val="36"/>
          <w:szCs w:val="36"/>
          <w:highlight w:val="none"/>
        </w:rPr>
        <w:br w:type="page" w:clear="all"/>
      </w: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0"/>
      </w:pPr>
      <w:r>
        <w:rPr>
          <w:rFonts w:hint="eastAsia" w:ascii="宋体" w:hAnsi="宋体" w:eastAsia="宋体" w:cs="宋体"/>
          <w:b/>
          <w:bCs/>
          <w:color w:val="000000"/>
          <w:spacing w:val="-10"/>
          <w:sz w:val="36"/>
          <w:szCs w:val="36"/>
          <w:highlight w:val="none"/>
        </w:rPr>
        <w:t xml:space="preserve">第二章 供应商须知</w:t>
      </w:r>
      <w:bookmarkEnd w:id="23"/>
      <w:r/>
      <w:bookmarkEnd w:id="24"/>
      <w:r>
        <w:rPr>
          <w:rFonts w:hint="eastAsia" w:ascii="宋体" w:hAnsi="宋体" w:eastAsia="宋体" w:cs="宋体"/>
          <w:b/>
          <w:bCs/>
          <w:color w:val="000000"/>
          <w:spacing w:val="-10"/>
          <w:sz w:val="36"/>
          <w:szCs w:val="36"/>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5" w:name="_Toc17141"/>
      <w:r/>
      <w:bookmarkStart w:id="26" w:name="_Toc1565"/>
      <w:r/>
      <w:bookmarkStart w:id="27" w:name="_Hlk156125564"/>
      <w:r>
        <w:rPr>
          <w:rFonts w:hint="eastAsia" w:ascii="宋体" w:hAnsi="宋体" w:eastAsia="宋体" w:cs="宋体"/>
          <w:color w:val="000000"/>
          <w:sz w:val="24"/>
          <w:szCs w:val="24"/>
          <w:highlight w:val="none"/>
          <w:lang w:val="en-US" w:eastAsia="zh-CN" w:bidi="ar"/>
        </w:rPr>
        <w:t xml:space="preserve">一、总 则</w:t>
      </w:r>
      <w:bookmarkEnd w:id="25"/>
      <w:r/>
      <w:bookmarkEnd w:id="26"/>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1.适用法律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2.定义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“供应商”“投标人”是指参加投标竞争，并符合招标文件规定资格条件的法人、其他组织或者自然人。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3.政策功能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3.1 促进中小企业发展。在政府采购活动中，供应商提供的货物、工程或者服务符合下列情形的，享受中小企业扶持政策：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（1）在货物采购项目中，货物由中小企业制造，即货物由中小企业生产且使用该中小企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业商号或者注册商标；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（2）在工程采购项目中，工程由中小企业承建，即工程施工单位为中小企业；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b/>
          <w:bCs/>
          <w:color w:val="000000"/>
          <w:sz w:val="24"/>
          <w:szCs w:val="24"/>
          <w:highlight w:val="none"/>
          <w:lang w:val="en-US" w:eastAsia="zh-CN" w:bidi="ar"/>
        </w:rPr>
        <w:t xml:space="preserve">特别说明：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在货物采购项目中，供应商提供的货物既有中小企业制造货物，也有大型企业制造货物的，不享受中小企业扶持政策。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中小企业供应商参加政府采购活动，应当出具《中小企业声明函》，否则不享受相关中小企业扶持政策。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3.7绿色包装规定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rPr>
          <w:rFonts w:hint="eastAsia" w:ascii="宋体" w:hAnsi="宋体" w:eastAsia="宋体" w:cs="宋体"/>
          <w:color w:val="000000"/>
          <w:sz w:val="24"/>
          <w:szCs w:val="24"/>
          <w:highlight w:val="none"/>
          <w:lang w:val="en-US" w:eastAsia="zh-CN"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3.8实施本国产品标准及相关政策</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3.8.2本国产品应当符合以下条件：</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（1）在中国境内生产</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（2）在中国境内生产的组件成本占比达到规定比例</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（3）特定产品的关键组件、关键工序符合相关要求</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3.8.3本国产品标准的适用范围</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3.8.4对本国产品的支持政策</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本项目如既有本国产品又有非本国产品参与竞争，依法对本国产品给予价格评审优惠，具体详见第三章。</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3.8.5政策执行要求</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highlight w:val="none"/>
          <w:lang w:bidi="ar"/>
        </w:rPr>
      </w:r>
      <w:r/>
    </w:p>
    <w:p>
      <w:pPr>
        <w:pStyle w:val="708"/>
        <w:ind w:firstLine="48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s="宋体"/>
          <w:sz w:val="24"/>
          <w:szCs w:val="24"/>
          <w:highlight w:val="none"/>
          <w:lang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8" w:name="_Toc8082"/>
      <w:r/>
      <w:bookmarkStart w:id="29" w:name="_Toc19961"/>
      <w:r>
        <w:rPr>
          <w:rFonts w:hint="eastAsia" w:ascii="宋体" w:hAnsi="宋体" w:eastAsia="宋体" w:cs="宋体"/>
          <w:color w:val="000000"/>
          <w:sz w:val="24"/>
          <w:szCs w:val="24"/>
          <w:highlight w:val="none"/>
          <w:lang w:val="en-US" w:eastAsia="zh-CN" w:bidi="ar"/>
        </w:rPr>
        <w:t xml:space="preserve">二、招标文件</w:t>
      </w:r>
      <w:bookmarkEnd w:id="28"/>
      <w:r/>
      <w:bookmarkEnd w:id="29"/>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4.招标文件组成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4.1 招标文件由投标邀请、供应商须知、评标办法、采购需求、合同条款、附件等组成。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5.招标文件的澄清修改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5.1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5.2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在招标文件要求提交投标文件截止时间前，有权决定延长投标截止时间和开标时间，并在原采购信息发布媒体上发布变更公告。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5.3 供应商应在投标截止时间前关注原采购信息发布媒体有关本招标项目有无变更公告。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2"/>
        <w:suppressLineNumbers w:val="0"/>
      </w:pPr>
      <w:r/>
      <w:bookmarkStart w:id="30" w:name="_Toc72"/>
      <w:r/>
      <w:bookmarkStart w:id="31" w:name="_Toc17409"/>
      <w:r>
        <w:rPr>
          <w:rFonts w:hint="eastAsia" w:ascii="宋体" w:hAnsi="宋体" w:eastAsia="宋体" w:cs="宋体"/>
          <w:color w:val="000000"/>
          <w:sz w:val="24"/>
          <w:szCs w:val="24"/>
          <w:highlight w:val="none"/>
          <w:lang w:val="en-US" w:eastAsia="zh-CN" w:bidi="ar"/>
        </w:rPr>
        <w:t xml:space="preserve">三、投标</w:t>
      </w:r>
      <w:bookmarkEnd w:id="30"/>
      <w:r/>
      <w:bookmarkEnd w:id="31"/>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6</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color w:val="000000"/>
          <w:sz w:val="24"/>
          <w:szCs w:val="24"/>
          <w:highlight w:val="none"/>
          <w:lang w:val="zh-CN"/>
        </w:rPr>
        <w:t xml:space="preserve">投标 </w:t>
      </w:r>
      <w:r>
        <w:rPr>
          <w:rFonts w:hint="eastAsia" w:ascii="宋体" w:hAnsi="宋体" w:eastAsia="宋体" w:cs="宋体"/>
          <w:b/>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6.1 供应商应由其法定代表人或法定代表人授权委托人在规定的投标时间内，按时递交投标文件。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 供应商应当对招标文件提出的要求和条件作出实质性响应，</w:t>
      </w:r>
      <w:r>
        <w:rPr>
          <w:rFonts w:hint="eastAsia" w:ascii="宋体" w:hAnsi="宋体" w:eastAsia="宋体" w:cs="宋体"/>
          <w:bCs/>
          <w:color w:val="000000"/>
          <w:sz w:val="24"/>
          <w:szCs w:val="24"/>
          <w:highlight w:val="none"/>
        </w:rPr>
        <w:t xml:space="preserve">并在投标文件中逐条应答。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 供应商应当提供的资格证明文件（如资质证书、资格证书）、技术资料（如白皮书、彩页、手册、检测报告等）。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val="zh-CN"/>
        </w:rPr>
        <w:t xml:space="preserve"> 供应商应逐一说明投标产品品牌、型号、产地、性能参数。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 投标产品属于国家认定的节能产品、环保产品、信息安全产品，应附认证证书复印件。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rPr>
        <w:t xml:space="preserve">供应商符合《政府采购促进中小企业发展管理办法》（财库【2020】46 号）规定的，应按要求在投标文件中填写《中小企业声明函》，否则不享受相应政策。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7.投标文件的语言、计量单位、货币、技术标准和编制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7.2 供应商所使用的计量单位应为国家法定计量单位。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7.3 供应商应用人民币报价。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7.4 供应商所使用的技术标准应遵循国家最新标准及规范。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8.联合投标和分包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8.1 采购项目如接受联合体投标的，两个以上的自然人、法人或者其他组织可以组成一个联合体，以一个供应商的身份共同参加投标。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8.5 享受中小企业扶持政策获得政府采购合同的，小微企业不得将合同分包给大中型企业，中型企业不得将合同分包给大型企业。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9.投标费用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9.2 </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color w:val="000000"/>
          <w:sz w:val="24"/>
          <w:szCs w:val="24"/>
          <w:highlight w:val="none"/>
        </w:rPr>
        <w:t xml:space="preserve">招标代理费</w:t>
      </w:r>
      <w:r>
        <w:rPr>
          <w:rFonts w:hint="eastAsia" w:ascii="宋体" w:hAnsi="宋体" w:eastAsia="宋体" w:cs="宋体"/>
          <w:b/>
          <w:bCs/>
          <w:color w:val="000000"/>
          <w:sz w:val="24"/>
          <w:szCs w:val="24"/>
          <w:highlight w:val="none"/>
          <w:lang w:val="zh-CN"/>
        </w:rPr>
        <w:t xml:space="preserve">及</w:t>
      </w:r>
      <w:r>
        <w:rPr>
          <w:rFonts w:hint="eastAsia" w:ascii="宋体" w:hAnsi="宋体" w:eastAsia="宋体" w:cs="宋体"/>
          <w:b/>
          <w:bCs/>
          <w:color w:val="000000"/>
          <w:sz w:val="24"/>
          <w:szCs w:val="24"/>
          <w:highlight w:val="none"/>
          <w:lang w:val="en-US" w:eastAsia="zh-CN"/>
        </w:rPr>
        <w:t xml:space="preserve">其</w:t>
      </w:r>
      <w:r>
        <w:rPr>
          <w:rFonts w:hint="eastAsia" w:ascii="宋体" w:hAnsi="宋体" w:eastAsia="宋体" w:cs="宋体"/>
          <w:b/>
          <w:bCs/>
          <w:color w:val="000000"/>
          <w:sz w:val="24"/>
          <w:szCs w:val="24"/>
          <w:highlight w:val="none"/>
          <w:lang w:val="zh-CN"/>
        </w:rPr>
        <w:t xml:space="preserve">相关</w:t>
      </w:r>
      <w:r>
        <w:rPr>
          <w:rFonts w:hint="eastAsia" w:ascii="宋体" w:hAnsi="宋体" w:eastAsia="宋体" w:cs="宋体"/>
          <w:b/>
          <w:bCs/>
          <w:color w:val="000000"/>
          <w:sz w:val="24"/>
          <w:szCs w:val="24"/>
          <w:highlight w:val="none"/>
        </w:rPr>
        <w:t xml:space="preserve">费用由中标供应商在领取中标通知书时支付，请充分考虑在投标报价中。</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按国家发展改革委【2002】1980号文的收费标准的 </w:t>
      </w:r>
      <w:r>
        <w:rPr>
          <w:rFonts w:hint="eastAsia" w:ascii="宋体" w:hAnsi="宋体" w:eastAsia="宋体" w:cs="宋体"/>
          <w:b/>
          <w:bCs/>
          <w:color w:val="000000"/>
          <w:sz w:val="24"/>
          <w:szCs w:val="24"/>
          <w:highlight w:val="none"/>
          <w:lang w:val="en-US" w:eastAsia="zh-CN"/>
        </w:rPr>
        <w:t xml:space="preserve">58.60</w:t>
      </w:r>
      <w:r>
        <w:rPr>
          <w:rFonts w:hint="eastAsia" w:ascii="宋体" w:hAnsi="宋体" w:eastAsia="宋体" w:cs="宋体"/>
          <w:b/>
          <w:bCs/>
          <w:color w:val="000000"/>
          <w:sz w:val="24"/>
          <w:szCs w:val="24"/>
          <w:highlight w:val="none"/>
        </w:rPr>
        <w:t xml:space="preserve">%计取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无论是否将该费用在报价中列明，均视为已含在总价中。</w:t>
      </w:r>
      <w:r>
        <w:rPr>
          <w:rFonts w:hint="eastAsia" w:ascii="宋体" w:hAnsi="宋体" w:eastAsia="宋体" w:cs="宋体"/>
          <w:b/>
          <w:color w:val="000000"/>
          <w:sz w:val="24"/>
          <w:szCs w:val="24"/>
          <w:highlight w:val="none"/>
          <w:lang w:val="zh-CN"/>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10.投标文件组成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投标文件由商务部分、技术部分、价格部分，以及其他部分组成。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11.投标文件的商务部分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 投标函（投标申请及声明，格式见附件）；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 法定代表人授权委托书（格式见附件）及委托代理人的身份证扫描件；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 第一章投标邀请第</w:t>
      </w:r>
      <w:r>
        <w:rPr>
          <w:rFonts w:hint="eastAsia" w:ascii="宋体" w:hAnsi="宋体" w:cs="宋体"/>
          <w:color w:val="000000"/>
          <w:sz w:val="24"/>
          <w:szCs w:val="24"/>
          <w:highlight w:val="none"/>
          <w:lang w:val="en-US" w:eastAsia="zh-CN" w:bidi="ar"/>
        </w:rPr>
        <w:t xml:space="preserve">二</w:t>
      </w:r>
      <w:r>
        <w:rPr>
          <w:rFonts w:hint="eastAsia" w:ascii="宋体" w:hAnsi="宋体" w:eastAsia="宋体" w:cs="宋体"/>
          <w:color w:val="000000"/>
          <w:sz w:val="24"/>
          <w:szCs w:val="24"/>
          <w:highlight w:val="none"/>
          <w:lang w:val="en-US" w:eastAsia="zh-CN" w:bidi="ar"/>
        </w:rPr>
        <w:t xml:space="preserve">条第1款规定的资格证明材料；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（4）★《南京市政府采购供应商信用记录表暨信用承诺书》； </w:t>
      </w:r>
      <w:r>
        <w:rPr>
          <w:rFonts w:hint="eastAsia" w:ascii="宋体" w:hAnsi="宋体" w:eastAsia="宋体" w:cs="宋体"/>
          <w:color w:val="000000"/>
          <w:sz w:val="24"/>
          <w:szCs w:val="24"/>
          <w:highlight w:val="none"/>
          <w:lang w:val="en-US" w:eastAsia="zh-CN" w:bidi="ar"/>
        </w:rPr>
      </w:r>
      <w:r/>
    </w:p>
    <w:p>
      <w:pPr>
        <w:pStyle w:val="708"/>
        <w:ind w:firstLine="480"/>
        <w:jc w:val="left"/>
        <w:spacing w:line="360" w:lineRule="auto"/>
        <w:widowControl/>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★《关于符合本国产品标准的声明函》</w:t>
      </w:r>
      <w:r>
        <w:rPr>
          <w:rFonts w:hint="eastAsia" w:ascii="宋体" w:hAnsi="宋体" w:cs="宋体"/>
          <w:color w:val="000000"/>
          <w:sz w:val="24"/>
          <w:szCs w:val="24"/>
          <w:highlight w:val="none"/>
          <w:lang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）供应商认为需要提供的其他资格证明文件和商务资料。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12.投标文件的技术部分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12.2 若技术性能无特殊说明，则按国家有关部门最新颁布的标准及规范为准。 </w:t>
      </w:r>
      <w:r>
        <w:rPr>
          <w:rFonts w:hint="eastAsia" w:ascii="宋体" w:hAnsi="宋体" w:eastAsia="宋体" w:cs="宋体"/>
          <w:color w:val="000000"/>
          <w:sz w:val="24"/>
          <w:szCs w:val="24"/>
          <w:highlight w:val="none"/>
        </w:rPr>
      </w:r>
      <w:r/>
    </w:p>
    <w:p>
      <w:pPr>
        <w:pStyle w:val="708"/>
        <w:ind w:firstLine="480"/>
        <w:jc w:val="left"/>
        <w:spacing w:line="360" w:lineRule="auto"/>
        <w:widowControl/>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t xml:space="preserve">。</w:t>
      </w:r>
      <w:r>
        <w:rPr>
          <w:rFonts w:hint="eastAsia" w:ascii="宋体" w:hAnsi="宋体" w:cs="宋体"/>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12.4 </w:t>
      </w:r>
      <w:r>
        <w:rPr>
          <w:rFonts w:hint="eastAsia" w:ascii="宋体" w:hAnsi="宋体" w:eastAsia="宋体" w:cs="宋体"/>
          <w:bCs/>
          <w:color w:val="000000"/>
          <w:sz w:val="24"/>
          <w:szCs w:val="24"/>
          <w:highlight w:val="none"/>
          <w:lang w:val="zh-CN"/>
        </w:rPr>
        <w:t xml:space="preserve">投标文件应按照招标文件要求技术资料、文件和有关证明，</w:t>
      </w:r>
      <w:r>
        <w:rPr>
          <w:rFonts w:hint="eastAsia" w:ascii="宋体" w:hAnsi="宋体" w:eastAsia="宋体" w:cs="宋体"/>
          <w:color w:val="000000"/>
          <w:sz w:val="24"/>
          <w:szCs w:val="24"/>
          <w:highlight w:val="none"/>
          <w:lang w:val="zh-CN"/>
        </w:rPr>
        <w:t xml:space="preserve">包括但不限于下列文件，其中加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项目不得有缺失或无效：</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（1）★项目实施方案（格式自拟）；</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（2）★《技术条款偏离表》；</w:t>
      </w:r>
      <w:r>
        <w:rPr>
          <w:rFonts w:hint="eastAsia" w:ascii="宋体" w:hAnsi="宋体" w:eastAsia="宋体" w:cs="宋体"/>
          <w:color w:val="000000"/>
          <w:sz w:val="24"/>
          <w:szCs w:val="24"/>
          <w:highlight w:val="none"/>
          <w:lang w:val="zh-CN"/>
        </w:rPr>
      </w:r>
      <w:r/>
    </w:p>
    <w:p>
      <w:pPr>
        <w:pStyle w:val="789"/>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）★《供货一览表》；</w:t>
      </w:r>
      <w:r>
        <w:rPr>
          <w:rFonts w:hint="eastAsia" w:ascii="宋体" w:hAnsi="宋体" w:eastAsia="宋体" w:cs="宋体"/>
          <w:color w:val="000000"/>
          <w:sz w:val="24"/>
          <w:szCs w:val="24"/>
          <w:highlight w:val="none"/>
          <w:lang w:val="zh-CN"/>
        </w:rPr>
      </w:r>
      <w:r/>
    </w:p>
    <w:p>
      <w:pPr>
        <w:pStyle w:val="789"/>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）货物质量保证承诺书</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eastAsia="zh-CN"/>
        </w:rPr>
        <w:t xml:space="preserve">格式自拟</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）验收标准；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）供应商认为需要提供的其他技术资料。</w:t>
      </w:r>
      <w:r>
        <w:rPr>
          <w:rFonts w:hint="eastAsia" w:ascii="宋体" w:hAnsi="宋体" w:eastAsia="宋体" w:cs="宋体"/>
          <w:b/>
          <w:color w:val="000000"/>
          <w:sz w:val="24"/>
          <w:szCs w:val="24"/>
          <w:highlight w:val="none"/>
          <w:lang w:val="zh-CN"/>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13.投标文件的价格部分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13.1 供应商应对清单中的产品和服务分别报价，每一项产品和服务仅接受一个价格。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13.3 供应商的任何错漏、优惠、竞争性报价不得作为减轻责任、减少服务、增加收费、降低质量的理由。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14.投标文件的其他部分 </w:t>
      </w:r>
      <w:r>
        <w:rPr>
          <w:rFonts w:hint="eastAsia" w:ascii="宋体" w:hAnsi="宋体" w:eastAsia="宋体" w:cs="宋体"/>
          <w:color w:val="000000"/>
          <w:sz w:val="24"/>
          <w:szCs w:val="24"/>
          <w:highlight w:val="none"/>
          <w:lang w:val="en-US" w:eastAsia="zh-CN"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供应商编制投标文件需要提供的其他相关文件。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15.投标保证金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本项目不收取保证金。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16.投标有效期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16.1 自开标之日起九十日内投标有效。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eastAsia="宋体" w:cs="宋体"/>
          <w:b/>
          <w:bCs/>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17.</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投标报价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17.1 供应商应对招标文件内的《产品清单》分别报价，并汇总报价。</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、投标文件的递交</w:t>
      </w:r>
      <w:r>
        <w:rPr>
          <w:rFonts w:hint="eastAsia" w:ascii="宋体" w:hAnsi="宋体" w:eastAsia="宋体" w:cs="宋体"/>
          <w:b/>
          <w:bCs/>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.1供应商应当按照《操作手册》规定，在</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公告规定的提交</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文件截止时间前制作并上传电子</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.3采购代理机构可以按照规定，通过修改</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文件酌情延长提交</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文件截止日期，在此情况下，</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的所有权利和义务均以延长后新的截止日期为准。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文件应加盖投标供应商公章。</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文件中注明须签字的地方应由</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lang w:val="zh-CN"/>
        </w:rPr>
        <w:t xml:space="preserve">文件的拒收</w:t>
      </w:r>
      <w:r>
        <w:rPr>
          <w:rFonts w:hint="eastAsia" w:ascii="宋体" w:hAnsi="宋体" w:eastAsia="宋体" w:cs="宋体"/>
          <w:b/>
          <w:bCs/>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采购代理机构拒绝接收提交响应文件截止时间后上传的任何电子响应文件。</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投标文件的修改和撤回 </w:t>
      </w:r>
      <w:r>
        <w:rPr>
          <w:rFonts w:hint="eastAsia" w:ascii="宋体" w:hAnsi="宋体" w:eastAsia="宋体" w:cs="宋体"/>
          <w:b/>
          <w:bCs/>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.1投标文件的撤回</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（1）投标人可在提交投标文件截止时间前撤回其电子投标文件，具体操作方法见《操作手册》。</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（2）投标人撤回电子投标文件，则认为其不再参与本项目投标活动。</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.2响应文件的修改</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（2）提交投标文件截止时间之后，投标人不得对其电子投标文件作任何修改。</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eastAsia="宋体" w:cs="宋体"/>
          <w:b w:val="0"/>
          <w:bCs w:val="0"/>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1"/>
      </w:pPr>
      <w:r/>
      <w:bookmarkStart w:id="32" w:name="_Toc7692"/>
      <w:r/>
      <w:bookmarkStart w:id="33" w:name="_Toc1379"/>
      <w:r>
        <w:rPr>
          <w:rFonts w:hint="eastAsia" w:ascii="宋体" w:hAnsi="宋体" w:eastAsia="宋体" w:cs="宋体"/>
          <w:b/>
          <w:bCs/>
          <w:color w:val="000000"/>
          <w:sz w:val="24"/>
          <w:szCs w:val="24"/>
          <w:highlight w:val="none"/>
          <w:lang w:val="zh-CN"/>
        </w:rPr>
        <w:t xml:space="preserve">四、开标、评标与确定中标供应商</w:t>
      </w:r>
      <w:bookmarkEnd w:id="32"/>
      <w:r/>
      <w:bookmarkEnd w:id="33"/>
      <w:r>
        <w:rPr>
          <w:rFonts w:hint="eastAsia" w:ascii="宋体" w:hAnsi="宋体" w:eastAsia="宋体" w:cs="宋体"/>
          <w:b/>
          <w:bCs/>
          <w:color w:val="000000"/>
          <w:sz w:val="24"/>
          <w:szCs w:val="24"/>
          <w:highlight w:val="none"/>
          <w:lang w:val="zh-CN"/>
        </w:rPr>
        <w:t xml:space="preserve"> </w:t>
      </w:r>
      <w:r>
        <w:rPr>
          <w:rFonts w:hint="eastAsia" w:ascii="宋体" w:hAnsi="宋体" w:eastAsia="宋体" w:cs="宋体"/>
          <w:b/>
          <w:bCs/>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zh-CN"/>
        </w:rPr>
        <w:t xml:space="preserve">. 开标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.2 投标人在开标过程中涉及到的投标文件解密、开标结果确认等工作，应按照《操作手册》规定执行。</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.3 投标人如果对开标过程和开标结果有疑义，应当根据《操作手册》规定提出，苏采云系统中《开标一览表》公布后5分钟内未提出的，视同认可开标结果。</w:t>
      </w:r>
      <w:r>
        <w:rPr>
          <w:rFonts w:hint="eastAsia" w:ascii="宋体" w:hAnsi="宋体" w:eastAsia="宋体" w:cs="宋体"/>
          <w:b w:val="0"/>
          <w:bCs w:val="0"/>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评标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 评标组织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21.1.1评标工作由代理机构组织，具体评标事务由依法组建的评标委员会负责，并独立履行下列职责：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审查、评价投标文件是否符合招标文件的商务、技术等实质性要求；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要求投标人对投标文件有关事项作出澄清或者说明；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对投标文件进行比较和评价；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推荐中标候选人或根据采购人委托直接确定中标供应商；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向采购人、财政部门报告评标中发现的违法行为。</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 评标程序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 投标文件的资格审查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21.2.1.1 采购人代表依法对投标人的资格进行审查。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21.2.1.4 投标文件有下列情况之一的，在资格性审查时按照无效投标处理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（1）不具备招标文件规定资格条件的；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 投标文件的符合性审查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21.2.2.2 实质性要求是指本招标文件中带“★”的商务和技术要求。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21.2.2.4 投标文件有下列情况之一的，在符合性审查时按照无效投标处理：</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（1）没有按照招标文件要求盖章或签字的；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（2）投标总价超出采购项目预算或者最高限价的；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（3）不同供应商的投标文件由同一单位或者个人编制；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（4）不同供应商委托同一单位或者个人办理投标事宜；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（5）不同供应商的投标文件载明的项目管理成员为同一人；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（6）不同供应商的投标文件异常一致或者投标报价呈规律性差异；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）不同供应商的法定代表人或委托代理人有夫妻、直系血亲关系的；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）不同供应商的负责人为同一人或者存在控股、管理关系的；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zh-CN"/>
        </w:rPr>
        <w:t xml:space="preserve">）不同供应商的委托代理人(或法定代表人、项目负责人等)在招标文件发布日上月至投标截止日当月在同一单位缴纳社会保险的；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属于投标邀请中第六条第2款拒绝参加本次采购活动供应商的</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）投标文件含有采购人不能接受的附加条件的；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21.2.2.5 有下列情形之一的予以废标：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（1）符合资格条件的供应商或者对招标文件作实质性响应的供应商不足三家的；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（2）出现影响采购公正的违法、违规行为的；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（3）供应商的报价均超过了采购预算或最高限价，采购人不能支付的；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（4）因重大变故，采购任务取消的；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（5）招标文件存在歧义、重大缺陷，或者招标文件内容违反国家有关强制性规定的。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（6）预留份额的采购项目或采购包，通过发布公告方式邀请供应商后，符合资格条件的中小企业数量不足3家的。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）因苏采云系统故障造成开标不成功。</w:t>
      </w:r>
      <w:r>
        <w:rPr>
          <w:rFonts w:hint="eastAsia" w:ascii="宋体" w:hAnsi="宋体" w:eastAsia="宋体" w:cs="宋体"/>
          <w:color w:val="000000"/>
          <w:sz w:val="24"/>
          <w:szCs w:val="24"/>
          <w:highlight w:val="none"/>
          <w:lang w:val="zh-CN"/>
        </w:rPr>
      </w:r>
      <w:r/>
    </w:p>
    <w:p>
      <w:pPr>
        <w:pStyle w:val="808"/>
        <w:rPr>
          <w:rFonts w:hint="eastAsia"/>
          <w:color w:val="000000"/>
          <w:highlight w:val="none"/>
          <w:lang w:val="zh-CN"/>
        </w:rPr>
      </w:pPr>
      <w:r>
        <w:rPr>
          <w:rFonts w:hint="eastAsia"/>
          <w:color w:val="000000"/>
          <w:highlight w:val="none"/>
          <w:lang w:val="zh-CN"/>
        </w:rPr>
      </w:r>
      <w:r/>
    </w:p>
    <w:p>
      <w:pPr>
        <w:pStyle w:val="708"/>
        <w:ind w:left="0" w:firstLine="480"/>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全部通过符合性审查供应商投标(响应)报价平均值X50%;</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通过符合性审查的次低报价供应商投标(响应)报价X50%;</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(3)投标(响应)报价低于采购项目最高限价45%的，即投标(响应)报价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采购项目最高限价X45%;</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(4)评审委员会基于专业判断，认为供应商报价过低，有可能影响产品质量或者不能诚信履约的其他情形。</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具体要求按《关于推动解决政府采购异常低价问题的通知》(财库【2026】2号)执行。</w:t>
      </w:r>
      <w:r>
        <w:rPr>
          <w:rFonts w:hint="eastAsia" w:ascii="宋体" w:hAnsi="宋体" w:cs="宋体"/>
          <w:b/>
          <w:bCs/>
          <w:color w:val="000000"/>
          <w:sz w:val="24"/>
          <w:szCs w:val="24"/>
          <w:highlight w:val="none"/>
          <w:lang w:val="zh-CN"/>
        </w:rPr>
      </w:r>
      <w:r/>
    </w:p>
    <w:p>
      <w:pPr>
        <w:pStyle w:val="708"/>
        <w:ind w:firstLine="480"/>
        <w:jc w:val="left"/>
        <w:spacing w:line="360" w:lineRule="auto"/>
        <w:rPr>
          <w:rFonts w:hint="eastAsia" w:ascii="宋体" w:hAnsi="宋体" w:cs="宋体"/>
          <w:b w:val="0"/>
          <w:bCs w:val="0"/>
          <w:sz w:val="24"/>
          <w:szCs w:val="24"/>
          <w:highlight w:val="none"/>
          <w:lang w:val="zh-CN"/>
        </w:rPr>
      </w:pPr>
      <w:r>
        <w:rPr>
          <w:rFonts w:hint="eastAsia" w:ascii="宋体" w:hAnsi="宋体" w:cs="宋体"/>
          <w:b w:val="0"/>
          <w:bCs w:val="0"/>
          <w:sz w:val="24"/>
          <w:szCs w:val="24"/>
          <w:highlight w:val="none"/>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val="0"/>
          <w:bCs w:val="0"/>
          <w:sz w:val="24"/>
          <w:szCs w:val="24"/>
          <w:highlight w:val="none"/>
          <w:lang w:val="zh-CN"/>
        </w:rPr>
      </w:r>
      <w:r/>
    </w:p>
    <w:p>
      <w:pPr>
        <w:pStyle w:val="708"/>
        <w:ind w:firstLine="480"/>
        <w:jc w:val="left"/>
        <w:spacing w:line="360" w:lineRule="auto"/>
        <w:rPr>
          <w:rFonts w:hint="eastAsia" w:ascii="宋体" w:hAnsi="宋体" w:cs="宋体"/>
          <w:b/>
          <w:bCs/>
          <w:sz w:val="24"/>
          <w:szCs w:val="24"/>
          <w:highlight w:val="none"/>
          <w:lang w:val="zh-CN"/>
        </w:rPr>
      </w:pPr>
      <w:r>
        <w:rPr>
          <w:rFonts w:hint="eastAsia" w:ascii="宋体" w:hAnsi="宋体" w:cs="宋体"/>
          <w:b w:val="0"/>
          <w:bCs w:val="0"/>
          <w:sz w:val="24"/>
          <w:szCs w:val="24"/>
          <w:highlight w:val="none"/>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cs="宋体"/>
          <w:b/>
          <w:bCs/>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澄清有关问题。</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评标委员会并非对每个投标人都做澄清要求。</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 接到评标委员会澄清、说明和补正要求的，投标人如未按规定作出澄清、说明和补正，其风险由投标人自行承担。</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（2）大写金额和小写金额不一致的，以大写金额为准；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（4）总价金额与按单价汇总金额不一致的，以单价金额计算结果为准。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同时出现两种以上不一致的，按照前款规定的顺序修正。</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21.2.5 比较与评价。</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按照招标文件中规定的评标方法和标准，对资格性检查和符合性检查合格的投标文件进行商务和技术评估，综合比较与评价。 </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w:t>
      </w:r>
      <w:r>
        <w:rPr>
          <w:rFonts w:hint="eastAsia" w:ascii="宋体" w:hAnsi="宋体" w:eastAsia="宋体" w:cs="宋体"/>
          <w:b/>
          <w:bCs/>
          <w:color w:val="000000"/>
          <w:sz w:val="24"/>
          <w:szCs w:val="24"/>
          <w:highlight w:val="none"/>
          <w:lang w:val="en-US" w:eastAsia="zh-CN"/>
        </w:rPr>
        <w:t xml:space="preserve">1.2.6</w:t>
      </w:r>
      <w:r>
        <w:rPr>
          <w:rFonts w:hint="eastAsia" w:ascii="宋体" w:hAnsi="宋体" w:eastAsia="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 评标方法和标准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21.3.2</w:t>
      </w:r>
      <w:r>
        <w:rPr>
          <w:rFonts w:hint="eastAsia" w:ascii="宋体" w:hAnsi="宋体" w:eastAsia="宋体" w:cs="宋体"/>
          <w:color w:val="000000"/>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rPr>
          <w:rFonts w:hint="eastAsia" w:ascii="宋体" w:hAnsi="宋体" w:eastAsia="宋体" w:cs="宋体"/>
          <w:b/>
          <w:color w:val="000000"/>
          <w:sz w:val="24"/>
          <w:szCs w:val="24"/>
          <w:highlight w:val="none"/>
          <w:lang w:val="zh-CN"/>
        </w:rPr>
      </w:r>
      <w:r/>
    </w:p>
    <w:p>
      <w:pPr>
        <w:pStyle w:val="708"/>
        <w:numPr>
          <w:ilvl w:val="0"/>
          <w:numId w:val="0"/>
        </w:num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eastAsia="zh-CN" w:bidi="ar-SA"/>
        </w:rPr>
        <w:t xml:space="preserve">22.</w:t>
      </w:r>
      <w:r>
        <w:rPr>
          <w:rFonts w:hint="eastAsia" w:ascii="宋体" w:hAnsi="宋体" w:eastAsia="宋体" w:cs="宋体"/>
          <w:b/>
          <w:bCs/>
          <w:color w:val="000000"/>
          <w:sz w:val="24"/>
          <w:szCs w:val="24"/>
          <w:highlight w:val="none"/>
          <w:lang w:val="zh-CN"/>
        </w:rPr>
        <w:t xml:space="preserve">确定中标供应商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000000"/>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35"/>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23.</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23.l 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24.评标过程的保密性</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 采购人和采购代理机构将采取必要措施，保证评标在严格保密的情况下进行。</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24.2 任何单位和个人不得非法干预、影响评标办法的确定，以及评标过程和结果。</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 凡是与审查、澄清、评价和比较投标的有关资料等，均不向投标人及与评标无关的其他人员透露。</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36" w:name="_Toc13547"/>
      <w:r/>
      <w:bookmarkStart w:id="37" w:name="_Toc5971"/>
      <w:r/>
      <w:bookmarkStart w:id="38" w:name="_Hlk176188663"/>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、签订合同</w:t>
      </w:r>
      <w:bookmarkEnd w:id="36"/>
      <w:r/>
      <w:bookmarkEnd w:id="37"/>
      <w:r/>
      <w:bookmarkEnd w:id="38"/>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25.2采购人不得向中标人提出任何不合理的要求作为签订合同的条件。</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39" w:name="_Hlk128053131"/>
      <w:r>
        <w:rPr>
          <w:rFonts w:hint="eastAsia" w:ascii="宋体" w:hAnsi="宋体" w:eastAsia="宋体" w:cs="宋体"/>
          <w:color w:val="000000"/>
          <w:sz w:val="24"/>
          <w:szCs w:val="24"/>
          <w:highlight w:val="none"/>
        </w:rPr>
        <w:t xml:space="preserve">25.3</w:t>
      </w:r>
      <w:bookmarkStart w:id="40"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000000"/>
          <w:sz w:val="24"/>
          <w:szCs w:val="24"/>
          <w:highlight w:val="none"/>
        </w:rPr>
        <w:t xml:space="preserve">服务（包含与服务相关的货物）</w:t>
      </w:r>
      <w:bookmarkEnd w:id="41"/>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25.6采购人与中标人应当根据合同的约定依法履行合同义务。</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42" w:name="_Toc15612"/>
      <w:r/>
      <w:bookmarkStart w:id="43" w:name="_Toc28924"/>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、质疑和投诉</w:t>
      </w:r>
      <w:bookmarkEnd w:id="42"/>
      <w:r/>
      <w:bookmarkEnd w:id="43"/>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26.质疑</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44"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投标人必须在法定质疑期内一次性提出针对同一采购程序环节的质疑。</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26.4 投标人提出质疑应当按照《政府采购质疑和投诉办法》的规定提交质疑函和必要的证明材料。质疑函应当包括下列内容：</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（1）投标人的姓名或者名称、地址、邮编、联系人及联系电话；</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（3）具体、明确的质疑事项和与质疑事项相关的请求（具体条款）；</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（4）事实依据（具体条款）；</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（5）必要的法律依据（具体条款）；</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26.5 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26.7 采购代理机构在收到投标人的书面质疑后将及时组织调查核实，在</w:t>
      </w:r>
      <w:r>
        <w:rPr>
          <w:rFonts w:hint="eastAsia" w:ascii="宋体" w:hAnsi="宋体" w:eastAsia="宋体" w:cs="宋体"/>
          <w:b/>
          <w:bCs/>
          <w:color w:val="000000"/>
          <w:sz w:val="24"/>
          <w:szCs w:val="24"/>
          <w:highlight w:val="none"/>
        </w:rPr>
        <w:t xml:space="preserve">七个工作日内</w:t>
      </w:r>
      <w:r>
        <w:rPr>
          <w:rFonts w:hint="eastAsia" w:ascii="宋体" w:hAnsi="宋体" w:eastAsia="宋体" w:cs="宋体"/>
          <w:color w:val="000000"/>
          <w:sz w:val="24"/>
          <w:szCs w:val="24"/>
          <w:highlight w:val="none"/>
        </w:rPr>
        <w:t xml:space="preserve">作出答复，并以书面或在网站公告形式通知质疑投标人和其他有关投标人，答复的内容不涉及商业秘密。</w:t>
      </w:r>
      <w:bookmarkEnd w:id="44"/>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27.投诉</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27.2 投标人投诉应当有明确的请求和必要的证明材料。投标人投诉的事项不得超出已质疑事项的范围。</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27.4 投诉人在全国范围12个月内3次以上投诉查无实据的，由财政部门列入不良行为记录名单。</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（1）捏造事实；</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（2）提供虚假材料；</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708"/>
        <w:numPr>
          <w:ilvl w:val="0"/>
          <w:numId w:val="0"/>
        </w:numPr>
        <w:jc w:val="left"/>
        <w:spacing w:line="240" w:lineRule="auto"/>
        <w:rPr>
          <w:rFonts w:hint="eastAsia" w:ascii="宋体" w:hAnsi="宋体" w:eastAsia="宋体" w:cs="宋体"/>
          <w:b/>
          <w:bCs/>
          <w:color w:val="000000"/>
          <w:spacing w:val="-10"/>
          <w:sz w:val="36"/>
          <w:szCs w:val="36"/>
          <w:highlight w:val="none"/>
          <w:lang w:val="zh-CN" w:eastAsia="zh-CN" w:bidi="ar-SA"/>
        </w:rPr>
        <w:outlineLvl w:val="9"/>
      </w:pPr>
      <w:r/>
      <w:bookmarkStart w:id="45" w:name="_Toc1856"/>
      <w:r/>
      <w:bookmarkStart w:id="46" w:name="_Toc24697"/>
      <w:r>
        <w:rPr>
          <w:rFonts w:hint="eastAsia" w:ascii="宋体" w:hAnsi="宋体" w:eastAsia="宋体" w:cs="宋体"/>
          <w:b/>
          <w:bCs/>
          <w:color w:val="000000"/>
          <w:spacing w:val="-10"/>
          <w:sz w:val="36"/>
          <w:szCs w:val="36"/>
          <w:highlight w:val="none"/>
          <w:lang w:val="zh-CN" w:eastAsia="zh-CN" w:bidi="ar-SA"/>
        </w:rPr>
        <w:br w:type="page" w:clear="all"/>
      </w:r>
      <w:r>
        <w:rPr>
          <w:rFonts w:hint="eastAsia" w:ascii="宋体" w:hAnsi="宋体" w:eastAsia="宋体" w:cs="宋体"/>
          <w:b/>
          <w:bCs/>
          <w:color w:val="000000"/>
          <w:spacing w:val="-10"/>
          <w:sz w:val="36"/>
          <w:szCs w:val="36"/>
          <w:highlight w:val="none"/>
          <w:lang w:val="zh-CN" w:eastAsia="zh-CN" w:bidi="ar-SA"/>
        </w:rPr>
      </w:r>
      <w:r/>
    </w:p>
    <w:p>
      <w:pPr>
        <w:pStyle w:val="708"/>
        <w:numPr>
          <w:ilvl w:val="0"/>
          <w:numId w:val="0"/>
        </w:numPr>
        <w:jc w:val="center"/>
        <w:spacing w:line="360" w:lineRule="auto"/>
        <w:rPr>
          <w:rFonts w:hint="eastAsia" w:ascii="宋体" w:hAnsi="宋体" w:eastAsia="宋体" w:cs="宋体"/>
          <w:b/>
          <w:bCs/>
          <w:color w:val="000000"/>
          <w:spacing w:val="-10"/>
          <w:sz w:val="36"/>
          <w:szCs w:val="36"/>
          <w:highlight w:val="none"/>
          <w:lang w:val="zh-CN"/>
        </w:rPr>
        <w:outlineLvl w:val="0"/>
      </w:pPr>
      <w:r>
        <w:rPr>
          <w:rFonts w:hint="eastAsia" w:ascii="宋体" w:hAnsi="宋体" w:eastAsia="宋体" w:cs="宋体"/>
          <w:b/>
          <w:bCs/>
          <w:color w:val="000000"/>
          <w:spacing w:val="-10"/>
          <w:sz w:val="36"/>
          <w:szCs w:val="36"/>
          <w:highlight w:val="none"/>
          <w:lang w:val="zh-CN" w:eastAsia="zh-CN" w:bidi="ar-SA"/>
        </w:rPr>
        <w:t xml:space="preserve">第三章</w:t>
      </w:r>
      <w:r>
        <w:rPr>
          <w:rFonts w:hint="eastAsia" w:ascii="宋体" w:hAnsi="宋体" w:eastAsia="宋体" w:cs="宋体"/>
          <w:b/>
          <w:bCs/>
          <w:color w:val="000000"/>
          <w:spacing w:val="-10"/>
          <w:sz w:val="36"/>
          <w:szCs w:val="36"/>
          <w:highlight w:val="none"/>
          <w:lang w:val="en-US" w:eastAsia="zh-CN" w:bidi="ar-SA"/>
        </w:rPr>
        <w:t xml:space="preserve">   </w:t>
      </w:r>
      <w:r>
        <w:rPr>
          <w:rFonts w:hint="eastAsia" w:ascii="宋体" w:hAnsi="宋体" w:eastAsia="宋体" w:cs="宋体"/>
          <w:b/>
          <w:bCs/>
          <w:color w:val="000000"/>
          <w:spacing w:val="-10"/>
          <w:sz w:val="36"/>
          <w:szCs w:val="36"/>
          <w:highlight w:val="none"/>
          <w:lang w:val="zh-CN"/>
        </w:rPr>
        <w:t xml:space="preserve">评标方法和标准</w:t>
      </w:r>
      <w:bookmarkEnd w:id="45"/>
      <w:r/>
      <w:bookmarkEnd w:id="46"/>
      <w:r>
        <w:rPr>
          <w:rFonts w:hint="eastAsia" w:ascii="宋体" w:hAnsi="宋体" w:eastAsia="宋体" w:cs="宋体"/>
          <w:b/>
          <w:bCs/>
          <w:color w:val="000000"/>
          <w:spacing w:val="-10"/>
          <w:sz w:val="36"/>
          <w:szCs w:val="36"/>
          <w:highlight w:val="none"/>
          <w:lang w:val="zh-CN"/>
        </w:rPr>
      </w:r>
      <w:r/>
    </w:p>
    <w:p>
      <w:pPr>
        <w:pStyle w:val="708"/>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7" w:name="_Toc9659"/>
      <w:r/>
      <w:bookmarkStart w:id="48" w:name="_Toc7626"/>
      <w:r>
        <w:rPr>
          <w:rFonts w:hint="eastAsia" w:ascii="宋体" w:hAnsi="宋体" w:eastAsia="宋体" w:cs="宋体"/>
          <w:b/>
          <w:bCs/>
          <w:color w:val="000000"/>
          <w:spacing w:val="-10"/>
          <w:sz w:val="24"/>
          <w:szCs w:val="24"/>
          <w:highlight w:val="none"/>
          <w:lang w:val="zh-CN"/>
        </w:rPr>
        <w:t xml:space="preserve">一、采用综合评分法</w:t>
      </w:r>
      <w:bookmarkEnd w:id="47"/>
      <w:r/>
      <w:bookmarkEnd w:id="48"/>
      <w:r>
        <w:rPr>
          <w:rFonts w:hint="eastAsia" w:ascii="宋体" w:hAnsi="宋体" w:eastAsia="宋体" w:cs="宋体"/>
          <w:b/>
          <w:bCs/>
          <w:color w:val="000000"/>
          <w:spacing w:val="-10"/>
          <w:sz w:val="24"/>
          <w:szCs w:val="24"/>
          <w:highlight w:val="none"/>
          <w:lang w:val="zh-CN"/>
        </w:rPr>
      </w:r>
      <w:r/>
    </w:p>
    <w:p>
      <w:pPr>
        <w:pStyle w:val="708"/>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eastAsia="宋体" w:cs="宋体"/>
          <w:b w:val="0"/>
          <w:bCs w:val="0"/>
          <w:color w:val="000000"/>
          <w:spacing w:val="-10"/>
          <w:sz w:val="24"/>
          <w:szCs w:val="24"/>
          <w:highlight w:val="none"/>
          <w:lang w:val="zh-CN"/>
        </w:rPr>
      </w:r>
      <w:r/>
    </w:p>
    <w:p>
      <w:pPr>
        <w:pStyle w:val="708"/>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000000"/>
          <w:spacing w:val="-10"/>
          <w:sz w:val="24"/>
          <w:szCs w:val="24"/>
          <w:highlight w:val="none"/>
          <w:lang w:val="zh-CN"/>
        </w:rPr>
        <w:t xml:space="preserve">二、综合评分法评审评分细则</w:t>
      </w:r>
      <w:bookmarkEnd w:id="49"/>
      <w:r/>
      <w:bookmarkEnd w:id="50"/>
      <w:r>
        <w:rPr>
          <w:rFonts w:hint="eastAsia" w:ascii="宋体" w:hAnsi="宋体" w:eastAsia="宋体" w:cs="宋体"/>
          <w:b/>
          <w:bCs/>
          <w:color w:val="000000"/>
          <w:spacing w:val="-10"/>
          <w:sz w:val="24"/>
          <w:szCs w:val="24"/>
          <w:highlight w:val="none"/>
          <w:lang w:val="zh-CN"/>
        </w:rPr>
      </w:r>
      <w:r/>
    </w:p>
    <w:p>
      <w:pPr>
        <w:pStyle w:val="708"/>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具体评标方法和标准见下表：</w:t>
      </w:r>
      <w:r>
        <w:rPr>
          <w:rFonts w:hint="eastAsia" w:ascii="宋体" w:hAnsi="宋体" w:eastAsia="宋体" w:cs="宋体"/>
          <w:b w:val="0"/>
          <w:bCs w:val="0"/>
          <w:color w:val="000000"/>
          <w:spacing w:val="-10"/>
          <w:sz w:val="24"/>
          <w:szCs w:val="24"/>
          <w:highlight w:val="none"/>
          <w:lang w:val="zh-CN"/>
        </w:rPr>
      </w:r>
      <w:r/>
    </w:p>
    <w:tbl>
      <w:tblPr>
        <w:tblStyle w:val="1294"/>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5"/>
        <w:gridCol w:w="6274"/>
        <w:gridCol w:w="647"/>
        <w:gridCol w:w="900"/>
      </w:tblGrid>
      <w:tr>
        <w:trPr>
          <w:trHeight w:val="603"/>
          <w:tblHeader/>
        </w:trPr>
        <w:tc>
          <w:tcPr>
            <w:tcW w:w="519" w:type="dxa"/>
            <w:vAlign w:val="center"/>
            <w:textDirection w:val="lrTb"/>
            <w:noWrap w:val="false"/>
          </w:tcPr>
          <w:p>
            <w:pPr>
              <w:pStyle w:val="708"/>
              <w:jc w:val="center"/>
              <w:spacing w:before="68"/>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W w:w="1235" w:type="dxa"/>
            <w:vAlign w:val="center"/>
            <w:textDirection w:val="lrTb"/>
            <w:noWrap w:val="false"/>
          </w:tcPr>
          <w:p>
            <w:pPr>
              <w:pStyle w:val="708"/>
              <w:jc w:val="center"/>
              <w:spacing w:before="68"/>
              <w:rPr>
                <w:rFonts w:hint="eastAsia" w:ascii="宋体" w:hAnsi="宋体" w:cs="宋体"/>
                <w:b/>
                <w:bCs/>
                <w:szCs w:val="21"/>
                <w:highlight w:val="none"/>
              </w:rPr>
            </w:pPr>
            <w:r>
              <w:rPr>
                <w:rFonts w:hint="eastAsia" w:ascii="宋体" w:hAnsi="宋体" w:cs="宋体"/>
                <w:b/>
                <w:bCs/>
                <w:szCs w:val="21"/>
                <w:highlight w:val="none"/>
              </w:rPr>
              <w:t xml:space="preserve">评审因素</w:t>
            </w:r>
            <w:r>
              <w:rPr>
                <w:rFonts w:hint="eastAsia" w:ascii="宋体" w:hAnsi="宋体" w:cs="宋体"/>
                <w:b/>
                <w:bCs/>
                <w:szCs w:val="21"/>
                <w:highlight w:val="none"/>
              </w:rPr>
            </w:r>
            <w:r/>
          </w:p>
        </w:tc>
        <w:tc>
          <w:tcPr>
            <w:tcW w:w="6274" w:type="dxa"/>
            <w:vAlign w:val="center"/>
            <w:textDirection w:val="lrTb"/>
            <w:noWrap w:val="false"/>
          </w:tcPr>
          <w:p>
            <w:pPr>
              <w:pStyle w:val="708"/>
              <w:jc w:val="center"/>
              <w:spacing w:before="68"/>
              <w:rPr>
                <w:rFonts w:hint="eastAsia" w:ascii="宋体" w:hAnsi="宋体" w:cs="宋体"/>
                <w:b/>
                <w:bCs/>
                <w:szCs w:val="21"/>
                <w:highlight w:val="none"/>
              </w:rPr>
            </w:pPr>
            <w:r>
              <w:rPr>
                <w:rFonts w:hint="eastAsia" w:ascii="宋体" w:hAnsi="宋体" w:cs="宋体"/>
                <w:b/>
                <w:bCs/>
                <w:szCs w:val="21"/>
                <w:highlight w:val="none"/>
              </w:rPr>
              <w:t xml:space="preserve">评审细则</w:t>
            </w:r>
            <w:r>
              <w:rPr>
                <w:rFonts w:hint="eastAsia" w:ascii="宋体" w:hAnsi="宋体" w:cs="宋体"/>
                <w:b/>
                <w:bCs/>
                <w:szCs w:val="21"/>
                <w:highlight w:val="none"/>
              </w:rPr>
            </w:r>
            <w:r/>
          </w:p>
        </w:tc>
        <w:tc>
          <w:tcPr>
            <w:tcW w:w="647" w:type="dxa"/>
            <w:vAlign w:val="center"/>
            <w:textDirection w:val="lrTb"/>
            <w:noWrap w:val="false"/>
          </w:tcPr>
          <w:p>
            <w:pPr>
              <w:pStyle w:val="708"/>
              <w:jc w:val="center"/>
              <w:spacing w:before="68"/>
              <w:rPr>
                <w:rFonts w:hint="eastAsia" w:ascii="宋体" w:hAnsi="宋体" w:cs="宋体"/>
                <w:b/>
                <w:bCs/>
                <w:szCs w:val="21"/>
                <w:highlight w:val="none"/>
              </w:rPr>
            </w:pPr>
            <w:r>
              <w:rPr>
                <w:rFonts w:hint="eastAsia" w:ascii="宋体" w:hAnsi="宋体" w:cs="宋体"/>
                <w:b/>
                <w:bCs/>
                <w:szCs w:val="21"/>
                <w:highlight w:val="none"/>
              </w:rPr>
              <w:t xml:space="preserve">分值</w:t>
            </w:r>
            <w:r>
              <w:rPr>
                <w:rFonts w:hint="eastAsia" w:ascii="宋体" w:hAnsi="宋体" w:cs="宋体"/>
                <w:b/>
                <w:bCs/>
                <w:szCs w:val="21"/>
                <w:highlight w:val="none"/>
              </w:rPr>
            </w:r>
            <w:r/>
          </w:p>
        </w:tc>
        <w:tc>
          <w:tcPr>
            <w:tcW w:w="900" w:type="dxa"/>
            <w:vAlign w:val="center"/>
            <w:textDirection w:val="lrTb"/>
            <w:noWrap w:val="false"/>
          </w:tcPr>
          <w:p>
            <w:pPr>
              <w:pStyle w:val="708"/>
              <w:jc w:val="center"/>
              <w:spacing w:before="68"/>
              <w:rPr>
                <w:rFonts w:hint="eastAsia" w:ascii="宋体" w:hAnsi="宋体" w:cs="宋体"/>
                <w:b/>
                <w:bCs/>
                <w:szCs w:val="21"/>
                <w:highlight w:val="none"/>
              </w:rPr>
            </w:pPr>
            <w:r>
              <w:rPr>
                <w:rFonts w:hint="eastAsia" w:ascii="宋体" w:hAnsi="宋体" w:cs="宋体"/>
                <w:b/>
                <w:bCs/>
                <w:szCs w:val="21"/>
                <w:highlight w:val="none"/>
              </w:rPr>
              <w:t xml:space="preserve">类型</w:t>
            </w:r>
            <w:r>
              <w:rPr>
                <w:rFonts w:hint="eastAsia" w:ascii="宋体" w:hAnsi="宋体" w:cs="宋体"/>
                <w:b/>
                <w:bCs/>
                <w:szCs w:val="21"/>
                <w:highlight w:val="none"/>
              </w:rPr>
            </w:r>
            <w:r/>
          </w:p>
        </w:tc>
      </w:tr>
      <w:tr>
        <w:trPr>
          <w:trHeight w:val="460"/>
        </w:trPr>
        <w:tc>
          <w:tcPr>
            <w:gridSpan w:val="5"/>
            <w:tcW w:w="9575" w:type="dxa"/>
            <w:vAlign w:val="top"/>
            <w:textDirection w:val="lrTb"/>
            <w:noWrap w:val="false"/>
          </w:tcPr>
          <w:p>
            <w:pPr>
              <w:pStyle w:val="708"/>
              <w:ind w:left="114"/>
              <w:spacing w:before="122"/>
              <w:rPr>
                <w:rFonts w:hint="eastAsia" w:ascii="宋体" w:hAnsi="宋体" w:cs="宋体"/>
                <w:szCs w:val="21"/>
                <w:highlight w:val="none"/>
              </w:rPr>
            </w:pPr>
            <w:r>
              <w:rPr>
                <w:rFonts w:hint="eastAsia" w:ascii="宋体" w:hAnsi="宋体" w:cs="宋体"/>
                <w:b/>
                <w:bCs/>
                <w:spacing w:val="-3"/>
                <w:szCs w:val="21"/>
                <w:highlight w:val="none"/>
              </w:rPr>
              <w:t xml:space="preserve">1.价</w:t>
            </w:r>
            <w:r>
              <w:rPr>
                <w:rFonts w:hint="eastAsia" w:ascii="宋体" w:hAnsi="宋体" w:cs="宋体"/>
                <w:b/>
                <w:bCs/>
                <w:spacing w:val="-2"/>
                <w:szCs w:val="21"/>
                <w:highlight w:val="none"/>
              </w:rPr>
              <w:t xml:space="preserve">格</w:t>
            </w:r>
            <w:r>
              <w:rPr>
                <w:rFonts w:hint="eastAsia" w:ascii="宋体" w:hAnsi="宋体" w:cs="宋体"/>
                <w:szCs w:val="21"/>
                <w:highlight w:val="none"/>
              </w:rPr>
            </w:r>
            <w:r/>
          </w:p>
        </w:tc>
      </w:tr>
      <w:tr>
        <w:trPr>
          <w:trHeight w:val="1108"/>
        </w:trPr>
        <w:tc>
          <w:tcPr>
            <w:tcW w:w="519"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pacing w:val="-6"/>
                <w:szCs w:val="21"/>
                <w:highlight w:val="none"/>
              </w:rPr>
              <w:t xml:space="preserve">1</w:t>
            </w:r>
            <w:r>
              <w:rPr>
                <w:rFonts w:hint="eastAsia" w:ascii="宋体" w:hAnsi="宋体" w:cs="宋体"/>
                <w:spacing w:val="-5"/>
                <w:szCs w:val="21"/>
                <w:highlight w:val="none"/>
              </w:rPr>
              <w:t xml:space="preserve">.1</w:t>
            </w:r>
            <w:r>
              <w:rPr>
                <w:rFonts w:hint="eastAsia" w:ascii="宋体" w:hAnsi="宋体" w:cs="宋体"/>
                <w:szCs w:val="21"/>
                <w:highlight w:val="none"/>
              </w:rPr>
            </w:r>
            <w:r/>
          </w:p>
        </w:tc>
        <w:tc>
          <w:tcPr>
            <w:tcW w:w="1235" w:type="dxa"/>
            <w:vAlign w:val="center"/>
            <w:textDirection w:val="lrTb"/>
            <w:noWrap w:val="false"/>
          </w:tcPr>
          <w:p>
            <w:pPr>
              <w:pStyle w:val="708"/>
              <w:jc w:val="left"/>
              <w:spacing w:before="68"/>
              <w:rPr>
                <w:rFonts w:hint="eastAsia" w:ascii="宋体" w:hAnsi="宋体" w:cs="宋体"/>
                <w:szCs w:val="21"/>
                <w:highlight w:val="none"/>
              </w:rPr>
            </w:pPr>
            <w:r>
              <w:rPr>
                <w:rFonts w:hint="eastAsia" w:ascii="宋体" w:hAnsi="宋体" w:cs="宋体"/>
                <w:spacing w:val="-2"/>
                <w:szCs w:val="21"/>
                <w:highlight w:val="none"/>
              </w:rPr>
              <w:t xml:space="preserve">价格分</w:t>
            </w:r>
            <w:r>
              <w:rPr>
                <w:rFonts w:hint="eastAsia" w:ascii="宋体" w:hAnsi="宋体" w:cs="宋体"/>
                <w:szCs w:val="21"/>
                <w:highlight w:val="none"/>
              </w:rPr>
            </w:r>
            <w:r/>
          </w:p>
        </w:tc>
        <w:tc>
          <w:tcPr>
            <w:tcW w:w="6274" w:type="dxa"/>
            <w:vAlign w:val="center"/>
            <w:textDirection w:val="lrTb"/>
            <w:noWrap w:val="false"/>
          </w:tcPr>
          <w:p>
            <w:pPr>
              <w:pStyle w:val="708"/>
              <w:jc w:val="left"/>
              <w:rPr>
                <w:rFonts w:hint="eastAsia" w:ascii="宋体" w:hAnsi="宋体" w:cs="宋体"/>
                <w:szCs w:val="21"/>
                <w:highlight w:val="none"/>
              </w:rPr>
            </w:pPr>
            <w:r>
              <w:rPr>
                <w:rFonts w:hint="eastAsia" w:ascii="宋体" w:hAnsi="宋体" w:cs="宋体"/>
                <w:spacing w:val="1"/>
                <w:szCs w:val="21"/>
                <w:highlight w:val="none"/>
              </w:rPr>
              <w:t xml:space="preserve">采用低价优先</w:t>
            </w:r>
            <w:r>
              <w:rPr>
                <w:rFonts w:hint="eastAsia" w:ascii="宋体" w:hAnsi="宋体" w:cs="宋体"/>
                <w:szCs w:val="21"/>
                <w:highlight w:val="none"/>
              </w:rPr>
              <w:t xml:space="preserve">法计算，即满足招标文件要求且投标价格最低的投标</w:t>
            </w:r>
            <w:r>
              <w:rPr>
                <w:rFonts w:hint="eastAsia" w:ascii="宋体" w:hAnsi="宋体" w:cs="宋体"/>
                <w:spacing w:val="1"/>
                <w:szCs w:val="21"/>
                <w:highlight w:val="none"/>
              </w:rPr>
              <w:t xml:space="preserve">报价为评标基准</w:t>
            </w:r>
            <w:r>
              <w:rPr>
                <w:rFonts w:hint="eastAsia" w:ascii="宋体" w:hAnsi="宋体" w:cs="宋体"/>
                <w:szCs w:val="21"/>
                <w:highlight w:val="none"/>
              </w:rPr>
              <w:t xml:space="preserve">价，其价格分为满分。其他投标人的价格分统一按</w:t>
            </w:r>
            <w:r>
              <w:rPr>
                <w:rFonts w:hint="eastAsia" w:ascii="宋体" w:hAnsi="宋体" w:cs="宋体"/>
                <w:spacing w:val="-1"/>
                <w:szCs w:val="21"/>
                <w:highlight w:val="none"/>
              </w:rPr>
              <w:t xml:space="preserve">照下列公</w:t>
            </w:r>
            <w:r>
              <w:rPr>
                <w:rFonts w:hint="eastAsia" w:ascii="宋体" w:hAnsi="宋体" w:cs="宋体"/>
                <w:szCs w:val="21"/>
                <w:highlight w:val="none"/>
              </w:rPr>
              <w:t xml:space="preserve">式计算：投标报价得分=(评标基准价/投标报价)×价格分值（小数点保留两位）</w:t>
            </w:r>
            <w:r>
              <w:rPr>
                <w:rFonts w:hint="eastAsia" w:ascii="宋体" w:hAnsi="宋体" w:cs="宋体"/>
                <w:szCs w:val="21"/>
                <w:highlight w:val="none"/>
              </w:rPr>
            </w:r>
            <w:r/>
          </w:p>
        </w:tc>
        <w:tc>
          <w:tcPr>
            <w:tcW w:w="647"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zCs w:val="21"/>
                <w:highlight w:val="none"/>
              </w:rPr>
              <w:t xml:space="preserve">30</w:t>
            </w:r>
            <w:r>
              <w:rPr>
                <w:rFonts w:hint="eastAsia" w:ascii="宋体" w:hAnsi="宋体" w:cs="宋体"/>
                <w:szCs w:val="21"/>
                <w:highlight w:val="none"/>
              </w:rPr>
            </w:r>
            <w:r/>
          </w:p>
        </w:tc>
        <w:tc>
          <w:tcPr>
            <w:tcW w:w="900"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zCs w:val="21"/>
                <w:highlight w:val="none"/>
              </w:rPr>
              <w:t xml:space="preserve">价格分</w:t>
            </w:r>
            <w:r>
              <w:rPr>
                <w:rFonts w:hint="eastAsia" w:ascii="宋体" w:hAnsi="宋体" w:cs="宋体"/>
                <w:szCs w:val="21"/>
                <w:highlight w:val="none"/>
              </w:rPr>
            </w:r>
            <w:r/>
          </w:p>
        </w:tc>
      </w:tr>
      <w:tr>
        <w:trPr>
          <w:trHeight w:val="460"/>
        </w:trPr>
        <w:tc>
          <w:tcPr>
            <w:gridSpan w:val="5"/>
            <w:tcW w:w="9575" w:type="dxa"/>
            <w:vAlign w:val="top"/>
            <w:textDirection w:val="lrTb"/>
            <w:noWrap w:val="false"/>
          </w:tcPr>
          <w:p>
            <w:pPr>
              <w:pStyle w:val="708"/>
              <w:ind w:left="114"/>
              <w:spacing w:before="123"/>
              <w:rPr>
                <w:rFonts w:hint="eastAsia" w:ascii="宋体" w:hAnsi="宋体" w:cs="宋体"/>
                <w:szCs w:val="21"/>
                <w:highlight w:val="none"/>
              </w:rPr>
            </w:pPr>
            <w:r>
              <w:rPr>
                <w:rFonts w:hint="eastAsia" w:ascii="宋体" w:hAnsi="宋体" w:cs="宋体"/>
                <w:b/>
                <w:bCs/>
                <w:spacing w:val="-3"/>
                <w:szCs w:val="21"/>
                <w:highlight w:val="none"/>
              </w:rPr>
              <w:t xml:space="preserve">2.技术</w:t>
            </w:r>
            <w:r>
              <w:rPr>
                <w:rFonts w:hint="eastAsia" w:ascii="宋体" w:hAnsi="宋体" w:cs="宋体"/>
                <w:szCs w:val="21"/>
                <w:highlight w:val="none"/>
              </w:rPr>
            </w:r>
            <w:r/>
          </w:p>
        </w:tc>
      </w:tr>
      <w:tr>
        <w:trPr>
          <w:trHeight w:val="891"/>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2.1</w:t>
            </w:r>
            <w:r>
              <w:rPr>
                <w:rFonts w:hint="eastAsia" w:ascii="宋体" w:hAnsi="宋体" w:cs="宋体"/>
                <w:spacing w:val="-2"/>
                <w:szCs w:val="21"/>
                <w:highlight w:val="none"/>
              </w:rPr>
            </w:r>
            <w:r/>
          </w:p>
        </w:tc>
        <w:tc>
          <w:tcPr>
            <w:tcW w:w="1235" w:type="dxa"/>
            <w:vAlign w:val="center"/>
            <w:textDirection w:val="lrTb"/>
            <w:noWrap w:val="false"/>
          </w:tcPr>
          <w:p>
            <w:pPr>
              <w:pStyle w:val="708"/>
              <w:jc w:val="left"/>
              <w:spacing w:before="68"/>
              <w:rPr>
                <w:rFonts w:hint="eastAsia" w:ascii="宋体" w:hAnsi="宋体" w:cs="宋体"/>
                <w:spacing w:val="-2"/>
                <w:szCs w:val="21"/>
                <w:highlight w:val="none"/>
              </w:rPr>
            </w:pPr>
            <w:r>
              <w:rPr>
                <w:rFonts w:hint="eastAsia" w:ascii="宋体" w:hAnsi="宋体" w:cs="宋体"/>
                <w:spacing w:val="-2"/>
                <w:szCs w:val="21"/>
                <w:highlight w:val="none"/>
              </w:rPr>
              <w:t xml:space="preserve">产品技术参数</w:t>
            </w:r>
            <w:r>
              <w:rPr>
                <w:rFonts w:hint="eastAsia" w:ascii="宋体" w:hAnsi="宋体" w:cs="宋体"/>
                <w:spacing w:val="-2"/>
                <w:szCs w:val="21"/>
                <w:highlight w:val="none"/>
              </w:rPr>
            </w:r>
            <w:r/>
          </w:p>
        </w:tc>
        <w:tc>
          <w:tcPr>
            <w:tcW w:w="6274" w:type="dxa"/>
            <w:vAlign w:val="center"/>
            <w:textDirection w:val="lrTb"/>
            <w:noWrap w:val="false"/>
          </w:tcPr>
          <w:p>
            <w:pPr>
              <w:pStyle w:val="708"/>
              <w:rPr>
                <w:rFonts w:hint="eastAsia" w:ascii="宋体" w:hAnsi="宋体" w:cs="宋体"/>
                <w:spacing w:val="1"/>
                <w:szCs w:val="21"/>
                <w:highlight w:val="none"/>
              </w:rPr>
            </w:pPr>
            <w:r>
              <w:rPr>
                <w:rFonts w:hint="eastAsia" w:ascii="宋体" w:hAnsi="宋体" w:cs="宋体"/>
                <w:szCs w:val="21"/>
                <w:highlight w:val="none"/>
              </w:rPr>
              <w:t xml:space="preserve">产品技术参数全部满足招标要求的得满分，打▲指标为重要指标，有1项负偏离扣2分，其余指标有1项负偏离扣1分，扣完为止。严重负偏离影响设备性能的经半数以上评委认定，本项得零分。</w:t>
            </w:r>
            <w:r>
              <w:rPr>
                <w:rFonts w:hint="eastAsia" w:ascii="宋体" w:hAnsi="宋体" w:cs="宋体"/>
                <w:spacing w:val="1"/>
                <w:szCs w:val="21"/>
                <w:highlight w:val="none"/>
              </w:rPr>
            </w:r>
            <w:r/>
          </w:p>
        </w:tc>
        <w:tc>
          <w:tcPr>
            <w:tcW w:w="647" w:type="dxa"/>
            <w:vAlign w:val="center"/>
            <w:textDirection w:val="lrTb"/>
            <w:noWrap w:val="false"/>
          </w:tcPr>
          <w:p>
            <w:pPr>
              <w:pStyle w:val="708"/>
              <w:jc w:val="center"/>
              <w:spacing w:before="68"/>
              <w:rPr>
                <w:rFonts w:ascii="宋体" w:hAnsi="宋体" w:eastAsia="宋体" w:cs="宋体"/>
                <w:szCs w:val="21"/>
                <w:highlight w:val="none"/>
                <w:lang w:val="en-US" w:eastAsia="zh-CN"/>
              </w:rPr>
            </w:pPr>
            <w:r>
              <w:rPr>
                <w:rFonts w:hint="eastAsia" w:ascii="宋体" w:hAnsi="宋体" w:cs="宋体"/>
                <w:color w:val="000000"/>
                <w:szCs w:val="21"/>
                <w:highlight w:val="none"/>
                <w:lang w:val="en-US" w:eastAsia="zh-CN"/>
              </w:rPr>
              <w:t xml:space="preserve">20</w:t>
            </w:r>
            <w:r>
              <w:rPr>
                <w:rFonts w:ascii="宋体" w:hAnsi="宋体" w:eastAsia="宋体" w:cs="宋体"/>
                <w:szCs w:val="21"/>
                <w:highlight w:val="none"/>
                <w:lang w:val="en-US" w:eastAsia="zh-CN"/>
              </w:rPr>
            </w:r>
            <w:r/>
          </w:p>
        </w:tc>
        <w:tc>
          <w:tcPr>
            <w:tcW w:w="900"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szCs w:val="21"/>
                <w:highlight w:val="none"/>
              </w:rPr>
            </w:r>
            <w:r/>
          </w:p>
        </w:tc>
      </w:tr>
      <w:tr>
        <w:trPr>
          <w:trHeight w:val="324"/>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2.2</w:t>
            </w:r>
            <w:r>
              <w:rPr>
                <w:rFonts w:hint="eastAsia" w:ascii="宋体" w:hAnsi="宋体" w:cs="宋体"/>
                <w:spacing w:val="-2"/>
                <w:szCs w:val="21"/>
                <w:highlight w:val="none"/>
              </w:rPr>
            </w:r>
            <w:r/>
          </w:p>
        </w:tc>
        <w:tc>
          <w:tcPr>
            <w:tcW w:w="1235" w:type="dxa"/>
            <w:vAlign w:val="center"/>
            <w:textDirection w:val="lrTb"/>
            <w:noWrap w:val="false"/>
          </w:tcPr>
          <w:p>
            <w:pPr>
              <w:pStyle w:val="708"/>
              <w:jc w:val="left"/>
              <w:spacing w:before="68"/>
              <w:rPr>
                <w:rFonts w:hint="eastAsia" w:ascii="宋体" w:hAnsi="宋体" w:cs="宋体"/>
                <w:spacing w:val="-2"/>
                <w:szCs w:val="21"/>
                <w:highlight w:val="none"/>
              </w:rPr>
            </w:pPr>
            <w:r>
              <w:rPr>
                <w:rFonts w:hint="eastAsia" w:ascii="宋体" w:hAnsi="宋体" w:cs="宋体"/>
                <w:spacing w:val="-2"/>
                <w:szCs w:val="21"/>
                <w:highlight w:val="none"/>
                <w:shd w:val="clear" w:color="auto" w:fill="auto"/>
              </w:rPr>
              <w:t xml:space="preserve">原材料检测报告</w:t>
            </w:r>
            <w:r>
              <w:rPr>
                <w:rFonts w:hint="eastAsia" w:ascii="宋体" w:hAnsi="宋体" w:cs="宋体"/>
                <w:spacing w:val="-2"/>
                <w:szCs w:val="21"/>
                <w:highlight w:val="none"/>
              </w:rPr>
            </w:r>
            <w:r/>
          </w:p>
        </w:tc>
        <w:tc>
          <w:tcPr>
            <w:tcW w:w="6274" w:type="dxa"/>
            <w:vAlign w:val="center"/>
            <w:textDirection w:val="lrTb"/>
            <w:noWrap w:val="false"/>
          </w:tcPr>
          <w:p>
            <w:pPr>
              <w:pStyle w:val="708"/>
              <w:rPr>
                <w:rFonts w:hint="eastAsia" w:ascii="宋体" w:hAnsi="宋体" w:cs="宋体"/>
                <w:szCs w:val="21"/>
                <w:highlight w:val="none"/>
              </w:rPr>
            </w:pPr>
            <w:r>
              <w:rPr>
                <w:rFonts w:hint="eastAsia" w:ascii="宋体" w:hAnsi="宋体" w:cs="宋体"/>
                <w:szCs w:val="21"/>
                <w:highlight w:val="none"/>
              </w:rPr>
              <w:t xml:space="preserve">投标人或所投产品制造商提供2022年1月1日（以报告签发日期为准）以来，</w:t>
            </w:r>
            <w:r>
              <w:rPr>
                <w:rFonts w:hint="eastAsia" w:ascii="宋体" w:hAnsi="宋体" w:cs="宋体"/>
                <w:szCs w:val="21"/>
                <w:highlight w:val="red"/>
              </w:rPr>
              <w:t xml:space="preserve">具有以下原材料抽样</w:t>
            </w:r>
            <w:r>
              <w:rPr>
                <w:rFonts w:hint="eastAsia" w:ascii="宋体" w:hAnsi="宋体" w:cs="宋体"/>
                <w:szCs w:val="21"/>
                <w:highlight w:val="red"/>
                <w:lang w:val="en-US" w:eastAsia="zh-CN"/>
              </w:rPr>
              <w:t xml:space="preserve">第三方</w:t>
            </w:r>
            <w:r>
              <w:rPr>
                <w:rFonts w:hint="eastAsia" w:ascii="宋体" w:hAnsi="宋体" w:cs="宋体"/>
                <w:szCs w:val="21"/>
                <w:highlight w:val="red"/>
              </w:rPr>
              <w:t xml:space="preserve">检测报告</w:t>
            </w:r>
            <w:r>
              <w:rPr>
                <w:rFonts w:hint="eastAsia" w:ascii="宋体" w:hAnsi="宋体" w:cs="宋体"/>
                <w:szCs w:val="21"/>
                <w:highlight w:val="none"/>
              </w:rPr>
              <w:t xml:space="preserve">，检测内容如下：</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（1）实木多层免漆板</w:t>
            </w:r>
            <w:r>
              <w:rPr>
                <w:rFonts w:hint="eastAsia" w:ascii="宋体" w:hAnsi="宋体"/>
                <w:szCs w:val="21"/>
                <w:highlight w:val="none"/>
              </w:rPr>
              <w:t xml:space="preserve">抽样检验：</w:t>
            </w:r>
            <w:r>
              <w:rPr>
                <w:rFonts w:hint="eastAsia" w:ascii="宋体" w:hAnsi="宋体" w:cs="宋体"/>
                <w:szCs w:val="21"/>
                <w:highlight w:val="none"/>
              </w:rPr>
              <w:t xml:space="preserve">①甲醛释放量≤0.025mg/m³,②外观质量要求-表面划痕合格、光泽不均合格，③理化性能-表面耐干热达到4级以上，</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密度≥0.60g/cm³，</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防霉质量分级-黑曲霉达0级。</w:t>
            </w:r>
            <w:r>
              <w:rPr>
                <w:rFonts w:hint="eastAsia" w:ascii="宋体" w:hAnsi="宋体"/>
                <w:szCs w:val="21"/>
                <w:highlight w:val="none"/>
              </w:rPr>
              <w:t xml:space="preserve">检测结果单项评价为合格，全部满足要求得1分，检测内容不全或未提供的不得分。</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橡胶木实木机拼板</w:t>
            </w:r>
            <w:r>
              <w:rPr>
                <w:rFonts w:hint="eastAsia" w:ascii="宋体" w:hAnsi="宋体"/>
                <w:szCs w:val="21"/>
                <w:highlight w:val="none"/>
              </w:rPr>
              <w:t xml:space="preserve">抽样检验：</w:t>
            </w: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ascii="宋体" w:hAnsi="宋体" w:cs="宋体"/>
                <w:szCs w:val="21"/>
                <w:highlight w:val="none"/>
              </w:rPr>
              <w:t xml:space="preserve">防霉质量分级-黑曲霉达0级</w:t>
            </w:r>
            <w:r>
              <w:rPr>
                <w:rFonts w:hint="eastAsia" w:ascii="宋体" w:hAnsi="宋体" w:cs="宋体"/>
                <w:szCs w:val="21"/>
                <w:highlight w:val="none"/>
              </w:rPr>
              <w:t xml:space="preserve">，</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ascii="宋体" w:hAnsi="宋体" w:cs="宋体"/>
                <w:szCs w:val="21"/>
                <w:highlight w:val="none"/>
              </w:rPr>
              <w:t xml:space="preserve">产品有害物质-甲醛释放量(检测结果低于 0.025mg/m³)</w:t>
            </w:r>
            <w:r>
              <w:rPr>
                <w:rFonts w:hint="eastAsia" w:ascii="宋体" w:hAnsi="宋体" w:cs="宋体"/>
                <w:szCs w:val="21"/>
                <w:highlight w:val="none"/>
              </w:rPr>
              <w:t xml:space="preserve">，</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rPr>
              <w:t xml:space="preserve">含水率</w:t>
            </w:r>
            <w:r>
              <w:rPr>
                <w:rFonts w:ascii="宋体" w:hAnsi="宋体" w:cs="宋体"/>
                <w:szCs w:val="21"/>
                <w:highlight w:val="none"/>
              </w:rPr>
              <w:t xml:space="preserve">≤</w:t>
            </w:r>
            <w:r>
              <w:rPr>
                <w:rFonts w:hint="eastAsia" w:ascii="宋体" w:hAnsi="宋体" w:cs="宋体"/>
                <w:szCs w:val="21"/>
                <w:highlight w:val="none"/>
              </w:rPr>
              <w:t xml:space="preserve">9%，</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木家具表面理化性能要求-漆膜-耐磨性（1000转，应不低于3级）合格。完全满足要求得1分，检测内容不全或未提供的不得分。</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（3）PP塑料</w:t>
            </w:r>
            <w:r>
              <w:rPr>
                <w:rFonts w:hint="eastAsia" w:ascii="宋体" w:hAnsi="宋体"/>
                <w:szCs w:val="21"/>
                <w:highlight w:val="none"/>
              </w:rPr>
              <w:t xml:space="preserve">抽样检验：</w:t>
            </w:r>
            <w:r>
              <w:rPr>
                <w:rFonts w:hint="eastAsia" w:ascii="宋体" w:hAnsi="宋体" w:cs="宋体"/>
                <w:szCs w:val="21"/>
                <w:highlight w:val="none"/>
              </w:rPr>
              <w:t xml:space="preserve">①塑料件外观-应无凹陷、飞边、折皱、疙瘩；②理化性能-耐冷热循环-应无裂纹、鼓泡、变色、起皱，理化性能-耐老化性（500h）外观颜色变色评级≥3级；③有害物质限量-邻苯二甲酸脂≤0.1%，有害物质限量-重金属含量检测。</w:t>
            </w:r>
            <w:r>
              <w:rPr>
                <w:rFonts w:hint="eastAsia" w:ascii="宋体" w:hAnsi="宋体"/>
                <w:szCs w:val="21"/>
                <w:highlight w:val="none"/>
              </w:rPr>
              <w:t xml:space="preserve">检测结果单项评价为合格，全部满足要求得1分，检测内容不全或未提供的不得分。</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t xml:space="preserve">钢管</w:t>
            </w:r>
            <w:r>
              <w:rPr>
                <w:rFonts w:hint="eastAsia" w:ascii="宋体" w:hAnsi="宋体"/>
                <w:szCs w:val="21"/>
                <w:highlight w:val="none"/>
              </w:rPr>
              <w:t xml:space="preserve">抽样检验：</w:t>
            </w: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ascii="宋体" w:hAnsi="宋体" w:cs="宋体"/>
                <w:szCs w:val="21"/>
                <w:highlight w:val="none"/>
              </w:rPr>
              <w:t xml:space="preserve">金属喷漆(塑)涂层 （硬度、耐腐蚀、附着力）、</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ascii="宋体" w:hAnsi="宋体" w:cs="宋体"/>
                <w:szCs w:val="21"/>
                <w:highlight w:val="none"/>
              </w:rPr>
              <w:t xml:space="preserve">化学成分（C、Si、S）、</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ascii="宋体" w:hAnsi="宋体" w:cs="宋体"/>
                <w:szCs w:val="21"/>
                <w:highlight w:val="none"/>
              </w:rPr>
              <w:t xml:space="preserve">力学性能（抗拉强 度 Rm）结果评价均为合格；</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ascii="宋体" w:hAnsi="宋体" w:cs="宋体"/>
                <w:szCs w:val="21"/>
                <w:highlight w:val="none"/>
              </w:rPr>
              <w:t xml:space="preserve">金属表面耐腐蚀（中性 100 小时和乙酸 100 小 时盐雾）检测结果≥10 级</w:t>
            </w:r>
            <w:r>
              <w:rPr>
                <w:rFonts w:hint="eastAsia" w:ascii="宋体" w:hAnsi="宋体" w:cs="宋体"/>
                <w:szCs w:val="21"/>
                <w:highlight w:val="none"/>
              </w:rPr>
              <w:t xml:space="preserve">。</w:t>
            </w:r>
            <w:r>
              <w:rPr>
                <w:rFonts w:hint="eastAsia" w:ascii="宋体" w:hAnsi="宋体"/>
                <w:szCs w:val="21"/>
                <w:highlight w:val="none"/>
              </w:rPr>
              <w:t xml:space="preserve">检测结果单项评价为合格，全部满足要求得1分，检测内容不全或未提供的不得分。</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szCs w:val="21"/>
                <w:highlight w:val="none"/>
              </w:rPr>
            </w:r>
            <w:r/>
          </w:p>
        </w:tc>
        <w:tc>
          <w:tcPr>
            <w:tcW w:w="647"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900"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szCs w:val="21"/>
                <w:highlight w:val="none"/>
              </w:rPr>
            </w:r>
            <w:r/>
          </w:p>
        </w:tc>
      </w:tr>
      <w:tr>
        <w:trPr>
          <w:trHeight w:val="889"/>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2.3</w:t>
            </w:r>
            <w:r>
              <w:rPr>
                <w:rFonts w:hint="eastAsia" w:ascii="宋体" w:hAnsi="宋体" w:cs="宋体"/>
                <w:spacing w:val="-2"/>
                <w:szCs w:val="21"/>
                <w:highlight w:val="none"/>
              </w:rPr>
            </w:r>
            <w:r/>
          </w:p>
        </w:tc>
        <w:tc>
          <w:tcPr>
            <w:tcW w:w="1235" w:type="dxa"/>
            <w:vAlign w:val="center"/>
            <w:textDirection w:val="lrTb"/>
            <w:noWrap w:val="false"/>
          </w:tcPr>
          <w:p>
            <w:pPr>
              <w:pStyle w:val="708"/>
              <w:rPr>
                <w:rFonts w:hint="eastAsia" w:ascii="宋体" w:hAnsi="宋体" w:cs="宋体"/>
                <w:szCs w:val="21"/>
                <w:highlight w:val="none"/>
              </w:rPr>
            </w:pPr>
            <w:r>
              <w:rPr>
                <w:rFonts w:hint="eastAsia" w:ascii="宋体" w:hAnsi="宋体" w:cs="宋体"/>
                <w:szCs w:val="21"/>
                <w:highlight w:val="none"/>
              </w:rPr>
              <w:t xml:space="preserve">成品检测报告</w:t>
            </w:r>
            <w:r>
              <w:rPr>
                <w:rFonts w:hint="eastAsia" w:ascii="宋体" w:hAnsi="宋体" w:cs="宋体"/>
                <w:szCs w:val="21"/>
                <w:highlight w:val="none"/>
              </w:rPr>
            </w:r>
            <w:r/>
          </w:p>
        </w:tc>
        <w:tc>
          <w:tcPr>
            <w:tcW w:w="6274" w:type="dxa"/>
            <w:vAlign w:val="center"/>
            <w:textDirection w:val="lrTb"/>
            <w:noWrap w:val="false"/>
          </w:tcPr>
          <w:p>
            <w:pPr>
              <w:pStyle w:val="708"/>
              <w:rPr>
                <w:rFonts w:hint="eastAsia" w:ascii="宋体" w:hAnsi="宋体" w:cs="宋体"/>
                <w:szCs w:val="21"/>
                <w:highlight w:val="none"/>
              </w:rPr>
            </w:pPr>
            <w:r>
              <w:rPr>
                <w:rFonts w:hint="eastAsia"/>
                <w:sz w:val="21"/>
                <w:szCs w:val="21"/>
                <w:highlight w:val="none"/>
              </w:rPr>
              <w:t xml:space="preserve">投</w:t>
            </w:r>
            <w:r>
              <w:rPr>
                <w:rFonts w:hint="eastAsia" w:ascii="宋体" w:hAnsi="宋体" w:cs="宋体"/>
                <w:szCs w:val="21"/>
                <w:highlight w:val="none"/>
              </w:rPr>
              <w:t xml:space="preserve">标人或所投产品制造商提供2022年1月1日（以报告签发日期为准）以来，</w:t>
            </w:r>
            <w:r>
              <w:rPr>
                <w:rFonts w:hint="eastAsia" w:ascii="宋体" w:hAnsi="宋体" w:cs="宋体"/>
                <w:szCs w:val="21"/>
                <w:highlight w:val="red"/>
              </w:rPr>
              <w:t xml:space="preserve">具有所投产品抽样</w:t>
            </w:r>
            <w:r>
              <w:rPr>
                <w:rFonts w:hint="eastAsia" w:ascii="宋体" w:hAnsi="宋体" w:cs="宋体"/>
                <w:szCs w:val="21"/>
                <w:highlight w:val="red"/>
                <w:lang w:val="en-US" w:eastAsia="zh-CN"/>
              </w:rPr>
              <w:t xml:space="preserve">第三方</w:t>
            </w:r>
            <w:r>
              <w:rPr>
                <w:rFonts w:hint="eastAsia" w:ascii="宋体" w:hAnsi="宋体" w:cs="宋体"/>
                <w:szCs w:val="21"/>
                <w:highlight w:val="red"/>
              </w:rPr>
              <w:t xml:space="preserve">检测报告</w:t>
            </w:r>
            <w:r>
              <w:rPr>
                <w:rFonts w:hint="eastAsia" w:ascii="宋体" w:hAnsi="宋体" w:cs="宋体"/>
                <w:szCs w:val="21"/>
                <w:highlight w:val="none"/>
              </w:rPr>
              <w:t xml:space="preserve">，检测内容：</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（1）塑钢课桌椅抽样检验：①金属件外观（焊接件、喷涂层），</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塑料件外观，</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rPr>
              <w:t xml:space="preserve">表面理化性能（耐液性≥3级、表面胶合强度≥0.40MPa），耐老化性（经500h试验后，拉伸强度、断裂伸长率保持率≥60%；外观颜色变色评级应≥3级），</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安全要求，</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塑料件中有害物质限量（重金属、邻苯二甲酸酯），</w:t>
            </w:r>
            <w:r>
              <w:rPr>
                <w:rFonts w:hint="eastAsia" w:ascii="宋体" w:hAnsi="宋体" w:cs="宋体"/>
                <w:szCs w:val="21"/>
                <w:highlight w:val="none"/>
              </w:rPr>
              <w:fldChar w:fldCharType="begin"/>
            </w:r>
            <w:r>
              <w:rPr>
                <w:rFonts w:hint="eastAsia" w:ascii="宋体" w:hAnsi="宋体" w:cs="宋体"/>
                <w:szCs w:val="21"/>
                <w:highlight w:val="none"/>
              </w:rPr>
              <w:instrText xml:space="preserve"> = 6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⑥</w:t>
            </w:r>
            <w:r>
              <w:rPr>
                <w:rFonts w:hint="eastAsia" w:ascii="宋体" w:hAnsi="宋体" w:cs="宋体"/>
                <w:szCs w:val="21"/>
                <w:highlight w:val="none"/>
              </w:rPr>
              <w:fldChar w:fldCharType="end"/>
            </w:r>
            <w:r>
              <w:rPr>
                <w:rFonts w:hint="eastAsia" w:ascii="宋体" w:hAnsi="宋体" w:cs="宋体"/>
                <w:szCs w:val="21"/>
                <w:highlight w:val="none"/>
              </w:rPr>
              <w:t xml:space="preserve">课桌力学性能【桌面垂直静载荷（加力1000N，加载10次，每次保持10s。无缺陷），桌面垂直耐久性（600N，加载10000次，每次保载（2±1）S。无缺陷），桌面垂直冲击，桌腿跌落，桌面水平静载荷】，</w:t>
            </w:r>
            <w:r>
              <w:rPr>
                <w:rFonts w:hint="eastAsia" w:ascii="宋体" w:hAnsi="宋体" w:cs="宋体"/>
                <w:szCs w:val="21"/>
                <w:highlight w:val="none"/>
              </w:rPr>
              <w:fldChar w:fldCharType="begin"/>
            </w:r>
            <w:r>
              <w:rPr>
                <w:rFonts w:hint="eastAsia" w:ascii="宋体" w:hAnsi="宋体" w:cs="宋体"/>
                <w:szCs w:val="21"/>
                <w:highlight w:val="none"/>
              </w:rPr>
              <w:instrText xml:space="preserve"> = 7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⑦</w:t>
            </w:r>
            <w:r>
              <w:rPr>
                <w:rFonts w:hint="eastAsia" w:ascii="宋体" w:hAnsi="宋体" w:cs="宋体"/>
                <w:szCs w:val="21"/>
                <w:highlight w:val="none"/>
              </w:rPr>
              <w:fldChar w:fldCharType="end"/>
            </w:r>
            <w:r>
              <w:rPr>
                <w:rFonts w:hint="eastAsia" w:ascii="宋体" w:hAnsi="宋体" w:cs="宋体"/>
                <w:szCs w:val="21"/>
                <w:highlight w:val="none"/>
              </w:rPr>
              <w:t xml:space="preserve">课椅力学性能【椅子向前、侧向、向后无倾翻，座面、椅背联合静载荷，座面、椅背联合耐久性（座面加1250N，椅背加力300N，5万次），座面侧向静载荷，椅腿侧向静载荷，座面冲击，椅背冲击，椅腿跌落】。检测结果单项评价为合格，全部满足要求得1分，检测内容不全或未提供的不得分。</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（2）塑料储物柜抽样检验：</w:t>
            </w: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hint="eastAsia" w:ascii="宋体" w:hAnsi="宋体" w:cs="宋体"/>
                <w:szCs w:val="21"/>
                <w:highlight w:val="none"/>
              </w:rPr>
              <w:t xml:space="preserve">翘曲度、平整度，</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塑料件外观-表面应光洁，应无划痕、毛刺、拉毛、污渍，</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rPr>
              <w:t xml:space="preserve">耐老化性-500h后外观颜色变色评级≥3级，</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顶板和底板静载荷试验-1000 N，</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开门耐久性试验-50000次循环，</w:t>
            </w:r>
            <w:r>
              <w:rPr>
                <w:rFonts w:hint="eastAsia" w:ascii="宋体" w:hAnsi="宋体" w:cs="宋体"/>
                <w:szCs w:val="21"/>
                <w:highlight w:val="none"/>
              </w:rPr>
              <w:fldChar w:fldCharType="begin"/>
            </w:r>
            <w:r>
              <w:rPr>
                <w:rFonts w:hint="eastAsia" w:ascii="宋体" w:hAnsi="宋体" w:cs="宋体"/>
                <w:szCs w:val="21"/>
                <w:highlight w:val="none"/>
              </w:rPr>
              <w:instrText xml:space="preserve"> = 6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⑥</w:t>
            </w:r>
            <w:r>
              <w:rPr>
                <w:rFonts w:hint="eastAsia" w:ascii="宋体" w:hAnsi="宋体" w:cs="宋体"/>
                <w:szCs w:val="21"/>
                <w:highlight w:val="none"/>
              </w:rPr>
              <w:fldChar w:fldCharType="end"/>
            </w:r>
            <w:r>
              <w:rPr>
                <w:rFonts w:hint="eastAsia" w:ascii="宋体" w:hAnsi="宋体" w:cs="宋体"/>
                <w:szCs w:val="21"/>
                <w:highlight w:val="none"/>
              </w:rPr>
              <w:t xml:space="preserve">甲醛及挥发性有机化合物未检出。检测结果单项评价为合格从，全部满足要求得1分，检测内容不全或未提供的不得分。</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（3）器材柜抽样检验：①底脚平稳性、②五金件外观（应无锈蚀、氧化膜脱落、刃口、锐棱）、③木工要求（各种配件、连接件安装不应有少件、透钉、漏钉）、</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搁板弯曲试验、</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通用结构安全、</w:t>
            </w:r>
            <w:r>
              <w:rPr>
                <w:rFonts w:hint="eastAsia" w:ascii="宋体" w:hAnsi="宋体" w:cs="宋体"/>
                <w:szCs w:val="21"/>
                <w:highlight w:val="none"/>
              </w:rPr>
              <w:fldChar w:fldCharType="begin"/>
            </w:r>
            <w:r>
              <w:rPr>
                <w:rFonts w:hint="eastAsia" w:ascii="宋体" w:hAnsi="宋体" w:cs="宋体"/>
                <w:szCs w:val="21"/>
                <w:highlight w:val="none"/>
              </w:rPr>
              <w:instrText xml:space="preserve"> = 6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⑥</w:t>
            </w:r>
            <w:r>
              <w:rPr>
                <w:rFonts w:hint="eastAsia" w:ascii="宋体" w:hAnsi="宋体" w:cs="宋体"/>
                <w:szCs w:val="21"/>
                <w:highlight w:val="none"/>
              </w:rPr>
              <w:fldChar w:fldCharType="end"/>
            </w:r>
            <w:r>
              <w:rPr>
                <w:rFonts w:hint="eastAsia" w:ascii="宋体" w:hAnsi="宋体" w:cs="宋体"/>
                <w:szCs w:val="21"/>
                <w:highlight w:val="none"/>
              </w:rPr>
              <w:t xml:space="preserve">甲醛释放量≤0.025mg/m³。检测结果单项评价为合格，全部满足要求得1分，检测内容不全或未提供的不得分。</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（4）学生美术凳抽样检验：①形状和位置公差、②木材含水率、</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rPr>
              <w:t xml:space="preserve">漆膜（同色部件的色泽应相似）、</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五金件外观（应无锈蚀、氧化膜脱落、刃口、锐棱）、</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木工要求（榫、塞角、零部件等结合处不应断裂）、</w:t>
            </w:r>
            <w:r>
              <w:rPr>
                <w:rFonts w:hint="eastAsia" w:ascii="宋体" w:hAnsi="宋体" w:cs="宋体"/>
                <w:szCs w:val="21"/>
                <w:highlight w:val="none"/>
              </w:rPr>
              <w:fldChar w:fldCharType="begin"/>
            </w:r>
            <w:r>
              <w:rPr>
                <w:rFonts w:hint="eastAsia" w:ascii="宋体" w:hAnsi="宋体" w:cs="宋体"/>
                <w:szCs w:val="21"/>
                <w:highlight w:val="none"/>
              </w:rPr>
              <w:instrText xml:space="preserve"> = 6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⑥</w:t>
            </w:r>
            <w:r>
              <w:rPr>
                <w:rFonts w:hint="eastAsia" w:ascii="宋体" w:hAnsi="宋体" w:cs="宋体"/>
                <w:szCs w:val="21"/>
                <w:highlight w:val="none"/>
              </w:rPr>
              <w:fldChar w:fldCharType="end"/>
            </w:r>
            <w:r>
              <w:rPr>
                <w:rFonts w:hint="eastAsia" w:ascii="宋体" w:hAnsi="宋体" w:cs="宋体"/>
                <w:szCs w:val="21"/>
                <w:highlight w:val="none"/>
              </w:rPr>
              <w:t xml:space="preserve">漆膜耐磨性（应不低于3级）、</w:t>
            </w:r>
            <w:r>
              <w:rPr>
                <w:rFonts w:hint="eastAsia" w:ascii="宋体" w:hAnsi="宋体" w:cs="宋体"/>
                <w:szCs w:val="21"/>
                <w:highlight w:val="none"/>
              </w:rPr>
              <w:fldChar w:fldCharType="begin"/>
            </w:r>
            <w:r>
              <w:rPr>
                <w:rFonts w:hint="eastAsia" w:ascii="宋体" w:hAnsi="宋体" w:cs="宋体"/>
                <w:szCs w:val="21"/>
                <w:highlight w:val="none"/>
              </w:rPr>
              <w:instrText xml:space="preserve"> = 7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⑦</w:t>
            </w:r>
            <w:r>
              <w:rPr>
                <w:rFonts w:hint="eastAsia" w:ascii="宋体" w:hAnsi="宋体" w:cs="宋体"/>
                <w:szCs w:val="21"/>
                <w:highlight w:val="none"/>
              </w:rPr>
              <w:fldChar w:fldCharType="end"/>
            </w:r>
            <w:r>
              <w:rPr>
                <w:rFonts w:hint="eastAsia" w:ascii="宋体" w:hAnsi="宋体" w:cs="宋体"/>
                <w:szCs w:val="21"/>
                <w:highlight w:val="none"/>
              </w:rPr>
              <w:t xml:space="preserve">通用结构安全、</w:t>
            </w:r>
            <w:r>
              <w:rPr>
                <w:rFonts w:hint="eastAsia" w:ascii="宋体" w:hAnsi="宋体" w:cs="宋体"/>
                <w:szCs w:val="21"/>
                <w:highlight w:val="none"/>
              </w:rPr>
              <w:fldChar w:fldCharType="begin"/>
            </w:r>
            <w:r>
              <w:rPr>
                <w:rFonts w:hint="eastAsia" w:ascii="宋体" w:hAnsi="宋体" w:cs="宋体"/>
                <w:szCs w:val="21"/>
                <w:highlight w:val="none"/>
              </w:rPr>
              <w:instrText xml:space="preserve"> = 8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⑧</w:t>
            </w:r>
            <w:r>
              <w:rPr>
                <w:rFonts w:hint="eastAsia" w:ascii="宋体" w:hAnsi="宋体" w:cs="宋体"/>
                <w:szCs w:val="21"/>
                <w:highlight w:val="none"/>
              </w:rPr>
              <w:fldChar w:fldCharType="end"/>
            </w:r>
            <w:r>
              <w:rPr>
                <w:rFonts w:hint="eastAsia" w:ascii="宋体" w:hAnsi="宋体" w:cs="宋体"/>
                <w:szCs w:val="21"/>
                <w:highlight w:val="none"/>
              </w:rPr>
              <w:t xml:space="preserve">甲醛释放量≤0.025mg/m³。检测结果单项评价为合格，全部满足要求得1分，检测内容不全或未提供的不得分。</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szCs w:val="21"/>
                <w:highlight w:val="none"/>
              </w:rPr>
            </w:r>
            <w:r/>
          </w:p>
        </w:tc>
        <w:tc>
          <w:tcPr>
            <w:tcW w:w="647" w:type="dxa"/>
            <w:vAlign w:val="center"/>
            <w:textDirection w:val="lrTb"/>
            <w:noWrap w:val="false"/>
          </w:tcPr>
          <w:p>
            <w:pPr>
              <w:pStyle w:val="708"/>
              <w:jc w:val="center"/>
              <w:spacing w:before="68"/>
              <w:rPr>
                <w:rFonts w:hint="eastAsia" w:ascii="宋体" w:hAnsi="宋体" w:eastAsia="宋体" w:cs="宋体"/>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szCs w:val="21"/>
                <w:highlight w:val="none"/>
                <w:lang w:eastAsia="zh-CN"/>
              </w:rPr>
            </w:r>
            <w:r/>
          </w:p>
        </w:tc>
        <w:tc>
          <w:tcPr>
            <w:tcW w:w="900" w:type="dxa"/>
            <w:vAlign w:val="center"/>
            <w:textDirection w:val="lrTb"/>
            <w:noWrap w:val="false"/>
          </w:tcPr>
          <w:p>
            <w:pPr>
              <w:pStyle w:val="708"/>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spacing w:val="-6"/>
                <w:szCs w:val="21"/>
                <w:highlight w:val="none"/>
              </w:rPr>
            </w:r>
            <w:r/>
          </w:p>
        </w:tc>
      </w:tr>
      <w:tr>
        <w:trPr>
          <w:trHeight w:val="889"/>
        </w:trPr>
        <w:tc>
          <w:tcPr>
            <w:tcW w:w="519" w:type="dxa"/>
            <w:vAlign w:val="center"/>
            <w:textDirection w:val="lrTb"/>
            <w:noWrap w:val="false"/>
          </w:tcPr>
          <w:p>
            <w:pPr>
              <w:pStyle w:val="708"/>
              <w:jc w:val="center"/>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szCs w:val="21"/>
                <w:highlight w:val="none"/>
              </w:rPr>
            </w:r>
            <w:r/>
          </w:p>
        </w:tc>
        <w:tc>
          <w:tcPr>
            <w:tcW w:w="1235" w:type="dxa"/>
            <w:vAlign w:val="center"/>
            <w:textDirection w:val="lrTb"/>
            <w:noWrap w:val="false"/>
          </w:tcPr>
          <w:p>
            <w:pPr>
              <w:pStyle w:val="708"/>
              <w:rPr>
                <w:rFonts w:hint="eastAsia" w:ascii="宋体" w:hAnsi="宋体" w:cs="宋体"/>
                <w:szCs w:val="21"/>
                <w:highlight w:val="none"/>
              </w:rPr>
            </w:pPr>
            <w:r>
              <w:rPr>
                <w:rFonts w:hint="eastAsia" w:ascii="宋体" w:hAnsi="宋体" w:cs="宋体"/>
                <w:szCs w:val="21"/>
                <w:highlight w:val="none"/>
              </w:rPr>
              <w:t xml:space="preserve">深化设计</w:t>
            </w:r>
            <w:r>
              <w:rPr>
                <w:rFonts w:hint="eastAsia" w:ascii="宋体" w:hAnsi="宋体" w:cs="宋体"/>
                <w:szCs w:val="21"/>
                <w:highlight w:val="none"/>
              </w:rPr>
            </w:r>
            <w:r/>
          </w:p>
        </w:tc>
        <w:tc>
          <w:tcPr>
            <w:tcW w:w="6274" w:type="dxa"/>
            <w:vAlign w:val="center"/>
            <w:textDirection w:val="lrTb"/>
            <w:noWrap w:val="false"/>
          </w:tcPr>
          <w:p>
            <w:pPr>
              <w:pStyle w:val="708"/>
              <w:rPr>
                <w:rFonts w:hint="eastAsia" w:ascii="宋体" w:hAnsi="宋体"/>
                <w:szCs w:val="21"/>
                <w:highlight w:val="none"/>
              </w:rPr>
            </w:pPr>
            <w:r>
              <w:rPr>
                <w:rFonts w:hint="eastAsia" w:ascii="宋体" w:hAnsi="宋体"/>
                <w:szCs w:val="21"/>
                <w:highlight w:val="none"/>
              </w:rPr>
              <w:t xml:space="preserve">评委根据投标人提供的</w:t>
            </w:r>
            <w:r>
              <w:rPr>
                <w:rFonts w:hint="eastAsia" w:ascii="宋体" w:hAnsi="宋体"/>
                <w:szCs w:val="21"/>
                <w:highlight w:val="red"/>
              </w:rPr>
              <w:t xml:space="preserve">劳动教室2</w:t>
            </w:r>
            <w:r>
              <w:rPr>
                <w:rFonts w:hint="eastAsia" w:ascii="宋体" w:hAnsi="宋体"/>
                <w:szCs w:val="21"/>
                <w:highlight w:val="none"/>
              </w:rPr>
              <w:t xml:space="preserve">招标清单明细深化设计方案综合评分（每项内容逐条阐述）：</w:t>
            </w:r>
            <w:r>
              <w:rPr>
                <w:rFonts w:hint="eastAsia" w:ascii="宋体" w:hAnsi="宋体"/>
                <w:szCs w:val="21"/>
                <w:highlight w:val="none"/>
              </w:rPr>
            </w:r>
            <w:r/>
          </w:p>
          <w:p>
            <w:pPr>
              <w:pStyle w:val="708"/>
              <w:rPr>
                <w:rFonts w:hint="eastAsia" w:ascii="宋体" w:hAnsi="宋体"/>
                <w:szCs w:val="21"/>
                <w:highlight w:val="none"/>
              </w:rPr>
            </w:pPr>
            <w:r>
              <w:rPr>
                <w:rFonts w:hint="eastAsia" w:ascii="宋体" w:hAnsi="宋体"/>
                <w:szCs w:val="21"/>
                <w:highlight w:val="none"/>
              </w:rPr>
              <w:t xml:space="preserve">包括1.深化设计摆放分布图；2.效果图。</w:t>
            </w:r>
            <w:r>
              <w:rPr>
                <w:rFonts w:hint="eastAsia" w:ascii="宋体" w:hAnsi="宋体"/>
                <w:szCs w:val="21"/>
                <w:highlight w:val="none"/>
              </w:rPr>
            </w:r>
            <w:r/>
          </w:p>
          <w:p>
            <w:pPr>
              <w:pStyle w:val="708"/>
              <w:rPr>
                <w:rFonts w:hint="eastAsia" w:ascii="宋体" w:hAnsi="宋体"/>
                <w:szCs w:val="21"/>
                <w:highlight w:val="none"/>
              </w:rPr>
            </w:pPr>
            <w:r>
              <w:rPr>
                <w:rFonts w:hint="eastAsia" w:ascii="宋体" w:hAnsi="宋体"/>
                <w:szCs w:val="21"/>
                <w:highlight w:val="none"/>
              </w:rPr>
              <w:t xml:space="preserve">（1）摆放分布图、效果图相互对应，整体设计完全满足采购人需求，功能区域布局最优的，得6分；</w:t>
            </w:r>
            <w:r>
              <w:rPr>
                <w:rFonts w:hint="eastAsia" w:ascii="宋体" w:hAnsi="宋体"/>
                <w:szCs w:val="21"/>
                <w:highlight w:val="none"/>
              </w:rPr>
            </w:r>
            <w:r/>
          </w:p>
          <w:p>
            <w:pPr>
              <w:pStyle w:val="708"/>
              <w:rPr>
                <w:rFonts w:hint="eastAsia" w:ascii="宋体" w:hAnsi="宋体"/>
                <w:szCs w:val="21"/>
                <w:highlight w:val="none"/>
              </w:rPr>
            </w:pPr>
            <w:r>
              <w:rPr>
                <w:rFonts w:hint="eastAsia" w:ascii="宋体" w:hAnsi="宋体"/>
                <w:szCs w:val="21"/>
                <w:highlight w:val="none"/>
              </w:rPr>
              <w:t xml:space="preserve">（2）摆放分布图、效果图相互较能对应，整体设计较能满足采购人需求，功能区域布局合理，得3分；</w:t>
            </w:r>
            <w:r>
              <w:rPr>
                <w:rFonts w:hint="eastAsia" w:ascii="宋体" w:hAnsi="宋体"/>
                <w:szCs w:val="21"/>
                <w:highlight w:val="none"/>
              </w:rPr>
            </w:r>
            <w:r/>
          </w:p>
          <w:p>
            <w:pPr>
              <w:pStyle w:val="708"/>
              <w:rPr>
                <w:rFonts w:hint="eastAsia" w:ascii="宋体" w:hAnsi="宋体"/>
                <w:szCs w:val="21"/>
                <w:highlight w:val="none"/>
              </w:rPr>
            </w:pPr>
            <w:r>
              <w:rPr>
                <w:rFonts w:hint="eastAsia" w:ascii="宋体" w:hAnsi="宋体"/>
                <w:szCs w:val="21"/>
                <w:highlight w:val="none"/>
              </w:rPr>
              <w:t xml:space="preserve">（3）摆放分布图、效果图相互基本对应，整体设计达到采购人基本需求，功能区域布局基本合理，得1分；</w:t>
            </w:r>
            <w:r>
              <w:rPr>
                <w:rFonts w:hint="eastAsia" w:ascii="宋体" w:hAnsi="宋体"/>
                <w:szCs w:val="21"/>
                <w:highlight w:val="none"/>
              </w:rPr>
            </w:r>
            <w:r/>
          </w:p>
          <w:p>
            <w:pPr>
              <w:pStyle w:val="708"/>
              <w:rPr>
                <w:rFonts w:hint="eastAsia" w:ascii="宋体" w:hAnsi="宋体"/>
                <w:szCs w:val="21"/>
                <w:highlight w:val="none"/>
              </w:rPr>
            </w:pPr>
            <w:r>
              <w:rPr>
                <w:rFonts w:hint="eastAsia" w:ascii="宋体" w:hAnsi="宋体"/>
                <w:szCs w:val="21"/>
                <w:highlight w:val="none"/>
              </w:rPr>
              <w:t xml:space="preserve">（4）摆放分布图、效果图不对应，整体设计不能达到采购人需求，功能区域分布明显不足或未提供图纸的，不得分。</w:t>
            </w:r>
            <w:r>
              <w:rPr>
                <w:rFonts w:hint="eastAsia" w:ascii="宋体" w:hAnsi="宋体"/>
                <w:szCs w:val="21"/>
                <w:highlight w:val="none"/>
              </w:rPr>
            </w:r>
            <w:r/>
          </w:p>
        </w:tc>
        <w:tc>
          <w:tcPr>
            <w:tcW w:w="647" w:type="dxa"/>
            <w:vAlign w:val="center"/>
            <w:textDirection w:val="lrTb"/>
            <w:noWrap w:val="false"/>
          </w:tcPr>
          <w:p>
            <w:pPr>
              <w:pStyle w:val="708"/>
              <w:jc w:val="center"/>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900" w:type="dxa"/>
            <w:vAlign w:val="center"/>
            <w:textDirection w:val="lrTb"/>
            <w:noWrap w:val="false"/>
          </w:tcPr>
          <w:p>
            <w:pPr>
              <w:pStyle w:val="708"/>
              <w:jc w:val="center"/>
              <w:rPr>
                <w:rFonts w:hint="eastAsia" w:ascii="宋体" w:hAnsi="宋体" w:cs="宋体"/>
                <w:szCs w:val="21"/>
                <w:highlight w:val="none"/>
              </w:rPr>
            </w:pPr>
            <w:r>
              <w:rPr>
                <w:rFonts w:hint="eastAsia" w:ascii="宋体" w:hAnsi="宋体" w:cs="宋体"/>
                <w:szCs w:val="21"/>
                <w:highlight w:val="none"/>
              </w:rPr>
              <w:t xml:space="preserve">主观分</w:t>
            </w:r>
            <w:r>
              <w:rPr>
                <w:rFonts w:hint="eastAsia" w:ascii="宋体" w:hAnsi="宋体" w:cs="宋体"/>
                <w:szCs w:val="21"/>
                <w:highlight w:val="none"/>
              </w:rPr>
            </w:r>
            <w:r/>
          </w:p>
        </w:tc>
      </w:tr>
      <w:tr>
        <w:trPr>
          <w:trHeight w:val="889"/>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2.5</w:t>
            </w:r>
            <w:r>
              <w:rPr>
                <w:rFonts w:hint="eastAsia" w:ascii="宋体" w:hAnsi="宋体" w:cs="宋体"/>
                <w:spacing w:val="-2"/>
                <w:szCs w:val="21"/>
                <w:highlight w:val="none"/>
              </w:rPr>
            </w:r>
            <w:r/>
          </w:p>
        </w:tc>
        <w:tc>
          <w:tcPr>
            <w:tcW w:w="1235" w:type="dxa"/>
            <w:vAlign w:val="center"/>
            <w:textDirection w:val="lrTb"/>
            <w:noWrap w:val="false"/>
          </w:tcPr>
          <w:p>
            <w:pPr>
              <w:pStyle w:val="708"/>
              <w:jc w:val="left"/>
              <w:spacing w:before="68"/>
              <w:rPr>
                <w:rFonts w:hint="eastAsia" w:ascii="宋体" w:hAnsi="宋体" w:cs="宋体"/>
                <w:spacing w:val="-2"/>
                <w:szCs w:val="21"/>
                <w:highlight w:val="none"/>
              </w:rPr>
            </w:pPr>
            <w:r>
              <w:rPr>
                <w:rFonts w:hint="eastAsia" w:ascii="宋体" w:hAnsi="宋体" w:cs="宋体"/>
                <w:szCs w:val="21"/>
                <w:highlight w:val="none"/>
              </w:rPr>
              <w:t xml:space="preserve">样品</w:t>
            </w:r>
            <w:r>
              <w:rPr>
                <w:rFonts w:hint="eastAsia" w:ascii="宋体" w:hAnsi="宋体" w:cs="宋体"/>
                <w:spacing w:val="-2"/>
                <w:szCs w:val="21"/>
                <w:highlight w:val="none"/>
              </w:rPr>
            </w:r>
            <w:r/>
          </w:p>
        </w:tc>
        <w:tc>
          <w:tcPr>
            <w:tcW w:w="6274" w:type="dxa"/>
            <w:vAlign w:val="center"/>
            <w:textDirection w:val="lrTb"/>
            <w:noWrap w:val="false"/>
          </w:tcPr>
          <w:p>
            <w:pPr>
              <w:pStyle w:val="708"/>
              <w:rPr>
                <w:rFonts w:hint="eastAsia" w:ascii="宋体" w:hAnsi="宋体"/>
                <w:szCs w:val="21"/>
                <w:highlight w:val="none"/>
              </w:rPr>
            </w:pPr>
            <w:r>
              <w:rPr>
                <w:rFonts w:hint="eastAsia" w:ascii="宋体" w:hAnsi="宋体"/>
                <w:szCs w:val="21"/>
                <w:highlight w:val="none"/>
              </w:rPr>
              <w:t xml:space="preserve">1.评委根据投标人提供的信息技术教室学生凳</w:t>
            </w:r>
            <w:r>
              <w:rPr>
                <w:rFonts w:hint="eastAsia" w:ascii="宋体" w:hAnsi="宋体"/>
                <w:szCs w:val="21"/>
                <w:highlight w:val="none"/>
                <w:lang w:eastAsia="zh-CN"/>
              </w:rPr>
              <w:t xml:space="preserve">（</w:t>
            </w:r>
            <w:r>
              <w:rPr>
                <w:rFonts w:hint="eastAsia" w:ascii="宋体" w:hAnsi="宋体"/>
                <w:szCs w:val="21"/>
                <w:highlight w:val="none"/>
              </w:rPr>
              <w:t xml:space="preserve">编号</w:t>
            </w:r>
            <w:r>
              <w:rPr>
                <w:rFonts w:hint="eastAsia" w:ascii="宋体" w:hAnsi="宋体"/>
                <w:szCs w:val="21"/>
                <w:highlight w:val="none"/>
                <w:lang w:val="en-US" w:eastAsia="zh-CN"/>
              </w:rPr>
              <w:t xml:space="preserve">852</w:t>
            </w:r>
            <w:r>
              <w:rPr>
                <w:rFonts w:hint="eastAsia" w:ascii="宋体" w:hAnsi="宋体"/>
                <w:szCs w:val="21"/>
                <w:highlight w:val="none"/>
                <w:lang w:eastAsia="zh-CN"/>
              </w:rPr>
              <w:t xml:space="preserve">）</w:t>
            </w:r>
            <w:r>
              <w:rPr>
                <w:rFonts w:hint="eastAsia" w:ascii="宋体" w:hAnsi="宋体"/>
                <w:szCs w:val="21"/>
                <w:highlight w:val="none"/>
              </w:rPr>
              <w:t xml:space="preserve">，所有的制作标准和要求与本次采购项目一致）样品综合评分：</w:t>
            </w:r>
            <w:r>
              <w:rPr>
                <w:rFonts w:hint="eastAsia" w:ascii="宋体" w:hAnsi="宋体"/>
                <w:szCs w:val="21"/>
                <w:highlight w:val="none"/>
              </w:rPr>
            </w:r>
            <w:r/>
          </w:p>
          <w:p>
            <w:pPr>
              <w:pStyle w:val="708"/>
              <w:rPr>
                <w:rFonts w:hint="eastAsia" w:ascii="宋体" w:hAnsi="宋体"/>
                <w:szCs w:val="21"/>
                <w:highlight w:val="none"/>
              </w:rPr>
            </w:pPr>
            <w:r>
              <w:rPr>
                <w:rFonts w:hint="eastAsia" w:ascii="宋体" w:hAnsi="宋体"/>
                <w:szCs w:val="21"/>
                <w:highlight w:val="none"/>
              </w:rPr>
              <w:t xml:space="preserve">（1）样品材质及尺寸完全符合要求，安全无尖锐棱角、毛刺，油漆表面光滑平整度高得</w:t>
            </w:r>
            <w:r>
              <w:rPr>
                <w:rFonts w:hint="eastAsia" w:ascii="宋体" w:hAnsi="宋体"/>
                <w:szCs w:val="21"/>
                <w:highlight w:val="none"/>
                <w:lang w:val="en-US" w:eastAsia="zh-CN"/>
              </w:rPr>
              <w:t xml:space="preserve">3</w:t>
            </w:r>
            <w:r>
              <w:rPr>
                <w:rFonts w:hint="eastAsia" w:ascii="宋体" w:hAnsi="宋体"/>
                <w:szCs w:val="21"/>
                <w:highlight w:val="none"/>
              </w:rPr>
              <w:t xml:space="preserve">分；样品材质及尺寸基本符合要求，无明显尖锐棱角、毛刺，表面基本光滑平整的，得</w:t>
            </w:r>
            <w:r>
              <w:rPr>
                <w:rFonts w:hint="eastAsia" w:ascii="宋体" w:hAnsi="宋体"/>
                <w:szCs w:val="21"/>
                <w:highlight w:val="none"/>
                <w:lang w:val="en-US" w:eastAsia="zh-CN"/>
              </w:rPr>
              <w:t xml:space="preserve">2</w:t>
            </w:r>
            <w:r>
              <w:rPr>
                <w:rFonts w:hint="eastAsia" w:ascii="宋体" w:hAnsi="宋体"/>
                <w:szCs w:val="21"/>
                <w:highlight w:val="none"/>
              </w:rPr>
              <w:t xml:space="preserve">分；样品材质及尺寸</w:t>
            </w:r>
            <w:r>
              <w:rPr>
                <w:rFonts w:hint="eastAsia" w:ascii="宋体" w:hAnsi="宋体"/>
                <w:szCs w:val="21"/>
                <w:highlight w:val="none"/>
                <w:lang w:val="en-US" w:eastAsia="zh-CN"/>
              </w:rPr>
              <w:t xml:space="preserve">偏差较大</w:t>
            </w:r>
            <w:r>
              <w:rPr>
                <w:rFonts w:hint="eastAsia" w:ascii="宋体" w:hAnsi="宋体"/>
                <w:szCs w:val="21"/>
                <w:highlight w:val="none"/>
              </w:rPr>
              <w:t xml:space="preserve">，</w:t>
            </w:r>
            <w:r>
              <w:rPr>
                <w:rFonts w:hint="eastAsia" w:ascii="宋体" w:hAnsi="宋体"/>
                <w:szCs w:val="21"/>
                <w:highlight w:val="none"/>
                <w:lang w:val="en-US" w:eastAsia="zh-CN"/>
              </w:rPr>
              <w:t xml:space="preserve">有</w:t>
            </w:r>
            <w:r>
              <w:rPr>
                <w:rFonts w:hint="eastAsia" w:ascii="宋体" w:hAnsi="宋体"/>
                <w:szCs w:val="21"/>
                <w:highlight w:val="none"/>
              </w:rPr>
              <w:t xml:space="preserve">明显尖锐棱角、毛刺，表面基本光滑平整的，得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rPr>
                <w:rFonts w:hint="eastAsia" w:ascii="宋体" w:hAnsi="宋体"/>
                <w:szCs w:val="21"/>
                <w:highlight w:val="none"/>
                <w:lang w:eastAsia="zh-CN"/>
              </w:rPr>
              <w:t xml:space="preserve">；</w:t>
            </w:r>
            <w:r>
              <w:rPr>
                <w:rFonts w:hint="eastAsia" w:ascii="宋体" w:hAnsi="宋体"/>
                <w:szCs w:val="21"/>
                <w:highlight w:val="none"/>
              </w:rPr>
              <w:t xml:space="preserve">其他不得分；</w:t>
            </w:r>
            <w:r>
              <w:rPr>
                <w:rFonts w:hint="eastAsia" w:ascii="宋体" w:hAnsi="宋体"/>
                <w:szCs w:val="21"/>
                <w:highlight w:val="none"/>
              </w:rPr>
            </w:r>
            <w:r/>
          </w:p>
          <w:p>
            <w:pPr>
              <w:pStyle w:val="708"/>
              <w:rPr>
                <w:rFonts w:hint="eastAsia" w:ascii="宋体" w:hAnsi="宋体"/>
                <w:szCs w:val="21"/>
                <w:highlight w:val="none"/>
              </w:rPr>
            </w:pPr>
            <w:r>
              <w:rPr>
                <w:rFonts w:hint="eastAsia" w:ascii="宋体" w:hAnsi="宋体"/>
                <w:szCs w:val="21"/>
                <w:highlight w:val="none"/>
              </w:rPr>
              <w:t xml:space="preserve">（2）样品强度高承重好、稳定性好，钢架焊接紧密、平整的，得</w:t>
            </w:r>
            <w:r>
              <w:rPr>
                <w:rFonts w:hint="eastAsia" w:ascii="宋体" w:hAnsi="宋体"/>
                <w:szCs w:val="21"/>
                <w:highlight w:val="none"/>
                <w:lang w:val="en-US" w:eastAsia="zh-CN"/>
              </w:rPr>
              <w:t xml:space="preserve">3</w:t>
            </w:r>
            <w:r>
              <w:rPr>
                <w:rFonts w:hint="eastAsia" w:ascii="宋体" w:hAnsi="宋体"/>
                <w:szCs w:val="21"/>
                <w:highlight w:val="none"/>
              </w:rPr>
              <w:t xml:space="preserve">分；样品强度承重、稳定基本可用的，钢架焊接基本紧密、平整的，得</w:t>
            </w:r>
            <w:r>
              <w:rPr>
                <w:rFonts w:hint="eastAsia" w:ascii="宋体" w:hAnsi="宋体"/>
                <w:szCs w:val="21"/>
                <w:highlight w:val="none"/>
                <w:lang w:val="en-US" w:eastAsia="zh-CN"/>
              </w:rPr>
              <w:t xml:space="preserve">2</w:t>
            </w:r>
            <w:r>
              <w:rPr>
                <w:rFonts w:hint="eastAsia" w:ascii="宋体" w:hAnsi="宋体"/>
                <w:szCs w:val="21"/>
                <w:highlight w:val="none"/>
              </w:rPr>
              <w:t xml:space="preserve">分；样品强度承重、稳定基本</w:t>
            </w:r>
            <w:r>
              <w:rPr>
                <w:rFonts w:hint="eastAsia" w:ascii="宋体" w:hAnsi="宋体"/>
                <w:szCs w:val="21"/>
                <w:highlight w:val="none"/>
                <w:lang w:val="en-US" w:eastAsia="zh-CN"/>
              </w:rPr>
              <w:t xml:space="preserve">较差</w:t>
            </w:r>
            <w:r>
              <w:rPr>
                <w:rFonts w:hint="eastAsia" w:ascii="宋体" w:hAnsi="宋体"/>
                <w:szCs w:val="21"/>
                <w:highlight w:val="none"/>
              </w:rPr>
              <w:t xml:space="preserve">的，钢架焊接</w:t>
            </w:r>
            <w:r>
              <w:rPr>
                <w:rFonts w:hint="eastAsia" w:ascii="宋体" w:hAnsi="宋体"/>
                <w:szCs w:val="21"/>
                <w:highlight w:val="none"/>
                <w:lang w:val="en-US" w:eastAsia="zh-CN"/>
              </w:rPr>
              <w:t xml:space="preserve">不太</w:t>
            </w:r>
            <w:r>
              <w:rPr>
                <w:rFonts w:hint="eastAsia" w:ascii="宋体" w:hAnsi="宋体"/>
                <w:szCs w:val="21"/>
                <w:highlight w:val="none"/>
              </w:rPr>
              <w:t xml:space="preserve">紧密、平整的，得</w:t>
            </w:r>
            <w:r>
              <w:rPr>
                <w:rFonts w:hint="eastAsia" w:ascii="宋体" w:hAnsi="宋体"/>
                <w:szCs w:val="21"/>
                <w:highlight w:val="none"/>
                <w:lang w:val="en-US" w:eastAsia="zh-CN"/>
              </w:rPr>
              <w:t xml:space="preserve">1</w:t>
            </w:r>
            <w:r>
              <w:rPr>
                <w:rFonts w:hint="eastAsia" w:ascii="宋体" w:hAnsi="宋体"/>
                <w:szCs w:val="21"/>
                <w:highlight w:val="none"/>
              </w:rPr>
              <w:t xml:space="preserve">分；其他不得分；</w:t>
            </w:r>
            <w:r>
              <w:rPr>
                <w:rFonts w:hint="eastAsia" w:ascii="宋体" w:hAnsi="宋体"/>
                <w:szCs w:val="21"/>
                <w:highlight w:val="none"/>
              </w:rPr>
            </w:r>
            <w:r/>
          </w:p>
          <w:p>
            <w:pPr>
              <w:pStyle w:val="708"/>
              <w:rPr>
                <w:rFonts w:hint="eastAsia" w:ascii="宋体" w:hAnsi="宋体"/>
                <w:szCs w:val="21"/>
                <w:highlight w:val="none"/>
              </w:rPr>
            </w:pPr>
            <w:r>
              <w:rPr>
                <w:rFonts w:hint="eastAsia" w:ascii="宋体" w:hAnsi="宋体"/>
                <w:szCs w:val="21"/>
                <w:highlight w:val="none"/>
              </w:rPr>
              <w:t xml:space="preserve">本项最多得</w:t>
            </w:r>
            <w:r>
              <w:rPr>
                <w:rFonts w:hint="eastAsia" w:ascii="宋体" w:hAnsi="宋体"/>
                <w:szCs w:val="21"/>
                <w:highlight w:val="none"/>
                <w:lang w:val="en-US" w:eastAsia="zh-CN"/>
              </w:rPr>
              <w:t xml:space="preserve">6</w:t>
            </w:r>
            <w:r>
              <w:rPr>
                <w:rFonts w:hint="eastAsia" w:ascii="宋体" w:hAnsi="宋体"/>
                <w:szCs w:val="21"/>
                <w:highlight w:val="none"/>
              </w:rPr>
              <w:t xml:space="preserve">分，投标人提供的样品不全或不符合本项目评审要求的不得分；未在截止时间前及规定地点提交样品的不得分。</w:t>
            </w:r>
            <w:r>
              <w:rPr>
                <w:rFonts w:hint="eastAsia" w:ascii="宋体" w:hAnsi="宋体"/>
                <w:szCs w:val="21"/>
                <w:highlight w:val="none"/>
              </w:rPr>
            </w:r>
            <w:r/>
          </w:p>
        </w:tc>
        <w:tc>
          <w:tcPr>
            <w:tcW w:w="647" w:type="dxa"/>
            <w:vAlign w:val="center"/>
            <w:textDirection w:val="lrTb"/>
            <w:noWrap w:val="false"/>
          </w:tcPr>
          <w:p>
            <w:pPr>
              <w:pStyle w:val="708"/>
              <w:jc w:val="center"/>
              <w:spacing w:before="68"/>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eastAsia="zh-CN"/>
              </w:rPr>
            </w:r>
            <w:r/>
          </w:p>
        </w:tc>
        <w:tc>
          <w:tcPr>
            <w:tcW w:w="900" w:type="dxa"/>
            <w:vAlign w:val="center"/>
            <w:textDirection w:val="lrTb"/>
            <w:noWrap w:val="false"/>
          </w:tcPr>
          <w:p>
            <w:pPr>
              <w:pStyle w:val="708"/>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主观分</w:t>
            </w:r>
            <w:r>
              <w:rPr>
                <w:rFonts w:hint="eastAsia" w:ascii="宋体" w:hAnsi="宋体" w:cs="宋体"/>
                <w:spacing w:val="-6"/>
                <w:szCs w:val="21"/>
                <w:highlight w:val="none"/>
              </w:rPr>
            </w:r>
            <w:r/>
          </w:p>
        </w:tc>
      </w:tr>
      <w:tr>
        <w:trPr>
          <w:trHeight w:val="712"/>
        </w:trPr>
        <w:tc>
          <w:tcPr>
            <w:tcW w:w="519" w:type="dxa"/>
            <w:vAlign w:val="center"/>
            <w:textDirection w:val="lrTb"/>
            <w:noWrap w:val="false"/>
          </w:tcPr>
          <w:p>
            <w:pPr>
              <w:pStyle w:val="708"/>
              <w:jc w:val="center"/>
              <w:spacing w:before="68"/>
              <w:rPr>
                <w:rFonts w:hint="eastAsia" w:ascii="宋体" w:hAnsi="宋体" w:cs="宋体"/>
                <w:spacing w:val="-2"/>
                <w:sz w:val="20"/>
                <w:szCs w:val="21"/>
                <w:highlight w:val="none"/>
              </w:rPr>
            </w:pPr>
            <w:r>
              <w:rPr>
                <w:rFonts w:hint="eastAsia" w:ascii="宋体" w:hAnsi="宋体" w:cs="宋体"/>
                <w:spacing w:val="-2"/>
                <w:sz w:val="20"/>
                <w:szCs w:val="21"/>
                <w:highlight w:val="none"/>
              </w:rPr>
              <w:t xml:space="preserve">2.6</w:t>
            </w:r>
            <w:r>
              <w:rPr>
                <w:rFonts w:hint="eastAsia" w:ascii="宋体" w:hAnsi="宋体" w:cs="宋体"/>
                <w:spacing w:val="-2"/>
                <w:sz w:val="20"/>
                <w:szCs w:val="21"/>
                <w:highlight w:val="none"/>
              </w:rPr>
            </w:r>
            <w:r/>
          </w:p>
        </w:tc>
        <w:tc>
          <w:tcPr>
            <w:tcW w:w="1235" w:type="dxa"/>
            <w:vAlign w:val="center"/>
            <w:textDirection w:val="lrTb"/>
            <w:noWrap w:val="false"/>
          </w:tcPr>
          <w:p>
            <w:pPr>
              <w:pStyle w:val="708"/>
              <w:jc w:val="left"/>
              <w:spacing w:before="68"/>
              <w:rPr>
                <w:rFonts w:hint="eastAsia" w:ascii="宋体" w:hAnsi="宋体" w:cs="宋体"/>
                <w:szCs w:val="21"/>
                <w:highlight w:val="none"/>
              </w:rPr>
            </w:pPr>
            <w:r>
              <w:rPr>
                <w:rFonts w:hint="eastAsia" w:ascii="宋体" w:hAnsi="宋体" w:cs="宋体"/>
                <w:szCs w:val="21"/>
                <w:highlight w:val="none"/>
              </w:rPr>
              <w:t xml:space="preserve">产品视频演示</w:t>
            </w:r>
            <w:r>
              <w:rPr>
                <w:rFonts w:hint="eastAsia" w:ascii="宋体" w:hAnsi="宋体" w:cs="宋体"/>
                <w:szCs w:val="21"/>
                <w:highlight w:val="none"/>
              </w:rPr>
            </w:r>
            <w:r/>
          </w:p>
        </w:tc>
        <w:tc>
          <w:tcPr>
            <w:tcW w:w="6274" w:type="dxa"/>
            <w:vAlign w:val="center"/>
            <w:textDirection w:val="lrTb"/>
            <w:noWrap w:val="false"/>
          </w:tcPr>
          <w:p>
            <w:pPr>
              <w:pStyle w:val="708"/>
              <w:numPr>
                <w:ilvl w:val="0"/>
                <w:numId w:val="7"/>
              </w:numPr>
              <w:rPr>
                <w:rFonts w:hint="eastAsia" w:ascii="宋体" w:hAnsi="宋体" w:cs="宋体"/>
                <w:szCs w:val="21"/>
                <w:highlight w:val="none"/>
                <w:lang w:eastAsia="zh-CN"/>
              </w:rPr>
            </w:pPr>
            <w:r>
              <w:rPr>
                <w:rFonts w:hint="eastAsia" w:ascii="宋体" w:hAnsi="宋体" w:cs="宋体"/>
                <w:szCs w:val="21"/>
                <w:highlight w:val="none"/>
              </w:rPr>
              <w:t xml:space="preserve">评委根据投标人提供的</w:t>
            </w:r>
            <w:r>
              <w:rPr>
                <w:rFonts w:hint="eastAsia" w:ascii="宋体" w:hAnsi="宋体"/>
                <w:color w:val="000000"/>
                <w:szCs w:val="21"/>
                <w:highlight w:val="none"/>
              </w:rPr>
              <w:t xml:space="preserve">美术教室2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编号</w:t>
            </w:r>
            <w:r>
              <w:rPr>
                <w:rFonts w:hint="eastAsia" w:ascii="宋体" w:hAnsi="宋体"/>
                <w:color w:val="000000"/>
                <w:szCs w:val="21"/>
                <w:highlight w:val="none"/>
                <w:lang w:val="en-US" w:eastAsia="zh-CN"/>
              </w:rPr>
              <w:t xml:space="preserve">51</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现代媒体艺术定格动画软件功能</w:t>
            </w:r>
            <w:r>
              <w:rPr>
                <w:rFonts w:hint="eastAsia" w:ascii="宋体" w:hAnsi="宋体" w:cs="宋体"/>
                <w:szCs w:val="21"/>
                <w:highlight w:val="none"/>
              </w:rPr>
              <w:t xml:space="preserve">视频演示情况综合评分：</w:t>
            </w:r>
            <w:r>
              <w:rPr>
                <w:rFonts w:hint="eastAsia" w:ascii="宋体" w:hAnsi="宋体" w:cs="宋体"/>
                <w:szCs w:val="21"/>
                <w:highlight w:val="none"/>
                <w:lang w:eastAsia="zh-CN"/>
              </w:rPr>
              <w:t xml:space="preserve">（</w:t>
            </w:r>
            <w:r>
              <w:rPr>
                <w:rFonts w:hint="eastAsia" w:ascii="宋体" w:hAnsi="宋体"/>
                <w:color w:val="000000"/>
                <w:szCs w:val="21"/>
                <w:highlight w:val="none"/>
              </w:rPr>
              <w:t xml:space="preserve">演示时间不得超过5分钟</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708"/>
              <w:numPr>
                <w:ilvl w:val="0"/>
                <w:numId w:val="0"/>
              </w:numPr>
              <w:rPr>
                <w:rFonts w:hint="eastAsia" w:ascii="宋体" w:hAnsi="宋体"/>
                <w:color w:val="000000"/>
                <w:szCs w:val="21"/>
                <w:highlight w:val="none"/>
                <w:lang w:eastAsia="zh-CN"/>
              </w:rPr>
            </w:pPr>
            <w:r>
              <w:rPr>
                <w:rFonts w:hint="eastAsia" w:ascii="宋体" w:hAnsi="宋体"/>
                <w:color w:val="000000"/>
                <w:szCs w:val="21"/>
                <w:highlight w:val="none"/>
              </w:rPr>
              <w:t xml:space="preserve">按照产品参数描述进行以下功能模块的视频演示：</w:t>
            </w:r>
            <w:r>
              <w:rPr>
                <w:rFonts w:hint="eastAsia" w:ascii="宋体" w:hAnsi="宋体"/>
                <w:color w:val="000000"/>
                <w:szCs w:val="21"/>
                <w:highlight w:val="none"/>
              </w:rPr>
              <w:br w:type="textWrapping" w:clear="all"/>
            </w:r>
            <w:r>
              <w:rPr>
                <w:rFonts w:hint="eastAsia" w:ascii="宋体" w:hAnsi="宋体"/>
                <w:szCs w:val="21"/>
                <w:highlight w:val="none"/>
              </w:rPr>
              <w:t xml:space="preserve">（1）</w:t>
            </w:r>
            <w:r>
              <w:rPr>
                <w:rFonts w:hint="eastAsia" w:ascii="宋体" w:hAnsi="宋体"/>
                <w:color w:val="000000"/>
                <w:szCs w:val="21"/>
                <w:highlight w:val="none"/>
              </w:rPr>
              <w:t xml:space="preserve">、能实现逐格拍摄动画，连续播放预览，能够设置拍摄播放帧率</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rPr>
              <w:br w:type="textWrapping" w:clear="all"/>
            </w:r>
            <w:r>
              <w:rPr>
                <w:rFonts w:hint="eastAsia" w:ascii="宋体" w:hAnsi="宋体"/>
                <w:szCs w:val="21"/>
                <w:highlight w:val="none"/>
              </w:rPr>
              <w:t xml:space="preserve">（2）</w:t>
            </w:r>
            <w:r>
              <w:rPr>
                <w:rFonts w:hint="eastAsia" w:ascii="宋体" w:hAnsi="宋体"/>
                <w:color w:val="000000"/>
                <w:szCs w:val="21"/>
                <w:highlight w:val="none"/>
              </w:rPr>
              <w:t xml:space="preserve">、运用反向动力学所见即所得的角色动作操作，案例角色关节人偶的动作设置操作，与动画记录</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rPr>
              <w:br w:type="textWrapping" w:clear="all"/>
            </w:r>
            <w:r>
              <w:rPr>
                <w:rFonts w:hint="eastAsia" w:ascii="宋体" w:hAnsi="宋体"/>
                <w:szCs w:val="21"/>
                <w:highlight w:val="none"/>
              </w:rPr>
              <w:t xml:space="preserve">（3）</w:t>
            </w:r>
            <w:r>
              <w:rPr>
                <w:rFonts w:hint="eastAsia" w:ascii="宋体" w:hAnsi="宋体"/>
                <w:color w:val="000000"/>
                <w:szCs w:val="21"/>
                <w:highlight w:val="none"/>
              </w:rPr>
              <w:t xml:space="preserve">、遥控键盘控制软件进行动画拍摄，全部操作运用遥控键盘进行拍摄，提供“洋葱皮”参考，时间轴编辑，播放控制辑，播放控制等全部通过遥控键盘完成，主机电脑与拍摄操作台分离也可以便捷拍摄操作</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rPr>
              <w:br w:type="textWrapping" w:clear="all"/>
            </w:r>
            <w:r>
              <w:rPr>
                <w:rFonts w:hint="eastAsia" w:ascii="宋体" w:hAnsi="宋体"/>
                <w:color w:val="000000"/>
                <w:szCs w:val="21"/>
                <w:highlight w:val="none"/>
              </w:rPr>
              <w:t xml:space="preserve">2、</w:t>
            </w:r>
            <w:r>
              <w:rPr>
                <w:rFonts w:hint="eastAsia" w:ascii="宋体" w:hAnsi="宋体" w:cs="宋体"/>
                <w:szCs w:val="21"/>
                <w:highlight w:val="none"/>
              </w:rPr>
              <w:t xml:space="preserve">评委根据投标人</w:t>
            </w:r>
            <w:r>
              <w:rPr>
                <w:rFonts w:hint="eastAsia" w:ascii="宋体" w:hAnsi="宋体"/>
                <w:color w:val="000000"/>
                <w:szCs w:val="21"/>
                <w:highlight w:val="none"/>
              </w:rPr>
              <w:t xml:space="preserve">提供美术教室2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编号</w:t>
            </w:r>
            <w:r>
              <w:rPr>
                <w:rFonts w:hint="eastAsia" w:ascii="宋体" w:hAnsi="宋体"/>
                <w:color w:val="000000"/>
                <w:szCs w:val="21"/>
                <w:highlight w:val="none"/>
                <w:lang w:val="en-US" w:eastAsia="zh-CN"/>
              </w:rPr>
              <w:t xml:space="preserve">70</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定格动画数字美术教学软件功能视频演示</w:t>
            </w:r>
            <w:r>
              <w:rPr>
                <w:rFonts w:hint="eastAsia" w:ascii="宋体" w:hAnsi="宋体" w:cs="宋体"/>
                <w:szCs w:val="21"/>
                <w:highlight w:val="none"/>
              </w:rPr>
              <w:t xml:space="preserve">情况综合评分：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演示时间不得超过5分钟</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708"/>
              <w:numPr>
                <w:ilvl w:val="0"/>
                <w:numId w:val="0"/>
              </w:numPr>
              <w:rPr>
                <w:rFonts w:hint="eastAsia" w:ascii="宋体" w:hAnsi="宋体"/>
                <w:color w:val="000000"/>
                <w:szCs w:val="21"/>
                <w:highlight w:val="none"/>
              </w:rPr>
            </w:pPr>
            <w:r>
              <w:rPr>
                <w:rFonts w:hint="eastAsia" w:ascii="宋体" w:hAnsi="宋体"/>
                <w:color w:val="000000"/>
                <w:szCs w:val="21"/>
                <w:highlight w:val="none"/>
              </w:rPr>
              <w:t xml:space="preserve">按照产品参数描述进行以下功能模块的视频演示：</w:t>
            </w:r>
            <w:r>
              <w:rPr>
                <w:rFonts w:hint="eastAsia" w:ascii="宋体" w:hAnsi="宋体"/>
                <w:color w:val="000000"/>
                <w:szCs w:val="21"/>
                <w:highlight w:val="none"/>
              </w:rPr>
              <w:br w:type="textWrapping" w:clear="all"/>
            </w:r>
            <w:r>
              <w:rPr>
                <w:rFonts w:hint="eastAsia" w:ascii="宋体" w:hAnsi="宋体"/>
                <w:szCs w:val="21"/>
                <w:highlight w:val="none"/>
              </w:rPr>
              <w:t xml:space="preserve">（1）</w:t>
            </w:r>
            <w:r>
              <w:rPr>
                <w:rFonts w:hint="eastAsia" w:ascii="宋体" w:hAnsi="宋体"/>
                <w:color w:val="000000"/>
                <w:szCs w:val="21"/>
                <w:highlight w:val="none"/>
              </w:rPr>
              <w:t xml:space="preserve">、仿真画笔功能：具备铅笔、钢笔、喷笔、水彩笔、油画笔、蜡笔、麦克笔、毛笔、特制笔等不少于55种仿真画笔，具备橡皮擦和一键清除图层功能</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rPr>
              <w:br w:type="textWrapping" w:clear="all"/>
            </w:r>
            <w:r>
              <w:rPr>
                <w:rFonts w:hint="eastAsia" w:ascii="宋体" w:hAnsi="宋体"/>
                <w:szCs w:val="21"/>
                <w:highlight w:val="none"/>
              </w:rPr>
              <w:t xml:space="preserve">（2）、</w:t>
            </w:r>
            <w:r>
              <w:rPr>
                <w:rFonts w:hint="eastAsia" w:ascii="宋体" w:hAnsi="宋体"/>
                <w:color w:val="000000"/>
                <w:szCs w:val="21"/>
                <w:highlight w:val="none"/>
              </w:rPr>
              <w:t xml:space="preserve">动画制作功能：支持通过拖调节动画播放速度，可将动画保存为GIF动态图片或AVI视频，素材库包含花朵会盛开，鱼儿会游，昆虫会飞，小草会长教学动画及作品上传等功能</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rPr>
              <w:br w:type="textWrapping" w:clear="all"/>
            </w:r>
            <w:r>
              <w:rPr>
                <w:rFonts w:hint="eastAsia" w:ascii="宋体" w:hAnsi="宋体"/>
                <w:szCs w:val="21"/>
                <w:highlight w:val="none"/>
              </w:rPr>
              <w:t xml:space="preserve">（3）</w:t>
            </w:r>
            <w:r>
              <w:rPr>
                <w:rFonts w:hint="eastAsia" w:ascii="宋体" w:hAnsi="宋体"/>
                <w:color w:val="000000"/>
                <w:szCs w:val="21"/>
                <w:highlight w:val="none"/>
              </w:rPr>
              <w:t xml:space="preserve">、多种3D模型，可将绘画作品实时为3D模型贴图，并可一键输出多角度图形文件</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得1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分，不提供或者不满足不得分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br w:type="textWrapping" w:clear="all"/>
            </w:r>
            <w:r>
              <w:rPr>
                <w:rFonts w:hint="eastAsia" w:ascii="宋体" w:hAnsi="宋体"/>
                <w:color w:val="000000"/>
                <w:szCs w:val="21"/>
                <w:highlight w:val="none"/>
              </w:rPr>
              <w:t xml:space="preserve">注:</w:t>
            </w:r>
            <w:r>
              <w:rPr>
                <w:rFonts w:hint="eastAsia" w:ascii="宋体" w:hAnsi="宋体" w:cs="宋体"/>
                <w:szCs w:val="21"/>
                <w:highlight w:val="none"/>
              </w:rPr>
              <w:t xml:space="preserve">本项最多得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应</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真实样品设备、真实软件系统针对具体演示内容进行展示，并录制演示视频文件，否则不予认可。</w:t>
            </w:r>
            <w:r>
              <w:rPr>
                <w:rFonts w:hint="eastAsia" w:ascii="宋体" w:hAnsi="宋体"/>
                <w:color w:val="000000"/>
                <w:szCs w:val="21"/>
                <w:highlight w:val="none"/>
              </w:rPr>
            </w:r>
            <w:r/>
          </w:p>
          <w:p>
            <w:pPr>
              <w:pStyle w:val="708"/>
              <w:spacing w:line="300" w:lineRule="exact"/>
              <w:widowControl/>
              <w:rPr>
                <w:rFonts w:hint="eastAsia" w:ascii="宋体" w:hAnsi="宋体"/>
                <w:szCs w:val="21"/>
                <w:highlight w:val="none"/>
              </w:rPr>
            </w:pPr>
            <w:r>
              <w:rPr>
                <w:rFonts w:hint="eastAsia" w:ascii="宋体" w:hAnsi="宋体"/>
                <w:color w:val="000000"/>
                <w:szCs w:val="21"/>
                <w:highlight w:val="none"/>
              </w:rPr>
              <w:t xml:space="preserve">未提供视频文件或因</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自身原因视频文件无法打开或视频画面不清晰无法辨认的不得分。</w:t>
            </w:r>
            <w:r>
              <w:rPr>
                <w:rFonts w:hint="eastAsia" w:ascii="宋体" w:hAnsi="宋体"/>
                <w:szCs w:val="21"/>
                <w:highlight w:val="none"/>
              </w:rPr>
            </w:r>
            <w:r/>
          </w:p>
        </w:tc>
        <w:tc>
          <w:tcPr>
            <w:tcW w:w="647" w:type="dxa"/>
            <w:vAlign w:val="center"/>
            <w:textDirection w:val="lrTb"/>
            <w:noWrap w:val="false"/>
          </w:tcPr>
          <w:p>
            <w:pPr>
              <w:pStyle w:val="708"/>
              <w:jc w:val="center"/>
              <w:spacing w:before="68"/>
              <w:rPr>
                <w:rFonts w:hint="eastAsia" w:ascii="宋体" w:hAnsi="宋体" w:eastAsia="宋体" w:cs="宋体"/>
                <w:sz w:val="20"/>
                <w:szCs w:val="21"/>
                <w:highlight w:val="none"/>
                <w:lang w:eastAsia="zh-CN"/>
              </w:rPr>
            </w:pPr>
            <w:r>
              <w:rPr>
                <w:rFonts w:hint="eastAsia" w:ascii="宋体" w:hAnsi="宋体" w:cs="宋体"/>
                <w:sz w:val="20"/>
                <w:szCs w:val="21"/>
                <w:highlight w:val="none"/>
                <w:lang w:val="en-US" w:eastAsia="zh-CN"/>
              </w:rPr>
              <w:t xml:space="preserve">9</w:t>
            </w:r>
            <w:r>
              <w:rPr>
                <w:rFonts w:hint="eastAsia" w:ascii="宋体" w:hAnsi="宋体" w:eastAsia="宋体" w:cs="宋体"/>
                <w:sz w:val="20"/>
                <w:szCs w:val="21"/>
                <w:highlight w:val="none"/>
                <w:lang w:eastAsia="zh-CN"/>
              </w:rPr>
            </w:r>
            <w:r/>
          </w:p>
        </w:tc>
        <w:tc>
          <w:tcPr>
            <w:tcW w:w="900" w:type="dxa"/>
            <w:vAlign w:val="center"/>
            <w:textDirection w:val="lrTb"/>
            <w:noWrap w:val="false"/>
          </w:tcPr>
          <w:p>
            <w:pPr>
              <w:pStyle w:val="708"/>
              <w:jc w:val="center"/>
              <w:spacing w:before="68"/>
              <w:rPr>
                <w:rFonts w:hint="eastAsia" w:ascii="宋体" w:hAnsi="宋体" w:cs="宋体"/>
                <w:spacing w:val="-6"/>
                <w:sz w:val="20"/>
                <w:szCs w:val="21"/>
                <w:highlight w:val="none"/>
              </w:rPr>
            </w:pPr>
            <w:r>
              <w:rPr>
                <w:rFonts w:hint="eastAsia" w:ascii="宋体" w:hAnsi="宋体" w:cs="宋体"/>
                <w:spacing w:val="-6"/>
                <w:szCs w:val="21"/>
                <w:highlight w:val="none"/>
              </w:rPr>
              <w:t xml:space="preserve">主观分</w:t>
            </w:r>
            <w:r>
              <w:rPr>
                <w:rFonts w:hint="eastAsia" w:ascii="宋体" w:hAnsi="宋体" w:cs="宋体"/>
                <w:spacing w:val="-6"/>
                <w:sz w:val="20"/>
                <w:szCs w:val="21"/>
                <w:highlight w:val="none"/>
              </w:rPr>
            </w:r>
            <w:r/>
          </w:p>
        </w:tc>
      </w:tr>
      <w:tr>
        <w:trPr>
          <w:trHeight w:val="472"/>
        </w:trPr>
        <w:tc>
          <w:tcPr>
            <w:gridSpan w:val="5"/>
            <w:tcW w:w="9575" w:type="dxa"/>
            <w:vAlign w:val="center"/>
            <w:textDirection w:val="lrTb"/>
            <w:noWrap w:val="false"/>
          </w:tcPr>
          <w:p>
            <w:pPr>
              <w:pStyle w:val="708"/>
              <w:spacing w:before="68"/>
              <w:rPr>
                <w:rFonts w:hint="eastAsia" w:ascii="宋体" w:hAnsi="宋体" w:cs="宋体"/>
                <w:szCs w:val="21"/>
                <w:highlight w:val="none"/>
              </w:rPr>
            </w:pPr>
            <w:r>
              <w:rPr>
                <w:rFonts w:hint="eastAsia" w:ascii="宋体" w:hAnsi="宋体" w:cs="宋体"/>
                <w:b/>
                <w:bCs/>
                <w:spacing w:val="-3"/>
                <w:szCs w:val="21"/>
                <w:highlight w:val="none"/>
              </w:rPr>
              <w:t xml:space="preserve">3.服务</w:t>
            </w:r>
            <w:r>
              <w:rPr>
                <w:rFonts w:hint="eastAsia" w:ascii="宋体" w:hAnsi="宋体" w:cs="宋体"/>
                <w:szCs w:val="21"/>
                <w:highlight w:val="none"/>
              </w:rPr>
            </w:r>
            <w:r/>
          </w:p>
        </w:tc>
      </w:tr>
      <w:tr>
        <w:trPr>
          <w:trHeight w:val="668"/>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3.1</w:t>
            </w:r>
            <w:r>
              <w:rPr>
                <w:rFonts w:hint="eastAsia" w:ascii="宋体" w:hAnsi="宋体" w:cs="宋体"/>
                <w:spacing w:val="-2"/>
                <w:szCs w:val="21"/>
                <w:highlight w:val="none"/>
              </w:rPr>
            </w:r>
            <w:r/>
          </w:p>
        </w:tc>
        <w:tc>
          <w:tcPr>
            <w:tcW w:w="1235" w:type="dxa"/>
            <w:vAlign w:val="center"/>
            <w:textDirection w:val="lrTb"/>
            <w:noWrap w:val="false"/>
          </w:tcPr>
          <w:p>
            <w:pPr>
              <w:pStyle w:val="708"/>
              <w:jc w:val="left"/>
              <w:spacing w:before="68"/>
              <w:rPr>
                <w:rFonts w:hint="eastAsia" w:ascii="宋体" w:hAnsi="宋体" w:cs="宋体"/>
                <w:spacing w:val="-2"/>
                <w:szCs w:val="21"/>
                <w:highlight w:val="none"/>
              </w:rPr>
            </w:pPr>
            <w:r>
              <w:rPr>
                <w:rFonts w:hint="eastAsia" w:ascii="宋体" w:hAnsi="宋体" w:cs="宋体"/>
                <w:spacing w:val="-2"/>
                <w:szCs w:val="21"/>
                <w:highlight w:val="none"/>
              </w:rPr>
              <w:t xml:space="preserve">实施方案</w:t>
            </w:r>
            <w:r>
              <w:rPr>
                <w:rFonts w:hint="eastAsia" w:ascii="宋体" w:hAnsi="宋体" w:cs="宋体"/>
                <w:spacing w:val="-2"/>
                <w:szCs w:val="21"/>
                <w:highlight w:val="none"/>
              </w:rPr>
            </w:r>
            <w:r/>
          </w:p>
        </w:tc>
        <w:tc>
          <w:tcPr>
            <w:tcW w:w="6274" w:type="dxa"/>
            <w:vAlign w:val="center"/>
            <w:textDirection w:val="lrTb"/>
            <w:noWrap w:val="false"/>
          </w:tcPr>
          <w:p>
            <w:pPr>
              <w:pStyle w:val="1112"/>
              <w:jc w:val="both"/>
              <w:rPr>
                <w:rFonts w:hint="eastAsia" w:hAnsi="宋体"/>
                <w:color w:val="000000"/>
                <w:sz w:val="21"/>
                <w:szCs w:val="21"/>
                <w:highlight w:val="none"/>
              </w:rPr>
            </w:pPr>
            <w:r/>
            <w:bookmarkStart w:id="51" w:name="OLE_LINK4"/>
            <w:r>
              <w:rPr>
                <w:rFonts w:hint="eastAsia" w:hAnsi="宋体"/>
                <w:color w:val="000000"/>
                <w:sz w:val="21"/>
                <w:szCs w:val="21"/>
                <w:highlight w:val="none"/>
                <w:lang w:val="zh-CN"/>
              </w:rPr>
              <w:t xml:space="preserve">投标人提供的本项目</w:t>
            </w:r>
            <w:r>
              <w:rPr>
                <w:rFonts w:hint="eastAsia" w:hAnsi="宋体"/>
                <w:color w:val="000000"/>
                <w:sz w:val="21"/>
                <w:szCs w:val="21"/>
                <w:highlight w:val="none"/>
              </w:rPr>
              <w:t xml:space="preserve">实施方案</w:t>
            </w:r>
            <w:r>
              <w:rPr>
                <w:rFonts w:hint="eastAsia" w:hAnsi="宋体"/>
                <w:color w:val="000000"/>
                <w:sz w:val="21"/>
                <w:szCs w:val="21"/>
                <w:highlight w:val="none"/>
                <w:lang w:val="zh-CN"/>
              </w:rPr>
              <w:t xml:space="preserve">，</w:t>
            </w:r>
            <w:bookmarkStart w:id="52" w:name="OLE_LINK9"/>
            <w:r>
              <w:rPr>
                <w:rFonts w:hint="eastAsia" w:hAnsi="宋体"/>
                <w:color w:val="000000"/>
                <w:sz w:val="21"/>
                <w:szCs w:val="21"/>
                <w:highlight w:val="none"/>
                <w:lang w:val="zh-CN"/>
              </w:rPr>
              <w:t xml:space="preserve">包含（每项内容逐条阐述）：</w:t>
            </w:r>
            <w:bookmarkEnd w:id="52"/>
            <w:r>
              <w:rPr>
                <w:rFonts w:hint="eastAsia" w:hAnsi="宋体"/>
                <w:color w:val="000000"/>
                <w:sz w:val="21"/>
                <w:szCs w:val="21"/>
                <w:highlight w:val="none"/>
              </w:rPr>
            </w:r>
            <w:r/>
          </w:p>
          <w:p>
            <w:pPr>
              <w:pStyle w:val="1112"/>
              <w:jc w:val="both"/>
              <w:rPr>
                <w:rFonts w:hint="eastAsia" w:hAnsi="宋体"/>
                <w:color w:val="000000"/>
                <w:sz w:val="21"/>
                <w:szCs w:val="21"/>
                <w:highlight w:val="none"/>
              </w:rPr>
            </w:pPr>
            <w:r>
              <w:rPr>
                <w:rFonts w:hint="eastAsia" w:hAnsi="宋体"/>
                <w:color w:val="000000"/>
                <w:sz w:val="21"/>
                <w:szCs w:val="21"/>
                <w:highlight w:val="none"/>
              </w:rPr>
              <w:t xml:space="preserve">1.进度计划生产设备安排；2.设备包装、运输、安装、调试；3.协调配合措施。</w:t>
            </w:r>
            <w:r>
              <w:rPr>
                <w:rFonts w:hint="eastAsia" w:hAnsi="宋体"/>
                <w:color w:val="000000"/>
                <w:sz w:val="21"/>
                <w:szCs w:val="21"/>
                <w:highlight w:val="none"/>
              </w:rPr>
            </w:r>
            <w:r/>
          </w:p>
          <w:p>
            <w:pPr>
              <w:pStyle w:val="1112"/>
              <w:jc w:val="both"/>
              <w:rPr>
                <w:rFonts w:hint="eastAsia" w:hAnsi="宋体"/>
                <w:color w:val="000000"/>
                <w:sz w:val="21"/>
                <w:szCs w:val="21"/>
                <w:highlight w:val="none"/>
              </w:rPr>
            </w:pPr>
            <w:r>
              <w:rPr>
                <w:rFonts w:hint="eastAsia" w:hAnsi="宋体"/>
                <w:color w:val="000000"/>
                <w:sz w:val="21"/>
                <w:szCs w:val="21"/>
                <w:highlight w:val="none"/>
              </w:rPr>
              <w:t xml:space="preserve">（1）上述每项实施方案完整深刻，针对性强，紧贴采购需求实际，得2分；</w:t>
            </w:r>
            <w:r>
              <w:rPr>
                <w:rFonts w:hint="eastAsia" w:hAnsi="宋体"/>
                <w:color w:val="000000"/>
                <w:sz w:val="21"/>
                <w:szCs w:val="21"/>
                <w:highlight w:val="none"/>
              </w:rPr>
            </w:r>
            <w:r/>
          </w:p>
          <w:p>
            <w:pPr>
              <w:pStyle w:val="1112"/>
              <w:jc w:val="both"/>
              <w:rPr>
                <w:rFonts w:hint="eastAsia" w:hAnsi="宋体"/>
                <w:color w:val="000000"/>
                <w:sz w:val="21"/>
                <w:szCs w:val="21"/>
                <w:highlight w:val="none"/>
              </w:rPr>
            </w:pPr>
            <w:r>
              <w:rPr>
                <w:rFonts w:hint="eastAsia" w:hAnsi="宋体"/>
                <w:color w:val="000000"/>
                <w:sz w:val="21"/>
                <w:szCs w:val="21"/>
                <w:highlight w:val="none"/>
              </w:rPr>
              <w:t xml:space="preserve">（2）上述每项实施方案基本完整，有一定针对性，基本符合采购需求实际，得1分；</w:t>
            </w:r>
            <w:r>
              <w:rPr>
                <w:rFonts w:hint="eastAsia" w:hAnsi="宋体"/>
                <w:color w:val="000000"/>
                <w:sz w:val="21"/>
                <w:szCs w:val="21"/>
                <w:highlight w:val="none"/>
              </w:rPr>
            </w:r>
            <w:r/>
          </w:p>
          <w:p>
            <w:pPr>
              <w:pStyle w:val="1112"/>
              <w:jc w:val="both"/>
              <w:rPr>
                <w:rFonts w:hint="eastAsia" w:hAnsi="宋体"/>
                <w:color w:val="000000"/>
                <w:sz w:val="21"/>
                <w:szCs w:val="21"/>
                <w:highlight w:val="none"/>
              </w:rPr>
            </w:pPr>
            <w:r/>
            <w:bookmarkEnd w:id="51"/>
            <w:r>
              <w:rPr>
                <w:rFonts w:hint="eastAsia" w:hAnsi="宋体"/>
                <w:color w:val="000000"/>
                <w:sz w:val="21"/>
                <w:szCs w:val="21"/>
                <w:highlight w:val="none"/>
              </w:rPr>
              <w:t xml:space="preserve">（3）上述实施方案不完整，缺乏针对性，脱离采购需求实际或者未提供方案的，不得分。</w:t>
            </w:r>
            <w:r>
              <w:rPr>
                <w:rFonts w:hint="eastAsia" w:hAnsi="宋体"/>
                <w:color w:val="000000"/>
                <w:sz w:val="21"/>
                <w:szCs w:val="21"/>
                <w:highlight w:val="none"/>
              </w:rPr>
            </w:r>
            <w:r/>
          </w:p>
          <w:p>
            <w:pPr>
              <w:pStyle w:val="1128"/>
              <w:rPr>
                <w:rFonts w:hint="eastAsia"/>
                <w:sz w:val="21"/>
                <w:szCs w:val="21"/>
                <w:highlight w:val="none"/>
              </w:rPr>
            </w:pPr>
            <w:r>
              <w:rPr>
                <w:rFonts w:hint="eastAsia"/>
                <w:sz w:val="21"/>
                <w:szCs w:val="21"/>
                <w:highlight w:val="none"/>
                <w:lang w:val="en-US" w:bidi="ar-SA"/>
              </w:rPr>
              <w:t xml:space="preserve">本项最高得6分。</w:t>
            </w:r>
            <w:r>
              <w:rPr>
                <w:rFonts w:hint="eastAsia"/>
                <w:sz w:val="21"/>
                <w:szCs w:val="21"/>
                <w:highlight w:val="none"/>
              </w:rPr>
            </w:r>
            <w:r/>
          </w:p>
        </w:tc>
        <w:tc>
          <w:tcPr>
            <w:tcW w:w="647"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900" w:type="dxa"/>
            <w:vAlign w:val="center"/>
            <w:textDirection w:val="lrTb"/>
            <w:noWrap w:val="false"/>
          </w:tcPr>
          <w:p>
            <w:pPr>
              <w:pStyle w:val="708"/>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主观分</w:t>
            </w:r>
            <w:r>
              <w:rPr>
                <w:rFonts w:hint="eastAsia" w:ascii="宋体" w:hAnsi="宋体" w:cs="宋体"/>
                <w:spacing w:val="-6"/>
                <w:szCs w:val="21"/>
                <w:highlight w:val="none"/>
              </w:rPr>
            </w:r>
            <w:r/>
          </w:p>
        </w:tc>
      </w:tr>
      <w:tr>
        <w:trPr>
          <w:trHeight w:val="133"/>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3.2</w:t>
            </w:r>
            <w:r>
              <w:rPr>
                <w:rFonts w:hint="eastAsia" w:ascii="宋体" w:hAnsi="宋体" w:cs="宋体"/>
                <w:spacing w:val="-2"/>
                <w:szCs w:val="21"/>
                <w:highlight w:val="none"/>
              </w:rPr>
            </w:r>
            <w:r/>
          </w:p>
        </w:tc>
        <w:tc>
          <w:tcPr>
            <w:tcW w:w="1235" w:type="dxa"/>
            <w:vAlign w:val="center"/>
            <w:textDirection w:val="lrTb"/>
            <w:noWrap w:val="false"/>
          </w:tcPr>
          <w:p>
            <w:pPr>
              <w:pStyle w:val="708"/>
              <w:jc w:val="left"/>
              <w:spacing w:before="68"/>
              <w:rPr>
                <w:rFonts w:hint="eastAsia" w:ascii="宋体" w:hAnsi="宋体" w:cs="宋体"/>
                <w:spacing w:val="-2"/>
                <w:szCs w:val="21"/>
                <w:highlight w:val="none"/>
              </w:rPr>
            </w:pPr>
            <w:r>
              <w:rPr>
                <w:rFonts w:hint="eastAsia" w:ascii="宋体" w:hAnsi="宋体" w:cs="宋体"/>
                <w:spacing w:val="-2"/>
                <w:szCs w:val="21"/>
                <w:highlight w:val="none"/>
              </w:rPr>
              <w:t xml:space="preserve">售后服务方案</w:t>
            </w:r>
            <w:r>
              <w:rPr>
                <w:rFonts w:hint="eastAsia" w:ascii="宋体" w:hAnsi="宋体" w:cs="宋体"/>
                <w:spacing w:val="-2"/>
                <w:szCs w:val="21"/>
                <w:highlight w:val="none"/>
              </w:rPr>
            </w:r>
            <w:r/>
          </w:p>
        </w:tc>
        <w:tc>
          <w:tcPr>
            <w:tcW w:w="6274" w:type="dxa"/>
            <w:vAlign w:val="center"/>
            <w:textDirection w:val="lrTb"/>
            <w:noWrap w:val="false"/>
          </w:tcPr>
          <w:p>
            <w:pPr>
              <w:pStyle w:val="1112"/>
              <w:jc w:val="both"/>
              <w:rPr>
                <w:rFonts w:hint="eastAsia" w:hAnsi="宋体"/>
                <w:color w:val="000000"/>
                <w:sz w:val="21"/>
                <w:szCs w:val="21"/>
                <w:highlight w:val="none"/>
              </w:rPr>
            </w:pPr>
            <w:r>
              <w:rPr>
                <w:rFonts w:hint="eastAsia" w:hAnsi="宋体"/>
                <w:color w:val="000000"/>
                <w:sz w:val="21"/>
                <w:szCs w:val="21"/>
                <w:highlight w:val="none"/>
                <w:lang w:val="zh-CN"/>
              </w:rPr>
              <w:t xml:space="preserve">投标人提供的本项目售后服务保障</w:t>
            </w:r>
            <w:r>
              <w:rPr>
                <w:rFonts w:hint="eastAsia" w:hAnsi="宋体"/>
                <w:color w:val="000000"/>
                <w:sz w:val="21"/>
                <w:szCs w:val="21"/>
                <w:highlight w:val="none"/>
              </w:rPr>
              <w:t xml:space="preserve">方案</w:t>
            </w:r>
            <w:r>
              <w:rPr>
                <w:rFonts w:hint="eastAsia" w:hAnsi="宋体"/>
                <w:color w:val="000000"/>
                <w:sz w:val="21"/>
                <w:szCs w:val="21"/>
                <w:highlight w:val="none"/>
                <w:lang w:val="zh-CN"/>
              </w:rPr>
              <w:t xml:space="preserve">，包含（每项内容逐条阐述）：</w:t>
            </w:r>
            <w:r>
              <w:rPr>
                <w:rFonts w:hint="eastAsia" w:hAnsi="宋体"/>
                <w:color w:val="000000"/>
                <w:sz w:val="21"/>
                <w:szCs w:val="21"/>
                <w:highlight w:val="none"/>
              </w:rPr>
            </w:r>
            <w:r/>
          </w:p>
          <w:p>
            <w:pPr>
              <w:pStyle w:val="708"/>
              <w:rPr>
                <w:rFonts w:hint="eastAsia" w:ascii="宋体" w:hAnsi="宋体" w:cs="宋体"/>
                <w:szCs w:val="21"/>
                <w:highlight w:val="none"/>
              </w:rPr>
            </w:pPr>
            <w:r>
              <w:rPr>
                <w:rFonts w:hint="eastAsia" w:ascii="宋体" w:hAnsi="宋体" w:cs="宋体"/>
                <w:szCs w:val="21"/>
                <w:highlight w:val="none"/>
              </w:rPr>
              <w:t xml:space="preserve">1.故障解决方案；2.售后技术人员保障；3.响应时间。</w:t>
            </w:r>
            <w:r>
              <w:rPr>
                <w:rFonts w:hint="eastAsia" w:ascii="宋体" w:hAnsi="宋体" w:cs="宋体"/>
                <w:szCs w:val="21"/>
                <w:highlight w:val="none"/>
              </w:rPr>
            </w:r>
            <w:r/>
          </w:p>
          <w:p>
            <w:pPr>
              <w:pStyle w:val="1112"/>
              <w:jc w:val="both"/>
              <w:rPr>
                <w:rFonts w:hint="eastAsia" w:hAnsi="宋体"/>
                <w:color w:val="000000"/>
                <w:sz w:val="21"/>
                <w:szCs w:val="21"/>
                <w:highlight w:val="none"/>
              </w:rPr>
            </w:pPr>
            <w:r>
              <w:rPr>
                <w:rFonts w:hint="eastAsia" w:hAnsi="宋体"/>
                <w:color w:val="000000"/>
                <w:sz w:val="21"/>
                <w:szCs w:val="21"/>
                <w:highlight w:val="none"/>
              </w:rPr>
              <w:t xml:space="preserve">（1）上述每项内容完整深刻，针对性强，紧贴采购需求实际，得2分；</w:t>
            </w:r>
            <w:r>
              <w:rPr>
                <w:rFonts w:hint="eastAsia" w:hAnsi="宋体"/>
                <w:color w:val="000000"/>
                <w:sz w:val="21"/>
                <w:szCs w:val="21"/>
                <w:highlight w:val="none"/>
              </w:rPr>
            </w:r>
            <w:r/>
          </w:p>
          <w:p>
            <w:pPr>
              <w:pStyle w:val="1112"/>
              <w:jc w:val="both"/>
              <w:rPr>
                <w:rFonts w:hint="eastAsia" w:hAnsi="宋体"/>
                <w:color w:val="000000"/>
                <w:sz w:val="21"/>
                <w:szCs w:val="21"/>
                <w:highlight w:val="none"/>
              </w:rPr>
            </w:pPr>
            <w:r>
              <w:rPr>
                <w:rFonts w:hint="eastAsia" w:hAnsi="宋体"/>
                <w:color w:val="000000"/>
                <w:sz w:val="21"/>
                <w:szCs w:val="21"/>
                <w:highlight w:val="none"/>
              </w:rPr>
              <w:t xml:space="preserve">（2）上述每项内容基本完整，有一定针对性，基本符合采购需求实际，得1分；</w:t>
            </w:r>
            <w:r>
              <w:rPr>
                <w:rFonts w:hint="eastAsia" w:hAnsi="宋体"/>
                <w:color w:val="000000"/>
                <w:sz w:val="21"/>
                <w:szCs w:val="21"/>
                <w:highlight w:val="none"/>
              </w:rPr>
            </w:r>
            <w:r/>
          </w:p>
          <w:p>
            <w:pPr>
              <w:pStyle w:val="1112"/>
              <w:jc w:val="both"/>
              <w:rPr>
                <w:rFonts w:hint="eastAsia" w:hAnsi="宋体"/>
                <w:color w:val="000000"/>
                <w:sz w:val="21"/>
                <w:szCs w:val="21"/>
                <w:highlight w:val="none"/>
              </w:rPr>
            </w:pPr>
            <w:r>
              <w:rPr>
                <w:rFonts w:hint="eastAsia" w:hAnsi="宋体"/>
                <w:color w:val="000000"/>
                <w:sz w:val="21"/>
                <w:szCs w:val="21"/>
                <w:highlight w:val="none"/>
              </w:rPr>
              <w:t xml:space="preserve">（3）上述每项内容不完整，缺乏针对性，脱离采购需求实际或者未提供方案的，不得分。</w:t>
            </w:r>
            <w:r>
              <w:rPr>
                <w:rFonts w:hint="eastAsia" w:hAnsi="宋体"/>
                <w:color w:val="000000"/>
                <w:sz w:val="21"/>
                <w:szCs w:val="21"/>
                <w:highlight w:val="none"/>
              </w:rPr>
            </w:r>
            <w:r/>
          </w:p>
          <w:p>
            <w:pPr>
              <w:pStyle w:val="1128"/>
              <w:rPr>
                <w:rFonts w:hint="eastAsia"/>
                <w:sz w:val="21"/>
                <w:szCs w:val="21"/>
                <w:highlight w:val="none"/>
              </w:rPr>
            </w:pPr>
            <w:r>
              <w:rPr>
                <w:rFonts w:hint="eastAsia"/>
                <w:sz w:val="21"/>
                <w:szCs w:val="21"/>
                <w:highlight w:val="none"/>
                <w:lang w:val="en-US" w:bidi="ar-SA"/>
              </w:rPr>
              <w:t xml:space="preserve">本项最高得6分。</w:t>
            </w:r>
            <w:r>
              <w:rPr>
                <w:rFonts w:hint="eastAsia"/>
                <w:sz w:val="21"/>
                <w:szCs w:val="21"/>
                <w:highlight w:val="none"/>
              </w:rPr>
            </w:r>
            <w:r/>
          </w:p>
        </w:tc>
        <w:tc>
          <w:tcPr>
            <w:tcW w:w="647"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900" w:type="dxa"/>
            <w:vAlign w:val="center"/>
            <w:textDirection w:val="lrTb"/>
            <w:noWrap w:val="false"/>
          </w:tcPr>
          <w:p>
            <w:pPr>
              <w:pStyle w:val="708"/>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主观分</w:t>
            </w:r>
            <w:r>
              <w:rPr>
                <w:rFonts w:hint="eastAsia" w:ascii="宋体" w:hAnsi="宋体" w:cs="宋体"/>
                <w:spacing w:val="-6"/>
                <w:szCs w:val="21"/>
                <w:highlight w:val="none"/>
              </w:rPr>
            </w:r>
            <w:r/>
          </w:p>
        </w:tc>
      </w:tr>
      <w:tr>
        <w:trPr>
          <w:trHeight w:val="455"/>
        </w:trPr>
        <w:tc>
          <w:tcPr>
            <w:gridSpan w:val="5"/>
            <w:tcW w:w="9575" w:type="dxa"/>
            <w:vAlign w:val="center"/>
            <w:textDirection w:val="lrTb"/>
            <w:noWrap w:val="false"/>
          </w:tcPr>
          <w:p>
            <w:pPr>
              <w:pStyle w:val="708"/>
              <w:rPr>
                <w:rFonts w:hint="eastAsia" w:ascii="宋体" w:hAnsi="宋体" w:cs="宋体"/>
                <w:szCs w:val="21"/>
                <w:highlight w:val="none"/>
              </w:rPr>
            </w:pPr>
            <w:r>
              <w:rPr>
                <w:rFonts w:hint="eastAsia" w:ascii="宋体" w:hAnsi="宋体" w:cs="宋体"/>
                <w:b/>
                <w:bCs/>
                <w:spacing w:val="-3"/>
                <w:szCs w:val="21"/>
                <w:highlight w:val="none"/>
              </w:rPr>
              <w:t xml:space="preserve">4.业绩</w:t>
            </w:r>
            <w:r>
              <w:rPr>
                <w:rFonts w:hint="eastAsia" w:ascii="宋体" w:hAnsi="宋体" w:cs="宋体"/>
                <w:szCs w:val="21"/>
                <w:highlight w:val="none"/>
              </w:rPr>
            </w:r>
            <w:r/>
          </w:p>
        </w:tc>
      </w:tr>
      <w:tr>
        <w:trPr>
          <w:trHeight w:val="513"/>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4.1</w:t>
            </w:r>
            <w:r>
              <w:rPr>
                <w:rFonts w:hint="eastAsia" w:ascii="宋体" w:hAnsi="宋体" w:cs="宋体"/>
                <w:spacing w:val="-2"/>
                <w:szCs w:val="21"/>
                <w:highlight w:val="none"/>
              </w:rPr>
            </w:r>
            <w:r/>
          </w:p>
        </w:tc>
        <w:tc>
          <w:tcPr>
            <w:tcW w:w="1235" w:type="dxa"/>
            <w:vAlign w:val="center"/>
            <w:textDirection w:val="lrTb"/>
            <w:noWrap w:val="false"/>
          </w:tcPr>
          <w:p>
            <w:pPr>
              <w:pStyle w:val="708"/>
              <w:spacing w:before="69"/>
              <w:rPr>
                <w:rFonts w:hint="eastAsia" w:ascii="宋体" w:hAnsi="宋体" w:cs="宋体"/>
                <w:spacing w:val="-2"/>
                <w:szCs w:val="21"/>
                <w:highlight w:val="none"/>
              </w:rPr>
            </w:pPr>
            <w:r>
              <w:rPr>
                <w:rFonts w:hint="eastAsia" w:ascii="宋体" w:hAnsi="宋体" w:cs="宋体"/>
                <w:spacing w:val="-1"/>
                <w:szCs w:val="21"/>
                <w:highlight w:val="none"/>
              </w:rPr>
              <w:t xml:space="preserve">投标人业绩</w:t>
            </w:r>
            <w:r>
              <w:rPr>
                <w:rFonts w:hint="eastAsia" w:ascii="宋体" w:hAnsi="宋体" w:cs="宋体"/>
                <w:spacing w:val="-2"/>
                <w:szCs w:val="21"/>
                <w:highlight w:val="none"/>
              </w:rPr>
            </w:r>
            <w:r/>
          </w:p>
        </w:tc>
        <w:tc>
          <w:tcPr>
            <w:tcW w:w="6274" w:type="dxa"/>
            <w:vAlign w:val="center"/>
            <w:textDirection w:val="lrTb"/>
            <w:noWrap w:val="false"/>
          </w:tcPr>
          <w:p>
            <w:pPr>
              <w:pStyle w:val="708"/>
              <w:rPr>
                <w:rFonts w:hint="eastAsia" w:ascii="宋体" w:hAnsi="宋体" w:cs="宋体"/>
                <w:szCs w:val="21"/>
                <w:highlight w:val="none"/>
              </w:rPr>
            </w:pPr>
            <w:r>
              <w:rPr>
                <w:rFonts w:hint="eastAsia" w:ascii="宋体" w:hAnsi="宋体" w:cs="宋体"/>
                <w:szCs w:val="21"/>
                <w:highlight w:val="none"/>
              </w:rPr>
              <w:t xml:space="preserve">投标人提供202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年01月01日（以合同时间为准）以来，具有与本次采购相类似项目业绩</w:t>
            </w:r>
            <w:r>
              <w:rPr>
                <w:rFonts w:ascii="宋体" w:hAnsi="宋体" w:eastAsia="宋体" w:cs="宋体"/>
                <w:color w:val="000000"/>
                <w:sz w:val="21"/>
                <w:highlight w:val="none"/>
              </w:rPr>
              <w:t xml:space="preserve">（至少包含功能室或专用室</w:t>
            </w:r>
            <w:r>
              <w:rPr>
                <w:rFonts w:hint="eastAsia" w:ascii="宋体" w:hAnsi="宋体" w:cs="宋体"/>
                <w:szCs w:val="21"/>
                <w:highlight w:val="none"/>
              </w:rPr>
              <w:t xml:space="preserve">课桌椅</w:t>
            </w:r>
            <w:r>
              <w:rPr>
                <w:rFonts w:ascii="宋体" w:hAnsi="宋体" w:eastAsia="宋体" w:cs="宋体"/>
                <w:color w:val="000000"/>
                <w:sz w:val="21"/>
                <w:highlight w:val="none"/>
              </w:rPr>
              <w:t xml:space="preserve">设备）</w:t>
            </w:r>
            <w:r>
              <w:rPr>
                <w:rFonts w:hint="eastAsia" w:ascii="宋体" w:hAnsi="宋体" w:cs="宋体"/>
                <w:szCs w:val="21"/>
                <w:highlight w:val="none"/>
              </w:rPr>
              <w:t xml:space="preserve">，每提供1个得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分，最多得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分（提供</w:t>
            </w:r>
            <w:r>
              <w:rPr>
                <w:rFonts w:hint="eastAsia" w:ascii="宋体" w:hAnsi="宋体" w:cs="宋体"/>
                <w:color w:val="000000"/>
                <w:szCs w:val="21"/>
                <w:highlight w:val="none"/>
              </w:rPr>
              <w:t xml:space="preserve">项目中标通知书、</w:t>
            </w:r>
            <w:r>
              <w:rPr>
                <w:rFonts w:hint="eastAsia" w:ascii="宋体" w:hAnsi="宋体" w:cs="宋体"/>
                <w:szCs w:val="21"/>
                <w:highlight w:val="none"/>
              </w:rPr>
              <w:t xml:space="preserve">合同及</w:t>
            </w:r>
            <w:r>
              <w:rPr>
                <w:rFonts w:hint="eastAsia" w:ascii="宋体" w:hAnsi="宋体" w:cs="宋体"/>
                <w:color w:val="000000"/>
                <w:szCs w:val="21"/>
                <w:highlight w:val="none"/>
              </w:rPr>
              <w:t xml:space="preserve">清单</w:t>
            </w:r>
            <w:r>
              <w:rPr>
                <w:rFonts w:hint="eastAsia" w:ascii="宋体" w:hAnsi="宋体" w:cs="宋体"/>
                <w:szCs w:val="21"/>
                <w:highlight w:val="none"/>
              </w:rPr>
              <w:t xml:space="preserve">，合同页须清晰可见相应内容，合同内无法体现相关</w:t>
            </w:r>
            <w:r>
              <w:rPr>
                <w:rFonts w:hint="eastAsia" w:ascii="宋体" w:hAnsi="宋体" w:cs="宋体"/>
                <w:szCs w:val="21"/>
                <w:highlight w:val="none"/>
                <w:lang w:eastAsia="zh-CN"/>
              </w:rPr>
              <w:t xml:space="preserve">设备</w:t>
            </w:r>
            <w:r>
              <w:rPr>
                <w:rFonts w:hint="eastAsia" w:ascii="宋体" w:hAnsi="宋体" w:cs="宋体"/>
                <w:szCs w:val="21"/>
                <w:highlight w:val="none"/>
              </w:rPr>
              <w:t xml:space="preserve">信息的不得分）。</w:t>
            </w:r>
            <w:r>
              <w:rPr>
                <w:rFonts w:hint="eastAsia" w:ascii="宋体" w:hAnsi="宋体" w:cs="宋体"/>
                <w:szCs w:val="21"/>
                <w:highlight w:val="none"/>
              </w:rPr>
            </w:r>
            <w:r/>
          </w:p>
        </w:tc>
        <w:tc>
          <w:tcPr>
            <w:tcW w:w="647" w:type="dxa"/>
            <w:vAlign w:val="center"/>
            <w:textDirection w:val="lrTb"/>
            <w:noWrap w:val="false"/>
          </w:tcPr>
          <w:p>
            <w:pPr>
              <w:pStyle w:val="708"/>
              <w:jc w:val="center"/>
              <w:rPr>
                <w:rFonts w:hint="eastAsia" w:ascii="宋体" w:hAnsi="宋体" w:eastAsia="宋体" w:cs="宋体"/>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szCs w:val="21"/>
                <w:highlight w:val="none"/>
                <w:lang w:eastAsia="zh-CN"/>
              </w:rPr>
            </w:r>
            <w:r/>
          </w:p>
        </w:tc>
        <w:tc>
          <w:tcPr>
            <w:tcW w:w="900"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szCs w:val="21"/>
                <w:highlight w:val="none"/>
              </w:rPr>
            </w:r>
            <w:r/>
          </w:p>
        </w:tc>
      </w:tr>
      <w:tr>
        <w:trPr>
          <w:trHeight w:val="269"/>
        </w:trPr>
        <w:tc>
          <w:tcPr>
            <w:gridSpan w:val="5"/>
            <w:tcW w:w="9575" w:type="dxa"/>
            <w:vAlign w:val="top"/>
            <w:textDirection w:val="lrTb"/>
            <w:noWrap w:val="false"/>
          </w:tcPr>
          <w:p>
            <w:pPr>
              <w:pStyle w:val="708"/>
              <w:spacing w:before="123"/>
              <w:rPr>
                <w:rFonts w:hint="eastAsia" w:ascii="宋体" w:hAnsi="宋体" w:cs="宋体"/>
                <w:szCs w:val="21"/>
                <w:highlight w:val="none"/>
              </w:rPr>
            </w:pPr>
            <w:r>
              <w:rPr>
                <w:rFonts w:hint="eastAsia" w:ascii="宋体" w:hAnsi="宋体" w:cs="宋体"/>
                <w:b/>
                <w:bCs/>
                <w:spacing w:val="-3"/>
                <w:szCs w:val="21"/>
                <w:highlight w:val="none"/>
              </w:rPr>
              <w:t xml:space="preserve">5.履约能力</w:t>
            </w:r>
            <w:r>
              <w:rPr>
                <w:rFonts w:hint="eastAsia" w:ascii="宋体" w:hAnsi="宋体" w:cs="宋体"/>
                <w:szCs w:val="21"/>
                <w:highlight w:val="none"/>
              </w:rPr>
            </w:r>
            <w:r/>
          </w:p>
        </w:tc>
      </w:tr>
      <w:tr>
        <w:trPr>
          <w:trHeight w:val="387"/>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5.1</w:t>
            </w:r>
            <w:r>
              <w:rPr>
                <w:rFonts w:hint="eastAsia" w:ascii="宋体" w:hAnsi="宋体" w:cs="宋体"/>
                <w:spacing w:val="-2"/>
                <w:szCs w:val="21"/>
                <w:highlight w:val="none"/>
              </w:rPr>
            </w:r>
            <w:r/>
          </w:p>
        </w:tc>
        <w:tc>
          <w:tcPr>
            <w:tcW w:w="1235" w:type="dxa"/>
            <w:vAlign w:val="center"/>
            <w:textDirection w:val="lrTb"/>
            <w:noWrap w:val="false"/>
          </w:tcPr>
          <w:p>
            <w:pPr>
              <w:pStyle w:val="708"/>
              <w:spacing w:before="69"/>
              <w:rPr>
                <w:rFonts w:hint="eastAsia" w:ascii="宋体" w:hAnsi="宋体" w:cs="宋体"/>
                <w:spacing w:val="-1"/>
                <w:szCs w:val="21"/>
                <w:highlight w:val="none"/>
              </w:rPr>
            </w:pPr>
            <w:r>
              <w:rPr>
                <w:rFonts w:hint="eastAsia" w:ascii="宋体" w:hAnsi="宋体" w:cs="宋体"/>
                <w:spacing w:val="-1"/>
                <w:szCs w:val="21"/>
                <w:highlight w:val="none"/>
              </w:rPr>
              <w:t xml:space="preserve">履约能力1</w:t>
            </w:r>
            <w:r>
              <w:rPr>
                <w:rFonts w:hint="eastAsia" w:ascii="宋体" w:hAnsi="宋体" w:cs="宋体"/>
                <w:spacing w:val="-1"/>
                <w:szCs w:val="21"/>
                <w:highlight w:val="none"/>
              </w:rPr>
            </w:r>
            <w:r/>
          </w:p>
        </w:tc>
        <w:tc>
          <w:tcPr>
            <w:tcW w:w="6274" w:type="dxa"/>
            <w:vAlign w:val="center"/>
            <w:textDirection w:val="lrTb"/>
            <w:noWrap w:val="false"/>
          </w:tcPr>
          <w:p>
            <w:pPr>
              <w:pStyle w:val="708"/>
              <w:rPr>
                <w:rFonts w:hint="eastAsia" w:ascii="宋体" w:hAnsi="宋体" w:cs="宋体"/>
                <w:szCs w:val="21"/>
                <w:highlight w:val="none"/>
              </w:rPr>
            </w:pPr>
            <w:r>
              <w:rPr>
                <w:rFonts w:hint="eastAsia" w:ascii="宋体" w:hAnsi="宋体" w:cs="宋体"/>
                <w:szCs w:val="21"/>
                <w:highlight w:val="none"/>
              </w:rPr>
              <w:t xml:space="preserve">投标人或所投产品制造商具有低VOCs家具产品认证证书，</w:t>
            </w:r>
            <w:bookmarkStart w:id="53" w:name="OLE_LINK1"/>
            <w:r/>
            <w:bookmarkStart w:id="54" w:name="OLE_LINK5"/>
            <w:r/>
            <w:bookmarkStart w:id="55" w:name="OLE_LINK6"/>
            <w:r>
              <w:rPr>
                <w:rFonts w:hint="eastAsia" w:ascii="宋体" w:hAnsi="宋体" w:cs="宋体"/>
                <w:szCs w:val="21"/>
                <w:highlight w:val="none"/>
              </w:rPr>
              <w:t xml:space="preserve">认证内容包含</w:t>
            </w:r>
            <w:bookmarkEnd w:id="53"/>
            <w:r>
              <w:rPr>
                <w:rFonts w:hint="eastAsia" w:ascii="宋体" w:hAnsi="宋体" w:cs="宋体"/>
                <w:szCs w:val="21"/>
                <w:highlight w:val="none"/>
              </w:rPr>
              <w:t xml:space="preserve">木</w:t>
            </w:r>
            <w:r>
              <w:rPr>
                <w:rFonts w:hint="eastAsia" w:ascii="宋体" w:hAnsi="宋体" w:cs="宋体"/>
                <w:color w:val="000000"/>
                <w:szCs w:val="21"/>
                <w:highlight w:val="none"/>
                <w:lang w:val="zh-CN"/>
              </w:rPr>
              <w:t xml:space="preserve">制</w:t>
            </w:r>
            <w:r>
              <w:rPr>
                <w:rFonts w:hint="eastAsia" w:ascii="宋体" w:hAnsi="宋体" w:cs="宋体"/>
                <w:szCs w:val="21"/>
                <w:highlight w:val="none"/>
              </w:rPr>
              <w:t xml:space="preserve">家具、金属家具，</w:t>
            </w:r>
            <w:bookmarkEnd w:id="54"/>
            <w:r/>
            <w:bookmarkStart w:id="56" w:name="OLE_LINK8"/>
            <w:r>
              <w:rPr>
                <w:rFonts w:hint="eastAsia" w:ascii="宋体" w:hAnsi="宋体" w:cs="宋体"/>
                <w:szCs w:val="21"/>
                <w:highlight w:val="none"/>
              </w:rPr>
              <w:t xml:space="preserve">认证范围齐全得2分，</w:t>
            </w:r>
            <w:bookmarkStart w:id="57" w:name="OLE_LINK7"/>
            <w:r>
              <w:rPr>
                <w:rFonts w:hint="eastAsia" w:ascii="宋体" w:hAnsi="宋体" w:cs="宋体"/>
                <w:szCs w:val="21"/>
                <w:highlight w:val="none"/>
              </w:rPr>
              <w:t xml:space="preserve">缺项或未提供不得分</w:t>
            </w:r>
            <w:bookmarkEnd w:id="57"/>
            <w:r>
              <w:rPr>
                <w:rFonts w:hint="eastAsia" w:ascii="宋体" w:hAnsi="宋体" w:cs="宋体"/>
                <w:szCs w:val="21"/>
                <w:highlight w:val="none"/>
              </w:rPr>
              <w:t xml:space="preserve">。</w:t>
            </w:r>
            <w:r>
              <w:rPr>
                <w:rFonts w:hint="eastAsia" w:ascii="宋体" w:hAnsi="宋体" w:cs="宋体"/>
                <w:szCs w:val="21"/>
                <w:highlight w:val="none"/>
              </w:rPr>
            </w:r>
            <w:r/>
          </w:p>
          <w:p>
            <w:pPr>
              <w:pStyle w:val="708"/>
              <w:rPr>
                <w:rFonts w:hint="eastAsia" w:ascii="宋体" w:hAnsi="宋体" w:cs="宋体"/>
                <w:szCs w:val="21"/>
                <w:highlight w:val="none"/>
              </w:rPr>
            </w:pPr>
            <w:r/>
            <w:bookmarkEnd w:id="55"/>
            <w:r/>
            <w:bookmarkEnd w:id="56"/>
            <w:r>
              <w:rPr>
                <w:rFonts w:hint="eastAsia" w:ascii="宋体" w:hAnsi="宋体" w:cs="宋体"/>
                <w:szCs w:val="21"/>
                <w:highlight w:val="none"/>
              </w:rPr>
              <w:t xml:space="preserve">备注：所提供证书“认证范围”与评标标准给定名称不同时，应提供符合上述要求的内容（功能）说明及关键信息，否则不予认可。为方便评委评审，功能参数可用箭头、标红或下划线等进行明显标注。</w:t>
            </w:r>
            <w:r>
              <w:rPr>
                <w:rFonts w:hint="eastAsia" w:ascii="宋体" w:hAnsi="宋体" w:cs="宋体"/>
                <w:szCs w:val="21"/>
                <w:highlight w:val="none"/>
              </w:rPr>
            </w:r>
            <w:r/>
          </w:p>
        </w:tc>
        <w:tc>
          <w:tcPr>
            <w:tcW w:w="647"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900"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szCs w:val="21"/>
                <w:highlight w:val="none"/>
              </w:rPr>
            </w:r>
            <w:r/>
          </w:p>
        </w:tc>
      </w:tr>
      <w:tr>
        <w:trPr>
          <w:trHeight w:val="676"/>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5.2</w:t>
            </w:r>
            <w:r>
              <w:rPr>
                <w:rFonts w:hint="eastAsia" w:ascii="宋体" w:hAnsi="宋体" w:cs="宋体"/>
                <w:spacing w:val="-2"/>
                <w:szCs w:val="21"/>
                <w:highlight w:val="none"/>
              </w:rPr>
            </w:r>
            <w:r/>
          </w:p>
        </w:tc>
        <w:tc>
          <w:tcPr>
            <w:tcW w:w="1235" w:type="dxa"/>
            <w:vAlign w:val="center"/>
            <w:textDirection w:val="lrTb"/>
            <w:noWrap w:val="false"/>
          </w:tcPr>
          <w:p>
            <w:pPr>
              <w:pStyle w:val="708"/>
              <w:spacing w:before="69"/>
              <w:rPr>
                <w:rFonts w:hint="eastAsia" w:ascii="宋体" w:hAnsi="宋体" w:cs="宋体"/>
                <w:spacing w:val="-1"/>
                <w:szCs w:val="21"/>
                <w:highlight w:val="none"/>
              </w:rPr>
            </w:pPr>
            <w:r>
              <w:rPr>
                <w:rFonts w:hint="eastAsia" w:ascii="宋体" w:hAnsi="宋体" w:cs="宋体"/>
                <w:spacing w:val="-1"/>
                <w:szCs w:val="21"/>
                <w:highlight w:val="none"/>
              </w:rPr>
              <w:t xml:space="preserve">履约能力2</w:t>
            </w:r>
            <w:r>
              <w:rPr>
                <w:rFonts w:hint="eastAsia" w:ascii="宋体" w:hAnsi="宋体" w:cs="宋体"/>
                <w:spacing w:val="-1"/>
                <w:szCs w:val="21"/>
                <w:highlight w:val="none"/>
              </w:rPr>
            </w:r>
            <w:r/>
          </w:p>
        </w:tc>
        <w:tc>
          <w:tcPr>
            <w:tcW w:w="6274" w:type="dxa"/>
            <w:vAlign w:val="center"/>
            <w:textDirection w:val="lrTb"/>
            <w:noWrap w:val="false"/>
          </w:tcPr>
          <w:p>
            <w:pPr>
              <w:pStyle w:val="708"/>
              <w:rPr>
                <w:rFonts w:hint="eastAsia" w:ascii="宋体" w:hAnsi="宋体" w:cs="宋体"/>
                <w:szCs w:val="21"/>
                <w:highlight w:val="none"/>
              </w:rPr>
            </w:pPr>
            <w:r/>
            <w:bookmarkStart w:id="58" w:name="OLE_LINK3"/>
            <w:r>
              <w:rPr>
                <w:rFonts w:hint="eastAsia" w:ascii="宋体" w:hAnsi="宋体" w:cs="宋体"/>
                <w:szCs w:val="21"/>
                <w:highlight w:val="none"/>
              </w:rPr>
              <w:t xml:space="preserve">投标人或所投产品制造商，具有</w:t>
            </w:r>
            <w:bookmarkEnd w:id="58"/>
            <w:r>
              <w:rPr>
                <w:rFonts w:hint="eastAsia" w:ascii="宋体" w:hAnsi="宋体" w:cs="宋体"/>
                <w:szCs w:val="21"/>
                <w:highlight w:val="none"/>
              </w:rPr>
              <w:t xml:space="preserve">“中国环保产品认证证书（CQC） ”认证内容包含</w:t>
            </w:r>
            <w:r>
              <w:rPr>
                <w:rFonts w:hint="eastAsia" w:ascii="宋体" w:hAnsi="宋体" w:cs="宋体"/>
                <w:szCs w:val="21"/>
                <w:highlight w:val="none"/>
                <w:lang w:val="zh-CN"/>
              </w:rPr>
              <w:t xml:space="preserve">木制办公家具</w:t>
            </w:r>
            <w:r>
              <w:rPr>
                <w:rFonts w:hint="eastAsia" w:ascii="宋体" w:hAnsi="宋体" w:cs="宋体"/>
                <w:szCs w:val="21"/>
                <w:highlight w:val="none"/>
              </w:rPr>
              <w:t xml:space="preserve">、</w:t>
            </w:r>
            <w:r>
              <w:rPr>
                <w:rFonts w:hint="eastAsia" w:ascii="宋体" w:hAnsi="宋体" w:cs="宋体"/>
                <w:szCs w:val="21"/>
                <w:highlight w:val="none"/>
                <w:lang w:val="zh-CN"/>
              </w:rPr>
              <w:t xml:space="preserve">木制教学家具，</w:t>
            </w:r>
            <w:r>
              <w:rPr>
                <w:rFonts w:hint="eastAsia" w:ascii="宋体" w:hAnsi="宋体" w:cs="宋体"/>
                <w:szCs w:val="21"/>
                <w:highlight w:val="none"/>
              </w:rPr>
              <w:t xml:space="preserve">认证范围齐全得2分，缺项或未提供不得分。</w:t>
            </w:r>
            <w:r>
              <w:rPr>
                <w:rFonts w:hint="eastAsia" w:ascii="宋体" w:hAnsi="宋体" w:cs="宋体"/>
                <w:szCs w:val="21"/>
                <w:highlight w:val="none"/>
              </w:rPr>
            </w:r>
            <w:r/>
          </w:p>
          <w:p>
            <w:pPr>
              <w:pStyle w:val="1290"/>
              <w:ind w:left="0"/>
              <w:rPr>
                <w:rFonts w:hint="eastAsia" w:ascii="宋体" w:hAnsi="宋体" w:eastAsia="宋体"/>
                <w:sz w:val="21"/>
                <w:szCs w:val="21"/>
                <w:highlight w:val="none"/>
              </w:rPr>
            </w:pPr>
            <w:r>
              <w:rPr>
                <w:rFonts w:hint="eastAsia" w:ascii="宋体" w:hAnsi="宋体" w:eastAsia="宋体"/>
                <w:sz w:val="21"/>
                <w:szCs w:val="21"/>
                <w:highlight w:val="none"/>
              </w:rPr>
              <w:t xml:space="preserve">备注：所提供证书“认证范围”与评标标准给定名称不同时，应提供符合上述要求的内容（功能）说明及关键信息，否则不予认可。为方便评委评审，功能参数可用箭头、标红或下划线等进行明显标注。</w:t>
            </w:r>
            <w:r>
              <w:rPr>
                <w:rFonts w:hint="eastAsia" w:ascii="宋体" w:hAnsi="宋体" w:eastAsia="宋体"/>
                <w:sz w:val="21"/>
                <w:szCs w:val="21"/>
                <w:highlight w:val="none"/>
              </w:rPr>
            </w:r>
            <w:r/>
          </w:p>
        </w:tc>
        <w:tc>
          <w:tcPr>
            <w:tcW w:w="647"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900"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szCs w:val="21"/>
                <w:highlight w:val="none"/>
              </w:rPr>
            </w:r>
            <w:r/>
          </w:p>
        </w:tc>
      </w:tr>
      <w:tr>
        <w:trPr>
          <w:trHeight w:val="676"/>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5.3</w:t>
            </w:r>
            <w:r>
              <w:rPr>
                <w:rFonts w:hint="eastAsia" w:ascii="宋体" w:hAnsi="宋体" w:cs="宋体"/>
                <w:spacing w:val="-2"/>
                <w:szCs w:val="21"/>
                <w:highlight w:val="none"/>
              </w:rPr>
            </w:r>
            <w:r/>
          </w:p>
        </w:tc>
        <w:tc>
          <w:tcPr>
            <w:tcW w:w="1235" w:type="dxa"/>
            <w:vAlign w:val="center"/>
            <w:textDirection w:val="lrTb"/>
            <w:noWrap w:val="false"/>
          </w:tcPr>
          <w:p>
            <w:pPr>
              <w:pStyle w:val="708"/>
              <w:jc w:val="center"/>
              <w:spacing w:before="68"/>
              <w:rPr>
                <w:rFonts w:hint="eastAsia" w:ascii="宋体" w:hAnsi="宋体" w:cs="宋体"/>
                <w:spacing w:val="-1"/>
                <w:szCs w:val="21"/>
                <w:highlight w:val="none"/>
              </w:rPr>
            </w:pPr>
            <w:r>
              <w:rPr>
                <w:rFonts w:hint="eastAsia" w:ascii="宋体" w:hAnsi="宋体" w:cs="宋体"/>
                <w:spacing w:val="-1"/>
                <w:szCs w:val="21"/>
                <w:highlight w:val="none"/>
              </w:rPr>
              <w:t xml:space="preserve">履约能力3</w:t>
            </w:r>
            <w:r>
              <w:rPr>
                <w:rFonts w:hint="eastAsia" w:ascii="宋体" w:hAnsi="宋体" w:cs="宋体"/>
                <w:spacing w:val="-1"/>
                <w:szCs w:val="21"/>
                <w:highlight w:val="none"/>
              </w:rPr>
            </w:r>
            <w:r/>
          </w:p>
        </w:tc>
        <w:tc>
          <w:tcPr>
            <w:tcW w:w="6274" w:type="dxa"/>
            <w:vAlign w:val="center"/>
            <w:textDirection w:val="lrTb"/>
            <w:noWrap w:val="false"/>
          </w:tcPr>
          <w:p>
            <w:pPr>
              <w:pStyle w:val="708"/>
              <w:rPr>
                <w:rFonts w:hint="eastAsia" w:ascii="宋体" w:hAnsi="宋体" w:cs="宋体"/>
                <w:szCs w:val="21"/>
                <w:highlight w:val="none"/>
              </w:rPr>
            </w:pPr>
            <w:r>
              <w:rPr>
                <w:rFonts w:hint="eastAsia" w:ascii="宋体" w:hAnsi="宋体" w:cs="宋体"/>
                <w:szCs w:val="21"/>
                <w:highlight w:val="none"/>
              </w:rPr>
              <w:t xml:space="preserve">投标人或所投产品制造商具有</w:t>
            </w:r>
            <w:r>
              <w:rPr>
                <w:rFonts w:hint="eastAsia" w:ascii="宋体" w:hAnsi="宋体" w:cs="宋体"/>
                <w:spacing w:val="5"/>
                <w:szCs w:val="21"/>
                <w:highlight w:val="none"/>
              </w:rPr>
              <w:t xml:space="preserve">绿色产品认证证书</w:t>
            </w:r>
            <w:r>
              <w:rPr>
                <w:rFonts w:hint="eastAsia" w:ascii="宋体" w:hAnsi="宋体" w:cs="宋体"/>
                <w:szCs w:val="21"/>
                <w:highlight w:val="none"/>
              </w:rPr>
              <w:t xml:space="preserve">，认证内容包含木</w:t>
            </w:r>
            <w:r>
              <w:rPr>
                <w:rFonts w:hint="eastAsia" w:ascii="宋体" w:hAnsi="宋体" w:cs="宋体"/>
                <w:color w:val="000000"/>
                <w:szCs w:val="21"/>
                <w:highlight w:val="none"/>
                <w:lang w:val="zh-CN"/>
              </w:rPr>
              <w:t xml:space="preserve">制</w:t>
            </w:r>
            <w:r>
              <w:rPr>
                <w:rFonts w:hint="eastAsia" w:ascii="宋体" w:hAnsi="宋体" w:cs="宋体"/>
                <w:szCs w:val="21"/>
                <w:highlight w:val="none"/>
              </w:rPr>
              <w:t xml:space="preserve">家具、金属家具，认证范围齐全得2分，缺项或未提供不得分。</w:t>
            </w:r>
            <w:r>
              <w:rPr>
                <w:rFonts w:hint="eastAsia" w:ascii="宋体" w:hAnsi="宋体" w:cs="宋体"/>
                <w:szCs w:val="21"/>
                <w:highlight w:val="none"/>
              </w:rPr>
            </w:r>
            <w:r/>
          </w:p>
          <w:p>
            <w:pPr>
              <w:pStyle w:val="708"/>
              <w:rPr>
                <w:rFonts w:hint="eastAsia" w:ascii="宋体" w:hAnsi="宋体" w:cs="宋体"/>
                <w:szCs w:val="21"/>
                <w:highlight w:val="none"/>
              </w:rPr>
            </w:pPr>
            <w:r>
              <w:rPr>
                <w:rFonts w:hint="eastAsia" w:ascii="宋体" w:hAnsi="宋体" w:cs="宋体"/>
                <w:szCs w:val="21"/>
                <w:highlight w:val="none"/>
                <w:lang w:val="zh-CN"/>
              </w:rPr>
              <w:t xml:space="preserve">备注：所提供证书“认证范围”与评标标准给定名称不同时，应提供符合上述要求的内容（功能）说明及关键信息，否则不予认可。</w:t>
            </w:r>
            <w:r>
              <w:rPr>
                <w:rFonts w:hint="eastAsia" w:ascii="宋体" w:hAnsi="宋体" w:cs="宋体"/>
                <w:szCs w:val="21"/>
                <w:highlight w:val="none"/>
              </w:rPr>
              <w:t xml:space="preserve">为方便评委评审，功能参数可用箭头、标红或下划线等进行明显标注。</w:t>
            </w:r>
            <w:r>
              <w:rPr>
                <w:rFonts w:hint="eastAsia" w:ascii="宋体" w:hAnsi="宋体" w:cs="宋体"/>
                <w:szCs w:val="21"/>
                <w:highlight w:val="none"/>
              </w:rPr>
            </w:r>
            <w:r/>
          </w:p>
        </w:tc>
        <w:tc>
          <w:tcPr>
            <w:tcW w:w="647" w:type="dxa"/>
            <w:vAlign w:val="center"/>
            <w:textDirection w:val="lrTb"/>
            <w:noWrap w:val="false"/>
          </w:tcPr>
          <w:p>
            <w:pPr>
              <w:pStyle w:val="708"/>
              <w:jc w:val="center"/>
              <w:spacing w:before="68"/>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900" w:type="dxa"/>
            <w:vAlign w:val="center"/>
            <w:textDirection w:val="lrTb"/>
            <w:noWrap w:val="false"/>
          </w:tcPr>
          <w:p>
            <w:pPr>
              <w:pStyle w:val="708"/>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hint="eastAsia" w:ascii="宋体" w:hAnsi="宋体" w:cs="宋体"/>
                <w:spacing w:val="-4"/>
                <w:szCs w:val="21"/>
                <w:highlight w:val="none"/>
              </w:rPr>
              <w:t xml:space="preserve">观分</w:t>
            </w:r>
            <w:r>
              <w:rPr>
                <w:rFonts w:hint="eastAsia" w:ascii="宋体" w:hAnsi="宋体" w:cs="宋体"/>
                <w:spacing w:val="-6"/>
                <w:szCs w:val="21"/>
                <w:highlight w:val="none"/>
              </w:rPr>
            </w:r>
            <w:r/>
          </w:p>
        </w:tc>
      </w:tr>
      <w:tr>
        <w:trPr>
          <w:trHeight w:val="433"/>
        </w:trPr>
        <w:tc>
          <w:tcPr>
            <w:gridSpan w:val="5"/>
            <w:tcW w:w="9575" w:type="dxa"/>
            <w:vAlign w:val="center"/>
            <w:textDirection w:val="lrTb"/>
            <w:noWrap w:val="false"/>
          </w:tcPr>
          <w:p>
            <w:pPr>
              <w:pStyle w:val="708"/>
              <w:spacing w:before="68"/>
              <w:rPr>
                <w:rFonts w:hint="eastAsia" w:ascii="宋体" w:hAnsi="宋体" w:cs="宋体"/>
                <w:spacing w:val="-6"/>
                <w:szCs w:val="21"/>
                <w:highlight w:val="none"/>
              </w:rPr>
            </w:pPr>
            <w:r>
              <w:rPr>
                <w:rFonts w:hint="eastAsia" w:ascii="宋体" w:hAnsi="宋体" w:cs="宋体"/>
                <w:b/>
                <w:bCs/>
                <w:spacing w:val="-3"/>
                <w:szCs w:val="21"/>
                <w:highlight w:val="none"/>
              </w:rPr>
              <w:t xml:space="preserve">6.环保</w:t>
            </w:r>
            <w:r>
              <w:rPr>
                <w:rFonts w:hint="eastAsia" w:ascii="宋体" w:hAnsi="宋体" w:cs="宋体"/>
                <w:spacing w:val="-6"/>
                <w:szCs w:val="21"/>
                <w:highlight w:val="none"/>
              </w:rPr>
            </w:r>
            <w:r/>
          </w:p>
        </w:tc>
      </w:tr>
      <w:tr>
        <w:trPr>
          <w:trHeight w:val="676"/>
        </w:trPr>
        <w:tc>
          <w:tcPr>
            <w:tcW w:w="519" w:type="dxa"/>
            <w:vAlign w:val="center"/>
            <w:textDirection w:val="lrTb"/>
            <w:noWrap w:val="false"/>
          </w:tcPr>
          <w:p>
            <w:pPr>
              <w:pStyle w:val="708"/>
              <w:jc w:val="center"/>
              <w:spacing w:before="68"/>
              <w:rPr>
                <w:rFonts w:hint="eastAsia" w:ascii="宋体" w:hAnsi="宋体" w:cs="宋体"/>
                <w:spacing w:val="-2"/>
                <w:szCs w:val="21"/>
                <w:highlight w:val="none"/>
              </w:rPr>
            </w:pPr>
            <w:r>
              <w:rPr>
                <w:rFonts w:hint="eastAsia" w:ascii="宋体" w:hAnsi="宋体" w:cs="宋体"/>
                <w:spacing w:val="-2"/>
                <w:szCs w:val="21"/>
                <w:highlight w:val="none"/>
              </w:rPr>
              <w:t xml:space="preserve">6.1</w:t>
            </w:r>
            <w:r>
              <w:rPr>
                <w:rFonts w:hint="eastAsia" w:ascii="宋体" w:hAnsi="宋体" w:cs="宋体"/>
                <w:spacing w:val="-2"/>
                <w:szCs w:val="21"/>
                <w:highlight w:val="none"/>
              </w:rPr>
            </w:r>
            <w:r/>
          </w:p>
        </w:tc>
        <w:tc>
          <w:tcPr>
            <w:tcW w:w="1235" w:type="dxa"/>
            <w:vAlign w:val="center"/>
            <w:textDirection w:val="lrTb"/>
            <w:noWrap w:val="false"/>
          </w:tcPr>
          <w:p>
            <w:pPr>
              <w:pStyle w:val="708"/>
              <w:spacing w:before="69"/>
              <w:rPr>
                <w:rFonts w:hint="eastAsia" w:ascii="宋体" w:hAnsi="宋体" w:cs="宋体"/>
                <w:spacing w:val="-1"/>
                <w:szCs w:val="21"/>
                <w:highlight w:val="none"/>
              </w:rPr>
            </w:pPr>
            <w:r>
              <w:rPr>
                <w:rFonts w:hint="eastAsia" w:ascii="宋体" w:hAnsi="宋体" w:cs="宋体"/>
                <w:spacing w:val="-1"/>
                <w:szCs w:val="21"/>
                <w:highlight w:val="none"/>
              </w:rPr>
              <w:t xml:space="preserve">环境标志产品认证</w:t>
            </w:r>
            <w:r>
              <w:rPr>
                <w:rFonts w:hint="eastAsia" w:ascii="宋体" w:hAnsi="宋体" w:cs="宋体"/>
                <w:spacing w:val="-1"/>
                <w:szCs w:val="21"/>
                <w:highlight w:val="none"/>
              </w:rPr>
            </w:r>
            <w:r/>
          </w:p>
        </w:tc>
        <w:tc>
          <w:tcPr>
            <w:tcW w:w="6274" w:type="dxa"/>
            <w:vAlign w:val="center"/>
            <w:textDirection w:val="lrTb"/>
            <w:noWrap w:val="false"/>
          </w:tcPr>
          <w:p>
            <w:pPr>
              <w:pStyle w:val="708"/>
              <w:rPr>
                <w:rFonts w:hint="eastAsia" w:ascii="宋体" w:hAnsi="宋体" w:cs="宋体"/>
                <w:szCs w:val="21"/>
                <w:highlight w:val="none"/>
              </w:rPr>
            </w:pPr>
            <w:r>
              <w:rPr>
                <w:rFonts w:hint="eastAsia" w:ascii="宋体" w:hAnsi="宋体" w:cs="宋体"/>
                <w:szCs w:val="21"/>
                <w:highlight w:val="none"/>
              </w:rPr>
              <w:t xml:space="preserve">投标产品属于财政部、生态环境部公布的“环境标志产品品目清单”范围内的，投标人提供国家确定的认证机构出具的、处于有效期内的该环境标志产品认证证书的，有1个得0.5分，最多得1分</w:t>
            </w:r>
            <w:r>
              <w:rPr>
                <w:rFonts w:hint="eastAsia" w:ascii="宋体" w:hAnsi="宋体" w:cs="宋体"/>
                <w:szCs w:val="21"/>
                <w:highlight w:val="none"/>
              </w:rPr>
            </w:r>
            <w:r/>
          </w:p>
        </w:tc>
        <w:tc>
          <w:tcPr>
            <w:tcW w:w="647" w:type="dxa"/>
            <w:vAlign w:val="center"/>
            <w:textDirection w:val="lrTb"/>
            <w:noWrap w:val="false"/>
          </w:tcPr>
          <w:p>
            <w:pPr>
              <w:pStyle w:val="708"/>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900" w:type="dxa"/>
            <w:vAlign w:val="center"/>
            <w:textDirection w:val="lrTb"/>
            <w:noWrap w:val="false"/>
          </w:tcPr>
          <w:p>
            <w:pPr>
              <w:pStyle w:val="708"/>
              <w:jc w:val="center"/>
              <w:spacing w:before="68"/>
              <w:rPr>
                <w:rFonts w:hint="eastAsia" w:ascii="宋体" w:hAnsi="宋体" w:cs="宋体"/>
                <w:spacing w:val="-6"/>
                <w:szCs w:val="21"/>
                <w:highlight w:val="none"/>
              </w:rPr>
            </w:pPr>
            <w:r>
              <w:rPr>
                <w:rFonts w:hint="eastAsia" w:ascii="宋体" w:hAnsi="宋体" w:cs="宋体"/>
                <w:spacing w:val="-6"/>
                <w:szCs w:val="21"/>
                <w:highlight w:val="none"/>
              </w:rPr>
              <w:t xml:space="preserve">客观分</w:t>
            </w:r>
            <w:r>
              <w:rPr>
                <w:rFonts w:hint="eastAsia" w:ascii="宋体" w:hAnsi="宋体" w:cs="宋体"/>
                <w:spacing w:val="-6"/>
                <w:szCs w:val="21"/>
                <w:highlight w:val="none"/>
              </w:rPr>
            </w:r>
            <w:r/>
          </w:p>
        </w:tc>
      </w:tr>
      <w:tr>
        <w:trPr>
          <w:trHeight w:val="464"/>
        </w:trPr>
        <w:tc>
          <w:tcPr>
            <w:tcW w:w="519" w:type="dxa"/>
            <w:vAlign w:val="center"/>
            <w:textDirection w:val="lrTb"/>
            <w:noWrap w:val="false"/>
          </w:tcPr>
          <w:p>
            <w:pPr>
              <w:pStyle w:val="708"/>
              <w:jc w:val="center"/>
              <w:rPr>
                <w:rFonts w:hint="eastAsia" w:ascii="宋体" w:hAnsi="宋体" w:cs="宋体"/>
                <w:szCs w:val="21"/>
                <w:highlight w:val="none"/>
              </w:rPr>
            </w:pPr>
            <w:r>
              <w:rPr>
                <w:rFonts w:hint="eastAsia" w:ascii="宋体" w:hAnsi="宋体" w:cs="宋体"/>
                <w:spacing w:val="-3"/>
                <w:szCs w:val="21"/>
                <w:highlight w:val="none"/>
              </w:rPr>
              <w:t xml:space="preserve">合</w:t>
            </w:r>
            <w:r>
              <w:rPr>
                <w:rFonts w:hint="eastAsia" w:ascii="宋体" w:hAnsi="宋体" w:cs="宋体"/>
                <w:spacing w:val="-2"/>
                <w:szCs w:val="21"/>
                <w:highlight w:val="none"/>
              </w:rPr>
              <w:t xml:space="preserve">计</w:t>
            </w:r>
            <w:r>
              <w:rPr>
                <w:rFonts w:hint="eastAsia" w:ascii="宋体" w:hAnsi="宋体" w:cs="宋体"/>
                <w:szCs w:val="21"/>
                <w:highlight w:val="none"/>
              </w:rPr>
            </w:r>
            <w:r/>
          </w:p>
        </w:tc>
        <w:tc>
          <w:tcPr>
            <w:gridSpan w:val="2"/>
            <w:tcW w:w="7509" w:type="dxa"/>
            <w:vAlign w:val="center"/>
            <w:textDirection w:val="lrTb"/>
            <w:noWrap w:val="false"/>
          </w:tcPr>
          <w:p>
            <w:pPr>
              <w:pStyle w:val="708"/>
              <w:ind w:left="172"/>
              <w:jc w:val="center"/>
              <w:spacing w:before="123"/>
              <w:rPr>
                <w:rFonts w:hint="eastAsia" w:ascii="宋体" w:hAnsi="宋体" w:cs="宋体"/>
                <w:spacing w:val="-2"/>
                <w:szCs w:val="21"/>
                <w:highlight w:val="none"/>
              </w:rPr>
            </w:pPr>
            <w:r>
              <w:rPr>
                <w:rFonts w:hint="eastAsia" w:ascii="宋体" w:hAnsi="宋体" w:cs="宋体"/>
                <w:spacing w:val="-2"/>
                <w:szCs w:val="21"/>
                <w:highlight w:val="none"/>
              </w:rPr>
            </w:r>
            <w:r/>
          </w:p>
        </w:tc>
        <w:tc>
          <w:tcPr>
            <w:gridSpan w:val="2"/>
            <w:tcW w:w="1547" w:type="dxa"/>
            <w:vAlign w:val="center"/>
            <w:textDirection w:val="lrTb"/>
            <w:noWrap w:val="false"/>
          </w:tcPr>
          <w:p>
            <w:pPr>
              <w:pStyle w:val="708"/>
              <w:jc w:val="center"/>
              <w:rPr>
                <w:rFonts w:hint="eastAsia" w:ascii="宋体" w:hAnsi="宋体" w:cs="宋体"/>
                <w:szCs w:val="21"/>
                <w:highlight w:val="none"/>
              </w:rPr>
            </w:pPr>
            <w:r>
              <w:rPr>
                <w:rFonts w:hint="eastAsia" w:ascii="宋体" w:hAnsi="宋体" w:cs="宋体"/>
                <w:spacing w:val="-11"/>
                <w:szCs w:val="21"/>
                <w:highlight w:val="none"/>
              </w:rPr>
              <w:t xml:space="preserve">100分</w:t>
            </w:r>
            <w:r>
              <w:rPr>
                <w:rFonts w:hint="eastAsia" w:ascii="宋体" w:hAnsi="宋体" w:cs="宋体"/>
                <w:szCs w:val="21"/>
                <w:highlight w:val="none"/>
              </w:rPr>
            </w:r>
            <w:r/>
          </w:p>
        </w:tc>
      </w:tr>
    </w:tbl>
    <w:p>
      <w:pPr>
        <w:pStyle w:val="708"/>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r>
      <w:r/>
    </w:p>
    <w:p>
      <w:pPr>
        <w:pStyle w:val="708"/>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rPr>
          <w:rFonts w:hint="eastAsia" w:ascii="宋体" w:hAnsi="宋体"/>
          <w:b/>
          <w:bCs/>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highlight w:val="none"/>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．所有证明材料均以有效的扫描</w:t>
      </w:r>
      <w:r>
        <w:rPr>
          <w:rFonts w:hint="eastAsia" w:ascii="宋体" w:hAnsi="宋体"/>
          <w:b/>
          <w:bCs/>
          <w:color w:val="000000"/>
          <w:sz w:val="22"/>
          <w:szCs w:val="22"/>
          <w:highlight w:val="none"/>
        </w:rPr>
        <w:t xml:space="preserve">件</w:t>
      </w:r>
      <w:r>
        <w:rPr>
          <w:rFonts w:hint="eastAsia" w:ascii="宋体" w:hAnsi="宋体"/>
          <w:b/>
          <w:bCs/>
          <w:color w:val="000000"/>
          <w:sz w:val="22"/>
          <w:szCs w:val="22"/>
          <w:highlight w:val="none"/>
          <w:lang w:val="zh-CN"/>
        </w:rPr>
        <w:t xml:space="preserve">并加盖公章为依据。</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2</w:t>
      </w:r>
      <w:r>
        <w:rPr>
          <w:rFonts w:hint="eastAsia" w:ascii="宋体" w:hAnsi="宋体"/>
          <w:b/>
          <w:bCs/>
          <w:color w:val="000000"/>
          <w:sz w:val="22"/>
          <w:szCs w:val="22"/>
          <w:highlight w:val="none"/>
          <w:lang w:val="zh-CN"/>
        </w:rPr>
        <w:t xml:space="preserve">）人员业绩和供应商业绩可重复计算（如有）。</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）提供的合同、中标（成交）通知书或履约证明材料或咨询成果等材料均不能</w:t>
      </w:r>
      <w:r>
        <w:rPr>
          <w:rFonts w:hint="eastAsia" w:ascii="宋体" w:hAnsi="宋体"/>
          <w:b/>
          <w:bCs/>
          <w:color w:val="000000"/>
          <w:sz w:val="22"/>
          <w:szCs w:val="22"/>
          <w:highlight w:val="none"/>
        </w:rPr>
        <w:t xml:space="preserve">反映</w:t>
      </w:r>
      <w:r>
        <w:rPr>
          <w:rFonts w:hint="eastAsia" w:ascii="宋体" w:hAnsi="宋体"/>
          <w:b/>
          <w:bCs/>
          <w:color w:val="000000"/>
          <w:sz w:val="22"/>
          <w:szCs w:val="22"/>
          <w:highlight w:val="none"/>
          <w:lang w:val="zh-CN"/>
        </w:rPr>
        <w:t xml:space="preserve">出相关数据、内容的，视为未提供。</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（4）供应商提供的合同、检测报告等扫描件中的内容应该清晰，如因供应商提供的资料不清晰，导致评标委员会无法辨认，责任由供应商承担。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bCs/>
          <w:color w:val="000000"/>
          <w:sz w:val="22"/>
          <w:szCs w:val="22"/>
          <w:highlight w:val="none"/>
          <w:lang w:val="zh-CN"/>
        </w:rPr>
        <w:t xml:space="preserve">9．</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eastAsia="宋体" w:cs="宋体"/>
          <w:b/>
          <w:bCs/>
          <w:color w:val="000000"/>
          <w:sz w:val="36"/>
          <w:szCs w:val="36"/>
          <w:highlight w:val="none"/>
          <w:lang w:val="zh-CN"/>
        </w:rPr>
      </w:pPr>
      <w:r>
        <w:rPr>
          <w:rFonts w:hint="eastAsia" w:ascii="宋体" w:hAnsi="宋体"/>
          <w:color w:val="000000"/>
          <w:sz w:val="22"/>
          <w:szCs w:val="22"/>
          <w:highlight w:val="none"/>
          <w:lang w:val="zh-CN"/>
        </w:rPr>
        <w:t xml:space="preserve">1</w:t>
      </w:r>
      <w:r>
        <w:rPr>
          <w:rFonts w:hint="eastAsia" w:ascii="宋体" w:hAnsi="宋体"/>
          <w:color w:val="000000"/>
          <w:sz w:val="22"/>
          <w:szCs w:val="22"/>
          <w:highlight w:val="none"/>
          <w:lang w:val="en-US" w:eastAsia="zh-CN"/>
        </w:rPr>
        <w:t xml:space="preserve">0</w:t>
      </w:r>
      <w:r>
        <w:rPr>
          <w:rFonts w:hint="eastAsia" w:ascii="宋体" w:hAnsi="宋体"/>
          <w:color w:val="000000"/>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9" w:name="_Toc7936"/>
      <w:r>
        <w:rPr>
          <w:rFonts w:hint="eastAsia" w:ascii="宋体" w:hAnsi="宋体" w:eastAsia="宋体" w:cs="宋体"/>
          <w:b/>
          <w:bCs/>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r>
      <w:r/>
    </w:p>
    <w:p>
      <w:pPr>
        <w:pStyle w:val="708"/>
        <w:jc w:val="center"/>
        <w:spacing w:line="360" w:lineRule="auto"/>
        <w:rPr>
          <w:rFonts w:hint="eastAsia" w:ascii="宋体" w:hAnsi="宋体" w:eastAsia="宋体" w:cs="宋体"/>
          <w:color w:val="000000"/>
          <w:spacing w:val="-10"/>
          <w:sz w:val="36"/>
          <w:szCs w:val="36"/>
          <w:highlight w:val="none"/>
        </w:rPr>
        <w:outlineLvl w:val="0"/>
      </w:pPr>
      <w:r/>
      <w:bookmarkStart w:id="60" w:name="_Toc24644"/>
      <w:r>
        <w:rPr>
          <w:rFonts w:hint="eastAsia" w:ascii="宋体" w:hAnsi="宋体" w:eastAsia="宋体" w:cs="宋体"/>
          <w:b/>
          <w:bCs/>
          <w:color w:val="000000"/>
          <w:sz w:val="36"/>
          <w:szCs w:val="36"/>
          <w:highlight w:val="none"/>
          <w:lang w:val="zh-CN"/>
        </w:rPr>
        <w:t xml:space="preserve">第四章  </w:t>
      </w:r>
      <w:bookmarkStart w:id="61" w:name="_Toc150538845"/>
      <w:r>
        <w:rPr>
          <w:rFonts w:hint="eastAsia" w:ascii="宋体" w:hAnsi="宋体" w:eastAsia="宋体" w:cs="宋体"/>
          <w:b/>
          <w:bCs/>
          <w:color w:val="000000"/>
          <w:spacing w:val="-10"/>
          <w:sz w:val="36"/>
          <w:szCs w:val="36"/>
          <w:highlight w:val="none"/>
        </w:rPr>
        <w:t xml:space="preserve">采购项目技术、规格和数量要求等</w:t>
      </w:r>
      <w:bookmarkEnd w:id="59"/>
      <w:r/>
      <w:bookmarkEnd w:id="60"/>
      <w:r/>
      <w:bookmarkEnd w:id="61"/>
      <w:r>
        <w:rPr>
          <w:rFonts w:hint="eastAsia" w:ascii="宋体" w:hAnsi="宋体" w:eastAsia="宋体" w:cs="宋体"/>
          <w:color w:val="000000"/>
          <w:spacing w:val="-10"/>
          <w:sz w:val="36"/>
          <w:szCs w:val="36"/>
          <w:highlight w:val="none"/>
        </w:rPr>
      </w:r>
      <w:r/>
    </w:p>
    <w:p>
      <w:pPr>
        <w:pStyle w:val="708"/>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708"/>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w:t>
      </w:r>
      <w:r>
        <w:rPr>
          <w:rFonts w:hint="eastAsia" w:ascii="宋体" w:hAnsi="宋体" w:cs="宋体"/>
          <w:bCs/>
          <w:color w:val="000000"/>
          <w:sz w:val="24"/>
          <w:szCs w:val="24"/>
          <w:highlight w:val="none"/>
          <w:lang w:eastAsia="zh-CN"/>
        </w:rPr>
        <w:t xml:space="preserve">侨康路学校新建工程项目</w:t>
      </w:r>
      <w:r>
        <w:rPr>
          <w:rFonts w:hint="eastAsia" w:ascii="宋体" w:hAnsi="宋体" w:cs="宋体"/>
          <w:bCs/>
          <w:color w:val="000000"/>
          <w:sz w:val="24"/>
          <w:szCs w:val="24"/>
          <w:highlight w:val="none"/>
          <w:lang w:val="en-US" w:eastAsia="zh-CN"/>
        </w:rPr>
        <w:t xml:space="preserve">功能室设备采购</w:t>
      </w:r>
      <w:r>
        <w:rPr>
          <w:rFonts w:hint="eastAsia" w:ascii="宋体" w:hAnsi="宋体" w:cs="宋体"/>
          <w:bCs/>
          <w:color w:val="000000"/>
          <w:sz w:val="24"/>
          <w:szCs w:val="24"/>
          <w:highlight w:val="none"/>
        </w:rPr>
        <w:t xml:space="preserve">，根据学校实际需求，配置相关设备，满足学校的教育教学需要。</w:t>
      </w:r>
      <w:r>
        <w:rPr>
          <w:rFonts w:hint="eastAsia" w:ascii="宋体" w:hAnsi="宋体" w:cs="宋体"/>
          <w:bCs/>
          <w:color w:val="000000"/>
          <w:sz w:val="24"/>
          <w:szCs w:val="24"/>
          <w:highlight w:val="none"/>
        </w:rPr>
      </w:r>
      <w:r/>
    </w:p>
    <w:p>
      <w:pPr>
        <w:pStyle w:val="708"/>
        <w:numPr>
          <w:ilvl w:val="0"/>
          <w:numId w:val="6"/>
        </w:num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项目建设遵循标准</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rPr>
          <w:rFonts w:hint="eastAsia" w:ascii="宋体" w:hAnsi="宋体" w:cs="宋体"/>
          <w:bCs/>
          <w:color w:val="000000"/>
          <w:sz w:val="24"/>
          <w:szCs w:val="24"/>
          <w:highlight w:val="none"/>
        </w:rPr>
      </w:r>
      <w:r/>
    </w:p>
    <w:p>
      <w:pPr>
        <w:pStyle w:val="708"/>
        <w:numPr>
          <w:ilvl w:val="0"/>
          <w:numId w:val="0"/>
        </w:numPr>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color w:val="000000"/>
          <w:sz w:val="24"/>
          <w:szCs w:val="24"/>
          <w:highlight w:val="none"/>
        </w:rPr>
        <w:t xml:space="preserve">项目清单</w:t>
      </w:r>
      <w:r>
        <w:rPr>
          <w:rFonts w:hint="eastAsia" w:ascii="黑体" w:hAnsi="黑体" w:eastAsia="黑体" w:cs="黑体"/>
          <w:color w:val="000000"/>
          <w:sz w:val="24"/>
          <w:szCs w:val="24"/>
          <w:highlight w:val="none"/>
        </w:rPr>
      </w:r>
      <w:r/>
    </w:p>
    <w:tbl>
      <w:tblPr>
        <w:tblW w:w="9589"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6"/>
        <w:gridCol w:w="3016"/>
        <w:gridCol w:w="972"/>
        <w:gridCol w:w="972"/>
        <w:gridCol w:w="1125"/>
        <w:gridCol w:w="1395"/>
        <w:gridCol w:w="1433"/>
      </w:tblGrid>
      <w:tr>
        <w:trPr>
          <w:trHeight w:val="680"/>
        </w:trPr>
        <w:tc>
          <w:tcPr>
            <w:tcW w:w="676"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2076"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rPr>
                <w:rFonts w:hint="eastAsia" w:ascii="宋体" w:hAnsi="宋体" w:eastAsia="宋体" w:cs="宋体"/>
                <w:b/>
                <w:bCs/>
                <w:i w:val="0"/>
                <w:iCs w:val="0"/>
                <w:color w:val="000000"/>
                <w:sz w:val="22"/>
                <w:szCs w:val="22"/>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c>
          <w:tcPr>
            <w:tcW w:w="1188" w:type="dxa"/>
            <w:vAlign w:val="center"/>
            <w:textDirection w:val="lrTb"/>
            <w:noWrap w:val="false"/>
          </w:tcPr>
          <w:p>
            <w:pPr>
              <w:pStyle w:val="708"/>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产品类型</w:t>
            </w:r>
            <w:r>
              <w:rPr>
                <w:rFonts w:hint="eastAsia" w:ascii="宋体" w:hAnsi="宋体" w:eastAsia="宋体" w:cs="宋体"/>
                <w:b/>
                <w:bCs/>
                <w:i w:val="0"/>
                <w:iCs w:val="0"/>
                <w:color w:val="000000"/>
                <w:sz w:val="22"/>
                <w:szCs w:val="22"/>
                <w:u w:val="none"/>
              </w:rPr>
            </w:r>
            <w:r/>
          </w:p>
        </w:tc>
        <w:tc>
          <w:tcPr>
            <w:tcW w:w="1836" w:type="dxa"/>
            <w:vAlign w:val="center"/>
            <w:textDirection w:val="lrTb"/>
            <w:noWrap w:val="false"/>
          </w:tcPr>
          <w:p>
            <w:pPr>
              <w:pStyle w:val="708"/>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所属行业类型</w:t>
            </w:r>
            <w:r>
              <w:rPr>
                <w:rFonts w:hint="eastAsia" w:ascii="宋体" w:hAnsi="宋体" w:eastAsia="宋体" w:cs="宋体"/>
                <w:b/>
                <w:bCs/>
                <w:i w:val="0"/>
                <w:iCs w:val="0"/>
                <w:color w:val="000000"/>
                <w:sz w:val="22"/>
                <w:szCs w:val="22"/>
                <w:u w:val="none"/>
              </w:rPr>
            </w:r>
            <w:r/>
          </w:p>
        </w:tc>
        <w:tc>
          <w:tcPr>
            <w:tcW w:w="1872" w:type="dxa"/>
            <w:vAlign w:val="center"/>
            <w:textDirection w:val="lrTb"/>
            <w:noWrap w:val="false"/>
          </w:tcPr>
          <w:p>
            <w:pPr>
              <w:pStyle w:val="708"/>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备注（产品属性）</w:t>
            </w:r>
            <w:r>
              <w:rPr>
                <w:rFonts w:hint="eastAsia" w:ascii="宋体" w:hAnsi="宋体" w:eastAsia="宋体" w:cs="宋体"/>
                <w:b/>
                <w:bCs/>
                <w:i w:val="0"/>
                <w:iCs w:val="0"/>
                <w:color w:val="000000"/>
                <w:sz w:val="22"/>
                <w:szCs w:val="22"/>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学生美术桌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学生美术凳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水槽柜（含龙头水槽）</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上下水接管线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美术教学网络系统</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电磁绘画一体机</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美术教学软件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无线示教仪</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绘画与色彩工具</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静物台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衬布</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画车</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展示画框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小学美术教学挂图</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小学影像资料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木制关节人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写生教具（1）石膏像</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写生教具（2）几何形体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写生教具（3）静物</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民间美术欣赏及写生样本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学生美术桌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学生美术凳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水槽柜（含龙头水槽）</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上下水接管线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美术教学网络系统</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电磁绘画一体机</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美术教学软件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无线示教仪</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绘画与色彩工具</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静物台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衬布</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画车</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展示画框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小学美术教学挂图</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小学影像资料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木制关节人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写生教具（1）石膏像</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写生教具（2）几何形体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写生教具（3）静物</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民间美术欣赏及写生样本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3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现代媒体艺术定格动画软件</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定格动画套装工具箱</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定格动画套装工具箱</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定格动画拍摄辅助支架</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定格动画专业摄影摄像头</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3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定格动画CS接口摄像头望远变焦镜头</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3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定格动画CS接口摄像头定焦镜头</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3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定格动画拍摄系统蓝牙控制键盘</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定格动画万向云台</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3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定格动画双管双节怪手曲臂支架</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定格动画多功能支架</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定格动画支架台夹</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定格动画补光灯</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定格动画轨道摄影云台</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3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定格动画数控步进电机轨道</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3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定格动画系统轨道控制盒（含电源）</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3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定格动画桌面拍摄T型背景支架</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定格动画背景板</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定格动画定制内衬</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3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定格动画数字美术教学软件</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定格动画智能书写本</w:t>
            </w:r>
            <w:r>
              <w:rPr>
                <w:rFonts w:hint="eastAsia" w:ascii="宋体" w:hAnsi="宋体" w:eastAsia="宋体" w:cs="宋体"/>
                <w:i w:val="0"/>
                <w:iCs w:val="0"/>
                <w:color w:val="000000"/>
                <w:sz w:val="18"/>
                <w:szCs w:val="18"/>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定格动画拍摄素材包</w:t>
            </w:r>
            <w:r>
              <w:rPr>
                <w:rFonts w:hint="eastAsia" w:ascii="宋体" w:hAnsi="宋体" w:eastAsia="宋体" w:cs="宋体"/>
                <w:i w:val="0"/>
                <w:iCs w:val="0"/>
                <w:color w:val="000000"/>
                <w:sz w:val="18"/>
                <w:szCs w:val="18"/>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教师写生画架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教师写生画板</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教师美术凳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学生写生画架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学生写生画板</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学生美术凳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水槽柜（含龙头水槽）</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上下水接管线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美术教学网络系统</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电磁绘画一体机</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美术教学软件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9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无线示教仪</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素描工具</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写生灯</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静物台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衬布</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画车</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展示画框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小学美术教学挂图</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小学影像资料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木制关节人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写生教具（1）石膏像</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写生教具（2）几何形体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写生教具（3）静物</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民间美术欣赏及写生样本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教师书法条案</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教师书法太师椅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学生书法桌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核心产品</w:t>
            </w: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学生书法凳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博古架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水槽含柜体</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作品展示板</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毛毡</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上下水接管线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无线示教仪</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展示画框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升降讲台</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五线谱电教板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37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录音机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音乐教育教学相关图书及杂志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音乐教学挂图</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小学音乐教学软件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小学音乐欣赏教学影像库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小学音乐欣赏教学曲库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音乐节拍器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多用划线规</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钟琴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棒铃</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铃圈</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五音木鼓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卡巴撒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北梆子</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南梆子</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木鱼</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铃鼓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棒钟</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扁鼓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小堂鼓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中音虎锣</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小锣</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葫芦丝</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尤克里里</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电钢琴</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塑料鼓棒</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果壳音束排铃</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奥尔夫雨声筒</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双面海浪鼓</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红蜻蜓马缨花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升降讲台</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音乐节拍器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多用划线规</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钟琴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棒铃</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铃圈</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五音木鼓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卡巴撒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北梆子</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南梆子</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木鱼</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铃鼓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棒钟</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扁鼓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小堂鼓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中音虎锣</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小锣</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葫芦丝</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尤克里里</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音乐器材架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音乐器材架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换鞋凳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舞蹈泡沫地垫</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瑜伽砖</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舞蹈体操垫</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舞蹈服装放置柜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简易换衣帘</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弹力带</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塑料储物柜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换鞋凳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化妆台</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换鞋凳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服装放置柜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简易换衣帘</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教师演示台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学生操作台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常规工具墙</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成果展示柜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水槽柜（含龙头水槽）</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收纳矮柜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布艺与刺绣工具</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模型制作工具</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手工雕刻工具</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急救设备</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料理台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烹饪边柜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烹饪吊柜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集成灶边柜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品鉴台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水槽水嘴</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造型凳1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造型凳2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品鉴凳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给排水系统</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可移动电磁炉</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一体式集成灶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洗碗机</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厨师机</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破壁机</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空气炸锅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即热式电热水器</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桌面式100L电烤箱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净水器</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油烟净化器</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咖啡机</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配套厨具</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挂板挂架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吹地机</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移动白板</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通风系统</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急救设备</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31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312"/>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三角铁</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指挥台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指挥凳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小军鼓</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钢片琴</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大鼓</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大镲</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定音鼓</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吊镲</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风铃</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乐队平台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置物架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定音鼓</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低音提琴</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舞蹈泡沫地垫</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小鼓3寸</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小鼓6寸</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舞蹈体操垫</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舞蹈服装放置柜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简易换衣帘</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弹力带</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教师实验台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上水装置</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下水装置</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给、排水系统（地面以上部分）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激光笔</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制冰机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碎冰机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LED写生灯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铁架台</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充电器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橡胶塞打孔器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抽气盘</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电动气泵</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仪器推车</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手持显微镜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单目电光源显微镜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塑料水槽</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水族箱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钢直尺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200g托盘天平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电子天平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电子秒表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红液温度计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数显温度计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5N条形盒测力计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5N筒形盒测力计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多用电表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室温计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指南针</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噪声测定仪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雨量器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手持风力风向计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量角器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电动七色牛顿盘</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桌沿定滑轮夹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滚小球轨道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小车运动实验套件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单摆套件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声音的传播研究屏</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牛顿摆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热传导实验器材</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小电铃</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人体验电球</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条形磁铁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蹄形磁铁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磁感线演示器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小电机（带座和风扇）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简易电动机套件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电路暗盒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三棱镜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光的传播透明盒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光的反射折射演示器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月相盒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沉积作用演示装置</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四季星座卡片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压簧</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拉簧</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沉浮块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滑轮组</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轮轴及支架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弹簧片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太阳高度仪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小水轮</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太阳能小车套件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环形磁铁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手摇发电机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平面镜及支架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曲面镜及支架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声音的产生研究盒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液体流速板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暗盒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蒸汽船套件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手电筒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组装土电话材料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微型太阳灶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物体热胀冷缩实验材料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木工工具箱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肺活量测试仪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简易潜望镜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桃花模型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心脏解剖模型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大脑模型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耳解剖放大模型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模拟心脏输血单向阀</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行政地球仪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板块构造及地表形态模型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地球内部构造仪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立体地形地球仪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地震构造示意模型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照相机模型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儿童牙列模型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少年人体半身模型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火山内部模型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植物种子传播方式标本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种子标本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植物发芽包埋标本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蜻蜓成长过程标本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家蚕生活史标本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切片标本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矿物标本盒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岩石标本盒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煤和煤的干馏产品标本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石油分馏产品标本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50ml量筒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100ml量筒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250ml量筒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Φ15mm×150mm试管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Φ20mm×200mm试管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50ml塑料烧杯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100ml塑料烧杯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250ml塑料烧杯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锥形瓶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酒精灯含灯芯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玻璃漏斗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胶管漏斗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长颈漏斗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胶头滴管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集气瓶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坩埚钳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镊子</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陶土网</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玻璃导管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乳胶管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试管刷</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培养皿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研钵</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蒸发皿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闻香盒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过滤纸</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焊锡枪套装</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不锈钢筛组合</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透明水桶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金工工具箱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护目镜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发光二极管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载玻片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盖玻片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昆虫观察盒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风的形成演示箱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擀面杖</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吸管塔台连接件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铝片琴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铲子套件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喷雾器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料理机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听诊器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教师实验台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上水装置</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下水装置</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给、排水系统（地面以上部分）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激光笔</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制冰机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碎冰机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LED写生灯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铁架台</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充电器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橡胶塞打孔器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抽气盘</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电动气泵</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仪器推车</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手持显微镜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单目电光源显微镜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塑料水槽</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水族箱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钢直尺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200g托盘天平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电子天平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电子秒表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红液温度计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数显温度计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5N条形盒测力计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5N筒形盒测力计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多用电表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室温计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指南针</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噪声测定仪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雨量器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手持风力风向计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量角器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电动七色牛顿盘</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桌沿定滑轮夹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滚小球轨道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小车运动实验套件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单摆套件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声音的传播研究屏</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牛顿摆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热传导实验器材</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小电铃</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人体验电球</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条形磁铁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蹄形磁铁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磁感线演示器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小电机（带座和风扇）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简易电动机套件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电路暗盒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三棱镜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光的传播透明盒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光的反射折射演示器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月相盒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沉积作用演示装置</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四季星座卡片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压簧</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拉簧</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沉浮块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滑轮组</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轮轴及支架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弹簧片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太阳高度仪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小水轮</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太阳能小车套件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环形磁铁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手摇发电机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平面镜及支架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曲面镜及支架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声音的产生研究盒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液体流速板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暗盒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蒸汽船套件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手电筒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组装土电话材料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微型太阳灶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物体热胀冷缩实验材料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木工工具箱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肺活量测试仪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简易潜望镜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桃花模型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心脏解剖模型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大脑模型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耳解剖放大模型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模拟心脏输血单向阀</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行政地球仪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板块构造及地表形态模型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地球内部构造仪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立体地形地球仪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地震构造示意模型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照相机模型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儿童牙列模型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少年人体半身模型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火山内部模型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植物种子传播方式标本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种子标本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植物发芽包埋标本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蜻蜓成长过程标本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家蚕生活史标本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切片标本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矿物标本盒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岩石标本盒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煤和煤的干馏产品标本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石油分馏产品标本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50ml量筒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100ml量筒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250ml量筒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Φ15mm×150mm试管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Φ20mm×200mm试管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50ml塑料烧杯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100ml塑料烧杯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250ml塑料烧杯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锥形瓶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酒精灯含灯芯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玻璃漏斗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胶管漏斗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长颈漏斗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胶头滴管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集气瓶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坩埚钳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镊子</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陶土网</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玻璃导管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乳胶管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试管刷</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培养皿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研钵</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蒸发皿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闻香盒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过滤纸</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焊锡枪套装</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不锈钢筛组合</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透明水桶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金工工具箱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护目镜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发光二极管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载玻片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盖玻片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昆虫观察盒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风的形成演示箱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擀面杖</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吸管塔台连接件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铝片琴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铲子套件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喷雾器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料理机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听诊器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教师实验台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上水装置</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下水装置</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给、排水系统（地面以上部分）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激光笔</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制冰机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碎冰机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LED写生灯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铁架台</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充电器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橡胶塞打孔器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抽气盘</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电动气泵</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仪器推车</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手持显微镜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单目电光源显微镜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塑料水槽</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水族箱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钢直尺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200g托盘天平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电子天平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电子秒表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红液温度计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数显温度计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5N条形盒测力计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5N筒形盒测力计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多用电表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室温计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指南针</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噪声测定仪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雨量器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手持风力风向计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量角器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电动七色牛顿盘</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桌沿定滑轮夹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滚小球轨道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小车运动实验套件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单摆套件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声音的传播研究屏</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牛顿摆</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热传导实验器材</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小电铃</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人体验电球</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条形磁铁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蹄形磁铁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磁感线演示器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小电机（带座和风扇）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简易电动机套件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电路暗盒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三棱镜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光的传播透明盒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光的反射折射演示器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月相盒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沉积作用演示装置</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四季星座卡片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压簧</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拉簧</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沉浮块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滑轮组</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轮轴及支架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弹簧片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太阳高度仪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小水轮</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太阳能小车套件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环形磁铁</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手摇发电机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平面镜及支架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曲面镜及支架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声音的产生研究盒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液体流速板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暗盒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蒸汽船套件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手电筒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组装土电话材料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微型太阳灶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物体热胀冷缩实验材料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木工工具箱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肺活量测试仪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简易潜望镜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桃花模型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心脏解剖模型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大脑模型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耳解剖放大模型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模拟心脏输血单向阀</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行政地球仪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板块构造及地表形态模型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地球内部构造仪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立体地形地球仪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地震构造示意模型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照相机模型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儿童牙列模型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少年人体半身模型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火山内部模型</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植物种子传播方式标本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种子标本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植物发芽包埋标本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蜻蜓成长过程标本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家蚕生活史标本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切片标本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矿物标本盒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岩石标本盒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煤和煤的干馏产品标本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石油分馏产品标本</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50ml量筒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100ml量筒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250ml量筒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Φ15mm×150mm试管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Φ20mm×200mm试管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50ml塑料烧杯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100ml塑料烧杯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250ml塑料烧杯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500ml烧杯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锥形瓶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酒精灯含灯芯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玻璃漏斗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胶管漏斗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长颈漏斗</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胶头滴管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集气瓶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坩埚钳</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镊子</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陶土网</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药匙</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玻璃导管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千克</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乳胶管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试管刷</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培养皿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研钵</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蒸发皿</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闻香盒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过滤纸</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焊锡枪套装</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水平仪</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不锈钢筛组合</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透明水桶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金工工具箱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护目镜</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发光二极管</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载玻片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盖玻片</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昆虫观察盒</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风的形成演示箱</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擀面杖</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吸管塔台连接件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简易电路</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铝片琴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音钹</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铲子套件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喷雾器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料理机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听诊器</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PP药品柜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PP药品柜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教师电脑桌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学生电脑桌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教师电脑桌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学生电脑桌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教师电脑桌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维修工具</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维修工具</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塑钢课桌椅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观摩椅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置物桌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接待凳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值班床</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快递柜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绝缘垫</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文印桌</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文印架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护理台</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53340" cy="69215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3340" cy="692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0.0pt;mso-position-horizontal:absolute;mso-position-vertical-relative:text;margin-top:0.0pt;mso-position-vertical:absolute;width:4.2pt;height:54.5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53340" cy="6921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3340" cy="692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0.0pt;mso-position-horizontal:absolute;mso-position-vertical-relative:text;margin-top:0.0pt;mso-position-vertical:absolute;width:4.2pt;height:54.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休闲椅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屏风</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组合桌</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53340" cy="70167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340" cy="70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0.0pt;mso-position-horizontal:absolute;mso-position-vertical-relative:text;margin-top:0.0pt;mso-position-vertical:absolute;width:4.2pt;height:55.2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53340" cy="70167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40" cy="70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0.0pt;mso-position-horizontal:absolute;mso-position-vertical-relative:text;margin-top:0.0pt;mso-position-vertical:absolute;width:4.2pt;height:55.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u w:val="none"/>
                <w:lang w:val="en-US" w:eastAsia="zh-CN" w:bidi="ar"/>
              </w:rPr>
              <w:t xml:space="preserve">10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荣誉柜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文化板块</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队旗架</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队旗套装</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三人沙发</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方几</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三人沙发</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方几</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书柜（高）</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升降讲台</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团体活动桌椅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收纳矮柜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卡座</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卡座</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三人沙发</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方几</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测评桌</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测评凳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数码录音笔</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934</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监控摄像头</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团体辅导教具箱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心理情景剧道具箱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生涯团体辅导器材箱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938</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心理沙盘</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939</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音乐减压放松椅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940</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正念虚拟现实训练系统</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941</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智能击打呐喊宣泄系统</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942</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动感单车</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943</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校园心育系统</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护理床</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972"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移动屏风</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诊察床</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诊察凳</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给排水系统</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身高坐高体重计</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落地蛇形灯</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综合应急包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污物箱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血压计</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对数灯光视力表</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课桌椅测量尺</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复苏安妮（带光电感应）</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965</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轮椅</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966</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颈托、夹板、三角巾</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967</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简易呼吸器（复苏球）</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冰袋</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969</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热敷袋</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970</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听诊器</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971</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单人担架</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972</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辨色图谱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973</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双拐</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974</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止血带</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975</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手推车</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88"/>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976</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48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977</w:t>
            </w:r>
            <w:r>
              <w:rPr>
                <w:rFonts w:hint="eastAsia" w:ascii="宋体" w:hAnsi="宋体" w:eastAsia="宋体" w:cs="宋体"/>
                <w:i w:val="0"/>
                <w:iCs w:val="0"/>
                <w:color w:val="000000"/>
                <w:sz w:val="20"/>
                <w:szCs w:val="20"/>
                <w:u w:val="none"/>
              </w:rPr>
            </w:r>
            <w:r/>
          </w:p>
        </w:tc>
        <w:tc>
          <w:tcPr>
            <w:tcW w:w="2076"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自动体外除颤仪（AED）</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r>
        <w:trPr>
          <w:trHeight w:val="240"/>
        </w:trPr>
        <w:tc>
          <w:tcPr>
            <w:tcW w:w="67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978</w:t>
            </w:r>
            <w:r>
              <w:rPr>
                <w:rFonts w:hint="eastAsia" w:ascii="宋体" w:hAnsi="宋体" w:eastAsia="宋体" w:cs="宋体"/>
                <w:i w:val="0"/>
                <w:iCs w:val="0"/>
                <w:color w:val="000000"/>
                <w:sz w:val="20"/>
                <w:szCs w:val="20"/>
                <w:u w:val="none"/>
              </w:rPr>
            </w:r>
            <w:r/>
          </w:p>
        </w:tc>
        <w:tc>
          <w:tcPr>
            <w:tcW w:w="3016"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自动体外除颤仪练习机</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70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9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1433"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r>
    </w:tbl>
    <w:p>
      <w:pPr>
        <w:pStyle w:val="708"/>
        <w:numPr>
          <w:ilvl w:val="0"/>
          <w:numId w:val="0"/>
        </w:numPr>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708"/>
        <w:numPr>
          <w:ilvl w:val="0"/>
          <w:numId w:val="0"/>
        </w:numPr>
        <w:ind w:firstLine="480"/>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7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rPr>
      </w:r>
      <w:r/>
    </w:p>
    <w:tbl>
      <w:tblPr>
        <w:tblW w:w="509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5"/>
        <w:gridCol w:w="1439"/>
        <w:gridCol w:w="5937"/>
        <w:gridCol w:w="585"/>
        <w:gridCol w:w="585"/>
        <w:gridCol w:w="737"/>
      </w:tblGrid>
      <w:tr>
        <w:trPr>
          <w:trHeight w:val="680"/>
        </w:trPr>
        <w:tc>
          <w:tcPr>
            <w:tcW w:w="296"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729"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rPr>
                <w:rFonts w:hint="eastAsia" w:ascii="宋体" w:hAnsi="宋体" w:eastAsia="宋体" w:cs="宋体"/>
                <w:b/>
                <w:bCs/>
                <w:i w:val="0"/>
                <w:iCs w:val="0"/>
                <w:color w:val="000000"/>
                <w:sz w:val="22"/>
                <w:szCs w:val="22"/>
                <w:highlight w:val="none"/>
                <w:u w:val="none"/>
              </w:rPr>
            </w:r>
            <w:r/>
          </w:p>
        </w:tc>
        <w:tc>
          <w:tcPr>
            <w:tcW w:w="3008"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w:t>
            </w:r>
            <w:r>
              <w:rPr>
                <w:rFonts w:hint="eastAsia" w:ascii="宋体" w:hAnsi="宋体" w:eastAsia="宋体" w:cs="宋体"/>
                <w:b/>
                <w:bCs/>
                <w:i w:val="0"/>
                <w:iCs w:val="0"/>
                <w:color w:val="000000"/>
                <w:sz w:val="22"/>
                <w:szCs w:val="22"/>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教师美术桌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1、参考尺寸：1600*800*760mm±10mm；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30mm、壁厚≥1.5mm，表面经酸洗磷化喷塑处理；拆分式结构，配螺丝配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教师美术凳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1、参考尺寸：400*300*440mm±10mm；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学生美术桌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1、参考尺寸：1400*800*720mm±10mm；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30mm、壁厚≥1.5mm，表面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美术教室1、4人桌</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学生美术凳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1、参考尺寸：360*260*420mm±10mm；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4、功能：上部分为4个储物格，下部分为2组带门柜体。</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内有2层活动搁板，下柜木制对开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水槽柜（含龙头水槽）</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2、结构：实木多层免漆板+大理石；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4、柜体：所有板材厚度≥18mm实木多层免漆板，封边采用厚度≥1mm塑制封边条机械四边封边，三合一连接件组装，底板贴防水锡纸；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5、铰链：采用金属防锈带阻尼铰链；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6、拉手：采用免拉手设计；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7、功能：含304不锈钢水槽、两联铜质烤漆水嘴。</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上下水接管线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1、室内上下水接管线、按规范；PPR进水管、PVC出水管，三角阀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6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美术教学网络系统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1.教学教材：具备不少于九套全国最新发布的美术教材版本的高清电子教材，电子教材必须每套完整。可支持10倍放大并且清晰；教材总量不少于162册；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2.教学课件：具备不少于九套全国最新发行的美术教材版本配套的课件素材，每课一课件，课件与系统具备的电子教材一一对应，与每课内容一一对应。支持教师备课过程中进行编辑修改。课件总量不少于2700课；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3.名作欣赏：包含绘画、建筑、雕塑、设计、综合等5大模块25个子模块的优秀古今中外的各类作品；作品总量2000幅以上；所有作品均为高清大图，具有良好的欣赏、学习和研究价值。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4.名家名作：包含中国、外国、古代、近代、现代多达350名著名画家、艺术家的个人作品集；作品总量达40000幅；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5.资源素材：教学素材库包含不少于20万张专业高清各类素材；素材库多层分类高达1100种，基本包含中小学所需所有分类，素材方便教学、欣赏、学习等环节进行快速定位使用；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6.综合视频：包含彩铅、色彩、水彩、素描、油画五大分类专业课程视频；视频总量不少于1000个，视频质量均为高清；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7.美术书籍：具备4500本专业高清书籍。所有书籍均采用高质量PDF格式，方便浏览查看；按照美术教学和拓展方向逐一分为25大类，方便教师、学生进行学习研究；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8.百科讲堂：美术百科包含美术家、画派、美术理论、技法、美术史、画评等内容；收集不少于3500条知识内容；多层分类，方便教师与学生快速定位查看学习；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美术高考：该模块包含美术高考内容素材30000多幅，全部为高清大图；分类包含水粉风景、水粉静物、水粉人物、素描半身、素描静物、素描头像、速写人物、速写场景、美考写生图库、美考设计、美考文本资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28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电磁绘画一体机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1.显示屏尺寸：≥21.5寸IPS全视角液晶屏；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2.感应区域:476.64 mm× 268.11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3.分辨率：1920 x 1080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4.颜色数值：1670万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5.压感级别：8192级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6.快捷键：8KEY×2自定义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7.读取速度：220点/秒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8.读取分辨率：2540LPI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9.感应高度：10mm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10.精度: ±0.25mm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11.接口类型  VGA/HDMI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12.自带系统 CPU I5  内存≥8G 硬盘≥64G</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3107"/>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美术教学软件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1.软件综述：包含功能部分和资源部分模块。具有音乐模块，系统平台有独立的音乐背景模块软件。提供古典音乐等音乐库，音乐库不少于500首可选背景音乐，可在后台播放，不影响软件</w:t>
            </w:r>
            <w:r>
              <w:rPr>
                <w:rFonts w:hint="eastAsia" w:ascii="宋体" w:hAnsi="宋体" w:eastAsia="宋体" w:cs="宋体"/>
                <w:i w:val="0"/>
                <w:iCs w:val="0"/>
                <w:color w:val="000000"/>
                <w:sz w:val="20"/>
                <w:szCs w:val="20"/>
                <w:highlight w:val="none"/>
                <w:u w:val="none"/>
                <w:lang w:val="en-US" w:eastAsia="zh-CN" w:bidi="ar"/>
              </w:rPr>
              <w:t xml:space="preserve">操作，同时具有循环播放与顺序播放等功能，播放音乐时可暂停；也可从本地电脑中添加音乐文件进行播放。上课时，需登录教师账号和密码。登录后根据设置，可显示教室，班级等信息，在无登录时，资源模块无法打开应用。除备课模块，数字画板模块外，其余在每个模块打开时，左侧都有其他所有模块列表，可直接进入其他所需模块进行演示讲解。具有背景模板设置功能，背景设置可打造学校自有风格。其中模板分宣纸，美术，渐变，和本地模板调用。渐变，可调出色板，可调节自己所需颜色进行替换。系统所含美术图片至少30万张以上。整体资源总量超过1.5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备课系统：具有教材，课件，微课，素材，欣赏，作品，百科，视频，书籍，博物馆，高考专题等不同的目录菜单，教师可从各个目录中选择需要的备课所需资源，自由添加到备课页面中。在备课过程中，新建页面所添加各种资源与缩略图信息显示同步。可添加本地电脑图片，文件，视频。其中文件可添加PPT,WORD,PDF等格式。PPT与</w:t>
            </w:r>
            <w:r>
              <w:rPr>
                <w:rFonts w:hint="eastAsia" w:ascii="宋体" w:hAnsi="宋体" w:eastAsia="宋体" w:cs="宋体"/>
                <w:i w:val="0"/>
                <w:iCs w:val="0"/>
                <w:color w:val="000000"/>
                <w:sz w:val="20"/>
                <w:szCs w:val="20"/>
                <w:highlight w:val="none"/>
                <w:u w:val="none"/>
                <w:lang w:val="en-US" w:eastAsia="zh-CN" w:bidi="ar"/>
              </w:rPr>
              <w:t xml:space="preserve">word添加后可在软件内编辑。可在页面添加表格，文字，图形 ，线条等.其中图形有2D，3D，以及简单的动植物图形。包含标签，撤销以及恢复等备课工具。可调整背景画布比例，4：3或16：9，并可调整画布缩放比例从10%至400%至少8种比例可调。可设置至少8种字体，并可自由调整字体大小：可自行设置字体颜色，5种对齐方式，字体方向，行距，以及透明度等各种设置。图形可填充自选颜色，可设置不同边框类型，并可更改透明度。提供至少10种素材切换方式，并可自设置其时间以及延时。提供至少六种动画切入方式，并可设置时间和延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授课系统：具有画笔功能，包含铅笔，钢笔，毛笔，笔刷等6种笔形可选择。且每种画笔颜色，粗细均可自定义。橡皮擦功能，且大小可自我定义。具有移动、撤销、恢复等功能。可插入文本，图形和线条。工具包含图片，小黑板，幕布，截图，录屏等功能，其中图片包含各种笔触，有动物、植物人物、食物、其它等。具有快捷选择按钮，可快捷选择拍照，退出，返回主界面，锁屏，录制等功能。并自带颜色选择滚轮取色器。具有最小化功能，防止影响屏幕内容。授课可直接访问音乐模块，方便练习中播放背景音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4.数字画板：颜色编辑使用：软件具有包含2种色轮，立方体，正方体，同心环，颜色要素滚动条等不同色彩取色器，适应各种不同习惯使用者使</w:t>
            </w:r>
            <w:r>
              <w:rPr>
                <w:rFonts w:hint="eastAsia" w:ascii="宋体" w:hAnsi="宋体" w:eastAsia="宋体" w:cs="宋体"/>
                <w:i w:val="0"/>
                <w:iCs w:val="0"/>
                <w:color w:val="000000"/>
                <w:sz w:val="20"/>
                <w:szCs w:val="20"/>
                <w:highlight w:val="none"/>
                <w:u w:val="none"/>
                <w:lang w:val="en-US" w:eastAsia="zh-CN" w:bidi="ar"/>
              </w:rPr>
              <w:t xml:space="preserve">用。不同取色器，在统一界面显示时，对调色后的显示是相互关联，以便更好的微调到所需颜色。包含5种不同笔刷集，总笔刷超过120种，满足各类绘画所需。笔刷包可单独命名，也可选择左侧或者右侧显示，笔刷选定后，可调整其大小，尖锐度，增益等参数。笔刷参数编辑：可以自主设定需要笔刷的各种参数，可调参数包括，硬度，半径，椭圆笔触点:角度，椭圆笔触点:宽高比，以及不透明度,笔触点等，以适应个人的最佳绘画体验。图层：可一键打开图层，可锁定编辑的图层。自由添加或删除图层。每个图层都可添加新的图层组。图层可上移或者下移，可选择向下</w:t>
            </w:r>
            <w:r>
              <w:rPr>
                <w:rFonts w:hint="eastAsia" w:ascii="宋体" w:hAnsi="宋体" w:eastAsia="宋体" w:cs="宋体"/>
                <w:i w:val="0"/>
                <w:iCs w:val="0"/>
                <w:color w:val="000000"/>
                <w:sz w:val="20"/>
                <w:szCs w:val="20"/>
                <w:highlight w:val="none"/>
                <w:u w:val="none"/>
                <w:lang w:val="en-US" w:eastAsia="zh-CN" w:bidi="ar"/>
              </w:rPr>
              <w:t xml:space="preserve">合并图层。视图：可全屏展示画布，减少工具栏的干扰。可平移，缩放，旋转视图。也可根据红绿蓝三色进行颜色过滤。可选择对称绘画，在绘画过程中，绘画结果对称显示，可绘制直线和曲线，通过快捷键可调整绘画曲线的角度。可自定义偏好设定，从以下参数调整自己的习惯设定：压力，设备，按键，视图，暂存，颜色等。设定后，系统自动调整为定义好 参数。可自由定义软件显示的窗口，可选择窗口：笔刷组，颜色调节器，工具面板，预览面板，图层面板，背景选择等。暂存区：软件系统在显示面板显示暂存区，可新建，打开，保存，恢复，并可复制背景到暂停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无线示教仪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1.镜头像素：自带≥2个1300万像素自动对焦摄像头。摄像头在调整高度和角度后会自动对焦1次。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2.连接方式：配专用的无线接收器，不占用大屏的无线网卡；无线接收器与电脑的USB接口连接，免驱即插即用，无需设置，实现示教仪开机智能匹配连接。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3.金属软管式设计，任意方向可调，可拍大于A2幅面的示教场景，也可以微距显示。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4.影像速率：1080p或4K无线传输速率达到25~30帧/秒。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6.底座带4个触摸按键：录像、转90ﾟ、灯光、对焦。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7.触摸底座上的录像按键，可启动软件的录制功能进行示教画面的录像。配专用无线麦克风，TYPE-C接口一拖二领夹麦。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8.轻触底座上的转90°按键，即可在摄像头横向展示与竖向展示的场景间灵活切换，让示教过程中的画面更符合满屏的观看习惯。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9.示教设备采用可拆卸分离式底座，支持安装桌面底座，紧固夹板、三角支架，便携可移动，满足立体展示过程中的需要，兼顾更多示教场景。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10.充电续航：设备背面带有Type-C充电口，可边充边使用，支持电量指示灯。采用可拆卸可替换的电池设计，配备2个大容量可拆卸电池。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配移动快充电池仓，双电池位，带屏指示功能，有电池电量符号与电量百分比、电流模式显示，内置独立的充电控制系统，可自动识别电池电压，并进行智能控制充电，防止过充。(提供权威第三方检测机构出具的带CNAS标识的功能检测报告复印件并加盖厂家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12.配金属便携收纳箱，适合长期保存，也方便携带到不同教室中使用。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2.小组对比教学：进入对比教学可添加本地照片，进行同屏比较；支持实时触摸放大缩小、批注、全屏、旋转，删除等操作。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3.屏幕录制：可对课堂的实操过程进行视频录制，提供MP4、AVI、WMV多种视频格式选择，支持全屏、1080P模式录制。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绘画与色彩工具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1、含165*165*18mm七孔梅花形调色盘1个、绘画笔0-12号套装13支/套1套、155*110*95mm多功能洗笔桶1个、常用32色50ml油画颜料1套、常用24色5ml水粉颜料1套等。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静物台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1、参考尺寸：600*600*720/1200mm±10mm；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3、工艺：所有板材厚度≥18mm实木多层免漆板，封边采用厚度≥1mm塑制封边条机械四边封边，连接采用五金螺丝，金属防锈带阻尼铰链，带刹万向轮，背板可折叠。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衬布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2、材质：棉、麻、丝、绒；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3、工艺：冷暖色调搭配。</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1、规格：400*720*880mm；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2、材质：红榉木；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3、工艺：三层空间、层高320mm，层板厚5mm，立柱规格40*28mm，手推把手，笔架设计，方便画笔存放，圆槽笔筒设计，静音脚轮，带卡锁万向轮，承重能力强，表面光滑无毛刺。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展示画框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1、规格：600*900mm、边框20*28mm,；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2、材质工艺：原木色，配背板，有机玻璃，挂钩。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小学美术教学挂图</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1、适合小学美术教学要求的绘画、手工、欣赏内容；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2、60幅，对开，国家正式出版物。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小学影像资料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1、U盘2个内容包含幻灯片不少于180帧，与教材同步课程，数字化美术教学资源库，虚拟美术博物馆、美术展。</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木制关节人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1、规格：高不低于400mm；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2、材质：椴木，关节金属件连接。</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写生教具（1）石膏像</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1、阿古力巴切面1件≥300mm，腊空半面1件≥300mm，太阳神头像1件≥380mm，海盗头像1件≥450mm，小大卫头像1件≥670mm，表面光洁，形态逼真，线条清晰。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写生教具（2）几何形体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圆球直径≥18cm，长方体≥10x10x22cm，正方体边长≥16cm，圆柱体直径≥12cm，高≥22cm，六棱柱底面棱长≥6cm，高≥22cm，圆锥底面直径≥16cm，高≥22cm，方锥底面边长≥8cm，高≥22cm，方带方底面边长≥9cm，高≥22cm，圆锥带圆底面直径≥16cm，高≥22cm，十二面体棱长≥7cm，表面光洁，线条清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写生教具（3）静物</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蜡果（重体仿真水果、蔬菜）5件≥、彩陶1件直径≥200mm，瓷器1件高度280mm，釉陶1件直径≥200mm，玻璃杯1件高度≥280mm，玻璃花瓶1件高度≥280mm，砂锅1件直径≥180mm，瓷碗1件直径≥200mm,瓷盘1件≥直径≥200mm,金属壶1件直径≥200mm，马灯1件≥350mm，老虎枕1件≥250mm，编织篮1件直径≥200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民间美术欣赏及写生样本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1、中国结1件</w:t>
            </w:r>
            <w:r>
              <w:rPr>
                <w:rFonts w:hint="eastAsia" w:ascii="宋体" w:hAnsi="宋体" w:eastAsia="宋体" w:cs="宋体"/>
                <w:i w:val="0"/>
                <w:iCs w:val="0"/>
                <w:color w:val="000000"/>
                <w:sz w:val="20"/>
                <w:szCs w:val="20"/>
                <w:highlight w:val="none"/>
                <w:u w:val="none"/>
                <w:lang w:val="en-US" w:eastAsia="zh-CN" w:bidi="ar"/>
              </w:rPr>
              <w:t xml:space="preserve">≥90cm，纸质京剧脸谱1件≥22cm，扎染作品1件≥70×70cm，蜡染作品1件≥70×70cm，皮影1张≥20cm、年画1张（配镜框玻璃）≥50×30cm，木板年画1张（配镜框玻璃）≥50×30cm，剪纸1张（配镜框玻璃）≥30×30cm，面具社火马勺1件≥17×27cm，泥塑凤翔挂饰虎1件≥30cm，布老虎≥12cm，秸秆插接五鼓传统风车1件≥24×26cm，纹样1件≥140×70cm，尼龙布彩印风筝1件≥70×90cm，唐三彩马1件≥20×30cm、彩陶器1件直径≥20cm，瓷器1件高度≥28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陶瓷标本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中国各大名窑实物(仿)十四件及简介，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教师美术桌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1、参考尺寸：960*600*740/930mm±10mm；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3、工艺：所有板材厚度≥18mm橡胶木实木机拼板，封边采用厚度≥1mm塑制封边条机械四边封边，三合一连接件组装；钢架采用满焊焊接而成，表面采用高温粉体烤漆；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4、功能：设计有工具收纳箱及收纳槽块，桌面可做档0-80度倾斜，面板侧面设有600*380mm隐藏式抽拉辅助副板。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教师美术凳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1、参考尺寸：400*300*440mm±10mm；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3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学生美术桌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参考尺寸：W650*D450mm（±5mm）*18mm；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材质：≥18mm厚橡胶木实木机拼板；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功能：面板通过螺钉与翻转器连接，可调节5个档位，只需握住课桌向上轻轻一提，即可调高面板高度；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2、书箱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材质：采用PP耐冲击塑料一级新料注塑成型；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3、课桌钢架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参考尺寸：立管尺寸为34*16mm（±0.5mm），壁厚1.8mm（±0.1mm）椭圆管；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材质：采用直缝电焊钢管满焊焊接，钢架表面经磷化处理，静电粉末喷涂；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4、装饰盖、笔筒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材质：采用PP+GF新料整体注塑成型；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功能：书箱左右两个装饰盖盖住翻转器和立管，使整体更美观安全。书箱两侧放置可拆卸笔筒，笔筒可存放画笔，油墨；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5、脚垫：采用PP+GF 耐冲击塑料注塑成型。脚垫一体包覆钢架，防滑防刮伤地板。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美术教室2、单人桌</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学生美术凳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1、参考尺寸：360*260*420mm±10mm；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4、功能：上部分为4个储物格，下部分为2组带门柜体。</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内有2层活动搁板，下柜木制对开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水槽柜（含龙头水槽）</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2、结构：实木多层免漆板+大理石；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4、柜体：所有板材厚度≥18mm实木多层免漆板，封边采用厚度≥1mm塑制封边条机械四边封边，三合一连接件组装，底板贴防水锡纸；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5、铰链：采用金属防锈带阻尼铰链；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6、拉手：采用免拉手设计；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7、功能：含304不锈钢水槽、两联铜质烤漆水嘴。</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上下水接管线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1、室内上下水接管线、按规范；PPR进水管、PVC出水管，三角阀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6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美术教学网络系统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1.教学教材：具备不少于九套全国最新发布的美术教材版本的高清电子教材，电子教材必须每套完整。可支持10倍放大并且清晰；教材总量不少于162册；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2.教学课件：具备不少于九套全国最新发行的美术教材版本配套的课件素材，每课一课件，课件与系统具备的电子教材一一对应，与每课内容一一对应。支持教师备课过程中进行编辑修改。课件总量不少于2700课；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3.名作欣赏：包含绘画、建筑、雕塑、设计、综合等5大模块25个子模块的优秀古今中外的各类作品；作品总量2000幅以上；所有作品均为高清大图，具有良好的欣赏、学习和研究价值。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4.名家名作：包含中国、外国、古代、近代、现代多达350名著名画家、艺术家的个人作品集；作品总量达40000幅；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5.资源素材：教学素材库包含不少于20万张专业高清各类素材；素材库多层分类高达1100种，基本包含中小学所需所有分类，素材方便教学、欣赏、学习等环节进行快速定位使用；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6.综合视频：包含彩铅、色彩、水彩、素描、油画五大分类专业课程视频；视频总量不少于1000个，视频质量均为高清；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7.美术书籍：具备4500本专业高清书籍。所有书籍均采用高质量PDF格式，方便浏览查看；按照美术教学和拓展方向逐一分为25大类，方便教师、学生进行学习研究；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8.百科讲堂：美术百科包含美术家、画派、美术理论、技法、美术史、画评等内容；收集不少于3500条知识内容；多层分类，方便教师与学生快速定位查看学习；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美术高考：该模块包含美术高考内容素材30000多幅，全部为高清大图；分类包含水粉风景、水粉静物、水粉人物、素描半身、素描静物、素描头像、速写人物、速写场景、美考写生图库、美考设计、美考文本资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28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电磁绘画一体机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1.显示屏尺寸：≥21.5寸IPS全视角液晶屏；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2.感应区域:476.64 mm× 268.11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3.分辨率：1920 x 1080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4.颜色数值：1670万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5.压感级别：8192级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6.快捷键：8KEY×2自定义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7.读取速度：220点/秒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8.读取分辨率：2540LPI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9.感应高度：10mm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10.精度: ±0.25mm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11.接口类型  VGA/HDMI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12.自带系统 CPU I5  内存≥8G 硬盘≥64G</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384"/>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美术教学软件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1.软件综述：包含功能部分和资源部分模块。具有音乐模块，系统平台有独立的音乐背景模块软件。提供古典音乐等音乐库，音乐库不少于500首可选背景音乐，可在后台播放，不影响软件</w:t>
            </w:r>
            <w:r>
              <w:rPr>
                <w:rFonts w:hint="eastAsia" w:ascii="宋体" w:hAnsi="宋体" w:eastAsia="宋体" w:cs="宋体"/>
                <w:i w:val="0"/>
                <w:iCs w:val="0"/>
                <w:color w:val="000000"/>
                <w:sz w:val="20"/>
                <w:szCs w:val="20"/>
                <w:highlight w:val="none"/>
                <w:u w:val="none"/>
                <w:lang w:val="en-US" w:eastAsia="zh-CN" w:bidi="ar"/>
              </w:rPr>
              <w:t xml:space="preserve">操作，同时具有循环播放与顺序播放等功能，播放音乐时可暂停；也可从本地电脑中添加音乐文件进行播放。上课时，需登录教师账号和密码。登录后根据设置，可显示教室，班级等信息，在无登录时，资源模块无法打开应用。除备课模块，数字画板模块外，其余在每个模块打开时，左侧都有其他所有模块列表，可直接进入其他所需模块进行演示讲解。具有背景模板设置功能，背景设置可打造学校自有风格。其中模板分宣纸，美术，渐变，和本地模板调用。渐变，可调出色板，可调节自己所需颜色进行替换。系统所含美术图片至少30万张以上。整体资源总量超过1.5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备课系统：具有教材，课件，微课，素材，欣赏，作品，百科，视频，书籍，博物馆，高考专题等不同的目录菜单，教师可从各个目录中选择需要的备课所需资源，自由添加到备课页面中。在备课过程中，新建页面所添加各种资源与缩略图信息显示同步。可添加本地电脑图片，文件，视频。其中文件可添加PPT,WORD,PDF等格式。PPT与</w:t>
            </w:r>
            <w:r>
              <w:rPr>
                <w:rFonts w:hint="eastAsia" w:ascii="宋体" w:hAnsi="宋体" w:eastAsia="宋体" w:cs="宋体"/>
                <w:i w:val="0"/>
                <w:iCs w:val="0"/>
                <w:color w:val="000000"/>
                <w:sz w:val="20"/>
                <w:szCs w:val="20"/>
                <w:highlight w:val="none"/>
                <w:u w:val="none"/>
                <w:lang w:val="en-US" w:eastAsia="zh-CN" w:bidi="ar"/>
              </w:rPr>
              <w:t xml:space="preserve">word添加后可在软件内编辑。可在页面添加表格，文字，图形 ，线条等.其中图形有2D，3D，以及简单的动植物图形。包含标签，撤销以及恢复等备课工具。可调整背景画布比例，4：3或16：9，并可调整画布缩放比例从10%至400%至少8种比例可调。可设置至少8种字体，并可自由调整字体大小：可自行设置字体颜色，5种对齐方式，字体方向，行距，以及透明度等各种设置。图形可填充自选颜色，可设置不同边框类型，并可更改透明度。提供至少10种素材切换方式，并可自设置其时间以及延时。提供至少六种动画切入方式，并可设置时间和延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授课系统：具有画笔功能，包含铅笔，钢笔，毛笔，笔刷等6种笔形可选择。且每种画笔颜色，粗细均可自定义。橡皮擦功能，且大小可自我定义。具有移动、撤销、恢复等功能。可插入文本，图形和线条。工具包含图片，小黑板，幕布，截图，录屏等功能，其中图片包含各种笔触，有动物、植物人物、食物、其它等。具有快捷选择按钮，可快捷选择拍照，退出，返回主界面，锁屏，录制等功能。并自带颜色选择滚轮取色器。具有最小化功能，防止影响屏幕内容。授课可直接访问音乐模块，方便练习中播放背景音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4.数字画板：颜色编辑使用：软件具有包含2种色轮，立方体，正方体，同心环，颜色要素滚动条等不同色彩取色器，适应各种不同习惯使用者使</w:t>
            </w:r>
            <w:r>
              <w:rPr>
                <w:rFonts w:hint="eastAsia" w:ascii="宋体" w:hAnsi="宋体" w:eastAsia="宋体" w:cs="宋体"/>
                <w:i w:val="0"/>
                <w:iCs w:val="0"/>
                <w:color w:val="000000"/>
                <w:sz w:val="20"/>
                <w:szCs w:val="20"/>
                <w:highlight w:val="none"/>
                <w:u w:val="none"/>
                <w:lang w:val="en-US" w:eastAsia="zh-CN" w:bidi="ar"/>
              </w:rPr>
              <w:t xml:space="preserve">用。不同取色器，在统一界面显示时，对调色后的显示是相互关联，以便更好的微调到所需颜色。包含5种不同笔刷集，总笔刷超过120种，满足各类绘画所需。笔刷包可单独命名，也可选择左侧或者右侧显示，笔刷选定后，可调整其大小，尖锐度，增益等参数。笔刷参数编辑：可以自主设定需要笔刷的各种参数，可调参数包括，硬度，半径，椭圆笔触点:角度，椭圆笔触点:宽高比，以及不透明度,笔触点等，以适应个人的最佳绘画体验。图层：可一键打开图层，可锁定编辑的图层。自由添加或删除图层。每个图层都可添加新的图层组。图层可上移或者下移，可选择向下</w:t>
            </w:r>
            <w:r>
              <w:rPr>
                <w:rFonts w:hint="eastAsia" w:ascii="宋体" w:hAnsi="宋体" w:eastAsia="宋体" w:cs="宋体"/>
                <w:i w:val="0"/>
                <w:iCs w:val="0"/>
                <w:color w:val="000000"/>
                <w:sz w:val="20"/>
                <w:szCs w:val="20"/>
                <w:highlight w:val="none"/>
                <w:u w:val="none"/>
                <w:lang w:val="en-US" w:eastAsia="zh-CN" w:bidi="ar"/>
              </w:rPr>
              <w:t xml:space="preserve">合并图层。视图：可全屏展示画布，减少工具栏的干扰。可平移，缩放，旋转视图。也可根据红绿蓝三色进行颜色过滤。可选择对称绘画，在绘画过程中，绘画结果对称显示，可绘制直线和曲线，通过快捷键可调整绘画曲线的角度。可自定义偏好设定，从以下参数调整自己的习惯设定：压力，设备，按键，视图，暂存，颜色等。设定后，系统自动调整为定义好 参数。可自由定义软件显示的窗口，可选择窗口：笔刷组，颜色调节器，工具面板，预览面板，图层面板，背景选择等。暂存区：软件系统在显示面板显示暂存区，可新建，打开，保存，恢复，并可复制背景到暂停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无线示教仪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1.镜头像素：自带≥2个1300万像素自动对焦摄像头。摄像头在调整高度和角度后会自动对焦1次。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2.连接方式：配专用的无线接收器，不占用大屏的无线网卡；无线接收器与电脑的USB接口连接，免驱即插即用，无需设置，实现示教仪开机智能匹配连接。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3.金属软管式设计，任意方向可调，可拍大于A2幅面的示教场景，也可以微距显示。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4.影像速率：1080p或4K无线传输速率达到25~30帧/秒。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6.底座带4个触摸按键：录像、转90ﾟ、灯光、对焦。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7.触摸底座上的录像按键，可启动软件的录制功能进行示教画面的录像。配专用无线麦克风，TYPE-C接口一拖二领夹麦。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8.轻触底座上的转90°按键，即可在摄像头横向展示与竖向展示的场景间灵活切换，让示教过程中的画面更符合满屏的观看习惯。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9.示教设备采用可拆卸分离式底座，支持安装桌面底座，紧固夹板、三角支架，便携可移动，满足立体展示过程中的需要，兼顾更多示教场景。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10.充电续航：设备背面带有Type-C充电口，可边充边使用，支持电量指示灯。采用可拆卸可替换的电池设计，配备2个大容量可拆卸电池。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11.配移动快充电池仓，双电池位，带屏指示功能，有电池电量符号与电量百分比、电流模式显示，内置独立的充电控制系统，可自动识别电池电压，并进行智能控制充电，防止过充。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12.配金属便携收纳箱，适合长期保存，也方便携带到不同教室中使用。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2.小组对比教学：进入对比教学可添加本地照片，进行同屏比较；支持实时触摸放大缩小、批注、全屏、旋转，删除等操作。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3.屏幕录制：可对课堂的实操过程进行视频录制，提供MP4、AVI、WMV多种视频格式选择，支持全屏、1080P模式录制。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绘画与色彩工具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1、含165*165*18mm七孔梅花形调色盘1个、绘画笔0-12号套装13支/套1套、155*110*95mm多功能洗笔桶1个、常用32色50ml油画颜料1套、常用24色5ml水粉颜料1套等。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静物台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1、参考尺寸：600*600*720/1200mm±10mm；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3、工艺：所有板材厚度≥18mm实木多层免漆板，封边采用厚度≥1mm塑制封边条机械四边封边，连接采用五金螺丝，金属防锈带阻尼铰链，带刹万向轮，背板可折叠。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衬布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2、材质：棉、麻、丝、绒；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3、工艺：冷暖色调搭配。</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1、规格：400*720*880mm；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2、材质：红榉木；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3、工艺：三层空间、层高320mm，层板厚5mm，立柱规格40*28mm，手推把手，笔架设计，方便画笔存放，圆槽笔筒设计，静音脚轮，带卡锁万向轮，承重能力强，表面光滑无毛刺。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展示画框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1、规格：600*900mm、边框20*28mm,；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2、材质工艺：原木色，配背板，有机玻璃，挂钩。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小学美术教学挂图</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1、适合小学美术教学要求的绘画、手工、欣赏内容；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2、60幅，对开，国家正式出版物。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小学影像资料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1、U盘2个内容包含幻灯片不少于180帧，与教材同步课程，数字化美术教学资源库，虚拟美术博物馆、美术展。</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木制关节人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1、规格：高不低于400mm；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2、材质：椴木，关节金属件连接。</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写生教具（1）石膏像</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1、阿古力巴切面1件≥300mm，腊空半面1件≥300mm，太阳神头像1件≥380mm，海盗头像1件≥450mm，小大卫头像1件≥670mm，表面光洁，形态逼真，线条清晰。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写生教具（2）几何形体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圆球直径≥18cm，长方体≥10x10x22cm，正方体边长≥16cm，圆柱体直径≥12cm，高≥22cm，六棱柱底面棱长≥6cm，高≥22cm，圆锥底面直径≥16cm，高≥22cm，方锥底面边长≥8cm，高≥22cm，方带方底面边长≥9cm，高≥22cm，圆锥带圆底面直径≥16cm，高≥22cm，十二面体棱长≥7cm，表面光洁，线条清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写生教具（3）静物</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蜡果（重体仿真水果、蔬菜）5件≥、彩陶1件直径≥200mm，瓷器1件高度280mm，釉陶1件直径≥200mm，玻璃杯1件高度≥280mm，玻璃花瓶1件高度≥280mm，砂锅1件直径≥180mm，瓷碗1件直径≥200mm,瓷盘1件≥直径≥200mm,金属壶1件直径≥200mm，马灯1件≥350mm，老虎枕1件≥250mm，编织篮1件直径≥200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民间美术欣赏及写生样本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1、中国结1件</w:t>
            </w:r>
            <w:r>
              <w:rPr>
                <w:rFonts w:hint="eastAsia" w:ascii="宋体" w:hAnsi="宋体" w:eastAsia="宋体" w:cs="宋体"/>
                <w:i w:val="0"/>
                <w:iCs w:val="0"/>
                <w:color w:val="000000"/>
                <w:sz w:val="20"/>
                <w:szCs w:val="20"/>
                <w:highlight w:val="none"/>
                <w:u w:val="none"/>
                <w:lang w:val="en-US" w:eastAsia="zh-CN" w:bidi="ar"/>
              </w:rPr>
              <w:t xml:space="preserve">≥90cm，纸质京剧脸谱1件≥22cm，扎染作品1件≥70×70cm，蜡染作品1件≥70×70cm，皮影1张≥20cm、年画1张（配镜框玻璃）≥50×30cm，木板年画1张（配镜框玻璃）≥50×30cm，剪纸1张（配镜框玻璃）≥30×30cm，面具社火马勺1件≥17×27cm，泥塑凤翔挂饰虎1件≥30cm，布老虎≥12cm，秸秆插接五鼓传统风车1件≥24×26cm，纹样1件≥140×70cm，尼龙布彩印风筝1件≥70×90cm，唐三彩马1件≥20×30cm、彩陶器1件直径≥20cm，瓷器1件高度≥28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陶瓷标本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中国各大名窑实物(仿)十四件及简介，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75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现代媒体艺术定格动画软件</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便捷自由的角色关节组合编辑；元件库≥16类，不小于426个可自由组合角色；不小于24种常用元件关节点快速布局模板；自由添加删除子关节点；可添加多形态；元件列表自由增删；根关节子关节节点位置预览编辑；快捷关联父子关节节点；检查节点关联错误；支持导入ske素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所见即所得直接拖动部件方式编辑角色关节动作；可切换反向动力学方式或正向动力学方式编辑；支持关节元件旋转角度范围限定、表情/口型/手型切换、关节元件缩放、关节节点位置微调、骨骼关节分离编辑、画面触控位移缩放角色、快速复原、翻转、添加角色轮廓线、添加背景、画幅比例/输出尺寸/背景透明度等设置等编辑功能；支持录制动画，保存各种尺寸图片与gif动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不小于88种常用漫画分框构图版式、13种风格对话泡泡、8种风格对话泡尖尖、6种风格速度线，多种符号；支持图片导入素材列表栏；元素自由拖拉缩放、旋转、裁切，自由设置画幅尺寸，文字添加编辑，字体字号设置，上下层设置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于镜头的动画便捷流程，列表时间轴流程编辑模式，自由拖动镜头编辑时序；实时编辑实时随时预览；直接拖拉编辑开始框结束框构图方式编辑动画，直观快捷；开始构图、结束构图、动画时长、声音开始对齐延迟时值设置；屏幕小键盘输入；不小于6种常用转场模式；录音、导入、替换、删除声音文件；添加、删除、编辑标题、字幕文字；开始结束框构图一键交换；镜头自由替换、删除、复制操作；html5动画生成，云端发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适合触屏，鼠标，快捷键盘等多种操作方式，可全键盘快捷键操作拍摄编辑；动画项目具有新建、复制、删除、导入等功能，可设置画幅尺寸、帧率、预览尺寸、动画名称、导演；摄像头可设置选择摄像头曝光、白平衡等参数；动画拍摄时可设置洋葱皮、网格参考；时间轴可多帧选择、复制、删除、剪切、粘贴、倒序编辑，可切换前帧、后帧、首帧、尾帧、拍摄帧，设置单次循环播放模式；具有延时拍摄、录音、导入音频、选色抠像、合成底图等功能；一键合成导出视频文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6、能实现逐格拍摄动画，连续播放预览，能够设置拍摄播放帧率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7、运用反向动力学所见即所得的角色动作操作，案例角色关节人偶的动作设置操作，与动画记录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8、遥控键盘控制软件进行动画拍摄，全部操作运用遥控键盘进行拍摄，提供“洋葱皮”参考，时间轴编辑，播放控制辑，播放控制等全部通过遥控键盘完成，主机电脑与拍摄操作台分离也可以便捷拍摄操作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提供有效期内软件著作权登记证书及检测报告、提供百部软件拍摄儿童作品样片截图</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定格动画套装工具箱</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携带收纳保护工具设备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高箱-带定制海绵内衬,参考外尺寸473×348×174毫米 内尺寸440×290×165毫米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矮箱-带定制海绵内衬,参考外尺寸473×348×128毫米 内尺寸440×290×120毫米</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648"/>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定格动画套装工具箱</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携带收纳保护工具设备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长度：约800-1300毫米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直径：约110毫米</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648"/>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定格动画拍摄辅助支架</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多角度自由支撑固定人偶、道具</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底板：参考尺寸64×64×32毫米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支架长度：参考尺寸215毫米+180毫米</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定格动画专业摄影摄像头</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接口：USB2.0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支持系统：Windows,Linux</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有效像素：≥2592H×1944V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分辨率：≥1920*1080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外壳：高强度全铝合金外壳</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定格动画CS接口摄像头望远变焦镜头</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接口：cs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焦距：5-50毫米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像面尺寸：参考规格1/2.5”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镜头结构：金属</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操作方法：手动变焦</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定格动画CS接口摄像头定焦镜头</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接口：cs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焦距：参考规格8毫米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操作方法：变焦固定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          聚焦手动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          光圈固定</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648"/>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定格动画拍摄系统蓝牙控制键盘</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规格：参考尺寸130×85×14毫米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连接：蓝牙连接/无线连接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遥控键盘控制软件进行动画拍摄，全部操作运用遥控键盘进行拍摄</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648"/>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定格动画万向云台</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高度：参考规格6厘米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重量：参考规格105克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最大承重：≥3公斤</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32"/>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定格动画双管双节怪手曲臂支架</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参考规格：每节30厘米，打开约54厘米</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32"/>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定格动画多功能支架</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产品重量：≥1公斤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产品规格：收合长度28.5厘米 最大长度53厘米</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864"/>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定格动画支架台夹</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夹管子范围：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外径参考规格:13-55毫米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六角形插孔参考规格：5/8英寸和M5加螺孔1/4英寸</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螺纹参考规格：5/8英寸和M5+1/4英寸丝</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648"/>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定格动画补光灯</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产品尺寸：参考尺寸172×108.6×42.5毫米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灯珠数量：不小于170颗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供电方式：锂电池（2200毫安）+充电器/适配器</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296"/>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定格动画轨道摄影云台</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数控轨道连接摄像头用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高度：参考规格85毫米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球径：参考规格26毫米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最大承重：≥4公斤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底盘螺孔：参考规格3/8＂英寸</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快装板螺丝：参考规格1/4＂英寸</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512"/>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定格动画数控步进电机轨道</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导程：2毫米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有效行程：300毫米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定位精度：0.1毫米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使用电机：42步进电机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可被定格拍摄软件控制移动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驱动器细分设置为 16，即 3200 脉冲/转；</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模组滑台的导程是 05，即电机旋转一圈滑块行进 5毫米；</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3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定格动画系统轨道控制盒（含电源）</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功率≥120W，电压220V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支持20/28/35/42步进电机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航空接头，可手动控制，可编程，可连上位机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控制轴数：单轴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最高输出频率：50kHz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频率分辨率：1Hz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可储存程序个数：≥60个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一次位移范围：-9999999~+9999999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电源：DC：12V-24V或（AC220V）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·输出电流峰值可达 2A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·三态电流控制技术电机发热低</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·静止电流自动减半 0.4S 减小为 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·可驱动 4，6，8 线两相步进电机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·光隔离信号输入，脉冲最高响应频率最高可达 100KHz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·光隔离信号输入，输入端口5-24V都可以接入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·细分精度 2--64 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·外形参考尺寸（60×24.5×96毫米）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·电流设定方便，八档可选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·具有过压、短路等保护功能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·可驱动任何 2.0A 相电流以下两相、四相混合式步进电机</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32"/>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定格动画桌面拍摄T型背景支架</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参考尺寸67*65厘米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接口螺纹：1/4英寸</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432"/>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定格动画背景板</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颜色：黑白绿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参考尺寸：60*125厘米</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864"/>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定格动画定制内衬</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颜色：黑色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参考尺寸：拍摄套装一层尺寸435×275毫米  拍摄套装二层尺寸430×275毫米  拍摄套装三层尺寸420×270毫米  数控轨道套装尺寸435×283毫米</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3456"/>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定格动画数字美术教学软件</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1.仿真画笔功能：具备铅笔、钢笔、喷笔、水彩笔、油画笔、蜡笔、麦克笔、毛笔、特制笔等不少于55种仿真画笔，具备橡皮擦和一键清除图层功能；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2.图像处理功能：不少于20项图像编辑功能，可对图像进行后期处理。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3.选区抠图功能：不少于8种选框模板，支持矩形连线选取和自由套索选取，具备魔棒工具。</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4.插入素材功能：包含不少于800个图片、动画、相框等素材的美术图库。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5.图片保存功能：支持不少于7种常用格式图片保存，支持将作品一键保存到云端作品集。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6.动画制作功能：支持通过拖调节动画播放速度，可将动画保存为GIF动态图片或AVI视频，素材库包含花朵会盛开，鱼儿会游，昆虫会飞，小草会长教学动画及作品上传等功能。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7.微课制作功能：可同步录屏、录音，支持将录制内容保存为MP4格式微课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8.多种3D模型，可将绘画作品实时为3D模型贴图，并可一键输出多角度图形文件。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9.提供有效期内软件著作权登记证书以及软件检测报告复印件加盖原厂公章。</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6048"/>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定格动画智能书写本</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1.产品参考尺寸（长×宽×厚）：250.99 （不带夹子长度）× 177.92 × 10毫米(连底垫 11毫米)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2.夹子部位最高厚度 约 23.76毫米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3.电磁笔类型：无源无线电磁压感笔（具备电子绘画笔及智能书写笔（出水笔））</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4.压感级别：2048级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5.读取速率/报点率：200点/秒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6.EMR分辨率：0.01毫米 （2540 ppi）</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7.书写感应高度：1.0厘米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8.储存：可存储不小于20页的书写内容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9.电源输入：5V，500mAh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10.电池容量：可充电锂聚合物电池≥500mAh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11.充电时间：2个小时•电池使用时间：存储/实时模式连续不间断书写时间约16小时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12.待机时间：不少于1个月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13.支持的纸张大小/书写区域 最大210×148毫米 （A5尺寸）</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14.出水笔圆珠笔芯寿命 约1400米 +/- 20%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15.LED状态灯：有，2个（蓝牙及电源）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16.笔是否需要充电：否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17.翻页键：有，1个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18.系统要求：支持蓝牙4.0的设备: iPad Pro, iPad mini, iPad 3, iPad Air 或更新(iOS8 或更新); iPhone 4s 或更新(iOS8 或更新);  Android™ 设备 (Android 4.3 或更新)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19.电脑USB接口支持2.0以上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20.连接 Bluetooth 4.0，USB数据连接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21.具备移动端APP小程序支持IOS 安卓系统 可录制微课，读取绘画板内储存绘画内容，更换书写背景 绘画速写，调整笔触大小，保存绘画轨迹，分享绘画作品</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7128"/>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定格动画拍摄素材包</w:t>
            </w:r>
            <w:r>
              <w:rPr>
                <w:rFonts w:hint="eastAsia" w:ascii="宋体" w:hAnsi="宋体" w:eastAsia="宋体" w:cs="宋体"/>
                <w:i w:val="0"/>
                <w:iCs w:val="0"/>
                <w:color w:val="000000"/>
                <w:sz w:val="18"/>
                <w:szCs w:val="18"/>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一、定格人偶材料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1）彩色羊毛1套：乳白、粉红、桔红、香芋紫、黑色、中黄、军绿、栗色、星空蓝、浅蓝色、巧克力、棕色）12色每包10克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2）彩色扣1包：≥366颗（工艺彩）纽扣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3）飞机木块≥2块：巴沙木参考尺寸250mm*80mm*60mm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4）铝丝一1卷：参考规格：1mm长22m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5）铝丝二2卷：参考规格：直径5mm长1.5m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6）泡沫胶3卷：参考规格：宽1.8cm长3M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7）彩色布胶带6卷：参考规格：宽1cm长5m 混搭色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8）肤色布胶带3卷：参考规格：宽1cm长5m 肤色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9）彩色橡皮泥6套：参考规格：（蓝、黄、灰、绿、乳白、黑、咖啡、紫、纯白、红）11色每包300g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10）方块小磁铁(磁吸五官用)8套：参考规格： 3mm*2mm*1mm*5个/套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11）方块小磁铁(磁吸五官用)10套： 参考规格：4mm*3mm*2mm*5个/套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12）磁性打印纸（A4) 参考规格：210mm*297mm：≥5张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13）模型AB固化硅胶套1套白： 参考规格：色A100克+B50克（白色）+B50克（肤色）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14）水晶土可溶性树脂袋装500g：≥1袋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二、工具</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15）热熔胶枪+胶棒参考规格：热熔胶枪+128mm*110mm+40根热熔胶棒套≥2套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16）组合雕刻刀套1套：≥14件套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17）迷你尖嘴钳1付： 参考规格：130mm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三、纸</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18）圆角白卡纸1包： 参考规格：15*22cm*350g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19）100目砂纸4张：参考规格：230mm*280mm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四、胶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20）可塑性粘土胶≥2包： 参考规格：每包90小块50g(蓝色+白色）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21）布基胶带≥3卷： 参考规格：50mm*10m(白色、黑色、黄色）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22）AB胶（10g+10g)≥1盒： 参考规格： AB一组20g每盒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23）肤色胶布带≥2卷： 参考规格：5cm宽450cm长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五、物品清单1张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六、说明书1本 </w:t>
            </w:r>
            <w:r>
              <w:rPr>
                <w:rFonts w:hint="eastAsia" w:ascii="宋体" w:hAnsi="宋体" w:eastAsia="宋体" w:cs="宋体"/>
                <w:i w:val="0"/>
                <w:iCs w:val="0"/>
                <w:color w:val="000000"/>
                <w:sz w:val="18"/>
                <w:szCs w:val="18"/>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教师美术桌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1、参考尺寸：960*600*740/930mm±10mm；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2、材质：实木多层免漆板+钢管；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3、工艺：所有板材厚度≥18mm实木多层免漆板，封边采用厚度≥1mm塑制封边条机械四边封边，三合一连接件组装；钢架采用满焊焊接而成，表面采用高温粉体烤漆；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4、功能：设计有工具收纳箱及收纳槽块，桌面可做档0-80度倾斜，面板侧面设有600*380mm隐藏式抽拉辅助副板。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教师写生画架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1、参考尺寸：600*650*1420/3000mm±10mm；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2、材质：红榉木；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3、工艺：升降平立两用式油画架，角度可调、高度可调、可进行素描、油画、水粉、国画等创作，四角制动脚轮，表面光滑、无毛刺、无弯曲，接缝无开裂，整体无疤痕无弯曲，表面环保烤漆处理。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教师写生画板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1、参考尺寸：600*900*20mm±10mm；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2、材质：中间骨架，双面三合板；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3、工艺：实木边框≥10mm，45°割角拼接，对角线平面误差＜0.2cm。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教师美术凳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1、参考尺寸：400*300*440mm±10mm；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学生写生画架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1、参考尺寸：520*750*1500mm±10mm；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2、材质：榉木；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3、工艺：最大夹画1080mm，表面光滑、无毛刺、无弯曲，接缝无开裂，整体无疤痕无弯曲，表面环保烤漆处理。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学生写生画板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1、参考尺寸：600*450*18mm±10mm；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2、材质：中间骨架，双面三合板；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3、工艺：实木边框≥1cm，45°割角拼接，对角线平面误差＜0.2cm。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学生美术凳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1、参考尺寸：360*260*420mm±10mm；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厚度≥18mm，主梁采用规格≥35*25mm方形凳脚，横杆规格≥25*20mm方形实木，运用现代工艺和传统工艺相结合，所有板边倒圆边圆角，板面无结疤、光滑无毛刺；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4、功能：上部分为4个储物格，下部分为2组带门柜体。</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内有2层活动搁板，下柜木制对开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水槽柜（含龙头水槽）</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2、结构：实木多层免漆板+大理石；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4、柜体：所有板材厚度≥18mm实木多层免漆板，封边采用厚度≥1mm塑制封边条机械四边封边，三合一连接件组装，底板贴防水锡纸；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5、铰链：采用金属防锈带阻尼铰链；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6、拉手：采用免拉手设计；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7、功能：含304不锈钢水槽、两联铜质烤漆水嘴。</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上下水接管线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1、室内上下水接管线、按规范；PPR进水管、PVC出水管，三角阀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6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美术教学网络系统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1.教学教材：具备不少于九套全国最新发布的美术教材版本的高清电子教材，电子教材必须每套完整。可支持10倍放大并且清晰；教材总量不少于162册；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2.教学课件：具备不少于九套全国最新发行的美术教材版本配套的课件素材，每课一课件，课件与系统具备的电子教材一一对应，与每课内容一一对应。支持教师备课过程中进行编辑修改。课件总量不少于2700课；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3.名作欣赏：包含绘画、建筑、雕塑、设计、综合等5大模块25个子模块的优秀古今中外的各类作品；作品总量2000幅以上；所有作品均为高清大图，具有良好的欣赏、学习和研究价值。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4.名家名作：包含中国、外国、古代、近代、现代多达350名著名画家、艺术家的个人作品集；作品总量达40000幅；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5.资源素材：教学素材库包含不少于20万张专业高清各类素材；素材库多层分类高达1100种，基本包含中小学所需所有分类，素材方便教学、欣赏、学习等环节进行快速定位使用；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6.综合视频：包含彩铅、色彩、水彩、素描、油画五大分类专业课程视频；视频总量不少于1000个，视频质量均为高清；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7.美术书籍：具备4500本专业高清书籍。所有书籍均采用高质量PDF格式，方便浏览查看；按照美术教学和拓展方向逐一分为25大类，方便教师、学生进行学习研究；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8.百科讲堂：美术百科包含美术家、画派、美术理论、技法、美术史、画评等内容；收集不少于3500条知识内容；多层分类，方便教师与学生快速定位查看学习；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美术高考：该模块包含美术高考内容素材30000多幅，全部为高清大图；分类包含水粉风景、水粉静物、水粉人物、素描半身、素描静物、素描头像、速写人物、速写场景、美考写生图库、美考设计、美考文本资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28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电磁绘画一体机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1.显示屏尺寸：≥21.5寸IPS全视角液晶屏；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2.感应区域:476.64 mm× 268.11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3.分辨率：1920 x 1080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4.颜色数值：1670万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5.压感级别：8192级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6.快捷键：8KEY×2自定义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7.读取速度：220点/秒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8.读取分辨率：2540LPI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9.感应高度：10mm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10.精度: ±0.25mm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11.接口类型  VGA/HDMI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12.自带系统 CPU I5  内存≥8G 硬盘≥64G</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591"/>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美术教学软件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1.软件综述：包含功能部分和资源部分模块。具有音乐模块，系统平台有独立的音乐背景模块软件。提供古典音乐等音乐库，音乐库不少于500首可选背景音乐，可在后台播放，不影响软件</w:t>
            </w:r>
            <w:r>
              <w:rPr>
                <w:rFonts w:hint="eastAsia" w:ascii="宋体" w:hAnsi="宋体" w:eastAsia="宋体" w:cs="宋体"/>
                <w:i w:val="0"/>
                <w:iCs w:val="0"/>
                <w:color w:val="000000"/>
                <w:sz w:val="20"/>
                <w:szCs w:val="20"/>
                <w:highlight w:val="none"/>
                <w:u w:val="none"/>
                <w:lang w:val="en-US" w:eastAsia="zh-CN" w:bidi="ar"/>
              </w:rPr>
              <w:t xml:space="preserve">操作，同时具有循环播放与顺序播放等功能，播放音乐时可暂停；也可从本地电脑中添加音乐文件进行播放。上课时，需登录教师账号和密码。登录后根据设置，可显示教室，班级等信息，在无登录时，资源模块无法打开应用。除备课模块，数字画板模块外，其余在每个模块打开时，左侧都有其他所有模块列表，可直接进入其他所需模块进行演示讲解。具有背景模板设置功能，背景设置可打造学校自有风格。其中模板分宣纸，美术，渐变，和本地模板调用。渐变，可调出色板，可调节自己所需颜色进行替换。系统所含美术图片至少30万张以上。整体资源总量超过1.5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备课系统：具有教材，课件，微课，素材，欣赏，作品，百科，视频，书籍，博物馆，高考专题等不同的目录菜单，教师可从各个目录中选择需要的备课所需资源，自由添加到备课页面中。在备课过程中，新建页面所添加各种资源与缩略图信息显示同步。可添加本地电脑图片，文件，视频。其中文件可添加PPT,WORD,PDF等格式。PPT与</w:t>
            </w:r>
            <w:r>
              <w:rPr>
                <w:rFonts w:hint="eastAsia" w:ascii="宋体" w:hAnsi="宋体" w:eastAsia="宋体" w:cs="宋体"/>
                <w:i w:val="0"/>
                <w:iCs w:val="0"/>
                <w:color w:val="000000"/>
                <w:sz w:val="20"/>
                <w:szCs w:val="20"/>
                <w:highlight w:val="none"/>
                <w:u w:val="none"/>
                <w:lang w:val="en-US" w:eastAsia="zh-CN" w:bidi="ar"/>
              </w:rPr>
              <w:t xml:space="preserve">word添加后可在软件内编辑。可在页面添加表格，文字，图形 ，线条等.其中图形有2D，3D，以及简单的动植物图形。包含标签，撤销以及恢复等备课工具。可调整背景画布比例，4：3或16：9，并可调整画布缩放比例从10%至400%至少8种比例可调。可设置至少8种字体，并可自由调整字体大小：可自行设置字体颜色，5种对齐方式，字体方向，行距，以及透明度等各种设置。图形可填充自选颜色，可设置不同边框类型，并可更改透明度。提供至少10种素材切换方式，并可自设置其时间以及延时。提供至少六种动画切入方式，并可设置时间和延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授课系统：具有画笔功能，包含铅笔，钢笔，毛笔，笔刷等6种笔形可选择。且每种画笔颜色，粗细均可自定义。橡皮擦功能，且大小可自我定义。具有移动、撤销、恢复等功能。可插入文本，图形和线条。工具包含图片，小黑板，幕布，截图，录屏等功能，其中图片包含各种笔触，有动物、植物人物、食物、其它等。具有快捷选择按钮，可快捷选择拍照，退出，返回主界面，锁屏，录制等功能。并自带颜色选择滚轮取色器。具有最小化功能，防止影响屏幕内容。授课可直接访问音乐模块，方便练习中播放背景音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4.数字画板：颜色编辑使用：软件具有包含2种色轮，立方体，正方体，同心环，颜色要素滚动条等不同色彩取色器，适应各种不同习惯使用者使</w:t>
            </w:r>
            <w:r>
              <w:rPr>
                <w:rFonts w:hint="eastAsia" w:ascii="宋体" w:hAnsi="宋体" w:eastAsia="宋体" w:cs="宋体"/>
                <w:i w:val="0"/>
                <w:iCs w:val="0"/>
                <w:color w:val="000000"/>
                <w:sz w:val="20"/>
                <w:szCs w:val="20"/>
                <w:highlight w:val="none"/>
                <w:u w:val="none"/>
                <w:lang w:val="en-US" w:eastAsia="zh-CN" w:bidi="ar"/>
              </w:rPr>
              <w:t xml:space="preserve">用。不同取色器，在统一界面显示时，对调色后的显示是相互关联，以便更好的微调到所需颜色。包含5种不同笔刷集，总笔刷超过120种，满足各类绘画所需。笔刷包可单独命名，也可选择左侧或者右侧显示，笔刷选定后，可调整其大小，尖锐度，增益等参数。笔刷参数编辑：可以自主设定需要笔刷的各种参数，可调参数包括，硬度，半径，椭圆笔触点:角度，椭圆笔触点:宽高比，以及不透明度,笔触点等，以适应个人的最佳绘画体验。图层：可一键打开图层，可锁定编辑的图层。自由添加或删除图层。每个图层都可添加新的图层组。图层可上移或者下移，可选择向下</w:t>
            </w:r>
            <w:r>
              <w:rPr>
                <w:rFonts w:hint="eastAsia" w:ascii="宋体" w:hAnsi="宋体" w:eastAsia="宋体" w:cs="宋体"/>
                <w:i w:val="0"/>
                <w:iCs w:val="0"/>
                <w:color w:val="000000"/>
                <w:sz w:val="20"/>
                <w:szCs w:val="20"/>
                <w:highlight w:val="none"/>
                <w:u w:val="none"/>
                <w:lang w:val="en-US" w:eastAsia="zh-CN" w:bidi="ar"/>
              </w:rPr>
              <w:t xml:space="preserve">合并图层。视图：可全屏展示画布，减少工具栏的干扰。可平移，缩放，旋转视图。也可根据红绿蓝三色进行颜色过滤。可选择对称绘画，在绘画过程中，绘画结果对称显示，可绘制直线和曲线，通过快捷键可调整绘画曲线的角度。可自定义偏好设定，从以下参数调整自己的习惯设定：压力，设备，按键，视图，暂存，颜色等。设定后，系统自动调整为定义好 参数。可自由定义软件显示的窗口，可选择窗口：笔刷组，颜色调节器，工具面板，预览面板，图层面板，背景选择等。暂存区：软件系统在显示面板显示暂存区，可新建，打开，保存，恢复，并可复制背景到暂停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81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无线示教仪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1.镜头像素：自带≥2个1300万像素自动对焦摄像头。摄像头在调整高度和角度后会自动对焦1次。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2.连接方式：配专用的无线接收器，不占用大屏的无线网卡；无线接收器与电脑的USB接口连接，免驱即插即用，无需设置，实现示教仪开机智能匹配连接。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3.金属软管式设计，任意方向可调，可拍大于A2幅面的示教场景，也可以微距显示。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4.影像速率：1080p或4K无线传输速率达到25~30帧/秒。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6.底座带4个触摸按键：录像、转90ﾟ、灯光、对焦。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7.触摸底座上的录像按键，可启动软件的录制功能进行示教画面的录像。配专用无线麦克风，TYPE-C接口一拖二领夹麦。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8.轻触底座上的转90°按键，即可在摄像头横向展示与竖向展示的场景间灵活切换，让示教过程中的画面更符合满屏的观看习惯。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9.示教设备采用可拆卸分离式底座，支持安装桌面底座，紧固夹板、三角支架，便携可移动，满足立体展示过程中的需要，兼顾更多示教场景。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10.充电续航：设备背面带有Type-C充电口，可边充边使用，支持电量指示灯。采用可拆卸可替换的电池设计，配备2个大容量可拆卸电池。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11.配移动快充电池仓，双电池位，带屏指示功能，有电池电量符号与电量百分比、电流模式显示，内置独立的充电控制系统，可自动识别电池电压，并进行智能控制充电，防止过充。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12.配金属便携收纳箱，适合长期保存，也方便携带到不同教室中使用。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2.小组对比教学：进入对比教学可添加本地照片，进行同屏比较；支持实时触摸放大缩小、批注、全屏、旋转，删除等操作。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3.屏幕录制：可对课堂的实操过程进行视频录制，提供MP4、AVI、WMV多种视频格式选择，支持全屏、1080P模式录制。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素描工具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1、不同型号素描铅笔一套（包括：4B 1支、2B 4支、3B 1支、2H 2支、8B 1支、7B 1支、6B 1支、5B 1支、HB 1支），4B橡皮2块，可塑橡皮2块，美工刀1把，塑料盒包装。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1、规格：立式三节可升降、最大调节高度2400mm、照射角度0°-120°；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2、材质工艺：球形灯罩直径≥260mm，深度≥190mm：金属灯杆，表面镀铬，铝节、塑料旋钮，内置弹簧；五角底座，带滚轮，可移动；带2200mm长的电线，开关、插头。</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静物台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1、参考尺寸：600*600*720/1200mm±10mm；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3、工艺：所有板材厚度≥18mm实木多层免漆板，封边采用厚度≥1mm塑制封边条机械四边封边，连接采用五金螺丝，金属防锈带阻尼铰链，带刹万向轮，背板可折叠。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衬布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2、材质：棉、麻、丝、绒；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3、工艺：冷暖色调搭配。</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1、规格：400*720*880mm；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2、材质：红榉木；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3、工艺：三层空间、层高320mm，层板厚5mm，立柱规格40*28mm，手推把手，笔架设计，方便画笔存放，圆槽笔筒设计，静音脚轮，带卡锁万向轮，承重能力强，表面光滑无毛刺。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展示画框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1、规格：600*900mm、边框20*28mm,；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2、材质工艺：原木色，配背板，有机玻璃，挂钩。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小学美术教学挂图</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1、适合小学美术教学要求的绘画、手工、欣赏内容；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2、60幅，对开，国家正式出版物。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小学影像资料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1、U盘2个内容包含幻灯片不少于180帧，与教材同步课程，数字化美术教学资源库，虚拟美术博物馆、美术展。</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木制关节人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1、规格：高不低于400mm；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2、材质：椴木，关节金属件连接。</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写生教具（1）石膏像</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1、阿古力巴切面1件≥300mm，腊空半面1件≥300mm，太阳神头像1件≥380mm，海盗头像1件≥450mm，小大卫头像1件≥670mm，表面光洁，形态逼真，线条清晰。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写生教具（2）几何形体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圆球直径≥18cm，长方体≥10x10x22cm，正方体边长≥16cm，圆柱体直径≥12cm，高≥22cm，六棱柱底面棱长≥6cm，高≥22cm，圆锥底面直径≥16cm，高≥22cm，方锥底面边长≥8cm，高≥22cm，方带方底面边长≥9cm，高≥22cm，圆锥带圆底面直径≥16cm，高≥22cm，十二面体棱长≥7cm，表面光洁，线条清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写生教具（3）静物</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蜡果（重体仿真水果、蔬菜）5件≥、彩陶1件直径≥200mm，瓷器1件高度280mm，釉陶1件直径≥200mm，玻璃杯1件高度≥280mm，玻璃花瓶1件高度≥280mm，砂锅1件直径≥180mm，瓷碗1件直径≥200mm,瓷盘1件≥直径≥200mm,金属壶1件直径≥200mm，马灯1件≥350mm，老虎枕1件≥250mm，编织篮1件直径≥200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民间美术欣赏及写生样本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1、中国结1件</w:t>
            </w:r>
            <w:r>
              <w:rPr>
                <w:rFonts w:hint="eastAsia" w:ascii="宋体" w:hAnsi="宋体" w:eastAsia="宋体" w:cs="宋体"/>
                <w:i w:val="0"/>
                <w:iCs w:val="0"/>
                <w:color w:val="000000"/>
                <w:sz w:val="20"/>
                <w:szCs w:val="20"/>
                <w:highlight w:val="none"/>
                <w:u w:val="none"/>
                <w:lang w:val="en-US" w:eastAsia="zh-CN" w:bidi="ar"/>
              </w:rPr>
              <w:t xml:space="preserve">≥90cm，纸质京剧脸谱1件≥22cm，扎染作品1件≥70×70cm，蜡染作品1件≥70×70cm，皮影1张≥20cm、年画1张（配镜框玻璃）≥50×30cm，木板年画1张（配镜框玻璃）≥50×30cm，剪纸1张（配镜框玻璃）≥30×30cm，面具社火马勺1件≥17×27cm，泥塑凤翔挂饰虎1件≥30cm，布老虎≥12cm，秸秆插接五鼓传统风车1件≥24×26cm，纹样1件≥140×70cm，尼龙布彩印风筝1件≥70×90cm，唐三彩马1件≥20×30cm、彩陶器1件直径≥20cm，瓷器1件高度≥28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陶瓷标本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中国各大名窑实物(仿)十四件及简介，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教师书法条案</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1、参考尺寸：1800*700*830mm±10mm；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体颜色为仿古色，仿古造型经过雕刻精细雕刻完成，整体精细打磨，运用现代工艺和传统工艺相结合，所有板边倒圆边圆角，板面无结疤、光滑无毛刺；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教师书法太师椅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1、参考尺寸：600*480*1170mm±10mm；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3、工艺：现代工艺和传统工艺相结合，结构严谨，做工细腻，所有板边倒圆边圆角，板面无结疤、光滑无毛刺；油漆采用环保木器底漆、面漆，五底三面油漆工艺，清晰体现实木质感。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学生书法桌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1、参考尺寸：1400*500*720mm±10mm；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体颜色为仿古色，仿古造型经过雕刻精细雕刻完成，整体精细打磨，运用现代工艺和传统工艺相结合，所有板边倒圆边圆角，板面无结疤、光滑无毛刺；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书法教室、（核心产品）2人桌</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学生书法凳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1、参考尺寸：360*280*420mm±10mm；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3、工艺：凳面厚度≥18mm，明清榫卯结构，矩形凳腿和桌腿匹配，四腿八向札开，油漆采用环保木器底漆、面漆，五底三面油漆工艺，清晰体现实木质感。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4、功能：上部分为4个储物格，下部分为2组带门柜体。</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博古架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1、参考尺寸：2800*350*2000mm±10mm；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体颜色为仿古色，仿古博古架造型，整体精细打磨，运用现代工艺和传统工艺相结合，所有板边倒圆边圆角，板面无结疤、光滑无毛刺；油漆采用环保木器底漆、面漆，五底三面油漆工艺，清晰体现实木质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水槽含柜体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2、结构：实木多层免漆板+大理石；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5、铰链：采用金属防锈带阻尼铰链；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6、拉手：采用免拉手设计；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7、功能：含304不锈钢水槽、两联铜质烤漆水嘴。</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作品展示板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1、参考尺寸：2000*1000mm±10mm；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2、材质：软木板；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3、工艺：十字布包面（米色），主体瓦楞+软木，18mm橡胶木实木机拼板边框、仿古色环保木器漆，背板采用镀锌板。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1、参考尺寸：7200*1000mm±10mm；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2、材质：9mm厚毛毡板；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3、工艺：全3M背胶，拼色处理。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上下水接管线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1、室内上下水接管线、按规范；PPR进水管、PVC出水管，三角阀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无线示教仪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1.镜头像素：自带≥2个1300万像素自动对焦摄像头。摄像头在调整高度和角度后会自动对焦1次。(提供权威第三方检测机构出具的带CNAS标识的功能检测报告复印件并加盖厂家公章）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2.连接方式：配专用的无线接收器，不占用大屏的无线网卡；无线接收器与电脑的USB接口连接，免驱即插即用，无需设置，实现示教仪开机智能匹配连接。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3.金属软管式设计，任意方向可调，可拍大于A2幅面的示教场景，也可以微距显示。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4.影像速率：1080p或4K无线传输速率达到25~30帧/秒。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6.底座带4个触摸按键：录像、转90ﾟ、灯光、对焦。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7.触摸底座上的录像按键，可启动软件的录制功能进行示教画面的录像。配专用无线麦克风，TYPE-C接口一拖二领夹麦。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8.轻触底座上的转90°按键，即可在摄像头横向展示与竖向展示的场景间灵活切换，让示教过程中的画面更符合满屏的观看习惯。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9.示教设备采用可拆卸分离式底座，支持安装桌面底座，紧固夹板、三角支架，便携可移动，满足立体展示过程中的需要，兼顾更多示教场景。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10.充电续航：设备背面带有Type-C充电口，可边充边使用，支持电量指示灯。采用可拆卸可替换的电池设计，配备2个大容量可拆卸电池。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11.配移动快充电池仓，双电池位，带屏指示功能，有电池电量符号与电量百分比、电流模式显示，内置独立的充电控制系统，可自动识别电池电压，并进行智能控制充电，防止过充。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12.配金属便携收纳箱，适合长期保存，也方便携带到不同教室中使用。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2.小组对比教学：进入对比教学可添加本地照片，进行同屏比较；支持实时触摸放大缩小、批注、全屏、旋转，删除等操作。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3.屏幕录制：可对课堂的实操过程进行视频录制，提供MP4、AVI、WMV多种视频格式选择，支持全屏、1080P模式录制。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展示画框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1、规格：600*900mm、边框20*28mm,；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2、材质工艺：原木色，配背板，有机玻璃，挂钩。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书法教室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4、功能：上部玻璃双门三层置物空间，下部双木门两层置物空间，层板均采用活动可自由调节形式，上下柜门采用免拉手斜边设计。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美术准备室1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1、参考尺寸：2400*800*850mm±10mm；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美术准备室1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1、参考尺寸：400*300*480mm±10mm：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美术准备室1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1、参考尺寸：1500*600*2000mm±10mm；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美术准备室2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1、参考尺寸：2400*800*850mm±10mm；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美术准备室2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1、参考尺寸：400*300*480mm±10mm：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美术准备室2</w:t>
            </w:r>
            <w:r>
              <w:rPr>
                <w:rFonts w:hint="eastAsia" w:ascii="宋体" w:hAnsi="宋体" w:eastAsia="宋体" w:cs="宋体"/>
                <w:b/>
                <w:bCs/>
                <w:i w:val="0"/>
                <w:iCs w:val="0"/>
                <w:color w:val="000000"/>
                <w:sz w:val="20"/>
                <w:szCs w:val="20"/>
                <w:highlight w:val="none"/>
                <w:u w:val="none"/>
              </w:rPr>
            </w:r>
            <w:r/>
          </w:p>
        </w:tc>
      </w:tr>
      <w:tr>
        <w:trPr>
          <w:trHeight w:val="4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立式钢琴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1.参考规格：长1480mm、宽590mm、高1180mm；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2.铁板：砂铸铁板，铁板高度≥109.5cm；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3.弦槌：精选国产纯羊毛毡制造；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5.击弦机用皮革：国产人造皮；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6.轴衬呢：定制轴衬呢；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8.击弦机：木制件为实木；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10.连接顶杆：高强度ABS材料制作；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11.中盘：实木制作，无金属结构；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13.弦码：色木多层板制作；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17.背柱：实木制作，五背柱设计，背柱截面尺寸≥77×70mm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33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升降讲台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1、参考尺寸：690*536*752/1112mm±10mm；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2、桌面：桌面采用环保高密度板厚度≥18mm，讲桌表面的边缘采用弧形倒角设计。桌面安装长度30cm的铝拉丝档条，桌面配置有笔槽；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3、气动升降杆：气动升降杆采用铝合金作为升降杆柱体，表面采用高温静电喷涂。桌面气动升降范围为752到1112mm；气杆采用一键无极升降，升降按键采用弧形设计，符合人体工学；气动升降杆最大承重15KG；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4、底盘：采用开放型设计的支架底盘，底盘采用铝合金，表面采用高温静电喷涂，安装4个两寸万向PU滑轮，2轮可锁定；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5、LOGO装饰板：桌面下方安装厚度≥5mm的亚克力LOGO装饰板，参考尺寸400*245mm，采用4颗装饰螺丝安装，可以印刷尺寸≤20CM的校徽；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6、功能：桌面呈10度倾斜，可以选配安装水杯架、键盘托。</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6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五线谱电教板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1、键盘：61键电钢琴键盘。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2、五线谱表：一组大谱表，采用白色可书写面板。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3、教学：采用键盘、五线谱教鞭同步教学方式。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4、音色：标准GM音色（128种）+ 一组标准键盘打击乐。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5、节奏：内置200种常用节奏。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6、示范曲：内存700首，600首中小学常用歌曲，100首中外名曲；插上U盘将致无限量。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7、显示：4.7寸彩色液晶显示面板，实体触摸按键，LED标准简谱显示。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8、操作：采用数字按键、+/-键配合，操作方便，更人性化。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9、蓝牙：手机蓝牙连接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10、变调：五线谱12中变调，并显示调名（键盘全乐理教学）。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11、调号转换：电教鞭上具有升调“#”、降调“b”转换键。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12、和弦：自动和弦。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13、录音：录音时间超过两小时。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14、七彩色键盘显示灯，显示效果更直观有趣，增强教学效果。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15、主音量：具有32级音量调节范围。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16、伴奏音量：具有32级音量调节范围。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17、节奏控制：启动/停止、自动低音和弦（A.B.C）、同步启动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18、FUNCTION：延音、颤音、节拍器等。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19、具有U盘、可直接播放卡内的MP3文件。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20、接口：双教鞭接口；MIDI输入/输出；线路输入/输出。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21、乐理：四根双七彩标尺演示能更清新分析和理解基础乐理。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22、具有键位与五线谱对应的LED指示灯，可对照键盘与五线谱相应的位置。在播放示范区时，对应的LED会显示音高，寓教于乐。可直接与电脑连接使用。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83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录音机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1、便携式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2、CD可任意编程20首曲目，MP3可编程99首曲目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3、LCD播放曲目显示/具有随机播放功能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4、支持磁带放音/FM/AM/CD/MP3/蓝牙/AUX/USB/遥控器播放功能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5、遥控器遥控距离大于7米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6、立体声耳机插孔/ 具有电子防振工能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7、频率范围:FM:87.5-108MHZ AM:520-1720kHz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8、CD信噪比：≥50dB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9、输出功率：1.5W+1.5W(瓦)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10、体积：217(长)*213(宽)*122(高)mm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音乐教育教学相关图书及杂志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1、音乐基本理论、音乐教育学、心理学、音乐教学设计以及各种音乐专业杂志等；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2、正规音像出版社出版。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36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音乐教学挂图</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1、符合中小学音乐教学标准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2、符合中小学音乐教科书的有关要求，符合中小学音乐课程标准的指导思想；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3、挂图采用彩色胶印，画面整洁，色泽自然鲜明，图像清晰，表面平整，无缺角和褶痕；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4、挂图内容正确、重点突出；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5、全套71幅对开，牢固耐用。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6、民族乐器部分:4副对开挂图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7、西洋乐器部分:6副对开挂图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8、简谱乐理部分:10副对开挂图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9、五线谱乐理部分：11副对开挂图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10、其它部分：3副对开挂图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11、中国音乐家：9副对开挂图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12、外国音乐家：27副对开挂图、中华人民共和国挂图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13、正规音像出版社出版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小学音乐教学软件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1、适用范围：适用于小学音乐教学使用；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2、技术要求：光盘内容与现行音乐教材内容同步；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3、光盘数据面不应有划痕，播放声音清晰，无卡滞现象；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4、一套2碟CD。</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小学音乐欣赏教学影像库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1、(春季下册共22张一二年级各3张，三四五六年级各4张)；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2、(秋季上册共22张一二年级各3张，三四五六年级各4张)；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3、正规音像出版社出版。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小学音乐欣赏教学曲库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1、高清，CD，大容量700MB，2碟。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2、按照国家新课标2023年教材配备标准，包括教材全部内容。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3、国家正式出版物。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音乐节拍器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1、材质：注塑外壳 纯金属机芯；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2、规格：20.2*9.3*10.2cm；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3、结构：高档金属机芯+环保外壳，传统示拍模式，速度为40~208拍/分，节拍为0、2、3、4、6，速度误差&lt;1%；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5、特色：无须电池 根据钟摆原理而制，内置发条驱动，摆杆上游码可上下调动，以调整速度，并和面板上的刻度相对照，可知每分钟来回摆动的次数，精准、稳定、音亮、操作简便，外观时尚；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音叉</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2、规格：总长≥11.4cm，把手长度≥4cm，叉长≥7.2cm，叉厚：≥0.3cm，音叉直径：≥1.7cm；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3、结构：呈“Y”形的钢质音叉，手柄上印有A-440钢印，标准音乐音叉，整块钢材经过车床，铣床，磨床等机械加工而成；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4、使用方法：敲击音叉，采集声波波形图；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5、产品具有合格证、三包卡，独立包装袋或包装盒。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多用划线规</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1、材质：全新环保无毒塑料；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2、规格：多用划线归的直径大于等于11.9CM，高度大于等于10CM，每个夹笔孔的直径为1.2CM，高度为1.4CM；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3、结构：由手握固定划线区和5个夹划线控，用螺丝组装而成。</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1、材质：环保塑料；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2、规格：直径约40mm，长度：C=285±2mm、B=305±2mm、A=345±2mm 、G=395±2mm、F=445±2mm、E=475±2mm、 D=545±2mm、C=615±2mm。（尺寸±5mm）；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3、结构：由八种颜色音筒组成，色泽均匀、光滑，没有劈裂，与人体接触部位没有锐利边角及毛刺，无变形；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4、使用方法：不同音筒敲打固定的墙面或地面，可打出不同的音高；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38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钟琴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1、材质：木质+优质塑料合成框架、优质钢铝片、不锈钢支架；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2、规格：裸琴直径≥60CM，裸琴右边宽度≥15CM，左边宽度≥34CM，高度≥4.5CM，琴片的直径均为≥2.5CM，壁厚≥0.5CM ，2根敲棒的长度均为≥27CM，上排13个琴片的长度分别为：≥18</w:t>
            </w:r>
            <w:r>
              <w:rPr>
                <w:rFonts w:hint="eastAsia" w:ascii="宋体" w:hAnsi="宋体" w:eastAsia="宋体" w:cs="宋体"/>
                <w:i w:val="0"/>
                <w:iCs w:val="0"/>
                <w:color w:val="000000"/>
                <w:sz w:val="20"/>
                <w:szCs w:val="20"/>
                <w:highlight w:val="none"/>
                <w:u w:val="none"/>
                <w:lang w:val="en-US" w:eastAsia="zh-CN" w:bidi="ar"/>
              </w:rPr>
              <w:t xml:space="preserve">CM；≥17CM；≥16CM；≥15CM；≥14CM；≥13CM；≥12CM；≥11.5CM；≥10.5CM；≥10CM；≥9CM；≥8.5CM；≥8CM。下排19个琴片的长度分别为：≥18.5CM；≥17CM；≥16CM；≥15.5CM；≥15CM；≥14.5CM；≥13.5CM；≥13CM；≥12.5CM；≥11.5CM；≥11CM；≥10.5CM ；≥10CM；≥9.5CM；≥9CM；≥8.5CM；≥8.2CM；≥7.8CM；≥7.5CM，不锈钢支架的高度为≥60CM，支架中心钢管的直径≥2.5CM；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3、结构：由1个32音的裸琴和1副不锈钢制支架组合而成，琴片上刻有音阶，不锈钢制支架的3个分支架底部均有黑色橡胶垫保护，起到稳定、固定的作用；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4、使用方法：演奏时将铝板琴放在组装好的支架上，然后左右手手持敲棒敲击琴片即可。</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1、材质：铝制，实木；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2、规格：铝制，17音最长：19~22 cm、最短：11~14cm。高度4cm  每个依次递减0．8cm；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3、结构：由实木制木条和铝片构成，带有便携带木盒；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4、使用方法：敲棒敲击不同音条.可发出不同音高；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1、材质：木制 ，原木色；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2、规格：长度≥6cm，直径≥3cm；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3、结构：形状为小圆柱体，木体为天然木料的木质纹路更美观，两个为一对；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4、使用方法：手持沙筒上下摇晃；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棒铃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1、材质：木质、金属；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2、结构：产品由一个类似于棒球棍形状的木质棒体与6个金属铃铛组成；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3、规格：产品整体长度18 CM、宽度8 CM，木质棒体最大直径为3CM，铃铛直径为1CM；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4、使用方法：手持棒铃跟随音乐节奏摇动即可发声。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铃圈</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1、材质：木质、金属、丝带等；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2、结构：产品整体呈六芒星造型，辅以三色丝带点缀装饰，配有5对黄铜铃片组成；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3、规格：产品整体对角直径为35CM，整体厚度为2CM；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4、使用方法：手持铃圈交替上下摇动即可发声；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五音木鼓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1、材质：实木材质；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2、结构：产品整体呈长方体中空造型。产品上方有一个类似于“王”字造型的音孔开槽；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3、规格：鼓体尺寸为20*20*9（单位为：厘米）；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4、配件：随鼓附送专用鼓槌一根；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5、使用方法：使用鼓槌击打鼓体不同部位即可发声。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卡巴撒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1、材质：松木盖板，电镀串珠；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2、规格：直径：≥13cm，全长≥18cm；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3、结构：优质松木盖板，电镀串珠；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4、使用方法：演奏时，手握手柄，上下摇晃或者转圈摇晃；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响板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2、规格：响板全长≥20cm；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3、结构：由两块盖板及主木板构成，板头用细绳串联在一起，主板串联着手柄构成； 两个为一套；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4、使用方法：使用时手持响板，上下或左右摇晃，盖板与主板碰撞使其发出清脆声响，用于奥尔夫打击乐教学或舞蹈伴奏使用；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响棒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2、规格：长≥245mm，直径≥2.4cm；（尺寸±5mm）；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3、结构：由两根圆柱体橡胶木棍构成，外观打磨光滑，边缘无毛刺，长短一致，粗细均匀，两根为一付；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4、使用方法：使用时双手各持一根，互相敲打，使其发音；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北梆子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1、材质：枣木；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2、规格：长≥19cm，宽≥4cm，高≥3cm；另一根尺寸≥18cm*2.4cm （尺寸±5mm）；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3、结构：梆子：由两根长短不等、粗细不同的实心硬木棒组成，形状为圆柱形；材质为枣木，表面打磨光滑，适用于戏曲伴奏，配件：布袋包装；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4、使用方法：使用时双手各持一棒，交叉敲击即可发声；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南梆子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2、规格：长≥19cm，宽≥3.8cm，高≥6.1cm；敲棒长≥18.5cm（尺寸±5mm）；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3、结构：由木制中空长方体梆子和敲棒构成；材制为梨木或硬木，中间为一长方形音孔，内腔渐大，音孔镂空高≥0.4cm，配一支敲棒；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4、使用方法：多用于民乐演奏用，伴奏，使演奏更有节奏感，使用时一手持敲棒，梆子可用手拿着，也可放桌子上敲击；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木鱼</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1、材质：椿木；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每个尺寸分别为（长±5mm×高±5mm）：89mm×69mm、84mm×69mm、79mm×64mm、74mm×59mm、69mm×54mm、60mm×50mm、59mm×49mm、50mm×40mm。正面方形，侧面三角形。颜色：红色.金色。手工制作，设有发音孔。附敲击槌1个，槌头1个；槌头直径为25mm，圆球形；把为圆柱形，直径为5mm，全长为190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3、结构：椿木，环保红漆、金漆，音质：发音清脆，音高清晰可辨，没有杂音。八个为一组（8音）；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4、使用方法：演奏时，使用敲击锤击打木鱼；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铃鼓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1、规格：鼓面直径≥200mm，高度≥43mm；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2、材质：羊皮、木质板材、金属铃片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3、结构：产品整体呈圆形。根据学校的要求，镲片的连接部分采用圆柱形设计，增强了其稳定性并延长使用寿命；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帮忙学生们更好地掌握音乐节奏知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5、使用方式：通过手敲击鼓面或摇晃，可以产生丰富的音效，广泛应用于多种音乐风格。</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碰钟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2、规格：碰钟外直径≥4.7cm，碰钟内直径≥4.4cm，高度≥3.6cm，壁厚≥0.2cm（尺寸±5mm）；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3、结构：由1根绳带连接2个碰钟组成，二个为一付，材质厚实，音质明亮；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4、使用方法：手持碰撞发声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棒钟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1、材质：木制手把+金属；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2、规格：直径3.7cm 长度13cm带把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3、结构：木制手柄和响筒碰铃组成；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4、使用方法：演奏时，左右手各握一把碰撞发声；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扁鼓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1、材质：木制、水牛皮鼓面、铁架；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2、规格：鼓面直径≥38cm，高度≥22cm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3、结构：由木制鼓圈和水牛皮鼓面组成。鼓圈与鼓面连接处用锚钉固定，更为结实。鼓圈喷油红色环保油漆，鼓的侧面两端镶有铝制挂钩，可以同时挂在鼓架上使用；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4、使用方法：使用鼓槌敲击鼓面；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小堂鼓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1、材质：胶木框，牛皮鼓面；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2、规格：鼓面直径≥250mm 高≥165mm，击槌直径≥12mm,击槌长度≥210mm；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3、结构：鼓腔木制红色，鼓面双面牛皮蒙面，光滑无毛刺，鼓棒 2 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4、使用方法：使用鼓槌敲击鼓面；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中音虎锣</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2、规格：锣直径≥32.5cm，壁厚≥0.18cm,敲槌长度≥24cm；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3、结构：大锣身为一圆型弧面，响铜制,中心部稍凸起，大锣的内部中心位置印有商标，锣边缘开有两个小孔穿绳，方便使用；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4、使用方法：演奏时用左手拿着穿有绳子的锣，右手持一敲槌敲击发声；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小锣</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2、规格：锣直径为≥21.5cm，壁厚≥0.16cm,木片长度≥26cm；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3、结构：小锣身为一圆型弧面，响铜制,中心部稍凸起，锣的内部中心位置印有商标，锣边缘开有两个小孔穿绳，方便使用；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4、使用方法：演奏时用左手拿着穿有绳子的锣，右手持一敲槌敲击发声；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2、规格：直径≥27cm；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3、结构：饶体为一圆形金属板，用“响铜”制成，中部隆起的半球形部分称“帽”，顶部钻有小孔，用粗绳栓系，两个为一付；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4、使用方法：演奏时，两手各执一面，互击发音，音色高亢脆亮；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2、规格：小钹直径≥14.8cm，壁厚≥0.1cm，中心脐直径≥6.7cm；重量0.4kg；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3、结构：钹体为一圆形金属板，用“响铜”制成，中部隆起的半球形部分称“帽”，顶部钻有小孔，用粗绳栓系，两个为一付；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4、使用方法：演奏时，两手各执一面，互击发音，音色高亢脆亮；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葫芦丝</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1、材质：天然葫芦；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2、规格：全长≥37.5cm，主音管长≥25.5cm，葫芦直径≥8cm；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3、结构：由1个天然葫芦、 仿花牛角吹口、2根附管、1根主音管、1个小DIY中国结组成；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4、调性：C调；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尤克里里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1、尺寸：23寸 4弦；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2、面板：沙比利木；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3、底侧板：沙比利；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4、品线：18品白铜；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31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电钢琴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1.重锤88键逐键采音电钢琴，支持智能设备Android和iOS系统；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2.音色源：88键琴采样谐波成像；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3.内置音色：三角钢琴、大钢琴、柔和三角钢琴、现代钢琴、古典电钢琴、现代电钢琴、爵士风琴、教堂风琴、羽管键琴、电颤琴、弦乐合奏、慢弦乐等智能调音效果；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4.复音：复音数192音；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5.踏板数：三踏板；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6.蓝牙模块：支持蓝牙；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7.键盘模式：双音色演奏模式（可调节音量平衡）、双钢琴模式；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8.内置录音器：3首乐曲录制，录音容量大约为10000个音符；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9.扬声器：12cm×2；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10.输出功率：20W×2；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11.含琴凳、耳机、乐谱架。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塑料鼓棒</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材质：尼龙塑料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槌头：水滴形槌头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长度：约400mm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直径：14mm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果壳音束排铃</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奥尔夫教学法需要，四果音速排铃，规格：24串*6颗</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奥尔夫雨声筒</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1、材质：环保塑料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2、规格：高≧400mm，直径≧42mm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3、结构：透明塑料外壳 .彩色镂空分离隔片.彩色塑料小球组成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4、使用方法：一只手手握雨声上下摇晃即可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双面海浪鼓</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1、材质：桦木鼓圈 聚酯皮鼓面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2、规格：鼓直径≧250mm,鼓圈高≧340mm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3、结构：由木制鼓圈和透明聚酯制作的鼓面组成，内装金属的小颗粒，木制鼓圈外围两侧均有尼龙宽带修饰更为美观大方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4、使用方法：手持海鼓轻轻的侧出一个小角度，鼓里的小珠子就会从高的一端滚向低的一端，滚动的过程中会发出类似海浪的声音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红蜻蜓马缨花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彝族舞蹈专用，塑料内吋、布艺饰面、红色穗儿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音乐教室1</w:t>
            </w:r>
            <w:r>
              <w:rPr>
                <w:rFonts w:hint="eastAsia" w:ascii="宋体" w:hAnsi="宋体" w:eastAsia="宋体" w:cs="宋体"/>
                <w:b/>
                <w:bCs/>
                <w:i w:val="0"/>
                <w:iCs w:val="0"/>
                <w:color w:val="000000"/>
                <w:sz w:val="20"/>
                <w:szCs w:val="20"/>
                <w:highlight w:val="none"/>
                <w:u w:val="none"/>
              </w:rPr>
            </w:r>
            <w:r/>
          </w:p>
        </w:tc>
      </w:tr>
      <w:tr>
        <w:trPr>
          <w:trHeight w:val="4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立式钢琴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1.参考规格：长1480mm、宽590mm、高1180mm；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2.铁板：砂铸铁板，铁板高度≥109.5cm；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3.弦槌：精选国产纯羊毛毡制造；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5.击弦机用皮革：国产人造皮；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6.轴衬呢：定制轴衬呢；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8.击弦机：木制件为实木；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10.连接顶杆：高强度ABS材料制作；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11.中盘：实木制作，无金属结构；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13.弦码：色木多层板制作；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17.背柱：实木制作，五背柱设计，背柱截面尺寸≥77×70mm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33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升降讲台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1、参考尺寸：690*536*752/1112mm；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2、桌面：桌面采用环保高密度板厚度≥18mm，讲桌表面的边缘采用弧形倒角设计。桌面安装长度30cm的铝拉丝档条，桌面配置有笔槽；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3、气动升降杆：气动升降杆采用铝合金作为升降杆柱体，表面采用高温静电喷涂。桌面气动升降范围为752到1112mm；气杆采用一键无极升降，升降按键采用弧形设计，符合人体工学；气动升降杆最大承重15KG；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4、底盘：采用开放型设计的支架底盘，底盘采用铝合金，表面采用高温静电喷涂，安装4个两寸万向PU滑轮，2轮可锁定；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5、LOGO装饰板：桌面下方安装厚度≥5mm的亚克力LOGO装饰板，参考尺寸400*245mm，采用4颗装饰螺丝安装，可以印刷尺寸≤20CM的校徽；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6、功能：桌面呈10度倾斜，可以选配安装水杯架、键盘托。</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音乐节拍器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1、材质：注塑外壳 纯金属机芯；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2、规格：20.2*9.3*10.2cm；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3、结构：高档金属机芯+环保外壳，传统示拍模式，速度为40~208拍/分，节拍为0、2、3、4、6，速度误差&lt;1%；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5、特色：无须电池 根据钟摆原理而制，内置发条驱动，摆杆上游码可上下调动，以调整速度，并和面板上的刻度相对照，可知每分钟来回摆动的次数，精准、稳定、音亮、操作简便，外观时尚；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音叉</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2、规格：总长≥11.4cm，把手长度≥4cm，叉长≥7.2cm，叉厚：≥0.3cm，音叉直径：≥1.7cm；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3、结构：呈“Y”形的钢质音叉，手柄上印有A-440钢印，标准音乐音叉，整块钢材经过车床，铣床，磨床等机械加工而成；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4、使用方法：敲击音叉，采集声波波形图；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5、产品具有合格证、三包卡，独立包装袋或包装盒。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多用划线规</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1、材质：全新环保无毒塑料；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2、规格：多用划线归的直径大于等于11.9CM，高度大于等于10CM，每个夹笔孔的直径为1.2CM，高度为1.4CM；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3、结构：由手握固定划线区和5个夹划线控，用螺丝组装而成。</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1、材质：环保塑料；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2、规格：直径约40mm，长度：C=285±2mm、B=305±2mm、A=345±2mm 、G=395±2mm、F=445±2mm、E=475±2mm、 D=545±2mm、C=615±2mm。（尺寸±5mm）；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3、结构：由八种颜色音筒组成，色泽均匀、光滑，没有劈裂，与人体接触部位没有锐利边角及毛刺，无变形；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4、使用方法：不同音筒敲打固定的墙面或地面，可打出不同的音高；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38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钟琴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1、材质：木质+优质塑料合成框架、优质钢铝片、不锈钢支架；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2、规格：裸琴直径≥60CM，裸琴右边宽度≥15CM，左边宽度≥34CM，高度≥4.5CM，琴片的直径均为≥2.5CM，壁厚≥0.5CM ，2根敲棒的长度均为≥27CM，上排13个琴片的长度分别为：≥18</w:t>
            </w:r>
            <w:r>
              <w:rPr>
                <w:rFonts w:hint="eastAsia" w:ascii="宋体" w:hAnsi="宋体" w:eastAsia="宋体" w:cs="宋体"/>
                <w:i w:val="0"/>
                <w:iCs w:val="0"/>
                <w:color w:val="000000"/>
                <w:sz w:val="20"/>
                <w:szCs w:val="20"/>
                <w:highlight w:val="none"/>
                <w:u w:val="none"/>
                <w:lang w:val="en-US" w:eastAsia="zh-CN" w:bidi="ar"/>
              </w:rPr>
              <w:t xml:space="preserve">CM；≥17CM；≥16CM；≥15CM；≥14CM；≥13CM；≥12CM；≥11.5CM；≥10.5CM；≥10CM；≥9CM；≥8.5CM；≥8CM。下排19个琴片的长度分别为：≥18.5CM；≥17CM；≥16CM；≥15.5CM；≥15CM；≥14.5CM；≥13.5CM；≥13CM；≥12.5CM；≥11.5CM；≥11CM；≥10.5CM ；≥10CM；≥9.5CM；≥9CM；≥8.5CM；≥8.2CM；≥7.8CM；≥7.5CM，不锈钢支架的高度为≥60CM，支架中心钢管的直径≥2.5CM；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3、结构：由1个32音的裸琴和1副不锈钢制支架组合而成，琴片上刻有音阶，不锈钢制支架的3个分支架底部均有黑色橡胶垫保护，起到稳定、固定的作用；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4、使用方法：演奏时将铝板琴放在组装好的支架上，然后左右手手持敲棒敲击琴片即可。</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1、材质：铝制，实木；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2、规格：铝制，17音最长：19~22 cm、最短：11~14cm。高度4cm  每个依次递减0．8cm；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3、结构：由实木制木条和铝片构成，带有便携带木盒；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4、使用方法：敲棒敲击不同音条.可发出不同音高；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1、材质：木制 ，原木色；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2、规格：长度≥6cm，直径≥3cm；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3、结构：形状为小圆柱体，木体为天然木料的木质纹路更美观，两个为一对；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4、使用方法：手持沙筒上下摇晃；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棒铃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1、材质：木质、金属；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2、结构：产品由一个类似于棒球棍形状的木质棒体与6个金属铃铛组成；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3、规格：产品整体长度18 CM、宽度8 CM，木质棒体最大直径为3CM，铃铛直径为1CM；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4、使用方法：手持棒铃跟随音乐节奏摇动即可发声。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铃圈</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1、材质：木质、金属、丝带等；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2、结构：产品整体呈六芒星造型，辅以三色丝带点缀装饰，配有5对黄铜铃片组成；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3、规格：产品整体对角直径为35CM，整体厚度为2CM；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4、使用方法：手持铃圈交替上下摇动即可发声；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五音木鼓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1、材质：实木材质；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2、结构：产品整体呈长方体中空造型。产品上方有一个类似于“王”字造型的音孔开槽；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3、规格：鼓体尺寸为20*20*9（单位为：厘米）；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4、配件：随鼓附送专用鼓槌一根；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5、使用方法：使用鼓槌击打鼓体不同部位即可发声。</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卡巴撒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1、材质：松木盖板，电镀串珠；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2、规格：直径：≥13cm，全长≥18cm；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3、结构：优质松木盖板，电镀串珠；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4、使用方法：演奏时，手握手柄，上下摇晃或者转圈摇晃；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响板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2、规格：响板全长≥20cm；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3、结构：由两块盖板及主木板构成，板头用细绳串联在一起，主板串联着手柄构成； 两个为一套；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4、使用方法：使用时手持响板，上下或左右摇晃，盖板与主板碰撞使其发出清脆声响，用于奥尔夫打击乐教学或舞蹈伴奏使用；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响棒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2、规格：长≥245mm，直径≥2.4cm；（尺寸±5mm）；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3、结构：由两根圆柱体橡胶木棍构成，外观打磨光滑，边缘无毛刺，长短一致，粗细均匀，两根为一付；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4、使用方法：使用时双手各持一根，互相敲打，使其发音；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北梆子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1、材质：枣木；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2、规格：长≥19cm，宽≥4cm，高≥3cm；另一根尺寸≥18cm*2.4cm （尺寸±5mm）；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3、结构：梆子：由两根长短不等、粗细不同的实心硬木棒组成，形状为圆柱形；材质为枣木，表面打磨光滑，适用于戏曲伴奏，配件：布袋包装；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4、使用方法：使用时双手各持一棒，交叉敲击即可发声；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南梆子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2、规格：长≥19cm，宽≥3.8cm，高≥6.1cm；敲棒长≥18.5cm（尺寸±5mm）；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3、结构：由木制中空长方体梆子和敲棒构成；材制为梨木或硬木，中间为一长方形音孔，内腔渐大，音孔镂空高≥0.4cm，配一支敲棒；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4、使用方法：多用于民乐演奏用，伴奏，使演奏更有节奏感，使用时一手持敲棒，梆子可用手拿着，也可放桌子上敲击；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木鱼</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1、材质：椿木；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每个尺寸分别为（长±5mm×高±5mm）：89mm×69mm、84mm×69mm、79mm×64mm、74mm×59mm、69mm×54mm、60mm×50mm、59mm×49mm、50mm×40mm。正面方形，侧面三角形。颜色：红色.金色。手工制作，设有发音孔。附敲击槌1个，槌头1个；槌头直径为25mm，圆球形；把为圆柱形，直径为5mm，全长为190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3、结构：椿木，环保红漆、金漆，音质：发音清脆，音高清晰可辨，没有杂音。八个为一组（8音）；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4、使用方法：演奏时，使用敲击锤击打木鱼；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铃鼓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1、规格：鼓面直径≥200mm，高度≥43mm；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2、材质：羊皮、木质板材、金属铃片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3、结构：产品整体呈圆形。根据学校的要求，镲片的连接部分采用圆柱形设计，增强了其稳定性并延长使用寿命；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帮忙学生们更好地掌握音乐节奏知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5、使用方式：通过手敲击鼓面或摇晃，可以产生丰富的音效，广泛应用于多种音乐风格。</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碰钟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2、规格：碰钟外直径≥4.7cm，碰钟内直径≥4.4cm，高度≥3.6cm，壁厚≥0.2cm（尺寸±5mm）；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3、结构：由1根绳带连接2个碰钟组成，二个为一付，材质厚实，音质明亮；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4、使用方法：手持碰撞发声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棒钟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1、材质：木制手把+金属；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2、规格：直径3.7cm 长度13cm带把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3、结构：木制手柄和响筒碰铃组成；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4、使用方法：演奏时，左右手各握一把碰撞发声；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扁鼓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1、材质：木制、水牛皮鼓面、铁架；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2、规格：鼓面直径≥38cm，高度≥22cm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3、结构：由木制鼓圈和水牛皮鼓面组成。鼓圈与鼓面连接处用锚钉固定，更为结实。鼓圈喷油红色环保油漆，鼓的侧面两端镶有铝制挂钩，可以同时挂在鼓架上使用；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4、使用方法：使用鼓槌敲击鼓面；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小堂鼓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1、材质：胶木框，牛皮鼓面；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2、规格：鼓面直径≥250mm 高≥165mm，击槌直径≥12mm,击槌长度≥210mm；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3、结构：鼓腔木制红色，鼓面双面牛皮蒙面，光滑无毛刺，鼓棒 2 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4、使用方法：使用鼓槌敲击鼓面；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中音虎锣</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2、规格：锣直径≥32.5cm，壁厚≥0.18cm,敲槌长度≥24cm；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3、结构：大锣身为一圆型弧面，响铜制,中心部稍凸起，大锣的内部中心位置印有商标，锣边缘开有两个小孔穿绳，方便使用；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4、使用方法：演奏时用左手拿着穿有绳子的锣，右手持一敲槌敲击发声；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小锣</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2、规格：锣直径为≥21.5cm，壁厚≥0.16cm,木片长度≥26cm；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3、结构：小锣身为一圆型弧面，响铜制,中心部稍凸起，锣的内部中心位置印有商标，锣边缘开有两个小孔穿绳，方便使用；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4、使用方法：演奏时用左手拿着穿有绳子的锣，右手持一敲槌敲击发声；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2、规格：直径≥27cm；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3、结构：饶体为一圆形金属板，用“响铜”制成，中部隆起的半球形部分称“帽”，顶部钻有小孔，用粗绳栓系，两个为一付；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4、使用方法：演奏时，两手各执一面，互击发音，音色高亢脆亮；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2、规格：小钹直径≥14.8cm，壁厚≥0.1cm，中心脐直径≥6.7cm；重量0.4kg；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3、结构：钹体为一圆形金属板，用“响铜”制成，中部隆起的半球形部分称“帽”，顶部钻有小孔，用粗绳栓系，两个为一付；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4、使用方法：演奏时，两手各执一面，互击发音，音色高亢脆亮；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葫芦丝</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1、材质：天然葫芦；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2、规格：全长≥37.5cm，主音管长≥25.5cm，葫芦直径≥8cm；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3、结构：由1个天然葫芦、 仿花牛角吹口、2根附管、1根主音管、1个小DIY中国结组成；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4、调性：C调；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尤克里里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1、尺寸：23寸 4弦；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2、面板：沙比利木；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3、底侧板：沙比利；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4、品线：18品白铜；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4、功能：上部玻璃双门三层置物空间，下部双木门两层置物空间，层板均采用活动可自由调节形式，上下柜门采用免拉手斜边设计。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音乐准备室1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音乐器材架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音乐准备室1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1、参考尺寸：2400*800*850mm±10mm；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音乐准备室1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1、参考尺寸：400*300*480mm±10mm：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音乐准备室1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4、功能：上部玻璃双门三层置物空间，下部双木门两层置物空间，层板均采用活动可自由调节形式，上下柜门采用免拉手斜边设计。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音乐准备室2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音乐器材架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音乐准备室2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1、参考尺寸：2400*800*850mm±10mm；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音乐准备室2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1、参考尺寸：400*300*480mm±10mm：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音乐准备室2</w:t>
            </w:r>
            <w:r>
              <w:rPr>
                <w:rFonts w:hint="eastAsia" w:ascii="宋体" w:hAnsi="宋体" w:eastAsia="宋体" w:cs="宋体"/>
                <w:b/>
                <w:bCs/>
                <w:i w:val="0"/>
                <w:iCs w:val="0"/>
                <w:color w:val="000000"/>
                <w:sz w:val="20"/>
                <w:szCs w:val="20"/>
                <w:highlight w:val="none"/>
                <w:u w:val="none"/>
              </w:rPr>
            </w:r>
            <w:r/>
          </w:p>
        </w:tc>
      </w:tr>
      <w:tr>
        <w:trPr>
          <w:trHeight w:val="4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立式钢琴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1.参考规格：长1480mm、宽590mm、高1180mm；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2.铁板：砂铸铁板，铁板高度≥109.5cm；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3.弦槌：精选国产纯羊毛毡制造；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5.击弦机用皮革：国产人造皮；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6.轴衬呢：定制轴衬呢；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8.击弦机：木制件为实木；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10.连接顶杆：高强度ABS材料制作；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11.中盘：实木制作，无金属结构；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13.弦码：色木多层板制作；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17.背柱：实木制作，五背柱设计，背柱截面尺寸≥77×70mm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镜墙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1、材质：实木多层免漆板+玻璃银镜；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2、工艺：实木多层免漆板墙面找平，镜面采用厚度5mm玻璃银镜，18mm实木多层免漆板边框。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舞蹈教室、根据教室大小适当调整</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1、参考尺寸：高800/1200mm、直径50mm；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2、材质：水曲柳实木+钢管；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3、工艺：升降控制旋钮、锰碳钢弹性钢芯镀锌钢管支架、静电喷塑；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舞蹈教室、一侧固定，一侧可移动</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换鞋凳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1、参考尺寸：1000*350*420mm±10mm；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2、材质：实木多层免漆板，海绵，亚麻布面；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结构分两层，均匀分格，板材厚度≥18mm；坐垫亚麻布饰面，内填充定型回弹阻燃海绵密度≥40，表面带有保护面，防氧化软硬适中，回弹好不变形的定型技术，压缩永久变型率小于1.3%(国际标准小于10%)，不易变形；采用不锈钢螺丝连接。</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舞蹈泡沫地垫</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可拼接EVA双色泡沫垫，规格1000*1000*20mm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瑜伽砖</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彩色EVA泡沫瑜伽砖，规格228*152*75mm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8寸牛皮堂鼓，规格：直径260*170mm，含背带及2根鼓棒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舞蹈体操垫</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珍珠棉内芯+加厚有机硅帆布饰面，规格：可折叠2000*1500*100mm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舞蹈服装放置柜</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1、参考尺寸：1000*600*2400mm±10mm；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4、功能：上部对开木门、内有铝合金型材挂衣杆，下部对开木门、内有铝合金型材挂衣杆。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简易换衣帘</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布艺拉帘，2200mm高，含高分子弧形轨道</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弹力带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1、规格：2080mm*4.5mm*15/23/30mm；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2、材质：硅胶材。</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舞蹈教室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4、功能：上部玻璃双门三层置物空间，下部双木门两层置物空间，层板均采用活动可自由调节形式，上下柜门采用免拉手斜边设计。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舞蹈准备室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舞蹈准备室</w:t>
            </w:r>
            <w:r>
              <w:rPr>
                <w:rFonts w:hint="eastAsia" w:ascii="宋体" w:hAnsi="宋体" w:eastAsia="宋体" w:cs="宋体"/>
                <w:b/>
                <w:bCs/>
                <w:i w:val="0"/>
                <w:iCs w:val="0"/>
                <w:color w:val="000000"/>
                <w:sz w:val="20"/>
                <w:szCs w:val="20"/>
                <w:highlight w:val="none"/>
                <w:u w:val="none"/>
              </w:rPr>
            </w:r>
            <w:r/>
          </w:p>
        </w:tc>
      </w:tr>
      <w:tr>
        <w:trPr>
          <w:trHeight w:val="31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塑料储物柜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1、参考尺寸：380*500*945mm±10mm；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2、材质：门板ABS塑料，柜体HIPS工程塑料，柜门与柜体连接采用尼龙铰链；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板材采用钢制模具一次注塑成型，榫卯连接结构，具有与门板一致的凸起造型，使用平行加强筋增加上下板强度。可调高度节脚垫，每个门板与侧板连结采用尼龙防水铰链和上下门轴加固。侧板厚度≥22mm、双侧板厚度≥44mm、上下板厚度≥30mm，底座高≥80mm、平顶板厚度≥40mm。每门只需配1个活动门轴，门轴为L型尼龙件，门板需要更换时直接取下活动门轴即可，不需要拆除上层门板，所有门轴均从门板内部插入上下板门轴孔中，外部无法撬出、破坏活动门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4、功能：门副板与门板四周卡扣固定，门副板内侧设有多功能挂钩。多功能盒可放大水杯同时有设计滴水孔。</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舞蹈准备室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换鞋凳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1、参考尺寸：1000*350*420mm±10mm；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2、材质：实木多层免漆板，海绵，亚麻布面；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结构分两层，均匀分格，板材厚度≥18mm；坐垫亚麻布饰面，内填充定型回弹阻燃海绵密度≥40，表面带有保护面，防氧化软硬适中，回弹好不变形的定型技术，压缩永久变型率小于1.3%(国际标准小于10%)，不易变形；采用不锈钢螺丝连接。</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舞蹈准备室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化妆台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1、参考尺寸：1800*400*1600mm±10mm；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3、工艺：主体板材厚度≥18mm，铁艺烤漆框架，采用锌合三合一连接件，镀锌阻尼缓冲铰链；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4、功能：上层镜面玻璃含灯光，中间双抽屉。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舞蹈准备室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1、参考尺寸：400*300*420mm±10mm：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舞蹈准备室</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镜墙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1、材质：实木多层免漆板+玻璃银镜；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2、工艺：实木多层免漆板墙面找平，镜面采用厚度5mm玻璃银镜，18mm实木多层免漆板边框。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啦啦操教室、根据教室大小适当调整</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1、参考尺寸：高800/1200mm、直径50mm；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2、材质：水曲柳实木+钢管；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3、工艺：升降控制旋钮、锰碳钢弹性钢芯镀锌钢管支架、静电喷塑；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啦啦操教室、一侧固定，一侧可移动</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啦啦操教室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换鞋凳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1、参考尺寸：1000*350*420mm±10mm；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2、材质：实木多层免漆板，海绵，亚麻布面；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结构分两层，均匀分格，板材厚度≥18mm；坐垫亚麻布饰面，内填充定型回弹阻燃海绵密度≥40，表面带有保护面，防氧化软硬适中，回弹好不变形的定型技术，压缩永久变型率小于1.3%(国际标准小于10%)，不易变形；采用不锈钢螺丝连接。</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啦啦操教室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体操垫</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珍珠棉内芯+加厚有机硅帆布饰面，规格：可折叠2000*1500*100mm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啦啦操教室</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服装放置柜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1、参考尺寸：1000*600*2400mm±10mm；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4、功能：上部对开木门、内有铝合金型材挂衣杆，下部对开木门、内有铝合金型材挂衣杆。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啦啦操教室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简易换衣帘</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布艺拉帘，2200mm高，含高分子弧形轨道</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啦啦操教室</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1、参考尺寸：2400*700*850mm±10mm；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桌架采用40*40mm方管钢架满焊焊接而成，表面经酸洗磷化喷塑处理；抽屉滑道采用优质三节承重式滚珠滑道，铰链采用液压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4、功能：台面下设有储物柜，中间为演示台,设置电源主控系统、多媒体设备（主机、显示器、中控、功放、交换机）的位置预留。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学生操作台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1、参考尺寸：1400*900*720mm±10mm；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30mm、壁厚≥1.5mm，表面经酸洗磷化喷塑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4、功能：双面使用，每面上部2组抽屉、下部内缩2组对开门、内有1块活动搁板。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劳动教室1、4人桌</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1、参考尺寸：Φ300*440mm±10mm；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2、凳面采用环保型ABS改性塑料一次性注塑成型，规格300mm*30mm，表面细纹咬花，防滑不发光；                           </w:t>
            </w:r>
            <w:r>
              <w:rPr>
                <w:rFonts w:hint="eastAsia" w:ascii="宋体" w:hAnsi="宋体" w:eastAsia="宋体" w:cs="宋体"/>
                <w:i w:val="0"/>
                <w:iCs w:val="0"/>
                <w:color w:val="000000"/>
                <w:sz w:val="20"/>
                <w:szCs w:val="20"/>
                <w:highlight w:val="none"/>
                <w:u w:val="none"/>
                <w:lang w:val="en-US" w:eastAsia="zh-CN" w:bidi="ar"/>
              </w:rPr>
              <w:t xml:space="preserve">                                                                                                                                                                                                                                        3、脚架采用鱼眼管钢架，表面经酸洗磷化喷塑处理；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4、脚垫采用PP塑料，底部有防滑防刮伤地板软垫；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5、马鞍造型设计，可悬挂在任何平面上，便于收纳。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常规工具墙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2、材质：实木多层免漆板+冷轧钢板；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3、工艺：储物格采用厚度18mm厚实木多层免漆板，封边采用厚度≥1mm塑制封边条机械四边封边；工具墙采用1.0mm厚打孔冷轧钢板，表面经酸洗磷化喷塑处理；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4、功能：模块化集成工具墙，储物格安全环保不易变形，可收纳工具及展示作品，工具墙可自行配置不同功能的挂钩，可悬挂各种工具及螺丝螺钉等。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成果展示柜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3、工艺：基材采用厚度18mm实木多层免漆板，封边采用厚度≥1mm塑制封边条机械四边封边。钢架规格25*25*1.2mm，采用满焊焊接而成，表面经酸洗磷化喷塑处理。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水槽柜（含龙头水槽）</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2、结构：实木多层免漆板+大理石；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5、铰链：采用金属防锈带阻尼铰链；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6、拉手：采用免拉手设计；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7、功能：含304不锈钢水槽、两联铜质烤漆水嘴。</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收纳矮柜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4、功能：配置9个PP收纳盒，可收纳各种教学用具。</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布艺与刺绣工具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12线迹缝纫机1台、毛衣针等25件/套编织工具1套、毛线绕线器1个、6色25g毛线各1捆、裁缝剪等15件/套缝纫工具1套、熨衣板等5件/套布艺工具包1套、32件手工DIY制作套装1套</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w:t>
            </w:r>
            <w:r>
              <w:rPr>
                <w:rFonts w:hint="eastAsia" w:ascii="宋体" w:hAnsi="宋体" w:eastAsia="宋体" w:cs="宋体"/>
                <w:b/>
                <w:bCs/>
                <w:i w:val="0"/>
                <w:iCs w:val="0"/>
                <w:color w:val="000000"/>
                <w:sz w:val="20"/>
                <w:szCs w:val="20"/>
                <w:highlight w:val="none"/>
                <w:u w:val="none"/>
              </w:rPr>
            </w:r>
            <w:r/>
          </w:p>
        </w:tc>
      </w:tr>
      <w:tr>
        <w:trPr>
          <w:trHeight w:val="5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模型制作工具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围裙1件、套袖1件、帽子1顶、口罩1盒、护</w:t>
            </w:r>
            <w:r>
              <w:rPr>
                <w:rFonts w:hint="eastAsia" w:ascii="宋体" w:hAnsi="宋体" w:eastAsia="宋体" w:cs="宋体"/>
                <w:i w:val="0"/>
                <w:iCs w:val="0"/>
                <w:color w:val="000000"/>
                <w:sz w:val="20"/>
                <w:szCs w:val="20"/>
                <w:highlight w:val="none"/>
                <w:u w:val="none"/>
                <w:lang w:val="en-US" w:eastAsia="zh-CN" w:bidi="ar"/>
              </w:rPr>
              <w:t xml:space="preserve">目镜1付、防滑手套1包、降噪耳塞1付、木工开孔器1套、麻花钻1套、U型锯1把、U型锯锯条10根、迷你刨1个、什锦锉1套、细齿木工锉1套、砂纸1包、游标卡尺1套、万能角度尺1套、外径千分尺1套、圆规1套、直尺1对、大三角板1套、量角器1个、90°直角尺1个、45°角尺1个、丁字尺1个、3米卷尺1把、过线尺1件、木折尺1个、木工笔1支、操作垫板1个、热熔胶枪1把、钢丝钳1把、尖嘴钳1把、螺丝刀1把、尼龙毛刷1把、木工白胶1瓶、木工速干胶1瓶、快速捆绑带1件、橡皮筋1套、榉木圆棒10根、榉木方10根、松木板10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手工雕刻工具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含16件/套厨艺雕刻工具1套、12件/套雕刻木刀1套、60g/盒印泥1盒等。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急救设备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含灭火器1个、沙桐1套、灭火毯1块、急救箱1套。</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料理台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1、参考尺寸：1500*600*800mm±10mm；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2、台面：15mm厚岩板加工制作，耐滑耐高温耐磨，边角圆弧安全处理；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3、台身：18mmE1级实木多层免漆板加工制作，1.0mm厚塑制封边条机械四边封边，镶嵌1组多功能嵌入式插排，液压阻尼门铰链；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4、裙条：100mm塑料材质裙条，一体成型凹凸卡槽配卡扣固定PP塑料底脚，裙条表面拉丝工艺抗氧化处理。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烹饪边柜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1、参考尺寸：1000*1000*800mm±10mm；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2、台面：15mm厚岩板加工制作，耐滑耐高温耐磨，边角圆弧安全处理；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3、台身：18mmE1级实木多层免漆板加工制作，1.0mm厚塑制封边条机械四边封边，柜体设计水盆、空气炸锅、电磁炉等小型厨具存放位置，液压阻尼门铰链；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4、裙条：100mm塑料材质裙条，一体成型凹凸卡槽配卡扣固定PP塑料底脚，裙条表面拉丝工艺抗氧化处理。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烹饪吊柜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1、参考尺寸：1000*350*1000mm±10mm；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2、柜体：18mmE1级实木多层免漆板加工制作，1.0mm厚塑制封边条机械四边封边，液压阻尼门铰链。</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集成灶边柜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1、参考尺寸：1000*1000*800mm±10mm；；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2、台面：15mm厚岩板加工制作，耐滑耐高温耐磨，边角圆弧安全处理；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3、台身：18mmE1级实木多层免漆板加工制作，1.0mm厚塑制封边条机械四边封边，柜体下集成灶及集成灶管道布置位，柜门PET门板。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4、裙条：100mm塑料材质裙条，一体成型凹凸卡槽配卡扣固定PP塑料底脚，裙条表面拉丝工艺抗氧化处理。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品鉴台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1、参考尺寸：3000*1000*800mm±10mm；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2、台面：15mm厚岩板加工制作，耐滑耐高温耐磨，边角圆弧安全处理；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3、台身：18mmE1级实木多层免漆板加工制作，1.0mm厚塑制封边条机械四边封边，镶嵌1组多功能嵌入式插排，液压阻尼门铰链；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4、裙条：100mm塑料材质裙条，一体成型凹凸卡槽配卡扣固定PP塑料底脚，裙条表面拉丝工艺抗氧化处理。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水槽水嘴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1、材质：304不锈钢；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2、尺寸：450*400mm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3、龙头：不锈钢陶瓷阀芯厨房专用鹅颈龙头（冷热水龙头）。</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造型凳1</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1、参考尺寸：1800*600*600mm±10mm；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2、凳身：18mm中纤板加工制作，表面烤漆处理。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造型凳2</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1、参考尺寸：1800*400*600mm±10mm；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2、凳身：18mm中纤板加工制作，表面烤漆处理。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品鉴凳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1、参考尺寸：φ300*400mm±10mm；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2、凳身：PP塑料凳面，φ25×1.5mm圆管凳架、表面经酸洗磷化喷塑处理。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给排水系统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1、室内上下水接管线、按规范；PPR进水管、PVC出水管，三角阀，并增设油污过滤装置。</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可移动电磁炉</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1、加热方式：电磁加热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2、功率：3000W；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3、微晶面板；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4、含与匹配炒锅（较轻、符合学生抓握）、隔热防滑垫。</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一体式集成灶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1、拢烟罩结构：展翼型，侧吸下排，左右排烟；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2、电炉2个：单路额定功率2000W；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3、燃气灶面板和油烟机面板材质：钢化玻璃；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4、功能下柜：蒸烤箱或消毒柜（可由学校选择）。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2、容量500L、采用变频技术；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3、对开三门，双系统三循环，2 个蒸发器，独立变温区；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4、一级能耗；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5、智能 WiFi 互联。</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1、高能气泡洗；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2、ptc热风烘干；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3、6h保存存储。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1、安装方式：嵌入式；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2、消毒方式：中温烘干；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3、面板材质：钢化玻璃；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4、电压：220V，功率 520W；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5、容量：80L；双层设计。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厨师机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 500w，机身材质金属；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2、基础功能：搅拌、打蛋、和面；3、容量：4.5L；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4、10 档可调；包含不锈钢搅拌桨、不锈钢 S 型螺旋面团勾、11 爪打蛋器等。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破壁机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1、电机功率 900W、加热功率 1200W；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2、冷饮容量 1750ml、热饮容量 1400ml；3、电压：220V，转速：≥35000 转/分钟。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空气炸锅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1、额定功率 1200W；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2、容量 10L，顶部环形视窗；3、电压：220V。</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即热式电热水器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加热类型；即热式（无需预热）防水等级：IPX4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功率：8000 瓦热效率：≥95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厚度：≤60mm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安装：含 6 平方电线（部署设备）、PPR管、阀门、各种水路接头（水路到每个分组水柜）</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桌面式100L电烤箱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1、内腔容量：100L；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2、温度控制：100度～250度；3、控制方式：机械控制；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4、额定电压220V，额定功率≤2800W；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5、整机尺寸：(550±50)*(410±50)*(510±50)mm。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净水器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1、滤芯级数：2 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2、过滤原理：反渗透；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3、制水流量：4L/min；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4、RO 滤芯寿命：5 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5、含单独回路净水管道、厨下式安装及辅料。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油烟净化器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1、净化方式：等离子静电；2、风量：≥4000m3/h；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3、进出风口尺寸：（460±10）* （480±10）mm；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4、含对接烟管管道的辅材及人工安装。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咖啡机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1、咖啡豆自动研磨：10档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2、可拆卸式水箱：容量1.8L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3、自动奶泡系统：储奶容器200ml、红外线传感器、牛奶容器自动清洁功能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4、顶部斜面操作面板：咖啡类型图标显示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微波炉</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1、额定功率1250W；2、容量20L，侧视窗；3、电压：220V。</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配套厨具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1、烘焙厨具；2、不锈钢碗碟；3、中式厨具七件套；；4、西式厨具六件套6、调料若干。</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挂板挂架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1、钢制穿孔挂板；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2、实木搁置物架；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3、挂衣钩。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吹地机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1、≥19M/s风速。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移动白板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尺寸：1200mmx900mm，双面使用，含白板笔、板擦、磁吸帖，加厚碳钢移动支架。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通风系统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1、主管材质：油烟管道；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2、包含一间教室排油烟管道的布设人工及辅料（三通管、对接法兰、弯头等）。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急救设备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1、含4Kg手提干粉灭火器1个、沙桶含沙1个、灭火毯1块、急救箱1套。</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劳动教室2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劳动准备室1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劳动准备室1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1、参考尺寸：2400*800*850mm±10mm；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劳动准备室1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1、参考尺寸：400*300*480mm±10mm：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劳动准备室1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劳动准备室2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劳动准备室2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1、参考尺寸：2400*800*850mm±10mm；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劳动准备室2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1、参考尺寸：400*300*480mm±10mm：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劳动准备室2</w:t>
            </w:r>
            <w:r>
              <w:rPr>
                <w:rFonts w:hint="eastAsia" w:ascii="宋体" w:hAnsi="宋体" w:eastAsia="宋体" w:cs="宋体"/>
                <w:b/>
                <w:bCs/>
                <w:i w:val="0"/>
                <w:iCs w:val="0"/>
                <w:color w:val="000000"/>
                <w:sz w:val="20"/>
                <w:szCs w:val="20"/>
                <w:highlight w:val="none"/>
                <w:u w:val="none"/>
              </w:rPr>
            </w:r>
            <w:r/>
          </w:p>
        </w:tc>
      </w:tr>
      <w:tr>
        <w:trPr>
          <w:trHeight w:val="4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立式钢琴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1.参考规格：长1480mm、宽590mm、高1180mm；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2.铁板：砂铸铁板，铁板高度≥109.5cm；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3.弦槌：精选国产纯羊毛毡制造；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5.击弦机用皮革：国产人造皮；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6.轴衬呢：定制轴衬呢；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8.击弦机：木制件为实木；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10.连接顶杆：高强度ABS材料制作；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11.中盘：实木制作，无金属结构；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13.弦码：色木多层板制作；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17.背柱：实木制作，五背柱设计，背柱截面尺寸≥77×70mm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三角铁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合金三角铁乐器，6寸、8寸、10寸各1个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指挥台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指挥台（带指挥棒）：便携可调/折叠式指挥台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含指挥棒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谱台板尺寸:60*33公分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二层台板尺寸:30*44公分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谱台板高度尺寸:80-120公分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护栏高度尺寸:高93公分 宽:76公分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站台尺寸:100*120*22公分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指挥凳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三脚可液压升降马鞍椅，西皮饰面，升降范围480</w:t>
            </w:r>
            <w:r>
              <w:rPr>
                <w:rStyle w:val="1295"/>
                <w:color w:val="00000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639mm,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小军鼓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红色13英寸带可调弹簧双音小军鼓，含2根鼓棒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钢片琴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37音铝制钟琴、三脚支架（高度可调范围700</w:t>
            </w:r>
            <w:r>
              <w:rPr>
                <w:rStyle w:val="1295"/>
                <w:color w:val="000000"/>
                <w:highlight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1100mm）,音域范围：C5-C8。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20寸大鼓，鼓面直径660mm、鼓身高度500mm，含三色方巾鼓棒、布艺鼓罩、带轮可移动鼓架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大镲</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1、材质：响铜；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2、规格：直径≥300mm；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3、结构：饶体为一圆形金属板，用“响铜”制成，中部隆起的半球形部分称“帽”，顶部钻有小孔，用粗绳栓系，两个为一付；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4、使用方法：演奏时，两手各执一面，互击发音，音色高亢脆亮；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5、产品具有合格证，三包卡，独立纸盒包装或包装袋。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定音鼓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20英寸铜腔定音鼓，基音可调范围至少包含D-#F</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吊镲</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16寸镲片套装，直斜两用镲架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20音风铃，含实木架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管乐教室</w:t>
            </w:r>
            <w:r>
              <w:rPr>
                <w:rFonts w:hint="eastAsia" w:ascii="宋体" w:hAnsi="宋体" w:eastAsia="宋体" w:cs="宋体"/>
                <w:b/>
                <w:bCs/>
                <w:i w:val="0"/>
                <w:iCs w:val="0"/>
                <w:color w:val="000000"/>
                <w:sz w:val="20"/>
                <w:szCs w:val="20"/>
                <w:highlight w:val="none"/>
                <w:u w:val="none"/>
              </w:rPr>
            </w:r>
            <w:r/>
          </w:p>
        </w:tc>
      </w:tr>
      <w:tr>
        <w:trPr>
          <w:trHeight w:val="547"/>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立式钢琴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1.参考规格：长1480mm、宽590mm、高1180mm；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2.铁板：砂铸铁板，铁板高度≥109.5cm；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3.弦槌：精选国产纯羊毛毡制造；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5.击弦机用皮革：国产人造皮；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6.轴衬呢：定制轴衬呢；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8.击弦机：木制件为实木；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10.连接顶杆：高强度ABS材料制作；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11.中盘：实木制作，无金属结构；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13.弦码：色木多层板制作；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17.背柱：实木制作，五背柱设计，背柱截面尺寸≥77×70mm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民乐教室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民乐教室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乐队平台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1、参考尺寸：2400*1200*200mm+2400*1200*400mm+2400*1200*600mm±10mm；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4、功能：组合式，承重墙。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民乐教室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置物架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1、参考尺寸：1500*600*2000mm±10mm；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民乐教室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定音鼓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20英寸铜腔定音鼓，基音可调范围至少包含D-#F</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民乐教室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低音提琴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亮光低音提琴，面板材质：椴木，背侧板材质：椴木，琴头材质：枫木，琴码材质：枫木，油漆采用酒精性手工油漆。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民乐教室</w:t>
            </w:r>
            <w:r>
              <w:rPr>
                <w:rFonts w:hint="eastAsia" w:ascii="宋体" w:hAnsi="宋体" w:eastAsia="宋体" w:cs="宋体"/>
                <w:b/>
                <w:bCs/>
                <w:i w:val="0"/>
                <w:iCs w:val="0"/>
                <w:color w:val="000000"/>
                <w:sz w:val="20"/>
                <w:szCs w:val="20"/>
                <w:highlight w:val="none"/>
                <w:u w:val="none"/>
              </w:rPr>
            </w:r>
            <w:r/>
          </w:p>
        </w:tc>
      </w:tr>
      <w:tr>
        <w:trPr>
          <w:trHeight w:val="4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立式钢琴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1.参考规格：长1480mm、宽590mm、高1180mm；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2.铁板：砂铸铁板，铁板高度≥109.5cm；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3.弦槌：精选国产纯羊毛毡制造；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4.制音毡：平板毡采用国产毛毡，三角毡和坑毡采用进口毛毡；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5.击弦机用皮革：国产人造皮；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6.轴衬呢：定制轴衬呢；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7.琴弦：圆形弦（截面为正圆形），镀锡防锈钢线；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8.击弦机：木制件为实木；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9.缩调档：实木（非多层）制作，无金属包裹；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10.连接顶杆：高强度ABS材料制作；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11.中盘：实木制作，无金属结构；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12.音板：采用寒带地区生长的鱼鳞松制作的加强型实木音板；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13.弦码：色木多层板制作；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14.弦轴板：由多层坚硬的色木交错拼接而成；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15.键盘：采用寒带地区生长的鱼鳞松制作的键板，亚光黑键；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16.音头纽：采用高强度ABS制作，不容易变形；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17.背柱：实木制作，五背柱设计，背柱截面尺寸≥77×70mm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镜墙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1、材质：实木多层免漆板+玻璃银镜；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2、工艺：实木多层免漆板墙面找平，镜面采用厚度5mm玻璃银镜，18mm实木多层免漆板边框。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音乐京剧教室、根据教室大小适当调整</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1、参考尺寸：高800/1200mm、直径50mm；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2、材质：水曲柳实木+钢管；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3、工艺：升降控制旋钮、锰碳钢弹性钢芯镀锌钢管支架、静电喷塑；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音乐京剧教室、一侧固定，一侧可移动</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舞蹈泡沫地垫</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可拼接EVA双色泡沫垫，规格1000*1000*20mm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小鼓3寸</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3寸羊皮鼓，含鼓棒、背带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小鼓6寸</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6寸羊皮鼓，含鼓棒、背带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舞蹈体操垫</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珍珠棉内芯+加厚防滑布料饰面，规格：直板2000*1000*100mm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舞蹈服装放置柜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1、参考尺寸：1000*600*2400mm±10mm；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4、功能：上部对开木门、内有铝合金型材挂衣杆，下部对开木门、内有铝合金型材挂衣杆。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简易换衣帘</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布艺拉帘，2200mm高，含高分子弧形轨道</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弹力带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1、规格：2080mm*4.5mm*15/23/30mm；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2、材质：硅胶材。</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音乐京剧教室</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教师实验台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1、参考尺寸：2400*700*850mm±10mm；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2、材质：抗倍特板+钢架；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台面采用抗倍特一体成型，耐80度以上高温、防水：浸水24小时后的膨胀指数不多于0.1mm，面板四周采CNC修边，四周倒角；桌架采用40*40mm方管钢架满焊焊接而成，表面经酸洗磷化喷塑处理；抽屉滑道采用优质三节承重式滚珠滑道，铰链采用液压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4、功能：台面下设有储物柜，中间为演示台,设置电源主控系统、多媒体设备（主机、显示器、中控、功放、交换机）的位置预留。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8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1、参考尺寸：1400*800*720mm±10mm；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2、材质：抗倍特板+钢架；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材质采用≥12mm抗倍特一体成型。耐80度以上高温。防水：浸水24小时后的膨胀指数不多于0.1mm，面板四周采CNC修边，四周倒角；桌架采用40*40mm方管钢架满焊焊接而成，表面经酸洗磷化喷塑处理；柜体板材厚度≥18mm实木多层免漆板，封边采用厚度≥1mm塑制封边条机械四边封边，连接采用五金螺丝，金属防锈带阻尼铰链、消音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4、功能：双面使用，每面上部2组抽屉、下部内缩2组对开门、内有1块活动搁板。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科学实验室1、四人桌</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1、参考尺寸：Φ300*450-500mm±10mm；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2、凳面：采用环保型ABS改性塑料一次性注塑成型，尺寸30cm×3cm，表面细纹咬花，防滑不发光；                                                                         </w:t>
            </w:r>
            <w:r>
              <w:rPr>
                <w:rFonts w:hint="eastAsia" w:ascii="宋体" w:hAnsi="宋体" w:eastAsia="宋体" w:cs="宋体"/>
                <w:i w:val="0"/>
                <w:iCs w:val="0"/>
                <w:color w:val="000000"/>
                <w:sz w:val="20"/>
                <w:szCs w:val="20"/>
                <w:highlight w:val="none"/>
                <w:u w:val="none"/>
                <w:lang w:val="en-US" w:eastAsia="zh-CN" w:bidi="ar"/>
              </w:rPr>
              <w:t xml:space="preserve">                                                                                                                                                                                          3、脚钢架：椭圆形无缝钢管，尺寸17×34×1.7mm，全圆满焊接完成，结构牢固，经高温粉体烤漆处理，长时间使用也不会产生表面烤漆剥落现象；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4、脚垫：采用PP加耐磨纤维质塑料，实心倒勾式一体射出成型；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5、功能：凳面可通过旋转螺杆来升降凳子高度,可调高度5cm。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1、参考尺寸：1000*600*800mm±10mm；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2、台面：采用≥12mm抗倍特一体成型，耐80度以上高温、防水：浸水24小时后的膨胀指数不多于0.1mm，面板四周采CNC修边，四周倒角；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3、柜身：所有板材厚度≥18mm实木多层免漆板，封边采用厚度≥1mm塑制封边条机械四边封边，连接采用五金螺丝，金属防锈带阻尼铰链，底板贴防水锡纸；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4、结构：对开门、内有活动搁板，水槽柜台面开水槽孔。</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1、参考尺寸：1800*340*200mm±10mm；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2、材质及工艺：1.0厚304不锈钢满焊打磨，落水处下沉5mm；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上水装置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1、用于连接地面水管及水龙头，上水管两端接头采用201不锈钢螺帽铜芯，外管是304钢丝+尼龙丝混编的、内管采用三元内管、角阀是钻石轮（塑料包铁）、阀芯和阀体均为铜制。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下水装置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1、直径35mm*长度500mm水槽专配型排水管，不锈钢卡扣连接，安装方便不渗漏。</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1、鹅颈式实验室专用化验水嘴；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2、防酸碱、防锈、防虹吸、防阻塞，表面环氧树脂喷涂；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3、开关阀芯为铜质陶瓷芯，高头，可拆卸清洗阻塞；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4、出水嘴可拆卸，内有成型螺纹，可方便连接循环等特殊用水水管。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给、排水系统（地面以上部分）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1、ф32、ф25、ф20；DN75、DN50给水：采用PPR复合管敷设。排水：使用国标优质UPVC专用排水管。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激光笔</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1.红光；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2.干电池供电；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3.金属笔身。</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塑封机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1.A3塑封，最大过模厚度不低于0.6mm；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2.操作简单；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3.过塑牢固平整、清晰服帖。</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制冰机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1、冷却方式：水冷；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2、出冰时间：≤6min；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3、一次出冰≥9颗；至冰量≥10KG/24h；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4、进水方式：手动进水；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5、额定电压：220V。</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碎冰机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1.食品级，塑料外壳、铝合金机身、不锈钢双刀头；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2.功率：380W，总容量：2000ml，转速：1440转/分钟；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3.碎冰粗细可调。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LED写生灯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1.材质：灯罩金属喷漆，灯杆钢管镀铬；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2.高600mm-2600mm，照射角度0-120°可调，灯罩直径260mm。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铁架台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1.组成：由方形座、立杆（Φ12mm×600mm）、烧瓶夹（最大张口≥35mm）、大小铁环（内径90mm、内径50mm）、垂直夹（2只）、平行夹、吊杆等组成;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（1）方形座不小于210mm×135mm，质量≥1.5kg，表面加覆耐酸碱材料进行防锈防腐蚀处理；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（2）平行夹、烧瓶夹铁片厚度≥1.0mm，烧瓶夹夹口内壁有耐热不低于120℃的缓压层，缓压层厚度≥2.0mm；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（3）立杆铁制，镀锌处理；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3.其他技术要求符合JY/T 0393—2007标准。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三角架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1.采用碳钢制造，表面经酸洗，磷化后喷塑；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2.环内径75mm，高150mm，三脚均布，三脚及支撑环钢材直径不小于6mm，三脚倾斜度合适，方便150ml酒精灯平移放入或移出；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3.三只脚与铁环焊接紧固，焊点光滑、平整，脚距相等，立放台上时圆环应与台面平行，所支撑的容器不得有滑动。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充电器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1.6口，4个USB-A口，2个Type-C口；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2.总输出功率不低于40W；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3.具有输入（出）过流保护、输入（出）过压保护、短路保护、过温保护。</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橡胶塞打孔器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四件套，直径4mm~8mm，长100mm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31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抽气盘</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1.由钟罩（配可悬挂发声装置的橡皮塞）、橡胶密封圈、底盘、抽气橡胶管接口、阀门和橡胶管等构成，与发声装置（如电铃）搭配使用；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2.钟罩采用透明性好的工程塑料或玻璃制作，尺寸不小于φ150×250mm；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3.可搭配发声装置（如电铃）悬挂在钟罩内；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4.底座采用工程塑料或金属制作，外径φ不小于190mm；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5.抽气口接口外径9mm，为台阶口；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6.密封性能：当压强达到-9.9×10-2MPa后停止抽气，关闭阀门，保持10min后钟罩内气压不高于-9.0×10-2MPa；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7.实验效果：未装入钟罩的发声装置发出的声强，在距发声装置0.5m处90dB，装入钟罩后抽气前的声强75dB，抽气后的声强45dB。</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电动气泵</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电动电池容量4500 Mah，功率80W，充满电后可使用大约40~60分钟， 可充气、抽气，配备7个大小不同的转换接头，带充气软管，与抽气盘匹配。</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仪器推车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1.材质：钢，环氧/聚酯粉末涂层；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2.规格：长38cm，宽28cm，高65cm；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3.三层碳钢网篮；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4.脚轮可调节，轻松移动稳定停放。</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手持显微镜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1.60X-120x无极变倍；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2.出瞳距离10-14mm；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3.1节7号电池供电, LED照明，按钮式开关，光源亮度多档可调。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8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单目电光源显微镜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1.整机结构件：由铝合金制作；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2.目镜：16X；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3.物镜：消色差物镜4X/0.10、10X/0.25、40X/0.65（弹簧）；带有限位装置，防止物镜压坏切片致使物镜损坏；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4.镜筒：单目斜筒，可360°旋转便于同步观察；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6.转换器：转换器三孔同心，定位准确，并带有限位装置；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7.照明：采用充电电池供电，LED冷光源，亮度连续可调，稳定性：10万小时，光衰为初始的50%；供电电压在6-24V之间；光照明亮，色度均匀，色温接近自然光；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8.电池：容量不低于5400mA，温度高于60°时自动停止充电；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9.聚光镜：N.A1.25聚光镜；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10.齐焦：10→4倍不超过±0.15mm，10→40倍不超过±0.06mm。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放大镜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1、光学玻璃镜片；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2、镜片直径≥100mm,镜片倍率≥20倍，镜身ABS或金属材质。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塑料水槽</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1.尺寸：方形，≥250 mm×180 mm×100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2.材质：透明PP材质；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2.技术要求：透光率≥85％，壁厚≥2 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水族箱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1、尺寸：不小于390(L)mmx270(W)mmx460(H)mm；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2、过滤系统：上部过滤器10W(300L/H)；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3、照明系统：双灯管，9W X 2 透明度好，一红一白；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4、水容量:35L；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5、弯面浮法玻璃。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1.量程200mm，分度值为1mm，误差范围在±1mm；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2.材料为PS材质，纯净透明，耐磨耐用。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钢直尺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1.量程300mm，0mm～50mm分度值0.5mm，其余分度值为1mm；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2.材料为1Cr18Ni9、1Cr13或其他类似性能材料，硬度不低于342HV；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3.宽度不低于33mm，厚度不低于1.1mm；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4.表面亚光处理，标尺标记、标尺标数采用镭射或蚀刻工艺完成，清晰易读；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5.刻度面平面度误差≤0.25mm，允许误差≤±0.15mm；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6.有计量器具制造许可证标志；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7.其他符合GB/T 9056－2004标准。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200g托盘天平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1.单杠杆等臂式双盘天平，最大称量200g，分度值0.2g，标尺称量0-5g；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2.横梁采用钢性材料制作，刀子、刀承用碳素钢，整体硬度要求一致，受冲击后不变形，各部件要求电镀处理，底座表面喷塑；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3.标尺刻度清晰，游码滑动自如；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4.配6级（M2级）砝码1套：100g、50g、10g、5g各1个，20g2个，钢制镊子1把，专用塑料砝码盒一个，各种砝码定位放置；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5.双托盘，托盘为胶木材质；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6.符合QB/T 2087－2016标准。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电子天平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1.量程0g~500g，分辨力0.01g，带标准砝码；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2.高精度应变式传感器，LCD显示屏，防水面板；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3.上下壳采用ABS环保材料，秤盘不锈钢材质；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4.配有调整脚，有水平仪辅助调平；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5.锂电池可充电，交直流两用；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6.带防风罩；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7.符合GB/T 26497标准。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金属钩码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1.规格：10 g（Φ22 mm）×l，20 g（Φ26 mm）×2，50 g（Φ30 mm）×2，200 g（Φ48 mm）×1；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2.允许误差： 10 g±0.1 g， 20 g±0.2 g， 50 g±0.5 g， 200 g±2.0 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3.技术要求：可叠放，钩码之间硬联结，联结后不晃动；金属挂钩，挂钩截面不小于4mm²，挂钩的受力点与轴心一致；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4.包装盒为塑料或胶木制品。</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金属钩码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1.规格：50 g±0.5 g，每盒 10个；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2.技术要求：可叠放，钩码之间硬联结，联结后不晃动；金属挂钩，挂钩截面不小于4 mm²，挂钩的受力点与轴心一致；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3.包装盒为塑料或胶木制品。</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电子秒表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1.专用型，全时段分辨力0.01s，手持式；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2.有防震、防水功能，使用AG13纽扣电池，电池更换周期不小于1.5年；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3.外壳采用金属或ABS工程硬塑，防刮耐磨，液晶屏显示清晰，按键舒适、无卡顿，表盘玻璃、后盖、按键与表壳体配合牢固，配备挂绳，耐用不脱线；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4.符合GB/T 22778标准。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红液温度计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1.量程不低于-20 ℃～100 ℃，分度值 1 ℃，示值误差&lt;±1.5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2.顶端带可穿线孔，可悬挂，高硼硅玻璃，煤油介质；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3.手工刀刻或渗透刻度，清晰不易掉色，液柱饱满，具有防爆安全泡；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4.符合JJG 130－2011标准。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数显温度计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1.测量范围：-40～300℃，分辨力：0.1℃，测量精度：±1℃；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2.ABS外壳，不锈钢探针，探针有保护套；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3.LCD屏显示。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5N条形盒测力计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 0 N～5 N，分度值 0.1 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5.调零拉手顶端为U形，光滑不划手。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5N筒形盒测力计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 0 N~5 N，分度值 0.1 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5.圆筒刻度清晰不掉色。</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多用电表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1.数字式，4-1/2位；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2.电压、电流、电阻、 温度测试、频率测试、电容、二极管测试；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3.符合GB/T 13978－2008标准。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室温计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1.指针式，测温范围：-30~50°℃，测湿范围：20～100%RH；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 ABS后盖、金属铝圈、玻璃镜面；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3.可悬挂、立放。</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指南针</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不锈钢盒，直径60 mm，厚13.5mm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噪声测定仪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1.工业级噪音计噪声测试手持式分贝仪；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2.数字式，测量范围30~130dBA，测量精度±1.5db。</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雨量器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1.塑料材质；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2.雨量范围：10-50mm；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3.高23CM，直径11.5CM；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4.量杯：高15CM，直径7CM。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手持风力风向计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1.手持式，液显电子式；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2.风速量程0~30m/s，精度±0.3m/s，起速0.5m/ 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3.机械式风向（表盘直读）量程0-360°,16个方位，精度≤3°。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量角器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半圆尺，透明PS材质，10*5.5cm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电动七色牛顿盘</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1.组成：转盘、底座、立杆、马达、电池盒、开关、导线等；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2.转盘直径不小于50mm，底座尺寸不小于长105*宽80*总高160mm。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桌沿定滑轮夹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1.含单滑轮、桌边夹、尼龙线各3 件，小铁环1 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2.支杆高度可调，桌边夹的夹持厚度应≥70 mm，夹入深度应≥40 mm，支杆长度≥100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3.单滑轮外径40 mm，轮毂厚10 mm，轮缘厚8 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滚小球轨道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ABS塑料，两头有卡口，可对接成长轨道，一段直轨20cm*3cm，中间带U形凹槽，上开口宽2cm，适合直径2厘米的小球滚动（含小钢珠）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小车运动实验套件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1.斜面尺寸：815*100*20mm，斜面一侧有0-80cm刻度尺，斜面有一端活动的滑轮，滑轮高低可调节，另一端安装护板；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2.小车尺寸：100*80*40mm，铝质轮子，小车重200克，滚动灵活；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3.滑块尺寸：100*810*40mm，木块；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4.附摩擦材料丁晴橡胶、砂纸、棉布等，有摩擦材料的固定夹。</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单摆套件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1.底座长10cm，宽9cm，金属支架高≥40cm；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2.至少包含5个不同重量的小球，其中至少2个金属球、3个塑料球，摆球直径20mm，穿线孔两端直径相同；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3.摆线长度1500mm且可调节，单摆夹应由金属材料支撑，夹口应为V形，单摆在摆动过程中摆线上的固定点应不变。</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31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音叉</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1.普通型音叉，固有频率为256Hz±0.3Hz；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2.由音叉、共鸣箱、音叉槌组成；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音叉由整块45#碳钢制成，棱角整齐，表面镀铬，音叉表面平整光滑，叉股内侧平面与底部圆弧光滑相切，发音部分呈“U”形，“U”形下方的叉柄插入并紧固在共鸣箱上，音叉基座与箱体胶合牢固，固定用胶水无外溢，敲击音叉时，音叉不能松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4.共鸣箱尺寸300mm×80mm×40mm，采用东北松木制作，木材无节疤和裂痕，箱体表面油漆光滑无结脂，内壁无毛刺，胶合严密，无歪斜，无裂纹，所用木材经过干燥处理；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5.音叉槌槌头由橡胶制造，槌杆由木材制作，槌头球径26mm，杆长180mm；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6.在环境噪声不大于30dB的室内，用音叉槌敲击音叉，距音叉1000mm处声强不小于90dB。</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声音的传播研究屏</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ABS塑料，由2块可插接塑料板组成，塑料板尺寸：10.5cm*8cm，一块有4个孔，一块有4个凸起，可以对接，一块顶部有小孔，可穿线，配泡沫球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牛顿摆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1.方形金属框架，木制或塑料底座，整体尺寸≥23cm（长）*14cm（宽）*17cm（高）；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2.实心金属球，不低于5球，直径≥20mm。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热传导实验器材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主要部件为铜铝铁，带方形铜集热块(2.5cm)和手柄(12cm)，铜棒为纯铜，铜铁铝棒不与集热块固定安装，可以插接使用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小电铃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1.机械式，干电池供电；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2.不小于4寸，在15m范围内铃声清晰；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3.带正负极底座；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4.可悬挂于抽气盘钟罩内。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人体验电球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1.材质：优质环保塑料；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2.尺寸：直径10cm，边缘厚度2cm。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条形磁铁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D-CG-LT-71，表面磁感应强度＞0.045T</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蹄形磁铁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D-CG-LU-63，表面磁感应强度＞0.055T</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磁感线演示器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无色透明塑料外壳，油封铁粉式，尺寸≥400×200×8mm；环境温度大于10℃时，摇匀铁粉时间每次≤20s</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小电机（带座和风扇）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1.电机长度：39mm，宽度：30mm，高度：15mm，轴径：2mm，轴长：9mm；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2.电压：1-6V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3.带正负极底座；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4.风扇材质：环保塑料，尺寸：20.6*30.5*10.7mm，孔径：1.96mm。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简易电动机套件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1.用以展示电机转运原理；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2.组成：电池盒、油漆包线、钕铁硼强磁铁、支架、底座等；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3.有螺丝刀配套拧螺丝，可反复拆装。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电路暗盒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ABS塑料，尺寸：9*5.5*2.8cm四个连接点，内置线及灯光、电池，可打开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三棱镜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1.三棱镜等及支架组成；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2.重火石玻璃制；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2.三棱镜正三棱形，边长25mm，棱长80±1mm，高≥100mm,底座≥70mm。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光的传播透明盒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方形透明，可演示光线沿直线传播的现象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光的反射折射演示器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塑料，尺寸：276mm*170mm，3V电源，半圆玻璃片：直径80mm，厚10mm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ABS塑料，圆形，底部弧形，有小孔，上部直径约6.5cm，下部直径约5cm，高约2.3cm。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月相盒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1.通过演示来理解地、月系、月球知识、月相变化；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3.尺寸：长42cm宽20cm高32cm；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4.组成：黑白内外地球模型、黑白内外球月球模型、月相盘、日历盘、齿轮、底座等。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沉积作用演示装置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1.材质：合成树脂；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2.尺寸：≥43cm*11cm*13cm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四季星座卡片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1.用于野外观测星空时配套使用； 可手动调节观看时间、 日期、 月 份；带指南针定方位； 三种观看模式(星座连线观看、 神话星图观看、 双重模式观看) ； 可探索 30 个以上星座；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2.活动式，材质：纸质，Φ25 cm～Φ30 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压簧</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工作负荷为5N。由弹簧钢丝绕制而成，钢丝直径1mm，外形尺寸：φ20mm×90mm，宽绕20圈。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拉簧</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工作负荷为5N。由弹簧钢丝绕制而成，钢丝直径1mm，外形尺寸：φ20mm×90mm，宽绕20圈。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沉浮块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小学科学课堂做沉浮实验，塑制物体，展示同体积不同质量、同质量不同形状、可改变质量三种情况。其中，同体积不同质量的铁、塑料、木块，尺寸为：30mmx20mmx10mm；同质量不同体积的铁10mmx10mmx18.7mm、塑料70mmx20mmx10mm、木块100mmx20mmx10mm，重约15g，鸡蛋型塑件一个，内空，可拆开，可改变其质量，塑件长度39mm，中心对开处外直径为20mm。透明塑料盒包装，尺寸：175mmx105mmx30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滑轮组</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1.由单滑轮4 件、二并滑轮2 件、二串滑轮2件、支杆滑轮2 件构成，每个滑轮组中至少有1 个可止动滑轮，附滑轮绳；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2.滑轮为ABS材质；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3.额定负荷：单滑轮9.8 N，串及并滑轮为19.6 N，支杆滑轮为9.8 N；满负荷时，单、支杆滑轮的效率不低于90％，并、串滑轮的效率不低于75％；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4.其他应符合JY/T 0416标准要求。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轮轴及支架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1.包含轮轴*3、支杆、底座、挂线、固定栓等；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2.轮轴由外径分别为Φ 90mm、Φ40mm、Φ20mm 的三档轮轴一次注塑成型，轮轴厚度为 20mm，轮轴圆周边应各带有开槽及穿线孔，并将挂线固定于轮轴内，挂线上应配有金属挂钩，底座及支杆采用塑料注塑成型；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3.底座规格为 155mm×75mm×20mm， 底座中心带有支杆插孔；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4.支杆类似等腰三角体，长度 225mm，厚度 7mm，支杆顶端带有固定螺帽，用于连接支撑螺栓，支撑螺丝长度30mm，用于将轮轴固定在支杆上。</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弹簧片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黄铜材质，尺寸不小于12cm*1.5cm*0.5mm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太阳高度仪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由日晷表（直径7.9cm）、刻度盘（直径7.9cm）、底座(9.8cm)、立柱(16cm)等套材组成，指南针直径1.9cm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小水轮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组装式，塑料材质，底座5.7cm*5.7cm，6个叶片1.8cm*2.5cm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太阳能小车套件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1.四轮小车，由太阳能电池板供电，齿轮传动；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2.由车身，4个车轮，电机，太阳能电池板，齿轮构成；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3.尺寸60*75*25mm左右；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4.太阳能电池板可调节角度。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镀锌钢板鼓腔，PET聚酯鼓皮，不锈铁压圈，尺寸不小于：11英寸，鼓面直径不小于28.5CM，高不低于13.7CM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环形磁铁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D-CG-YH-36，表面磁感应强度＞0.050T</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手摇发电机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1.包括定子、转子、整流器、集流环、电刷、灯座（带灯泡）、手摇驱动机构和底板等部分；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2.定子由永磁体和极靴组成，转子由转轴、两极电枢铁芯、电枢线圈以及整流器和集流环组成；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3.整流器在任何位置不将两电刷短路，电刷与整流器和集流环使用弹性接触，转动灵活；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4.转子转速为1600 r/min空载时，输出端交流和直流电压均≥8 V；接16 Ω电阻负载时，输出端交流和直流电压均≥5 V；不带皮带轮用作电动机使用时启动电压≤4 V，电流≤0.4 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5.转子、电刷、集流环采用黄铜，皮带柔韧性好，底板平滑。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平面镜及支架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1.由平面镜及底座组成；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2.长宽≥8cm，高度≥10cm。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曲面镜及支架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1.产品材质：玻璃镜片、塑料边框及支架等；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2.产品组成：由双面曲面镜（凹面镜、凸面镜，直径约5cm）、支架及底座组成；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3.底座可节高度。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声音的产生研究盒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ABS塑料，由1块中空塑料板（带4个插孔），2个T形插件组成（中部带小孔）；塑料板尺寸22cm*4cm，T形插件尺寸4.5cm*3.5cm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液体流速板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ABS塑料，12.8cm*7.5cm*0.8cm带六个凹槽，可同时做6种液体的流速对比实验</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暗盒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ABS塑料，黑色不透明，尺寸：12cm*9cm*2cm，自封式，无法打开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蒸汽船套件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1.木质船体或是泡沫船体，尺寸约160*80*15mm2.包括金属弯管，注射器及软管，蜡烛，船体等3.可以水中演示水蒸汽推动船体前进的过程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平衡尺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1.由杠杆、 轴、 调平装置和 6 个挂钩组成， 挂钩在标尺上能连续移动；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2.杠杆长度≧500mm，带刻度，可调平衡，材质为木质或塑料，尺端需包头加固；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3.支撑为镀锌铁件，两个调平装置为镀锌铁件。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手电筒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1.材质：铝合金；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2.锂电池，TYPE-C充电；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3.机械变焦。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组装土电话材料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1.透明ABS环保材质；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2.由底部开具线孔的2个100mLABS塑料杯、棉线组成；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3.杯高75mm，开口外径Φ不小于60mm，壁厚不小于2.5mm。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微型太阳灶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材质：塑料镀铝，尺寸：约9.6*9.6cm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物体热胀冷缩实验材料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手持式，由带吊链手柄的铜球、带手柄的圆环、带柄塑料球、实验架等组成，用于演示固体的热胀冷缩。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木工工具箱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（1）木工凿子1把：水曲柳木柄，65Mn钢，整体热处理，刃口宽度10mm；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（2）美工刀1把：18mm刀片，铝合金刀身，带防滑胶套，可自锁；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（3）木工半圆锉1把：双色TPR手柄，200mm长，高碳钢T12，整体热处理；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（4）多用剪1把：190mm长，不锈钢材质，多用剪，可剪电线，铁皮等；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（5）羊角锤1把：450g锤头，高碳钢，木柄；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（6）鸟刨1把：215mm长，铸铁刨身，44mm刨刀（65Mn材质，热处理HRC55-60）；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（7）多功能刨1只：锌合金刨身，140mm刀片；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（8）铝座钢角尺1把：铝座手柄，不锈钢尺片，250mm刻度，连续公制刻度；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（9）螺丝刀2把：铬钒钢刀杆，一字5x75mm，十字PH2x100mm，双色柄；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（10）钢丝钳1把：160mm长，#55钢材质，表面镍铁合金，双色护手TPR柄；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（11）钢卷尺1把：3m长，16mm带宽，II级精度，带自锁保护，水平无折1.2m,竖直1.8M无折；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（12）木工F夹1把：碳钢，口深50mm，最大夹持150mm；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（13）有机玻璃钩刀1把：钩刀带两把刀片；木柄，锌合金刀板，硬质合金刀轮；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（14）多用木工锯1把：双色TPR手柄，65Mn锯片，每英寸7齿，2面机磨，刃口高频热处理；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（15）木工铅笔1支：专用，长175mm；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（16）水平尺1把：铝制尺身，长度300mm，带刻度，三角度水泡，45°、90°、180°；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（17）划线器1套：锌合金壳身，带角度测量，30m线长，带蓝粉桶。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肺活量测试仪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1.规格：电子肺活量测试仪；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2.测量范围：0-10000mL，最小分辫率：1mL；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3.测量误差≤±5％；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4.工作电压：220V/50Hz或交直流两用；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5.另配吹嘴50个。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简易潜望镜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包含pvc水管、弯头、蓝丁胶、平面镜等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桃花模型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1.功能：放大的盛开状态的桃花模型，示花柄、花托、花萼、花冠、雄蕊和雌蕊，花瓣、雌蕊可拆装，子房做纵剖；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2.材质：PVC塑料；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3.尺寸：花冠的直径330mm±15mm；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4.模型构造：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（1）模型为放大若干倍成处然盛开的桃花，置于底座上；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（2）桃花示花柄、花托、花萼、花蕊和雌蕊；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（3）雌蕊一枚、示柱头、花柱和子房，其中子房作纵剖，示胚珠剖面的反足细胞、极核、卵细胞、肋细胞及珠孔；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（4）雄蕊25枚示花丝，花药。其中一个花药做横剖，示药室、药隔维管束和花粉粒。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心脏解剖模型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1.功能：示上腔静脉、下腔静脉、主动脉、肺动脉、动脉韧带、左冠状动脉、右冠状动脉、冠状窦，左心房、右心房、左心室、右心室、二尖瓣、三尖瓣、主动脉瓣、肺动脉瓣、卵圆窝、冠状窦口;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2.材质：模型应采用硬质PVC材料（心瓣膜采用软塑料）制作;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3.规格：3倍自然大；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4.其它技术要求应符合JY/T 0160-2011要求。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大脑模型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1.材质：硬质PVC塑料；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2.规格：自然大；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3.其他应符合JY/T 0163要求。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3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耳解剖放大模型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2.规格：6倍自然大；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3.技术要求：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 放大的成人耳解剖模型，长度(颞骨岩部的锥体长轴)300mm±20mm，固定于底座上；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（2）模型整体应为外耳及相连的颞骨岩部，切除外耳道的前半部，示外耳道；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（3）水平切开部分颞骨岩部，保留鼓室盖，显示中耳和内耳。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（4）颞骨岩部的锥体长轴与颞骨鳞面构成前50º±5°后130º；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（5）示颈内动脉、颈内静脉断端；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（6）应完整显示外耳道、鼓膜、听小骨、鼓室、咽鼓管、鼓膜张肌、乳突窦、前庭、骨半规管、耳蜗、前庭窗、蜗窗、前庭蜗神经等结构；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（7）模型下列部位应贴名签或号签：外耳道、鼓膜、听小骨、鼓室、咽鼓管、鼓膜张肌、乳突窦、前庭、骨半规管、耳蜗、前庭窗、蜗窗、前庭蜗神经；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（8）各部分的形态、位置、比例和颜色等均应正确自然；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4.其他应符合JY/T 0165标准要求。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模拟心脏输血单向阀</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PP塑料透明，呈橄榄形，内置单向阀门(组装成品长约6.5cm，直径约2cm)，两头可接内径4mm橡胶管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行政地球仪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1.行政地球仪，塑料支架；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2.地球直径≥140mm；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3.产品印刷：PVC高清彩印，带支架，防脱防水；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4.版本：采用最新版地图，内容完整。</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板块构造及地表形态模型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1.直观演示讲授海底地形、地球内部圈层、地壳结构、地形变化、板块构造学说、火山地震的形成与分布、地球表面；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2.材质：合成树脂；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3.尺寸：≥长44cm宽24cm高12cm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地球内部构造仪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1.材质：PVC球体、金属弓形支架、塑料底座；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2.直径≥32cm，模型能演示：地表的基本面貌、地球的内部圈层、地壳结构、折皱、断裂等。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立体地形地球仪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1.由球体和支架两部分；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2.球体直径≥300mm,允差5.0mm，平面比例尺为1/40000000，地轴倾角为66.5°，并垂直于赤道面；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3.应符合原教育部标准《地球仪技术条件》JY58-80的规定。</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地震构造示意模型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1.材质：合成树脂；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2.尺寸：≥40*38*22cm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照相机模型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2.由镜头、机身、光屏组成；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3.尺寸：约为12.5cm*9.5cm*7.5cm。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儿童牙列模型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1.PVC材质；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2.配底座，尺寸放大不小于3倍（≥13.5cm*16cm*10cm）；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3.由上、下牙组成，从左侧起可说明切牙、尖牙和磨牙三部分；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4.形态、色泽逼真，胶核部分拼接牢固、平整光滑。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少年人体半身模型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1.功能：示消化系统、呼吸系统、泌尿系统；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2.材质：PVC橡胶；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3.规格：自然大，65CM左右；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火山内部模型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2.尺寸：≥40*38*22cm。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植物种子传播方式标本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1.至少包括动物传播、弹力传播、风力传播、水力传播；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2.塑盒包装，透明盒盖；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3.尺寸不小于21*15*2.2cm。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种子标本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1.至少包括花生、大豆、蚕豆、小麦、稻谷、玉米、凤仙花等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2.塑盒包装，透明盒盖；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3.尺寸不小于21*15*2.2cm。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植物发芽包埋标本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1.玉米、水稻、大豆、花生中一种植物的生长史；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2.高分子树脂材质包埋标本；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3.尺寸不小于140*64*20mm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蜻蜓成长过程标本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1.示蜻蜓生活史，包括卵、幼虫一、幼虫二、雄成虫、雌雄虫等；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2.高分子树脂材质包埋标本；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3.尺寸不小于164*78*20mm。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家蚕生活史标本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2.由卵、幼虫（四龄）、蛹、雌雄成虫及茧组成，附蚕丝、丝织品和桑叶，按生活史顺序排列；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3.符合JY/T 0325标准。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1.包埋标本，六益六害12种，六益包括：蜜蜂、瓢虫、步甲、蝴蝶、蜻蜓、螳螂，六害包括：苍蝇、荔蝽、金龟子、蟋蟀、蝗虫、蟑螂；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2.高分子树脂材质包埋标本；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3.尺寸不小于166*80*22mm；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4.各标本在其正下方位置应有动物名称的名签或号签，如使用号签，应在产品不影响观察的地方附有号签注解。</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切片标本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1.100种木盒包装玻璃切片；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2.植物、动物、昆虫、细胞、组织、微生物等混装，品种齐全，具有代表性；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3.玻片边角不扎手、高透光率。</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矿物标本盒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黄铁矿：天然原矿石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石墨：天然原矿石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石英：天然原矿石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萤石：天然原矿石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云母：天然原矿石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方解石：天然原矿石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岩石标本盒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页岩板：天然原矿石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花岗岩：天然原矿石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砂岩大理岩：天然原矿石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石灰岩：天然原矿石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浮岩：天然原矿石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含化石的岩石：天然原矿石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煤和煤的干馏产品标本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各种类型的煤（包括泥煤、褐煤、烟煤、无烟煤等）和煤在逐步干馏过程中产生的各种产品（包括焦炭、焦炉气、煤焦油、粗氨水、苯、酚、萘、沥青等）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石油分馏产品标本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石油逐步分离过程中的各种产品，由粗石油、轻油、煤油及重油等材料组成</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50ml量筒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1.标称容量50mL（容积为20℃时充满量筒刻度线所容纳体积），最小分度1.0mL，最高标线到内底最小距离150mm，最高标线到筒顶最小距离30mm，全高250mm；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3.分度线、数字和标志应完整、清晰和耐久。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100ml量筒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1.标称容量100mL（容积为20℃时充满量筒刻度线所容纳体积），最小分度2mL，全高95mm；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3.分度线、数字和标志应完整、清晰和耐久。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250ml量筒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1.标称容量250mL（容积为20℃时充满量筒刻度线所容纳体积），最小分度5mL，全高95mm；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3.分度线、数字和标志应完整、清晰和耐久。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Φ15mm×150mm试管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1.规格：φ15mm×150mm，壁厚1.1±0.2mm；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2.透明硼硅酸盐玻璃制，口部是熔光的平口，平整光滑，不得有裂口、裂纹，底部为半球形，厚薄均匀，不得有刺手现象。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Φ20mm×200mm试管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1.规格：φ20mm×200mm，壁厚1.1±0.2mm；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2.透明硼硅酸盐玻璃制，口部是熔光的平口，平整光滑，不得有裂口、裂纹，底部为半球形，厚薄均匀，不得有刺手现象。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1.规格：标称容量50ml，外径43.0±2.0mm，全高160.0±3.0mm，壁厚不小于0.8mm；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50ml塑料烧杯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PP材质，50ml，高61毫米，口径47毫米，直径42毫米，三角倾液设计，刻度倾斜。</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1.规格：标称容量100ml，外径50.0±2.0mm，全高70.0±2.0mm，壁厚不小于0.9mm；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100ml塑料烧杯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PP材质，100ml，高68毫米，口径55毫米，直径48毫米，三角倾液设计，刻度倾斜。</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1.规格：标称容量250ml，外径70.0±2.0mm，全高95.0±2.0mm，壁厚不小于1.1mm；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250ml塑料烧杯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PP材质，250ml，分双面刻度，高95毫米，口径76毫米，直径69毫米，三角倾液设计，刻度倾斜。</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8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1.规格：标称容量500ml，外径85.0±2.0mm，全高120.0±3.0mm，壁厚不小于1.3mm；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2.透明硼硅酸盐玻璃制，烧杯的满口容量超过标称容量的10%或烧杯的满口容量和标称容量的两液面间距不少于10mm，并采用容量差值较大的一种；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3.口部做熔口处理，玻滴高度不大于2mm，上口在边缘附近逐渐向外扩展，呈圆滑曲线过渡，烧杯伤口最大直径比烧杯外径大5%~15%，上口与底的不平度不大于2°；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4.当加入标称容量的水往外倾倒时，水形成一束细流从嘴中流出，烧杯外壁无水滴，注满水的烧杯放在平台上继续注水时，水从嘴中流出，而不是从其他部位流出；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5.符合GB/T 15724－2008标准要求。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锥形瓶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1.细口锥形瓶，标称容量100mL，瓶身外径64.0±1.5mm，瓶颈外径22.0±1.0mm，全高105.0±3.0mm，壁厚不小于1mm；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2.透明硼硅酸盐玻璃制，颈高度是颈外径的1~1.25倍，放在平台上应直立不摇晃、不转动，底部不允许有结石、节瘤存在；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3.符合GB/T 22362－2008标准要求。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酒精灯含灯芯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1.规格：标称容量150mL，全高95±4mm，灯体高70±2mm，灯体直径94±5mm，灯底直径60±3mm，灯口直径20±2mm，灯颈高25±5mm，灯体壁厚≥2mm；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2.透明钠钙玻璃制，无明显黄绿色，灯口应平整，瓷灯头与灯口平面间隙不应超过1.5mm;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3.玻璃灯罩应磨口，盖合后应密封不漏水，瓷灯头应为白色，完全覆盖灯口，表面无缺陷，配置与灯口孔径相适应的整齐完整的棉线灯芯3个≥15cm、2灯帽。</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玻璃漏斗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1.规格：标准短颈三角过滤漏斗，漏斗口径60mm，斗颈长60±5.0mm，斗颈外径7.0~9.0mm，斗颈壁厚1.0~1.5mm，滤碗厚度1.0~2.5mm；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2.无色透明硼硅玻璃制，滤碗为夹角60°的圆锥形，滤碗中心位置下方焊接系玻璃管，管尾端磨成45°角，滤碗边缘应卷边，滤颈斜口边倒角或熔光；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胶管漏斗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1.漏斗：材质塑料，直径60mm；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2.胶管：材质橡胶 内直径3-12mm。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长颈漏斗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1.规格：上口直径40mm±3mm，漏斗球高52±3mm，漏斗颈长300±10mm，漏斗颈直径7-8mm，壁厚1.0-1.3mm；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2.硼硅玻璃制，漏斗不应有明显歪颈，口端应平整圆滑，漏斗球无明显偏斜；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3.符合JY/T 0429标准要求。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胶头滴管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1.规格：直形，全长100±10 mm，球距上管口长30±5mm，球径19±1mm，管口 径10~11mm，管径7~9mm，管上部壁厚1±0.2mm，管尖端≥0.5mm，管尖径2~3mm； 2.无色透明硼硅玻璃制造；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3.滴管应附硅胶帽，吸放弹性好，开口直径6mm，与滴管口套合牢固稳定。</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集气瓶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1.规格：标称容量250mL，瓶身厚≥1.3mm，瓶底厚≥2.0mm；配带玻璃导管的两孔橡胶塞。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2.透明钠钙玻璃制，无明显黄绿色，瓶塞与瓶口配合适宜，紧实不晃动，应符合密合性二级，口部应圆整光滑，底部应平整，放置平台上不应摇晃或转动。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坩埚钳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1.规格：不小于总长200mm，前端长100mm，柄长50mm，闭合时中间弯曲部分内径应在2cm～3cm；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2.不锈钢材质；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3.钳腮做工精致，尖头闭合性好。</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镊子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不锈钢，直头，长14cm，头宽3.2mm，厚度1.9mm，前部应有防滑脱锯齿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1.木制或者竹制，长度≥200mm，宽度约20mm，厚度约20mm；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2.试管夹闭口缝≤1mm，开口距离≥25mm，试管夹持部位圆弧内径≤15mm；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3.毡块粘接牢固，试管夹弹簧作防锈处理。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陶土网</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1.产品为在铁丝网上涂敷陶土材料而制成；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2.铁丝网做防锈处理，四周包边无毛刺；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3.边长≥15cm,陶土部位直径≥10cm。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不锈钢材质，一头药匙，一头搅拌，长10cm左右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玻璃导管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1.Φ≥7mm，长度≥100mm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2.材质：无色透明硼硅玻璃制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千克</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1.Φ9mm，长度≥200mm；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2.无色透明高硼硅玻璃制；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3.粗细均匀，两端烧结烘口处理使其光滑。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千克</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乳胶管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1.规格：5*7mm乳胶导气管；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2.适合5.5-6.5mm的导气管。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猪毛、铁丝组成，Φ18mm，手持部分顶端应为环状，顶部要有刷丝，铁丝不可外露</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1.规格：90mm，盖外径 93(0~+1.5)mm，底外径 90(-1-0)mm，皿盖高 16±2mm，皿底高 18±1mm，皿壁厚 1.2~2mm；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2.无色透明玻璃制造，玻璃薄厚均匀、耐高温高压；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3.培养皿口边沿平整，底和盖套合后应吻合。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研钵</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1.规格：口内径 95±5 ㎜，全高 65±5㎜，壁厚 8±2 ㎜，研锤杆直径 12±2㎜，长 120±15 ㎜，研球直径 20±5 ㎜；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2.瓷制；3.配有研杵，内部粗糙便于研磨，外部光滑。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蒸发皿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1.产品为白色瓷质材料制作；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2.外形尺寸：口径60±5㎜。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闻香盒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1.不透明塑料材质；2.直径10cm,高12cm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过滤纸</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直径11cm 中速定性滤纸，100张/盒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焊锡枪套装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内热式，60W，数显调温，橡胶电源线，带烙铁架、焊锡丝、松香、海绵、收纳盒等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1.3号，剪全长150mm，A型；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2.高碳钢，剪体表面电镀，防锈性能好；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3.剪头刃含碳量大于0.35%，硬度不低于HRC54度，外口面刃钢和低碳钢界限分明，外口面刃钢宽度不小于0.8mm，剪刀前端要尖口，经钝化处理；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4.钢材深入剪柄底端，软套管，手感舒适；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5.剪切手感轻松均匀锋利，不咬口、崩口、变形；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6.符合QB/T1966－1994标准。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水平仪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1.三水泡型，可横向、纵向、45°角测量；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2.铝合金尺身；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3.水平面工作长度160mm～250mm。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不锈钢筛组合</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2.目数：5目、10目、20目、40目各一个；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3.直径20cm。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透明水桶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PP材质，10L，加固手柄</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1.塑料材质；2.挤压式；3.300ml</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可堆叠存放，箱体高宽深：150×310×425mm，透明环保PP材质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金工工具箱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（1）两用扳手4把：碳钢，规格：10/12/13/15mm；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（2）什锦锉6把：轴承钢，规格：平扁/尖扁/半圆/圆/三角/四方；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（3）样冲1支：铬钒钢，带护套；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（4）钢卷尺1把：3m长，16mm带宽，II级精度，带自锁保护；水平无折1.2m,竖直1.8M无折；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（5）钢锉4把：高碳钢T12，整体热处理，规格：半圆、扁、方、圆，长度200mm；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（6）铁皮剪1把：#55高碳钢，8”/200mm长，沾塑手柄，可剪1mm铁皮；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（7）钢直尺1把：不锈钢直尺，30cm长，刻连续公制刻度；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（8）内六角扳手1套：铬钒钢，L型内六角扳手，规格：1.5-10mm，每套装塑架；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（9）丝锥板牙套装16件：合金钢材质，M3-M12，2只扳手，每套塑盒装；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（10）钳工锤1把：德式，300g锤头，硬杂木柄；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（11）钢丝刷1把：硬杂木柄，250mm长；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（12）螺丝刀4把：铬钒钢刀杆，一字5x75mm，6x100mm，十字PH1x75mm，PH2x100mm，双色柄；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（13）钢丝钳1把：160mm长，#55钢材质，表面镍铁合金，双色TPR柄；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（14）尖嘴钳1把：160mm长，#55钢材质，表面镍铁合金，双色TPR柄；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（15）活扳手1把：碳钢，8”/200mm开口活扳手；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（16）小手锯1把：6”/150mm长，塑柄，铝合金框架；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（17）备用钢锯条4支：6”/150mm长；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（18）铝座钢角尺1把：铝座手柄，不锈钢尺片，250mm刻度，连续公制刻度；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（19）游标卡尺：不锈钢材质，150mm长度，精度0.05mm，带自锁功能；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（20）多功能电筒：长度170mm，头尾带磁吸固定，整体可拉长至56cm，头部可弯曲，LR44电池。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护目镜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1.封闭型，可叠加佩戴近视眼镜；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2.聚碳酸脂镜片，耐酸碱，抗冲击，耐磨，便于清洗；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3.人工力学贴合设计，可调节系带，贴合各种脸型，有间接通风口，佩戴舒适；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4.符合GB 14866标准要求。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发光二极管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1.5V，5mm LED使用环保环氧树脂胶，铜镀锡引脚，抗氧化，耐腐蚀，导热性好；透光率高，发光稳定；每包100个，红黄绿白蓝各20个。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载玻片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1.规格：25.4mm*76.2mm，厚度1-1.2mm，50片/盒，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2.全透明；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3.八棱倒角。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盖玻片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1.规格：正方形，18mm*18mm*0.17mm，100片/盒；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2.符合JB/T8230.4-1997标准要求。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透明塑料材质，高6cm～10cm，带透气孔，盒盖带5倍放大镜，底盖有标尺。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风的形成演示箱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亚克力塑料和金属片制作，尺寸不小于28cm*15.5cm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擀面杖</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1.实木；2.长30cm；3.直径2.5cm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吸管塔台连接件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ABS塑料，每个头直径6mm，可对接直径6mm的吸管，搭建平面立体框架，500个/包，其中5头300个、4头200个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简易电路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包含：导线、灯泡、灯座、回形针、图钉、开关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1.电池座：5号电池卡座4组、1号电池卡座2个；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2.开关（电键）： 长7.3*宽3.4cm,数量 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3.鳄鱼夹导线：长度 300mm，线径单芯4mm，纯铜鳄鱼接线夹，纯铜导线铜芯截面积≥0.5mm2（不少于 28 股铜芯），导线外径不低于2.3mm，鳄鱼夹和导线焊接牢固，焊接工艺优良，焊点不裸露；接线叉导线长度300mm，单芯4 mm 纯铜接线叉，接线叉开口5.9 mm，纯铜导线，导线铜芯截面积不低于0.5mm2（不少于28股铜芯），导线外径不低于2.3mm，接线叉和导线焊接牢固，焊接工艺优良，焊点不裸露；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2根不同颜色（如红黑）导线组成1对导线，本套件包含10对鳄鱼夹导线、10对接线插的导线；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4.长方形软木块10*10*1cm 1块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5.回形针1盒（100枚）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6.图钉1盒（100枚）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7.灯泡1.5V 10个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8.灯座2个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拉力器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1.材质：TPE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2.管径：6*9mm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3.8字拉力器，采用骨头链接，牢固不易脱落，泡棉锁扣，受力均匀。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铝片琴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1.15音，彩色，已校准音；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2.榉木底座；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2.配带打锤一对。</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1.响铜制作，直径150mm；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2.千股棉线制作手线，防滑。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铲子套件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1.材质不锈钢，一体成型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2.园艺3件套，包含铲子、耙子、铁锹；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3.铲子长度≥25cm,耙子长度≥25cm,铁锹长度≥25cm。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喷雾器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1.材质：PP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2.容量：3L，宽度约145mm，高约340mm。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3.铜制喷嘴，蓄压足，省时省力持续出水，加厚壶身，耐用。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料理机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干湿两用，主杯容量：≥1.2L，加热功率≥750W，搅拌功率≥900W；304不锈钢四叶刀头，食品接触级材质，内置过滤网、研磨杯、小量杯。</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不锈钢，无磁，全长16.5cm，勺口直径5cm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听诊器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1.医用听诊器；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2.导管材料为乳胶导管，抗拉强度＞17MPG，伸长率＞700％；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3.听诊头及耳测听音头为铜合金并电镀；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4.耳测听音效果应清晰，无杂音。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科学实验室1</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教师实验台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1、参考尺寸：2400*700*850mm±10mm；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2、材质：抗倍特板+钢架；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台面采用≥12mm抗倍特一体成型，耐80度以上高温、防水：浸水24小时后的膨胀指数不多于0.1mm，面板四周采CNC修边，四周倒角；桌架采用40*40mm方管钢架满焊焊接而成，表面经酸洗磷化喷塑处理；抽屉滑道采用优质三节承重式滚珠滑道，铰链采用液压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4、功能：台面下设有储物柜，中间为演示台,设置电源主控系统、多媒体设备（主机、显示器、中控、功放、交换机）的位置预留。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3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1、参考尺寸：2400*600*780mm±10mm；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2、台面：采用≥12mm抗倍特一体成型。耐80度以上高温。防水：浸水24小时后的膨胀指数不多于0.1mm，面板四周采CNC修边，四周倒角；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3、结构：塑钢结构，一侧带有置物钩，方便学生挂置水杯，垃圾袋，书包等；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4、桌腿：采用镀锌钢板冲压成型，材料表面经高压静电喷涂环氧树脂防护层，耐酸碱，耐腐蚀处理。上腿规格580mm*50mm*50mm，壁厚3.0mm。下腿规格550mm*50mm*50mm，壁厚2.0mm；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立柱：采用40×80mm，壁厚2mm管材。前横梁采用20×25mm，壁厚1.3mm。中横梁采用20×20mm，壁厚1.3mm。后横梁采用43×61mm，壁厚1.3mm。加强横支撑件采用30×60mm椭圆管，壁厚1.5mm。材料表面经高压静电喷涂环氧树脂防护层，耐酸碱，耐腐蚀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6、书包斗：尺寸480*290*152mm,壁厚3.5mm；采用环保型ABS工程塑料一次性注塑成型；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7、可调脚：高强度可调脚，下部采用环保型PP加耐磨纤维质塑料。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科学实验室2、4人桌</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1、参考尺寸：Φ300*450-500mm±10mm；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2、凳面：采用环保型ABS改性塑料一次性注塑成型，尺寸30cm×3cm，表面细纹咬花，防滑不发光；                                                                         </w:t>
            </w:r>
            <w:r>
              <w:rPr>
                <w:rFonts w:hint="eastAsia" w:ascii="宋体" w:hAnsi="宋体" w:eastAsia="宋体" w:cs="宋体"/>
                <w:i w:val="0"/>
                <w:iCs w:val="0"/>
                <w:color w:val="000000"/>
                <w:sz w:val="20"/>
                <w:szCs w:val="20"/>
                <w:highlight w:val="none"/>
                <w:u w:val="none"/>
                <w:lang w:val="en-US" w:eastAsia="zh-CN" w:bidi="ar"/>
              </w:rPr>
              <w:t xml:space="preserve">                                                                                                                                                                                          3、脚钢架：椭圆形无缝钢管，尺寸17×34×1.7mm，全圆满焊接完成，结构牢固，经高温粉体烤漆处理，长时间使用也不会产生表面烤漆剥落现象；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4、脚垫：采用PP加耐磨纤维质塑料，实心倒勾式一体射出成型；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5、功能：凳面可通过旋转螺杆来升降凳子高度,可调高度5cm。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1、参考尺寸：1000*600*800mm±10mm；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2、台面：工艺：台面采用≥12mm抗倍特一体成型，耐80度以上高温、防水：浸水24小时后的膨胀指数不多于0.1mm，面板四周采CNC修边，四周倒角；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3、柜身：所有板材厚度≥18mm实木多层免漆板，封边采用厚度≥1mm塑制封边条机械四边封边，连接采用五金螺丝，金属防锈带阻尼铰链，底板贴防水锡纸；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4、结构：对开门、内有活动搁板，水槽柜台面开水槽孔。</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1、参考尺寸：1800*340*200mm±10mm；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2、材质及工艺：1.0厚304不锈钢满焊打磨，落水处下沉5mm；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上水装置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1、用于连接地面水管及水龙头，上水管两端接头采用201不锈钢螺帽铜芯，外管是304钢丝+尼龙丝混编的、内管采用三元内管、角阀是钻石轮（塑料包铁）、阀芯和阀体均为铜制。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下水装置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1、水槽专配型排水管，不锈钢卡扣连接，安装方便不渗漏。</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1、鹅颈式实验室专用化验水嘴；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2、防酸碱、防锈、防虹吸、防阻塞，表面环氧树脂喷涂；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3、开关阀芯为铜质陶瓷芯，高头，可拆卸清洗阻塞；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4、出水嘴可拆卸，内有成型螺纹，可方便连接循环等特殊用水水管。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给、排水系统（地面以上部分）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1、ф32、ф25、ф20；DN75、DN50给水：采用PPR复合管敷设。排水：使用国标优质UPVC专用排水管。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激光笔</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1.红光；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2.干电池供电；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3.金属笔身。</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塑封机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1.A3塑封，最大过模厚度不低于0.6mm；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2.操作简单；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3.过塑牢固平整、清晰服帖。</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制冰机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1、冷却方式：水冷；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2、出冰时间：≤6min；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3、一次出冰≥9颗；至冰量≥10KG/24h；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4、进水方式：手动进水；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5、额定电压：220V。</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碎冰机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1.食品级，塑料外壳、铝合金机身、不锈钢双刀头；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2.功率：380W，总容量：2000ml，转速：1440转/分钟；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3.碎冰粗细可调。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LED写生灯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1.材质：灯罩金属喷漆，灯杆钢管镀铬；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2.高600mm-2600mm，照射角度0-120°可调，灯罩直径260mm。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铁架台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1.组成：由方形座、立杆（Φ12mm×600mm）、烧瓶夹（最大张口≥35mm）、大小铁环（内径90mm、内径50mm）、垂直夹（2只）、平行夹、吊杆等组成;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（1）方形座不小于210mm×135mm，质量≥1.5kg，表面加覆耐酸碱材料进行防锈防腐蚀处理；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（2）平行夹、烧瓶夹铁片厚度≥1.0mm，烧瓶夹夹口内壁有耐热不低于120℃的缓压层，缓压层厚度≥2.0mm；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（3）立杆铁制，镀锌处理；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3.其他技术要求符合JY/T 0393—2007标准。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三角架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1.采用碳钢制造，表面经酸洗，磷化后喷塑；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2.环内径75mm，高150mm，三脚均布，三脚及支撑环钢材直径不小于6mm，三脚倾斜度合适，方便150ml酒精灯平移放入或移出；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3.三只脚与铁环焊接紧固，焊点光滑、平整，脚距相等，立放台上时圆环应与台面平行，所支撑的容器不得有滑动。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充电器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1.6口，4个USB-A口，2个Type-C口；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2.总输出功率不低于40W；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3.具有输入（出）过流保护、输入（出）过压保护、短路保护、过温保护。</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橡胶塞打孔器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四件套，直径4mm~8mm，长100mm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31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抽气盘</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1.由钟罩（配可悬挂发声装置的橡皮塞）、橡胶密封圈、底盘、抽气橡胶管接口、阀门和橡胶管等构成，与发声装置（如电铃）搭配使用；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2.钟罩采用透明性好的工程塑料或玻璃制作，尺寸不小于φ150×250mm；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3.可搭配发声装置（如电铃）悬挂在钟罩内；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4.底座采用工程塑料或金属制作，外径φ不小于190mm；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5.抽气口接口外径9mm，为台阶口；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6.密封性能：当压强达到-9.9×10-2MPa后停止抽气，关闭阀门，保持10min后钟罩内气压不高于-9.0×10-2MPa；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7.实验效果：未装入钟罩的发声装置发出的声强，在距发声装置0.5m处90dB，装入钟罩后抽气前的声强75dB，抽气后的声强45dB。</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电动气泵</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电动电池容量4500 Mah，功率80W，充满电后可使用大约40~60分钟， 可充气、抽气，配备7个大小不同的转换接头，带充气软管，与抽气盘匹配。</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仪器推车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1.材质：钢，环氧/聚酯粉末涂层；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2.规格：长38cm，宽28cm，高65cm；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3.三层碳钢网篮；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4.脚轮可调节，轻松移动稳定停放。</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手持显微镜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1.60X-120x无极变倍；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2.出瞳距离10-14mm；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3.1节7号电池供电, LED照明，按钮式开关，光源亮度多档可调。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8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单目电光源显微镜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1.整机结构件：由铝合金制作；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2.目镜：16X；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3.物镜：消色差物镜4X/0.10、10X/0.25、40X/0.65（弹簧）；带有限位装置，防止物镜压坏切片致使物镜损坏；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4.镜筒：单目斜筒，可360°旋转便于同步观察；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6.转换器：转换器三孔同心，定位准确，并带有限位装置；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7.照明：采用充电电池供电，LED冷光源，亮度连续可调，稳定性：10万小时，光衰为初始的50%；供电电压在6-24V之间；光照明亮，色度均匀，色温接近自然光；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8.电池：容量不低于5400mA，温度高于60°时自动停止充电；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9.聚光镜：N.A1.25聚光镜；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10.齐焦：10→4倍不超过±0.15mm，10→40倍不超过±0.06mm。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放大镜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1、光学玻璃镜片；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2、镜片直径≥100mm,镜片倍率≥20倍，镜身ABS或金属材质。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塑料水槽</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1.尺寸：方形，≥250 mm×180 mm×100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2.材质：透明PP材质；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2.技术要求：透光率≥85％，壁厚≥2 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水族箱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1、尺寸：不小于390(L)mmx270(W)mmx460(H)mm；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2、过滤系统：上部过滤器10W(300L/H)；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3、照明系统：双灯管，9W X 2 透明度好，一红一白；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4、水容量:35L；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5、弯面浮法玻璃。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1.量程200mm，分度值为1mm，误差范围在±1mm；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2.材料为PS材质，纯净透明，耐磨耐用。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钢直尺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1.量程300mm，0mm～50mm分度值0.5mm，其余分度值为1mm；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2.材料为1Cr18Ni9、1Cr13或其他类似性能材料，硬度不低于342HV；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3.宽度不低于33mm，厚度不低于1.1mm；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4.表面亚光处理，标尺标记、标尺标数采用镭射或蚀刻工艺完成，清晰易读；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5.刻度面平面度误差≤0.25mm，允许误差≤±0.15mm；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6.有计量器具制造许可证标志；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7.其他符合GB/T 9056－2004标准。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200g托盘天平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1.单杠杆等臂式双盘天平，最大称量200g，分度值0.2g，标尺称量0-5g；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2.横梁采用钢性材料制作，刀子、刀承用碳素钢，整体硬度要求一致，受冲击后不变形，各部件要求电镀处理，底座表面喷塑；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3.标尺刻度清晰，游码滑动自如；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4.配6级（M2级）砝码1套：100g、50g、10g、5g各1个，20g2个，钢制镊子1把，专用塑料砝码盒一个，各种砝码定位放置；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5.双托盘，托盘为胶木材质；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6.符合QB/T 2087－2016标准。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电子天平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1.量程0g~500g，分辨力0.01g，带标准砝码；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2.高精度应变式传感器，LCD显示屏，防水面板；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3.上下壳采用ABS环保材料，秤盘不锈钢材质；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4.配有调整脚，有水平仪辅助调平；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5.锂电池可充电，交直流两用；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6.带防风罩；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7.符合GB/T 26497标准。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金属钩码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1.规格：10 g（Φ22 mm）×l，20 g（Φ26 mm）×2，50 g（Φ30 mm）×2，200 g（Φ48 mm）×1；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2.允许误差： 10 g±0.1 g， 20 g±0.2 g， 50 g±0.5 g， 200 g±2.0 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3.技术要求：可叠放，钩码之间硬联结，联结后不晃动；金属挂钩，挂钩截面不小于4mm²，挂钩的受力点与轴心一致；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4.包装盒为塑料或胶木制品。</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金属钩码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1.规格：50 g±0.5 g，每盒 10个；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2.技术要求：可叠放，钩码之间硬联结，联结后不晃动；金属挂钩，挂钩截面不小于4 mm²，挂钩的受力点与轴心一致；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3.包装盒为塑料或胶木制品。</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电子秒表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1.专用型，全时段分辨力0.01s，手持式；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2.有防震、防水功能，使用AG13纽扣电池，电池更换周期不小于1.5年；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3.外壳采用金属或ABS工程硬塑，防刮耐磨，液晶屏显示清晰，按键舒适、无卡顿，表盘玻璃、后盖、按键与表壳体配合牢固，配备挂绳，耐用不脱线；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4.符合GB/T 22778标准。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红液温度计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1.量程不低于-20 ℃～100 ℃，分度值 1 ℃，示值误差&lt;±1.5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2.顶端带可穿线孔，可悬挂，高硼硅玻璃，煤油介质；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3.手工刀刻或渗透刻度，清晰不易掉色，液柱饱满，具有防爆安全泡；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4.符合JJG 130－2011标准。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数显温度计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1.测量范围：-40～300℃，分辨力：0.1℃，测量精度：±1℃；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2.ABS外壳，不锈钢探针，探针有保护套；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3.LCD屏显示。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5N条形盒测力计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 0 N～5 N，分度值 0.1 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5.调零拉手顶端为U形，光滑不划手。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5N筒形盒测力计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 0 N~5 N，分度值 0.1 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5.圆筒刻度清晰不掉色。</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多用电表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1.数字式，4-1/2位；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2.电压、电流、电阻、 温度测试、频率测试、电容、二极管测试；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3.符合GB/T 13978－2008标准。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室温计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1.指针式，测温范围：-30~50°℃，测湿范围：20～100%RH；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 ABS后盖、金属铝圈、玻璃镜面；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3.可悬挂、立放。</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指南针</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不锈钢盒，直径60 mm，厚13.5mm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噪声测定仪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1.工业级噪音计噪声测试手持式分贝仪；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2.数字式，测量范围30~130dBA，测量精度±1.5db。</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雨量器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1.塑料材质；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2.雨量范围：10-50mm；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3.高23CM，直径11.5CM；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4.量杯：高15CM，直径7CM。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手持风力风向计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1.手持式，液显电子式；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2.风速量程0~30m/s，精度±0.3m/s，起速0.5m/ 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3.机械式风向（表盘直读）量程0-360°,16个方位，精度≤3°。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量角器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半圆尺，透明PS材质，10*5.5cm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电动七色牛顿盘</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1.组成：转盘、底座、立杆、马达、电池盒、开关、导线等；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2.转盘直径不小于50mm，底座尺寸不小于长105*宽80*总高160mm。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桌沿定滑轮夹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1.含单滑轮、桌边夹、尼龙线各3 件，小铁环1 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2.支杆高度可调，桌边夹的夹持厚度应≥70 mm，夹入深度应≥40 mm，支杆长度≥100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3.单滑轮外径40 mm，轮毂厚10 mm，轮缘厚8 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滚小球轨道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ABS塑料，两头有卡口，可对接成长轨道，一段直轨20cm*3cm，中间带U形凹槽，上开口宽2cm，适合直径2厘米的小球滚动（含小钢珠）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小车运动实验套件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1.斜面尺寸：815*100*20mm，斜面一侧有0-80cm刻度尺，斜面有一端活动的滑轮，滑轮高低可调节，另一端安装护板；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2.小车尺寸：100*80*40mm，铝质轮子，小车重200克，滚动灵活；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3.滑块尺寸：100*810*40mm，木块；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4.附摩擦材料丁晴橡胶、砂纸、棉布等，有摩擦材料的固定夹。</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单摆套件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1.底座长10cm，宽9cm，金属支架高≥40cm；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2.至少包含5个不同重量的小球，其中至少2个金属球、3个塑料球，摆球直径20mm，穿线孔两端直径相同；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3.摆线长度1500mm且可调节，单摆夹应由金属材料支撑，夹口应为V形，单摆在摆动过程中摆线上的固定点应不变。</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31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音叉</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1.普通型音叉，固有频率为256Hz±0.3Hz；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2.由音叉、共鸣箱、音叉槌组成；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音叉由整块45#碳钢制成，棱角整齐，表面镀铬，音叉表面平整光滑，叉股内侧平面与底部圆弧光滑相切，发音部分呈“U”形，“U”形下方的叉柄插入并紧固在共鸣箱上，音叉基座与箱体胶合牢固，固定用胶水无外溢，敲击音叉时，音叉不能松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4.共鸣箱尺寸300mm×80mm×40mm，采用东北松木制作，木材无节疤和裂痕，箱体表面油漆光滑无结脂，内壁无毛刺，胶合严密，无歪斜，无裂纹，所用木材经过干燥处理；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5.音叉槌槌头由橡胶制造，槌杆由木材制作，槌头球径26mm，杆长180mm；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6.在环境噪声不大于30dB的室内，用音叉槌敲击音叉，距音叉1000mm处声强不小于90dB。</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声音的传播研究屏</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ABS塑料，由2块可插接塑料板组成，塑料板尺寸：10.5cm*8cm，一块有4个孔，一块有4个凸起，可以对接，一块顶部有小孔，可穿线，配泡沫球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牛顿摆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1.方形金属框架，木制或塑料底座，整体尺寸≥23cm（长）*14cm（宽）*17cm（高）；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2.实心金属球，不低于5球，直径≥20mm。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热传导实验器材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主要部件为铜铝铁，带方形铜集热块(2.5cm)和手柄(12cm)，铜棒为纯铜，铜铁铝棒不与集热块固定安装，可以插接使用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小电铃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1.机械式，干电池供电；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2.不小于4寸，在15m范围内铃声清晰；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3.带正负极底座；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4.可悬挂于抽气盘钟罩内。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人体验电球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1.材质：优质环保塑料；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2.尺寸：直径10cm，边缘厚度2cm。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条形磁铁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D-CG-LT-71，表面磁感应强度＞0.045T</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蹄形磁铁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D-CG-LU-63，表面磁感应强度＞0.055T</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磁感线演示器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无色透明塑料外壳，油封铁粉式，尺寸≥400×200×8mm；环境温度大于10℃时，摇匀铁粉时间每次≤20s</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小电机（带座和风扇）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1.电机长度：39mm，宽度：30mm，高度：15mm，轴径：2mm，轴长：9mm；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2.电压：1-6V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3.带正负极底座；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4.风扇材质：环保塑料，尺寸：20.6*30.5*10.7mm，孔径：1.96mm。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简易电动机套件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1.用以展示电机转运原理；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2.组成：电池盒、油漆包线、钕铁硼强磁铁、支架、底座等；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3.有螺丝刀配套拧螺丝，可反复拆装。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电路暗盒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ABS塑料，尺寸：9*5.5*2.8cm四个连接点，内置线及灯光、电池，可打开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三棱镜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1.三棱镜等及支架组成；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2.重火石玻璃制；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2.三棱镜正三棱形，边长25mm，棱长80±1mm，高≥100mm,底座≥70mm。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光的传播透明盒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方形透明，可演示光线沿直线传播的现象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光的反射折射演示器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塑料，尺寸：276mm*170mm，3V电源，半圆玻璃片：直径80mm，厚10mm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ABS塑料，圆形，底部弧形，有小孔，上部直径约6.5cm，下部直径约5cm，高约2.3cm。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月相盒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1.通过演示来理解地、月系、月球知识、月相变化；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3.尺寸：长42cm宽20cm高32cm；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4.组成：黑白内外地球模型、黑白内外球月球模型、月相盘、日历盘、齿轮、底座等。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沉积作用演示装置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1.材质：合成树脂；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2.尺寸：≥43cm*11cm*13cm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四季星座卡片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1.用于野外观测星空时配套使用； 可手动调节观看时间、 日期、 月 份；带指南针定方位； 三种观看模式(星座连线观看、 神话星图观看、 双重模式观看) ； 可探索 30 个以上星座；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2.活动式，材质：纸质，Φ25 cm～Φ30 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压簧</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工作负荷为5N。由弹簧钢丝绕制而成，钢丝直径1mm，外形尺寸：φ20mm×90mm，宽绕20圈。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拉簧</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工作负荷为5N。由弹簧钢丝绕制而成，钢丝直径1mm，外形尺寸：φ20mm×90mm，宽绕20圈。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沉浮块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小学科学课堂做沉浮实验，塑制物体，展示同体积不同质量、同质量不同形状、可改变质量三种情况。其中，同体积不同质量的铁、塑料、木块，尺寸为：30mmx20mmx10mm；同质量不同体积的铁10mmx10mmx18.7mm、塑料70mmx20mmx10mm、木块100mmx20mmx10mm，重约15g，鸡蛋型塑件一个，内空，可拆开，可改变其质量，塑件长度39mm，中心对开处外直径为20mm。透明塑料盒包装，尺寸：175mmx105mmx30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滑轮组</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1.由单滑轮4 件、二并滑轮2 件、二串滑轮2件、支杆滑轮2 件构成，每个滑轮组中至少有1 个可止动滑轮，附滑轮绳；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2.滑轮为ABS材质；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3.额定负荷：单滑轮9.8 N，串及并滑轮为19.6 N，支杆滑轮为9.8 N；满负荷时，单、支杆滑轮的效率不低于90％，并、串滑轮的效率不低于75％；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4.其他应符合JY/T 0416标准要求。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轮轴及支架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1.包含轮轴*3、支杆、底座、挂线、固定栓等；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2.轮轴由外径分别为Φ 90mm、Φ40mm、Φ20mm 的三档轮轴一次注塑成型，轮轴厚度为 20mm，轮轴圆周边应各带有开槽及穿线孔，并将挂线固定于轮轴内，挂线上应配有金属挂钩，底座及支杆采用塑料注塑成型；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3.底座规格为 155mm×75mm×20mm， 底座中心带有支杆插孔；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4.支杆类似等腰三角体，长度 225mm，厚度 7mm，支杆顶端带有固定螺帽，用于连接支撑螺栓，支撑螺丝长度30mm，用于将轮轴固定在支杆上。</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弹簧片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黄铜材质，尺寸不小于12cm*1.5cm*0.5mm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太阳高度仪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由日晷表（直径7.9cm）、刻度盘（直径7.9cm）、底座(9.8cm)、立柱(16cm)等套材组成，指南针直径1.9cm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小水轮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组装式，塑料材质，底座5.7cm*5.7cm，6个叶片1.8cm*2.5cm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太阳能小车套件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1.四轮小车，由太阳能电池板供电，齿轮传动；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2.由车身，4个车轮，电机，太阳能电池板，齿轮构成；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3.尺寸60*75*25mm左右；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4.太阳能电池板可调节角度。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镀锌钢板鼓腔，PET聚酯鼓皮，不锈铁压圈，尺寸不小于：11英寸，鼓面直径不小于28.5CM，高不低于13.7CM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环形磁铁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D-CG-YH-36，表面磁感应强度＞0.050T</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手摇发电机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1.包括定子、转子、整流器、集流环、电刷、灯座（带灯泡）、手摇驱动机构和底板等部分；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2.定子由永磁体和极靴组成，转子由转轴、两极电枢铁芯、电枢线圈以及整流器和集流环组成；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3.整流器在任何位置不将两电刷短路，电刷与整流器和集流环使用弹性接触，转动灵活；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4.转子转速为1600 r/min空载时，输出端交流和直流电压均≥8 V；接16 Ω电阻负载时，输出端交流和直流电压均≥5 V；不带皮带轮用作电动机使用时启动电压≤4 V，电流≤0.4 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5.转子、电刷、集流环采用黄铜，皮带柔韧性好，底板平滑。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平面镜及支架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1.由平面镜及底座组成；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2.长宽≥8cm，高度≥10cm。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曲面镜及支架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1.产品材质：玻璃镜片、塑料边框及支架等；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2.产品组成：由双面曲面镜（凹面镜、凸面镜，直径约5cm）、支架及底座组成；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3.底座可节高度。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声音的产生研究盒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ABS塑料，由1块中空塑料板（带4个插孔），2个T形插件组成（中部带小孔）；塑料板尺寸22cm*4cm，T形插件尺寸4.5cm*3.5cm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液体流速板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ABS塑料，12.8cm*7.5cm*0.8cm带六个凹槽，可同时做6种液体的流速对比实验</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暗盒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ABS塑料，黑色不透明，尺寸：12cm*9cm*2cm，自封式，无法打开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蒸汽船套件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1.木质船体或是泡沫船体，尺寸约160*80*15mm2.包括金属弯管，注射器及软管，蜡烛，船体等3.可以水中演示水蒸汽推动船体前进的过程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平衡尺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1.由杠杆、 轴、 调平装置和 6 个挂钩组成， 挂钩在标尺上能连续移动；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2.杠杆长度≧500mm，带刻度，可调平衡，材质为木质或塑料，尺端需包头加固；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3.支撑为镀锌铁件，两个调平装置为镀锌铁件。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手电筒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1.材质：铝合金；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2.锂电池，TYPE-C充电；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3.机械变焦。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组装土电话材料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1.透明ABS环保材质；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2.由底部开具线孔的2个100mLABS塑料杯、棉线组成；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3.杯高75mm，开口外径Φ不小于60mm，壁厚不小于2.5mm。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微型太阳灶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材质：塑料镀铝，尺寸：约9.6*9.6cm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物体热胀冷缩实验材料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手持式，由带吊链手柄的铜球、带手柄的圆环、带柄塑料球、实验架等组成，用于演示固体的热胀冷缩。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木工工具箱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（1）木工凿子1把：水曲柳木柄，65Mn钢，整体热处理，刃口宽度10mm；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（2）美工刀1把：18mm刀片，铝合金刀身，带防滑胶套，可自锁；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（3）木工半圆锉1把：双色TPR手柄，200mm长，高碳钢T12，整体热处理；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（4）多用剪1把：190mm长，不锈钢材质，多用剪，可剪电线，铁皮等；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（5）羊角锤1把：450g锤头，高碳钢，木柄；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（6）鸟刨1把：215mm长，铸铁刨身，44mm刨刀（65Mn材质，热处理HRC55-60）；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（7）多功能刨1只：锌合金刨身，140mm刀片；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（8）铝座钢角尺1把：铝座手柄，不锈钢尺片，250mm刻度，连续公制刻度；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（9）螺丝刀2把：铬钒钢刀杆，一字5x75mm，十字PH2x100mm，双色柄；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（10）钢丝钳1把：160mm长，#55钢材质，表面镍铁合金，双色护手TPR柄；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（11）钢卷尺1把：3m长，16mm带宽，II级精度，带自锁保护，水平无折1.2m,竖直1.8M无折；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（12）木工F夹1把：碳钢，口深50mm，最大夹持150mm；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（13）有机玻璃钩刀1把：钩刀带两把刀片；木柄，锌合金刀板，硬质合金刀轮；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（14）多用木工锯1把：双色TPR手柄，65Mn锯片，每英寸7齿，2面机磨，刃口高频热处理；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（15）木工铅笔1支：专用，长175mm；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（16）水平尺1把：铝制尺身，长度300mm，带刻度，三角度水泡，45°、90°、180°；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（17）划线器1套：锌合金壳身，带角度测量，30m线长，带蓝粉桶。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肺活量测试仪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1.规格：电子肺活量测试仪；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2.测量范围：0-10000mL，最小分辫率：1mL；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3.测量误差≤±5％；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4.工作电压：220V/50Hz或交直流两用；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5.另配吹嘴50个。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简易潜望镜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包含pvc水管、弯头、蓝丁胶、平面镜等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桃花模型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1.功能：放大的盛开状态的桃花模型，示花柄、花托、花萼、花冠、雄蕊和雌蕊，花瓣、雌蕊可拆装，子房做纵剖；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2.材质：PVC塑料；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3.尺寸：花冠的直径330mm±15mm；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4.模型构造：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（1）模型为放大若干倍成处然盛开的桃花，置于底座上；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（2）桃花示花柄、花托、花萼、花蕊和雌蕊；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（3）雌蕊一枚、示柱头、花柱和子房，其中子房作纵剖，示胚珠剖面的反足细胞、极核、卵细胞、肋细胞及珠孔；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（4）雄蕊25枚示花丝，花药。其中一个花药做横剖，示药室、药隔维管束和花粉粒。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心脏解剖模型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1.功能：示上腔静脉、下腔静脉、主动脉、肺动脉、动脉韧带、左冠状动脉、右冠状动脉、冠状窦，左心房、右心房、左心室、右心室、二尖瓣、三尖瓣、主动脉瓣、肺动脉瓣、卵圆窝、冠状窦口;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2.材质：模型应采用硬质PVC材料（心瓣膜采用软塑料）制作;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3.规格：3倍自然大；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4.其它技术要求应符合JY/T 0160-2011要求。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大脑模型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1.材质：硬质PVC塑料；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2.规格：自然大；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3.其他应符合JY/T 0163要求。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3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耳解剖放大模型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2.规格：6倍自然大；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3.技术要求：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 放大的成人耳解剖模型，长度(颞骨岩部的锥体长轴)300mm±20mm，固定于底座上；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（2）模型整体应为外耳及相连的颞骨岩部，切除外耳道的前半部，示外耳道；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（3）水平切开部分颞骨岩部，保留鼓室盖，显示中耳和内耳。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（4）颞骨岩部的锥体长轴与颞骨鳞面构成前50º±5°后130º；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（5）示颈内动脉、颈内静脉断端；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（6）应完整显示外耳道、鼓膜、听小骨、鼓室、咽鼓管、鼓膜张肌、乳突窦、前庭、骨半规管、耳蜗、前庭窗、蜗窗、前庭蜗神经等结构；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（7）模型下列部位应贴名签或号签：外耳道、鼓膜、听小骨、鼓室、咽鼓管、鼓膜张肌、乳突窦、前庭、骨半规管、耳蜗、前庭窗、蜗窗、前庭蜗神经；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（8）各部分的形态、位置、比例和颜色等均应正确自然；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4.其他应符合JY/T 0165标准要求。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模拟心脏输血单向阀</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PP塑料透明，呈橄榄形，内置单向阀门(组装成品长约6.5cm，直径约2cm)，两头可接内径4mm橡胶管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行政地球仪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1.行政地球仪，塑料支架；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2.地球直径≥140mm；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3.产品印刷：PVC高清彩印，带支架，防脱防水；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4.版本：采用最新版地图，内容完整。</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板块构造及地表形态模型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1.直观演示讲授海底地形、地球内部圈层、地壳结构、地形变化、板块构造学说、火山地震的形成与分布、地球表面；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2.材质：合成树脂；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3.尺寸：≥长44cm宽24cm高12cm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地球内部构造仪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1.材质：PVC球体、金属弓形支架、塑料底座；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2.直径≥32cm，模型能演示：地表的基本面貌、地球的内部圈层、地壳结构、折皱、断裂等。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立体地形地球仪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1.由球体和支架两部分；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2.球体直径≥300mm,允差5.0mm，平面比例尺为1/40000000，地轴倾角为66.5°，并垂直于赤道面；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3.应符合原教育部标准《地球仪技术条件》JY58-80的规定。</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地震构造示意模型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1.材质：合成树脂；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2.尺寸：≥40*38*22cm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照相机模型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2.由镜头、机身、光屏组成；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3.尺寸：约为12.5cm*9.5cm*7.5cm。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儿童牙列模型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1.PVC材质；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2.配底座，尺寸放大不小于3倍（≥13.5cm*16cm*10cm）；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3.由上、下牙组成，从左侧起可说明切牙、尖牙和磨牙三部分；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4.形态、色泽逼真，胶核部分拼接牢固、平整光滑。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少年人体半身模型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1.功能：示消化系统、呼吸系统、泌尿系统；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2.材质：PVC橡胶；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3.规格：自然大，65CM左右；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火山内部模型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2.尺寸：≥40*38*22cm。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植物种子传播方式标本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1.至少包括动物传播、弹力传播、风力传播、水力传播；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2.塑盒包装，透明盒盖；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3.尺寸不小于21*15*2.2cm。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种子标本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1.至少包括花生、大豆、蚕豆、小麦、稻谷、玉米、凤仙花等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2.塑盒包装，透明盒盖；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3.尺寸不小于21*15*2.2cm。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植物发芽包埋标本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1.玉米、水稻、大豆、花生中一种植物的生长史；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2.高分子树脂材质包埋标本；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3.尺寸不小于140*64*20mm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蜻蜓成长过程标本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1.示蜻蜓生活史，包括卵、幼虫一、幼虫二、雄成虫、雌雄虫等；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2.高分子树脂材质包埋标本；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3.尺寸不小于164*78*20mm。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家蚕生活史标本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2.由卵、幼虫（四龄）、蛹、雌雄成虫及茧组成，附蚕丝、丝织品和桑叶，按生活史顺序排列；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3.符合JY/T 0325标准。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1.包埋标本，六益六害12种，六益包括：蜜蜂、瓢虫、步甲、蝴蝶、蜻蜓、螳螂，六害包括：苍蝇、荔蝽、金龟子、蟋蟀、蝗虫、蟑螂；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2.高分子树脂材质包埋标本；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3.尺寸不小于166*80*22mm；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4.各标本在其正下方位置应有动物名称的名签或号签，如使用号签，应在产品不影响观察的地方附有号签注解。</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切片标本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1.100种木盒包装玻璃切片；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2.植物、动物、昆虫、细胞、组织、微生物等混装，品种齐全，具有代表性；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3.玻片边角不扎手、高透光率。</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矿物标本盒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黄铁矿：天然原矿石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石墨：天然原矿石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石英：天然原矿石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萤石：天然原矿石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云母：天然原矿石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方解石：天然原矿石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岩石标本盒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页岩板：天然原矿石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花岗岩：天然原矿石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砂岩大理岩：天然原矿石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石灰岩：天然原矿石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浮岩：天然原矿石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含化石的岩石：天然原矿石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煤和煤的干馏产品标本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各种类型的煤（包括泥煤、褐煤、烟煤、无烟煤等）和煤在逐步干馏过程中产生的各种产品（包括焦炭、焦炉气、煤焦油、粗氨水、苯、酚、萘、沥青等）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石油分馏产品标本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石油逐步分离过程中的各种产品，由粗石油、轻油、煤油及重油等材料组成</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50ml量筒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1.标称容量50mL（容积为20℃时充满量筒刻度线所容纳体积），最小分度1.0mL，最高标线到内底最小距离150mm，最高标线到筒顶最小距离30mm，全高250mm；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3.分度线、数字和标志应完整、清晰和耐久。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100ml量筒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1.标称容量100mL（容积为20℃时充满量筒刻度线所容纳体积），最小分度2mL，全高95mm；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3.分度线、数字和标志应完整、清晰和耐久。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250ml量筒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1.标称容量250mL（容积为20℃时充满量筒刻度线所容纳体积），最小分度5mL，全高95mm；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3.分度线、数字和标志应完整、清晰和耐久。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Φ15mm×150mm试管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1.规格：φ15mm×150mm，壁厚1.1±0.2mm；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2.透明硼硅酸盐玻璃制，口部是熔光的平口，平整光滑，不得有裂口、裂纹，底部为半球形，厚薄均匀，不得有刺手现象。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Φ20mm×200mm试管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1.规格：φ20mm×200mm，壁厚1.1±0.2mm；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2.透明硼硅酸盐玻璃制，口部是熔光的平口，平整光滑，不得有裂口、裂纹，底部为半球形，厚薄均匀，不得有刺手现象。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1.规格：标称容量50ml，外径43.0±2.0mm，全高160.0±3.0mm，壁厚不小于0.8mm；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50ml塑料烧杯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PP材质，50ml，高61毫米，口径47毫米，直径42毫米，三角倾液设计，刻度倾斜。</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1.规格：标称容量100ml，外径50.0±2.0mm，全高70.0±2.0mm，壁厚不小于0.9mm；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100ml塑料烧杯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PP材质，100ml，高68毫米，口径55毫米，直径48毫米，三角倾液设计，刻度倾斜。</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1.规格：标称容量250ml，外径70.0±2.0mm，全高95.0±2.0mm，壁厚不小于1.1mm；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250ml塑料烧杯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PP材质，250ml，分双面刻度，高95毫米，口径76毫米，直径69毫米，三角倾液设计，刻度倾斜。</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8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1.规格：标称容量500ml，外径85.0±2.0mm，全高120.0±3.0mm，壁厚不小于1.3mm；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2.透明硼硅酸盐玻璃制，烧杯的满口容量超过标称容量的10%或烧杯的满口容量和标称容量的两液面间距不少于10mm，并采用容量差值较大的一种；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3.口部做熔口处理，玻滴高度不大于2mm，上口在边缘附近逐渐向外扩展，呈圆滑曲线过渡，烧杯伤口最大直径比烧杯外径大5%~15%，上口与底的不平度不大于2°；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4.当加入标称容量的水往外倾倒时，水形成一束细流从嘴中流出，烧杯外壁无水滴，注满水的烧杯放在平台上继续注水时，水从嘴中流出，而不是从其他部位流出；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5.符合GB/T 15724－2008标准要求。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锥形瓶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1.细口锥形瓶，标称容量100mL，瓶身外径64.0±1.5mm，瓶颈外径22.0±1.0mm，全高105.0±3.0mm，壁厚不小于1mm；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2.透明硼硅酸盐玻璃制，颈高度是颈外径的1~1.25倍，放在平台上应直立不摇晃、不转动，底部不允许有结石、节瘤存在；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3.符合GB/T 22362－2008标准要求。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酒精灯含灯芯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1.规格：标称容量150mL，全高95±4mm，灯体高70±2mm，灯体直径94±5mm，灯底直径60±3mm，灯口直径20±2mm，灯颈高25±5mm，灯体壁厚≥2mm；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2.透明钠钙玻璃制，无明显黄绿色，灯口应平整，瓷灯头与灯口平面间隙不应超过1.5mm;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3.玻璃灯罩应磨口，盖合后应密封不漏水，瓷灯头应为白色，完全覆盖灯口，表面无缺陷，配置与灯口孔径相适应的整齐完整的棉线灯芯3个≥15cm、2灯帽。</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玻璃漏斗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1.规格：标准短颈三角过滤漏斗，漏斗口径60mm，斗颈长60±5.0mm，斗颈外径7.0~9.0mm，斗颈壁厚1.0~1.5mm，滤碗厚度1.0~2.5mm；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2.无色透明硼硅玻璃制，滤碗为夹角60°的圆锥形，滤碗中心位置下方焊接系玻璃管，管尾端磨成45°角，滤碗边缘应卷边，滤颈斜口边倒角或熔光；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胶管漏斗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1.漏斗：材质塑料，直径60mm；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2.胶管：材质橡胶 内直径3-12mm。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长颈漏斗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1.规格：上口直径40mm±3mm，漏斗球高52±3mm，漏斗颈长300±10mm，漏斗颈直径7-8mm，壁厚1.0-1.3mm；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2.硼硅玻璃制，漏斗不应有明显歪颈，口端应平整圆滑，漏斗球无明显偏斜；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3.符合JY/T 0429标准要求。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胶头滴管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1.规格：直形，全长100±10 mm，球距上管口长30±5mm，球径19±1mm，管口 径10~11mm，管径7~9mm，管上部壁厚1±0.2mm，管尖端≥0.5mm，管尖径2~3mm； 2.无色透明硼硅玻璃制造；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3.滴管应附硅胶帽，吸放弹性好，开口直径6mm，与滴管口套合牢固稳定。</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集气瓶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1.规格：标称容量250mL，瓶身厚≥1.3mm，瓶底厚≥2.0mm；配带玻璃导管的两孔橡胶塞。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2.透明钠钙玻璃制，无明显黄绿色，瓶塞与瓶口配合适宜，紧实不晃动，应符合密合性二级，口部应圆整光滑，底部应平整，放置平台上不应摇晃或转动。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坩埚钳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1.规格：不小于总长200mm，前端长100mm，柄长50mm，闭合时中间弯曲部分内径应在2cm～3cm；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2.不锈钢材质；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3.钳腮做工精致，尖头闭合性好。</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镊子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不锈钢，直头，长14cm，头宽3.2mm，厚度1.9mm，前部应有防滑脱锯齿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1.木制或者竹制，长度≥200mm，宽度约20mm，厚度约20mm；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2.试管夹闭口缝≤1mm，开口距离≥25mm，试管夹持部位圆弧内径≤15mm；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3.毡块粘接牢固，试管夹弹簧作防锈处理。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陶土网</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1.产品为在铁丝网上涂敷陶土材料而制成；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2.铁丝网做防锈处理，四周包边无毛刺；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3.边长≥15cm,陶土部位直径≥10cm。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不锈钢材质，一头药匙，一头搅拌，长10cm左右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玻璃导管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1.Φ≥7mm，长度≥100mm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2.材质：无色透明硼硅玻璃制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千克</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1.Φ9mm，长度≥200mm；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2.无色透明高硼硅玻璃制；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3.粗细均匀，两端烧结烘口处理使其光滑。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千克</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乳胶管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1.规格：5*7mm乳胶导气管；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2.适合5.5-6.5mm的导气管。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猪毛、铁丝组成，Φ18mm，手持部分顶端应为环状，顶部要有刷丝，铁丝不可外露</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1.规格：90mm，盖外径 93(0~+1.5)mm，底外径 90(-1-0)mm，皿盖高 16±2mm，皿底高 18±1mm，皿壁厚 1.2~2mm；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2.无色透明玻璃制造，玻璃薄厚均匀、耐高温高压；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3.培养皿口边沿平整，底和盖套合后应吻合。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研钵</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1.规格：口内径 95±5 ㎜，全高 65±5㎜，壁厚 8±2 ㎜，研锤杆直径 12±2㎜，长 120±15 ㎜，研球直径 20±5 ㎜；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2.瓷制；3.配有研杵，内部粗糙便于研磨，外部光滑。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蒸发皿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1.产品为白色瓷质材料制作；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2.外形尺寸：口径60±5㎜。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闻香盒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1.不透明塑料材质；2.直径10cm,高12cm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过滤纸</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直径11cm 中速定性滤纸，100张/盒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焊锡枪套装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内热式，60W，数显调温，橡胶电源线，带烙铁架、焊锡丝、松香、海绵、收纳盒等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1.3号，剪全长150mm，A型；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2.高碳钢，剪体表面电镀，防锈性能好；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3.剪头刃含碳量大于0.35%，硬度不低于HRC54度，外口面刃钢和低碳钢界限分明，外口面刃钢宽度不小于0.8mm，剪刀前端要尖口，经钝化处理；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4.钢材深入剪柄底端，软套管，手感舒适；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5.剪切手感轻松均匀锋利，不咬口、崩口、变形；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6.符合QB/T1966－1994标准。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水平仪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1.三水泡型，可横向、纵向、45°角测量；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2.铝合金尺身；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3.水平面工作长度160mm～250mm。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不锈钢筛组合</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2.目数：5目、10目、20目、40目各一个；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3.直径20cm。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透明水桶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PP材质，10L，加固手柄</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1.塑料材质；2.挤压式；3.300ml</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可堆叠存放，箱体高宽深：150×310×425mm，透明环保PP材质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金工工具箱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（1）两用扳手4把：碳钢，规格：10/12/13/15mm；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（2）什锦锉6把：轴承钢，规格：平扁/尖扁/半圆/圆/三角/四方；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（3）样冲1支：铬钒钢，带护套；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（4）钢卷尺1把：3m长，16mm带宽，II级精度，带自锁保护；水平无折1.2m,竖直1.8M无折；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（5）钢锉4把：高碳钢T12，整体热处理，规格：半圆、扁、方、圆，长度200mm；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（6）铁皮剪1把：#55高碳钢，8”/200mm长，沾塑手柄，可剪1mm铁皮；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（7）钢直尺1把：不锈钢直尺，30cm长，刻连续公制刻度；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（8）内六角扳手1套：铬钒钢，L型内六角扳手，规格：1.5-10mm，每套装塑架；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（9）丝锥板牙套装16件：合金钢材质，M3-M12，2只扳手，每套塑盒装；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（10）钳工锤1把：德式，300g锤头，硬杂木柄；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（11）钢丝刷1把：硬杂木柄，250mm长；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（12）螺丝刀4把：铬钒钢刀杆，一字5x75mm，6x100mm，十字PH1x75mm，PH2x100mm，双色柄；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（13）钢丝钳1把：160mm长，#55钢材质，表面镍铁合金，双色TPR柄；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（14）尖嘴钳1把：160mm长，#55钢材质，表面镍铁合金，双色TPR柄；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（15）活扳手1把：碳钢，8”/200mm开口活扳手；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（16）小手锯1把：6”/150mm长，塑柄，铝合金框架；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（17）备用钢锯条4支：6”/150mm长；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（18）铝座钢角尺1把：铝座手柄，不锈钢尺片，250mm刻度，连续公制刻度；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（19）游标卡尺：不锈钢材质，150mm长度，精度0.05mm，带自锁功能；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（20）多功能电筒：长度170mm，头尾带磁吸固定，整体可拉长至56cm，头部可弯曲，LR44电池。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护目镜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1.封闭型，可叠加佩戴近视眼镜；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2.聚碳酸脂镜片，耐酸碱，抗冲击，耐磨，便于清洗；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3.人工力学贴合设计，可调节系带，贴合各种脸型，有间接通风口，佩戴舒适；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4.符合GB 14866标准要求。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发光二极管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1.5V，5mm LED使用环保环氧树脂胶，铜镀锡引脚，抗氧化，耐腐蚀，导热性好；透光率高，发光稳定；每包100个，红黄绿白蓝各20个。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载玻片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1.规格：25.4mm*76.2mm，厚度1-1.2mm，50片/盒，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2.全透明；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3.八棱倒角。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盖玻片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1.规格：正方形，18mm*18mm*0.17mm，100片/盒；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2.符合JB/T8230.4-1997标准要求。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透明塑料材质，高6cm～10cm，带透气孔，盒盖带5倍放大镜，底盖有标尺。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风的形成演示箱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亚克力塑料和金属片制作，尺寸不小于28cm*15.5cm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擀面杖</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1.实木；2.长30cm；3.直径2.5cm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吸管塔台连接件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ABS塑料，每个头直径6mm，可对接直径6mm的吸管，搭建平面立体框架，500个/包，其中5头300个、4头200个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简易电路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包含：导线、灯泡、灯座、回形针、图钉、开关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1.电池座：5号电池卡座4组、1号电池卡座2个；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2.开关（电键）： 长7.3*宽3.4cm,数量 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3.鳄鱼夹导线：长度 300mm，线径单芯4mm，纯铜鳄鱼接线夹，纯铜导线铜芯截面积≥0.5mm2（不少于 28 股铜芯），导线外径不低于2.3mm，鳄鱼夹和导线焊接牢固，焊接工艺优良，焊点不裸露；接线叉导线长度300mm，单芯4 mm 纯铜接线叉，接线叉开口5.9 mm，纯铜导线，导线铜芯截面积不低于0.5mm2（不少于28股铜芯），导线外径不低于2.3mm，接线叉和导线焊接牢固，焊接工艺优良，焊点不裸露；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2根不同颜色（如红黑）导线组成1对导线，本套件包含10对鳄鱼夹导线、10对接线插的导线；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4.长方形软木块10*10*1cm 1块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5.回形针1盒（100枚）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6.图钉1盒（100枚）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7.灯泡1.5V 10个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8.灯座2个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拉力器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1.材质：TPE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2.管径：6*9mm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3.8字拉力器，采用骨头链接，牢固不易脱落，泡棉锁扣，受力均匀。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铝片琴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1.15音，彩色，已校准音；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2.榉木底座；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2.配带打锤一对。</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1.响铜制作，直径150mm；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2.千股棉线制作手线，防滑。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铲子套件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1.材质不锈钢，一体成型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2.园艺3件套，包含铲子、耙子、铁锹；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3.铲子长度≥25cm,耙子长度≥25cm,铁锹长度≥25cm。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喷雾器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1.材质：PP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2.容量：3L，宽度约145mm，高约340mm。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3.铜制喷嘴，蓄压足，省时省力持续出水，加厚壶身，耐用。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料理机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干湿两用，主杯容量：≥1.2L，加热功率≥750W，搅拌功率≥900W；304不锈钢四叶刀头，食品接触级材质，内置过滤网、研磨杯、小量杯。</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不锈钢，无磁，全长16.5cm，勺口直径5cm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听诊器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1.医用听诊器；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2.导管材料为乳胶导管，抗拉强度＞17MPG，伸长率＞700％；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3.听诊头及耳测听音头为铜合金并电镀；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4.耳测听音效果应清晰，无杂音。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科学实验室2</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教师实验台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1、参考尺寸：2400*700*850mm±10mm；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2、材质：抗倍特板+钢架；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台面采用抗倍特一体成型，耐80度以上高温、防水：浸水24小时后的膨胀指数不多于0.1mm，面板四周采CNC修边，四周倒角；桌架采用40*40mm方管钢架满焊焊接而成，表面经酸洗磷化喷塑处理；抽屉滑道采用优质三节承重式滚珠滑道，铰链采用液压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4、功能：台面下设有储物柜，中间为演示台,设置电源主控系统、多媒体设备（主机、显示器、中控、功放、交换机）的位置预留。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1、参考尺寸：1400*1200*720mm±10mm；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2、材质：抗倍特板+实木多层免漆板+钢架；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材质采用≥12mm抗倍特一体成型。耐80度以上高温。防水：浸水24小时后的膨胀指数不多于0.1mm，面板四周采CNC修边，四周倒角；桌架采用40*40mm方管钢架满焊焊接而成，表面经酸洗磷化喷塑处理；柜体板材厚度≥18mm实木多层免漆板，封边采用厚度≥1mm塑制封边条机械四边封边，连接采用五金螺丝，金属防锈带阻尼铰链、消音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4、功能：双面使用，每面上部2组抽屉、下部内缩2组对开门、内有1块活动搁板。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科学实验室3、4人桌</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1、参考尺寸：Φ300*450-500mm±10mm；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2、凳面：采用环保型ABS改性塑料一次性注塑成型，尺寸30cm×3cm，表面细纹咬花，防滑不发光；                                                                         </w:t>
            </w:r>
            <w:r>
              <w:rPr>
                <w:rFonts w:hint="eastAsia" w:ascii="宋体" w:hAnsi="宋体" w:eastAsia="宋体" w:cs="宋体"/>
                <w:i w:val="0"/>
                <w:iCs w:val="0"/>
                <w:color w:val="000000"/>
                <w:sz w:val="20"/>
                <w:szCs w:val="20"/>
                <w:highlight w:val="none"/>
                <w:u w:val="none"/>
                <w:lang w:val="en-US" w:eastAsia="zh-CN" w:bidi="ar"/>
              </w:rPr>
              <w:t xml:space="preserve">                                                                                                                                                                                          3、脚钢架：椭圆形无缝钢管，尺寸17×34×1.7mm，全圆满焊接完成，结构牢固，经高温粉体烤漆处理，长时间使用也不会产生表面烤漆剥落现象；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4、脚垫：采用PP加耐磨纤维质塑料，实心倒勾式一体射出成型；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5、功能：凳面可通过旋转螺杆来升降凳子高度,可调高度5cm。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1、参考尺寸：1000*600*800mm±10mm；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2、台面：采用≥12mm抗倍特一体成型，耐80度以上高温、防水：浸水24小时后的膨胀指数不多于0.1mm，面板四周采CNC修边，四周倒角；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3、柜身：所有板材厚度≥18mm实木多层免漆板，封边采用厚度≥1mm塑制封边条机械四边封边，连接采用五金螺丝，金属防锈带阻尼铰链，底板贴防水锡纸；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4、结构：对开门、内有活动搁板，水槽柜台面开水槽孔。</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1、参考尺寸：1800*340*200mm±10mm；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2、材质及工艺：1.0厚304不锈钢满焊打磨，落水处下沉5mm；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上水装置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1、用于连接地面水管及水龙头，上水管两端接头采用201不锈钢螺帽铜芯，外管是304钢丝+尼龙丝混编的、内管采用三元内管、角阀是钻石轮（塑料包铁）、阀芯和阀体均为铜制。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下水装置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1、直径35mm*长度500mm水槽专配型排水管，不锈钢卡扣连接，安装方便不渗漏。</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1、鹅颈式实验室专用化验水嘴；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2、防酸碱、防锈、防虹吸、防阻塞，表面环氧树脂喷涂；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3、开关阀芯为铜质陶瓷芯，高头，可拆卸清洗阻塞；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4、出水嘴可拆卸，内有成型螺纹，可方便连接循环等特殊用水水管。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给、排水系统（地面以上部分）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1、ф32、ф25、ф20；DN75、DN50给水：采用PPR复合管敷设。排水：使用国标优质UPVC专用排水管。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激光笔</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1.红光；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2.干电池供电；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3.金属笔身。</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塑封机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1.A3塑封，最大过模厚度不低于0.6mm；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2.操作简单；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3.过塑牢固平整、清晰服帖。</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制冰机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1、冷却方式：水冷；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2、出冰时间：≤6min；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3、一次出冰≥9颗；至冰量≥10KG/24h；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4、进水方式：手动进水；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5、额定电压：220V。</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碎冰机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1.食品级，塑料外壳、铝合金机身、不锈钢双刀头；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2.功率：380W，总容量：2000ml，转速：1440转/分钟；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3.碎冰粗细可调。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LED写生灯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1.材质：灯罩金属喷漆，灯杆钢管镀铬；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2.高600mm-2600mm，照射角度0-120°可调，灯罩直径260mm。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铁架台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1.组成：由方形座、立杆（Φ12mm×600mm）、烧瓶夹（最大张口≥35mm）、大小铁环（内径90mm、内径50mm）、垂直夹（2只）、平行夹、吊杆等组成;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（1）方形座不小于210mm×135mm，质量≥1.5kg，表面加覆耐酸碱材料进行防锈防腐蚀处理；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（2）平行夹、烧瓶夹铁片厚度≥1.0mm，烧瓶夹夹口内壁有耐热不低于120℃的缓压层，缓压层厚度≥2.0mm；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（3）立杆铁制，镀锌处理；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3.其他技术要求符合JY/T 0393—2007标准。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三角架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1.采用碳钢制造，表面经酸洗，磷化后喷塑；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2.环内径75mm，高150mm，三脚均布，三脚及支撑环钢材直径不小于6mm，三脚倾斜度合适，方便150ml酒精灯平移放入或移出；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3.三只脚与铁环焊接紧固，焊点光滑、平整，脚距相等，立放台上时圆环应与台面平行，所支撑的容器不得有滑动。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充电器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1.6口，4个USB-A口，2个Type-C口；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2.总输出功率不低于40W；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3.具有输入（出）过流保护、输入（出）过压保护、短路保护、过温保护。</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橡胶塞打孔器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四件套，直径4mm~8mm，长100mm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31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抽气盘</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1.由钟罩（配可悬挂发声装置的橡皮塞）、橡胶密封圈、底盘、抽气橡胶管接口、阀门和橡胶管等构成，与发声装置（如电铃）搭配使用；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2.钟罩采用透明性好的工程塑料或玻璃制作，尺寸不小于φ150×250mm；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3.可搭配发声装置（如电铃）悬挂在钟罩内；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4.底座采用工程塑料或金属制作，外径φ不小于190mm；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5.抽气口接口外径9mm，为台阶口；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6.密封性能：当压强达到-9.9×10-2MPa后停止抽气，关闭阀门，保持10min后钟罩内气压不高于-9.0×10-2MPa；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7.实验效果：未装入钟罩的发声装置发出的声强，在距发声装置0.5m处90dB，装入钟罩后抽气前的声强75dB，抽气后的声强45dB。</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电动气泵</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电动电池容量4500 Mah，功率80W，充满电后可使用大约40~60分钟， 可充气、抽气，配备7个大小不同的转换接头，带充气软管，与抽气盘匹配。</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仪器推车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1.材质：钢，环氧/聚酯粉末涂层；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2.规格：长38cm，宽28cm，高65cm；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3.三层碳钢网篮；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4.脚轮可调节，轻松移动稳定停放。</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手持显微镜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1.60X-120x无极变倍；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2.出瞳距离10-14mm；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3.1节7号电池供电, LED照明，按钮式开关，光源亮度多档可调。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8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单目电光源显微镜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1.整机结构件：由铝合金制作；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2.目镜：16X；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3.物镜：消色差物镜4X/0.10、10X/0.25、40X/0.65（弹簧）；带有限位装置，防止物镜压坏切片致使物镜损坏；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4.镜筒：单目斜筒，可360°旋转便于同步观察；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6.转换器：转换器三孔同心，定位准确，并带有限位装置；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7.照明：采用充电电池供电，LED冷光源，亮度连续可调，稳定性：10万小时，光衰为初始的50%；供电电压在6-24V之间；光照明亮，色度均匀，色温接近自然光；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8.电池：容量不低于5400mA，温度高于60°时自动停止充电；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9.聚光镜：N.A1.25聚光镜；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10.齐焦：10→4倍不超过±0.15mm，10→40倍不超过±0.06mm。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放大镜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1、光学玻璃镜片；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2、镜片直径≥100mm,镜片倍率≥20倍，镜身ABS或金属材质。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塑料水槽</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1.尺寸：方形，≥250 mm×180 mm×100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2.材质：透明PP材质；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2.技术要求：透光率≥85％，壁厚≥2 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水族箱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1、尺寸：不小于390(L)mmx270(W)mmx460(H)mm；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2、过滤系统：上部过滤器10W(300L/H)；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3、照明系统：双灯管，9W X 2 透明度好，一红一白；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4、水容量:35L；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5、弯面浮法玻璃。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1.量程200mm，分度值为1mm，误差范围在±1mm；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2.材料为PS材质，纯净透明，耐磨耐用。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钢直尺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1.量程300mm，0mm～50mm分度值0.5mm，其余分度值为1mm；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2.材料为1Cr18Ni9、1Cr13或其他类似性能材料，硬度不低于342HV；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3.宽度不低于33mm，厚度不低于1.1mm；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4.表面亚光处理，标尺标记、标尺标数采用镭射或蚀刻工艺完成，清晰易读；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5.刻度面平面度误差≤0.25mm，允许误差≤±0.15mm；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6.有计量器具制造许可证标志；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7.其他符合GB/T 9056－2004标准。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200g托盘天平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1.单杠杆等臂式双盘天平，最大称量200g，分度值0.2g，标尺称量0-5g；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2.横梁采用钢性材料制作，刀子、刀承用碳素钢，整体硬度要求一致，受冲击后不变形，各部件要求电镀处理，底座表面喷塑；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3.标尺刻度清晰，游码滑动自如；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4.配6级（M2级）砝码1套：100g、50g、10g、5g各1个，20g2个，钢制镊子1把，专用塑料砝码盒一个，各种砝码定位放置；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5.双托盘，托盘为胶木材质；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6.符合QB/T 2087－2016标准。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电子天平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1.量程0g~500g，分辨力0.01g，带标准砝码；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2.高精度应变式传感器，LCD显示屏，防水面板；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3.上下壳采用ABS环保材料，秤盘不锈钢材质；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4.配有调整脚，有水平仪辅助调平；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5.锂电池可充电，交直流两用；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6.带防风罩；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7.符合GB/T 26497标准。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金属钩码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1.规格：10 g（Φ22 mm）×l，20 g（Φ26 mm）×2，50 g（Φ30 mm）×2，200 g（Φ48 mm）×1；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2.允许误差： 10 g±0.1 g， 20 g±0.2 g， 50 g±0.5 g， 200 g±2.0 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3.技术要求：可叠放，钩码之间硬联结，联结后不晃动；金属挂钩，挂钩截面不小于4mm²，挂钩的受力点与轴心一致；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4.包装盒为塑料或胶木制品。</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金属钩码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1.规格：50 g±0.5 g，每盒 10个；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2.技术要求：可叠放，钩码之间硬联结，联结后不晃动；金属挂钩，挂钩截面不小于4 mm²，挂钩的受力点与轴心一致；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3.包装盒为塑料或胶木制品。</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电子秒表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1.专用型，全时段分辨力0.01s，手持式；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2.有防震、防水功能，使用AG13纽扣电池，电池更换周期不小于1.5年；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3.外壳采用金属或ABS工程硬塑，防刮耐磨，液晶屏显示清晰，按键舒适、无卡顿，表盘玻璃、后盖、按键与表壳体配合牢固，配备挂绳，耐用不脱线；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4.符合GB/T 22778标准。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红液温度计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1.量程不低于-20 ℃～100 ℃，分度值 1 ℃，示值误差&lt;±1.5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2.顶端带可穿线孔，可悬挂，高硼硅玻璃，煤油介质；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3.手工刀刻或渗透刻度，清晰不易掉色，液柱饱满，具有防爆安全泡；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4.符合JJG 130－2011标准。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数显温度计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1.测量范围：-40～300℃，分辨力：0.1℃，测量精度：±1℃；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2.ABS外壳，不锈钢探针，探针有保护套；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3.LCD屏显示。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5N条形盒测力计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 0 N～5 N，分度值 0.1 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5.调零拉手顶端为U形，光滑不划手。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5N筒形盒测力计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 0 N~5 N，分度值 0.1 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2.示值误差≤1/4分度，升降示差 ≤1/2分度，重复性偏差 ≤1/4分度；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3.挂钩及拉手的受力点与轴心一致；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4.具最大值指针，能显示受力最大值；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5.圆筒刻度清晰不掉色。</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多用电表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1.数字式，4-1/2位；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2.电压、电流、电阻、 温度测试、频率测试、电容、二极管测试；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3.符合GB/T 13978－2008标准。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室温计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1.指针式，测温范围：-30~50°℃，测湿范围：20～100%RH；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 ABS后盖、金属铝圈、玻璃镜面；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3.可悬挂、立放。</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指南针</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不锈钢盒，直径60 mm，厚13.5mm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噪声测定仪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1.工业级噪音计噪声测试手持式分贝仪；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2.数字式，测量范围30~130dBA，测量精度±1.5db。</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雨量器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1.塑料材质；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2.雨量范围：10-50mm；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3.高23CM，直径11.5CM；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4.量杯：高15CM，直径7CM。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手持风力风向计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1.手持式，液显电子式；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2.风速量程0~30m/s，精度±0.3m/s，起速0.5m/ 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3.机械式风向（表盘直读）量程0-360°,16个方位，精度≤3°。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量角器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半圆尺，透明PS材质，10*5.5cm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电动七色牛顿盘</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1.组成：转盘、底座、立杆、马达、电池盒、开关、导线等；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2.转盘直径不小于50mm，底座尺寸不小于长105*宽80*总高160mm。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桌沿定滑轮夹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1.含单滑轮、桌边夹、尼龙线各3 件，小铁环1 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2.支杆高度可调，桌边夹的夹持厚度应≥70 mm，夹入深度应≥40 mm，支杆长度≥100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3.单滑轮外径40 mm，轮毂厚10 mm，轮缘厚8 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滚小球轨道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ABS塑料，两头有卡口，可对接成长轨道，一段直轨20cm*3cm，中间带U形凹槽，上开口宽2cm，适合直径2厘米的小球滚动（含小钢珠）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小车运动实验套件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1.斜面尺寸：815*100*20mm，斜面一侧有0-80cm刻度尺，斜面有一端活动的滑轮，滑轮高低可调节，另一端安装护板；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2.小车尺寸：100*80*40mm，铝质轮子，小车重200克，滚动灵活；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3.滑块尺寸：100*810*40mm，木块；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4.附摩擦材料丁晴橡胶、砂纸、棉布等，有摩擦材料的固定夹。</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单摆套件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1.底座长10cm，宽9cm，金属支架高≥40cm；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2.至少包含5个不同重量的小球，其中至少2个金属球、3个塑料球，摆球直径20mm，穿线孔两端直径相同；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3.摆线长度1500mm且可调节，单摆夹应由金属材料支撑，夹口应为V形，单摆在摆动过程中摆线上的固定点应不变。</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31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音叉</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1.普通型音叉，固有频率为256Hz±0.3Hz；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2.由音叉、共鸣箱、音叉槌组成；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音叉由整块45#碳钢制成，棱角整齐，表面镀铬，音叉表面平整光滑，叉股内侧平面与底部圆弧光滑相切，发音部分呈“U”形，“U”形下方的叉柄插入并紧固在共鸣箱上，音叉基座与箱体胶合牢固，固定用胶水无外溢，敲击音叉时，音叉不能松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4.共鸣箱尺寸300mm×80mm×40mm，采用东北松木制作，木材无节疤和裂痕，箱体表面油漆光滑无结脂，内壁无毛刺，胶合严密，无歪斜，无裂纹，所用木材经过干燥处理；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5.音叉槌槌头由橡胶制造，槌杆由木材制作，槌头球径26mm，杆长180mm；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6.在环境噪声不大于30dB的室内，用音叉槌敲击音叉，距音叉1000mm处声强不小于90dB。</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声音的传播研究屏</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ABS塑料，由2块可插接塑料板组成，塑料板尺寸：10.5cm*8cm，一块有4个孔，一块有4个凸起，可以对接，一块顶部有小孔，可穿线，配泡沫球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牛顿摆</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1.方形金属框架，木制或塑料底座，整体尺寸≥23cm（长）*14cm（宽）*17cm（高）；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2.实心金属球，不低于5球，直径≥20mm。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热传导实验器材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主要部件为铜铝铁，带方形铜集热块(2.5cm)和手柄(12cm)，铜棒为纯铜，铜铁铝棒不与集热块固定安装，可以插接使用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小电铃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1.机械式，干电池供电；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2.不小于4寸，在15m范围内铃声清晰；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3.带正负极底座；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4.可悬挂于抽气盘钟罩内。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人体验电球</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1.材质：优质环保塑料；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2.尺寸：直径10cm，边缘厚度2cm。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条形磁铁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D-CG-LT-71，表面磁感应强度＞0.045T</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蹄形磁铁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D-CG-LU-63，表面磁感应强度＞0.055T</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磁感线演示器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无色透明塑料外壳，油封铁粉式，尺寸≥400×200×8mm；环境温度大于10℃时，摇匀铁粉时间每次≤20s</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小电机（带座和风扇）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1.电机长度：39mm，宽度：30mm，高度：15mm，轴径：2mm，轴长：9mm；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2.电压：1-6V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3.带正负极底座；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4.风扇材质：环保塑料，尺寸：20.6*30.5*10.7mm，孔径：1.96mm。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简易电动机套件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1.用以展示电机转运原理；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2.组成：电池盒、油漆包线、钕铁硼强磁铁、支架、底座等；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3.有螺丝刀配套拧螺丝，可反复拆装。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电路暗盒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ABS塑料，尺寸：9*5.5*2.8cm四个连接点，内置线及灯光、电池，可打开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三棱镜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1.三棱镜等及支架组成；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2.重火石玻璃制；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2.三棱镜正三棱形，边长25mm，棱长80±1mm，高≥100mm,底座≥70mm。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光的传播透明盒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方形透明，可演示光线沿直线传播的现象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光的反射折射演示器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塑料，尺寸：276mm*170mm，3V电源，半圆玻璃片：直径80mm，厚10mm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ABS塑料，圆形，底部弧形，有小孔，上部直径约6.5cm，下部直径约5cm，高约2.3cm。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月相盒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1.通过演示来理解地、月系、月球知识、月相变化；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3.尺寸：长42cm宽20cm高32cm；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4.组成：黑白内外地球模型、黑白内外球月球模型、月相盘、日历盘、齿轮、底座等。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沉积作用演示装置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1.材质：合成树脂；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2.尺寸：≥43cm*11cm*13cm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四季星座卡片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1.用于野外观测星空时配套使用； 可手动调节观看时间、 日期、 月 份；带指南针定方位； 三种观看模式(星座连线观看、 神话星图观看、 双重模式观看) ； 可探索 30 个以上星座；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2.活动式，材质：纸质，Φ25 cm～Φ30 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压簧</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工作负荷为5N。由弹簧钢丝绕制而成，钢丝直径1mm，外形尺寸：φ20mm×90mm，宽绕20圈。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拉簧</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工作负荷为5N。由弹簧钢丝绕制而成，钢丝直径1mm，外形尺寸：φ20mm×90mm，宽绕20圈。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沉浮块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用于小学科学课堂做沉浮实验，塑制物体，展示同体积不同质量、同质量不同形状、可改变质量三种情况。其中，同体积不同质量的铁、塑料、木块，尺寸为：30mmx20mmx10mm；同质量不同体积的铁10mmx10mmx18.7mm、塑料70mmx20mmx10mm、木块100mmx20mmx10mm，重约15g，鸡蛋型塑件一个，内空，可拆开，可改变其质量，塑件长度39mm，中心对开处外直径为20mm。透明塑料盒包装，尺寸：175mmx105mmx30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滑轮组</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1.由单滑轮4 件、二并滑轮2 件、二串滑轮2件、支杆滑轮2 件构成，每个滑轮组中至少有1 个可止动滑轮，附滑轮绳；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2.滑轮为ABS材质；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3.额定负荷：单滑轮9.8 N，串及并滑轮为19.6 N，支杆滑轮为9.8 N；满负荷时，单、支杆滑轮的效率不低于90％，并、串滑轮的效率不低于75％；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4.其他应符合JY/T 0416标准要求。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轮轴及支架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1.包含轮轴*3、支杆、底座、挂线、固定栓等；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2.轮轴由外径分别为Φ 90mm、Φ40mm、Φ20mm 的三档轮轴一次注塑成型，轮轴厚度为 20mm，轮轴圆周边应各带有开槽及穿线孔，并将挂线固定于轮轴内，挂线上应配有金属挂钩，底座及支杆采用塑料注塑成型；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3.底座规格为 155mm×75mm×20mm， 底座中心带有支杆插孔；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4.支杆类似等腰三角体，长度 225mm，厚度 7mm，支杆顶端带有固定螺帽，用于连接支撑螺栓，支撑螺丝长度30mm，用于将轮轴固定在支杆上。</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弹簧片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黄铜材质，尺寸不小于12cm*1.5cm*0.5mm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太阳高度仪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由日晷表（直径7.9cm）、刻度盘（直径7.9cm）、底座(9.8cm)、立柱(16cm)等套材组成，指南针直径1.9cm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小水轮</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组装式，塑料材质，底座5.7cm*5.7cm，6个叶片1.8cm*2.5cm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太阳能小车套件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1.四轮小车，由太阳能电池板供电，齿轮传动；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2.由车身，4个车轮，电机，太阳能电池板，齿轮构成；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3.尺寸60*75*25mm左右；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4.太阳能电池板可调节角度。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小鼓</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镀锌钢板鼓腔，PET聚酯鼓皮，不锈铁压圈，尺寸不小于：11英寸，鼓面直径不小于28.5CM，高不低于13.7CM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环形磁铁</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D-CG-YH-36，表面磁感应强度＞0.050T</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手摇发电机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1.包括定子、转子、整流器、集流环、电刷、灯座（带灯泡）、手摇驱动机构和底板等部分；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2.定子由永磁体和极靴组成，转子由转轴、两极电枢铁芯、电枢线圈以及整流器和集流环组成；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3.整流器在任何位置不将两电刷短路，电刷与整流器和集流环使用弹性接触，转动灵活；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4.转子转速为1600 r/min空载时，输出端交流和直流电压均≥8 V；接16 Ω电阻负载时，输出端交流和直流电压均≥5 V；不带皮带轮用作电动机使用时启动电压≤4 V，电流≤0.4 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5.转子、电刷、集流环采用黄铜，皮带柔韧性好，底板平滑。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平面镜及支架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1.由平面镜及底座组成；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2.长宽≥8cm，高度≥10cm。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曲面镜及支架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1.产品材质：玻璃镜片、塑料边框及支架等；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2.产品组成：由双面曲面镜（凹面镜、凸面镜，直径约5cm）、支架及底座组成；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3.底座可节高度。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声音的产生研究盒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ABS塑料，由1块中空塑料板（带4个插孔），2个T形插件组成（中部带小孔）；塑料板尺寸22cm*4cm，T形插件尺寸4.5cm*3.5cm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液体流速板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ABS塑料，12.8cm*7.5cm*0.8cm带六个凹槽，可同时做6种液体的流速对比实验</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暗盒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ABS塑料，黑色不透明，尺寸：12cm*9cm*2cm，自封式，无法打开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蒸汽船套件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1.木质船体或是泡沫船体，尺寸约160*80*15mm2.包括金属弯管，注射器及软管，蜡烛，船体等3.可以水中演示水蒸汽推动船体前进的过程</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平衡尺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1.由杠杆、 轴、 调平装置和 6 个挂钩组成， 挂钩在标尺上能连续移动；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2.杠杆长度≧500mm，带刻度，可调平衡，材质为木质或塑料，尺端需包头加固；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3.支撑为镀锌铁件，两个调平装置为镀锌铁件。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手电筒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1.材质：铝合金；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2.锂电池，TYPE-C充电；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3.机械变焦。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组装土电话材料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1.透明ABS环保材质；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2.由底部开具线孔的2个100mLABS塑料杯、棉线组成；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3.杯高75mm，开口外径Φ不小于60mm，壁厚不小于2.5mm。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微型太阳灶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材质：塑料镀铝，尺寸：约9.6*9.6cm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物体热胀冷缩实验材料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手持式，由带吊链手柄的铜球、带手柄的圆环、带柄塑料球、实验架等组成，用于演示固体的热胀冷缩。</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木工工具箱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（1）木工凿子1把：水曲柳木柄，65Mn钢，整体热处理，刃口宽度10mm；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（2）美工刀1把：18mm刀片，铝合金刀身，带防滑胶套，可自锁；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（3）木工半圆锉1把：双色TPR手柄，200mm长，高碳钢T12，整体热处理；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（4）多用剪1把：190mm长，不锈钢材质，多用剪，可剪电线，铁皮等；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（5）羊角锤1把：450g锤头，高碳钢，木柄；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（6）鸟刨1把：215mm长，铸铁刨身，44mm刨刀（65Mn材质，热处理HRC55-60）；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（7）多功能刨1只：锌合金刨身，140mm刀片；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（8）铝座钢角尺1把：铝座手柄，不锈钢尺片，250mm刻度，连续公制刻度；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（9）螺丝刀2把：铬钒钢刀杆，一字5x75mm，十字PH2x100mm，双色柄；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（10）钢丝钳1把：160mm长，#55钢材质，表面镍铁合金，双色护手TPR柄；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（11）钢卷尺1把：3m长，16mm带宽，II级精度，带自锁保护，水平无折1.2m,竖直1.8M无折；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（12）木工F夹1把：碳钢，口深50mm，最大夹持150mm；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（13）有机玻璃钩刀1把：钩刀带两把刀片；木柄，锌合金刀板，硬质合金刀轮；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（14）多用木工锯1把：双色TPR手柄，65Mn锯片，每英寸7齿，2面机磨，刃口高频热处理；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（15）木工铅笔1支：专用，长175mm；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（16）水平尺1把：铝制尺身，长度300mm，带刻度，三角度水泡，45°、90°、180°；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（17）划线器1套：锌合金壳身，带角度测量，30m线长，带蓝粉桶。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肺活量测试仪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1.规格：电子肺活量测试仪；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2.测量范围：0-10000mL，最小分辫率：1mL；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3.测量误差≤±5％；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4.工作电压：220V/50Hz或交直流两用；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5.另配吹嘴50个。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简易潜望镜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包含pvc水管、弯头、蓝丁胶、平面镜等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桃花模型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1.功能：放大的盛开状态的桃花模型，示花柄、花托、花萼、花冠、雄蕊和雌蕊，花瓣、雌蕊可拆装，子房做纵剖；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2.材质：PVC塑料；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3.尺寸：花冠的直径330mm±15mm；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4.模型构造：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（1）模型为放大若干倍成处然盛开的桃花，置于底座上；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（2）桃花示花柄、花托、花萼、花蕊和雌蕊；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（3）雌蕊一枚、示柱头、花柱和子房，其中子房作纵剖，示胚珠剖面的反足细胞、极核、卵细胞、肋细胞及珠孔；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（4）雄蕊25枚示花丝，花药。其中一个花药做横剖，示药室、药隔维管束和花粉粒。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心脏解剖模型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1.功能：示上腔静脉、下腔静脉、主动脉、肺动脉、动脉韧带、左冠状动脉、右冠状动脉、冠状窦，左心房、右心房、左心室、右心室、二尖瓣、三尖瓣、主动脉瓣、肺动脉瓣、卵圆窝、冠状窦口;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2.材质：模型应采用硬质PVC材料（心瓣膜采用软塑料）制作;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3.规格：3倍自然大；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4.其它技术要求应符合JY/T 0160-2011要求。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大脑模型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1.材质：硬质PVC塑料；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2.规格：自然大；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3.其他应符合JY/T 0163要求。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3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耳解剖放大模型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2.规格：6倍自然大；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3.技术要求：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 放大的成人耳解剖模型，长度(颞骨岩部的锥体长轴)300mm±20mm，固定于底座上；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（2）模型整体应为外耳及相连的颞骨岩部，切除外耳道的前半部，示外耳道；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（3）水平切开部分颞骨岩部，保留鼓室盖，显示中耳和内耳。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（4）颞骨岩部的锥体长轴与颞骨鳞面构成前50º±5°后130º；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（5）示颈内动脉、颈内静脉断端；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（6）应完整显示外耳道、鼓膜、听小骨、鼓室、咽鼓管、鼓膜张肌、乳突窦、前庭、骨半规管、耳蜗、前庭窗、蜗窗、前庭蜗神经等结构；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（7）模型下列部位应贴名签或号签：外耳道、鼓膜、听小骨、鼓室、咽鼓管、鼓膜张肌、乳突窦、前庭、骨半规管、耳蜗、前庭窗、蜗窗、前庭蜗神经；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（8）各部分的形态、位置、比例和颜色等均应正确自然；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4.其他应符合JY/T 0165标准要求。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模拟心脏输血单向阀</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PP塑料透明，呈橄榄形，内置单向阀门(组装成品长约6.5cm，直径约2cm)，两头可接内径4mm橡胶管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行政地球仪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1.行政地球仪，塑料支架；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2.地球直径≥140mm；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3.产品印刷：PVC高清彩印，带支架，防脱防水；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4.版本：采用最新版地图，内容完整。</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板块构造及地表形态模型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1.直观演示讲授海底地形、地球内部圈层、地壳结构、地形变化、板块构造学说、火山地震的形成与分布、地球表面；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2.材质：合成树脂；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3.尺寸：≥长44cm宽24cm高12cm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地球内部构造仪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1.材质：PVC球体、金属弓形支架、塑料底座；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2.直径≥32cm，模型能演示：地表的基本面貌、地球的内部圈层、地壳结构、折皱、断裂等。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立体地形地球仪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1.由球体和支架两部分；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2.球体直径≥300mm,允差5.0mm，平面比例尺为1/40000000，地轴倾角为66.5°，并垂直于赤道面；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3.应符合原教育部标准《地球仪技术条件》JY58-80的规定。</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地震构造示意模型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1.材质：合成树脂；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2.尺寸：≥40*38*22cm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照相机模型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2.由镜头、机身、光屏组成；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3.尺寸：约为12.5cm*9.5cm*7.5cm。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儿童牙列模型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1.PVC材质；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2.配底座，尺寸放大不小于3倍（≥13.5cm*16cm*10cm）；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3.由上、下牙组成，从左侧起可说明切牙、尖牙和磨牙三部分；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4.形态、色泽逼真，胶核部分拼接牢固、平整光滑。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少年人体半身模型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1.功能：示消化系统、呼吸系统、泌尿系统；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2.材质：PVC橡胶；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3.规格：自然大，65CM左右；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火山内部模型</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2.尺寸：≥40*38*22cm。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植物种子传播方式标本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1.至少包括动物传播、弹力传播、风力传播、水力传播；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2.塑盒包装，透明盒盖；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3.尺寸不小于21*15*2.2cm。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种子标本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1.至少包括花生、大豆、蚕豆、小麦、稻谷、玉米、凤仙花等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2.塑盒包装，透明盒盖；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3.尺寸不小于21*15*2.2cm。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植物发芽包埋标本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1.玉米、水稻、大豆、花生中一种植物的生长史；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2.高分子树脂材质包埋标本；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3.尺寸不小于140*64*20mm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蜻蜓成长过程标本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1.示蜻蜓生活史，包括卵、幼虫一、幼虫二、雄成虫、雌雄虫等；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2.高分子树脂材质包埋标本；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3.尺寸不小于164*78*20mm。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家蚕生活史标本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2.由卵、幼虫（四龄）、蛹、雌雄成虫及茧组成，附蚕丝、丝织品和桑叶，按生活史顺序排列；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3.符合JY/T 0325标准。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1.包埋标本，六益六害12种，六益包括：蜜蜂、瓢虫、步甲、蝴蝶、蜻蜓、螳螂，六害包括：苍蝇、荔蝽、金龟子、蟋蟀、蝗虫、蟑螂；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2.高分子树脂材质包埋标本；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3.尺寸不小于166*80*22mm；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4.各标本在其正下方位置应有动物名称的名签或号签，如使用号签，应在产品不影响观察的地方附有号签注解。</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切片标本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1.100种木盒包装玻璃切片；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2.植物、动物、昆虫、细胞、组织、微生物等混装，品种齐全，具有代表性；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3.玻片边角不扎手、高透光率。</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矿物标本盒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黄铁矿：天然原矿石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石墨：天然原矿石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石英：天然原矿石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萤石：天然原矿石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云母：天然原矿石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方解石：天然原矿石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岩石标本盒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页岩板：天然原矿石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花岗岩：天然原矿石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砂岩大理岩：天然原矿石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石灰岩：天然原矿石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浮岩：天然原矿石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含化石的岩石：天然原矿石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煤和煤的干馏产品标本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各种类型的煤（包括泥煤、褐煤、烟煤、无烟煤等）和煤在逐步干馏过程中产生的各种产品（包括焦炭、焦炉气、煤焦油、粗氨水、苯、酚、萘、沥青等）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石油分馏产品标本</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石油逐步分离过程中的各种产品，由粗石油、轻油、煤油及重油等材料组成</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50ml量筒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1.标称容量50mL（容积为20℃时充满量筒刻度线所容纳体积），最小分度1.0mL，最高标线到内底最小距离150mm，最高标线到筒顶最小距离30mm，全高250mm；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3.分度线、数字和标志应完整、清晰和耐久。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100ml量筒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1.标称容量100mL（容积为20℃时充满量筒刻度线所容纳体积），最小分度2mL，全高95mm；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3.分度线、数字和标志应完整、清晰和耐久。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250ml量筒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1.标称容量250mL（容积为20℃时充满量筒刻度线所容纳体积），最小分度5mL，全高95mm；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2.环保透明ABS塑料制，口边与量筒的轴线垂直，从量筒向外倾倒溶液时，水从嘴部呈一束细流流出，不应外溢，不应沿壁外流；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3.分度线、数字和标志应完整、清晰和耐久。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Φ15mm×150mm试管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1.规格：φ15mm×150mm，壁厚1.1±0.2mm；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2.透明硼硅酸盐玻璃制，口部是熔光的平口，平整光滑，不得有裂口、裂纹，底部为半球形，厚薄均匀，不得有刺手现象。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Φ20mm×200mm试管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1.规格：φ20mm×200mm，壁厚1.1±0.2mm；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2.透明硼硅酸盐玻璃制，口部是熔光的平口，平整光滑，不得有裂口、裂纹，底部为半球形，厚薄均匀，不得有刺手现象。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1.规格：标称容量50ml，外径43.0±2.0mm，全高160.0±3.0mm，壁厚不小于0.8mm；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50ml塑料烧杯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PP材质，50ml，高61毫米，口径47毫米，直径42毫米，三角倾液设计，刻度倾斜。</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1.规格：标称容量100ml，外径50.0±2.0mm，全高70.0±2.0mm，壁厚不小于0.9mm；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100ml塑料烧杯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PP材质，100ml，高68毫米，口径55毫米，直径48毫米，三角倾液设计，刻度倾斜。</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6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1.规格：标称容量250ml，外径70.0±2.0mm，全高95.0±2.0mm，壁厚不小于1.1mm；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2.透明硼硅酸盐玻璃制，烧杯的满口容量应超过标称容量的10%或烧杯的满口容量和标称容量的两液面间距不应少于10mm，并应采用容量差值较大的一种；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3.口部应做熔口处理，玻滴高度不大于2mm，上口在边缘附近逐渐向外扩展，呈圆滑曲线过渡，烧杯伤口最大直径比烧杯外径大5%~15%，上口与底的不平度不大于2°；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250ml塑料烧杯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PP材质，250ml，分双面刻度，高95毫米，口径76毫米，直径69毫米，三角倾液设计，刻度倾斜。</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8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500ml烧杯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1.规格：标称容量500ml，外径85.0±2.0mm，全高120.0±3.0mm，壁厚不小于1.3mm；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2.透明硼硅酸盐玻璃制，烧杯的满口容量超过标称容量的10%或烧杯的满口容量和标称容量的两液面间距不少于10mm，并采用容量差值较大的一种；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3.口部做熔口处理，玻滴高度不大于2mm，上口在边缘附近逐渐向外扩展，呈圆滑曲线过渡，烧杯伤口最大直径比烧杯外径大5%~15%，上口与底的不平度不大于2°；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4.当加入标称容量的水往外倾倒时，水形成一束细流从嘴中流出，烧杯外壁无水滴，注满水的烧杯放在平台上继续注水时，水从嘴中流出，而不是从其他部位流出；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5.符合GB/T 15724－2008标准要求。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锥形瓶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1.细口锥形瓶，标称容量100mL，瓶身外径64.0±1.5mm，瓶颈外径22.0±1.0mm，全高105.0±3.0mm，壁厚不小于1mm；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2.透明硼硅酸盐玻璃制，颈高度是颈外径的1~1.25倍，放在平台上应直立不摇晃、不转动，底部不允许有结石、节瘤存在；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3.符合GB/T 22362－2008标准要求。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酒精灯含灯芯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1.规格：标称容量150mL，全高95±4mm，灯体高70±2mm，灯体直径94±5mm，灯底直径60±3mm，灯口直径20±2mm，灯颈高25±5mm，灯体壁厚≥2mm；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2.透明钠钙玻璃制，无明显黄绿色，灯口应平整，瓷灯头与灯口平面间隙不应超过1.5mm;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3.玻璃灯罩应磨口，盖合后应密封不漏水，瓷灯头应为白色，完全覆盖灯口，表面无缺陷，配置与灯口孔径相适应的整齐完整的棉线灯芯3个≥15cm、2灯帽。</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玻璃漏斗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1.规格：标准短颈三角过滤漏斗，漏斗口径60mm，斗颈长60±5.0mm，斗颈外径7.0~9.0mm，斗颈壁厚1.0~1.5mm，滤碗厚度1.0~2.5mm；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2.无色透明硼硅玻璃制，滤碗为夹角60°的圆锥形，滤碗中心位置下方焊接系玻璃管，管尾端磨成45°角，滤碗边缘应卷边，滤颈斜口边倒角或熔光；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胶管漏斗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1.漏斗：材质塑料，直径60mm；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2.胶管：材质橡胶 内直径3-12mm。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长颈漏斗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1.规格：上口直径40mm±3mm，漏斗球高52±3mm，漏斗颈长300±10mm，漏斗颈直径7-8mm，壁厚1.0-1.3mm；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2.硼硅玻璃制，漏斗不应有明显歪颈，口端应平整圆滑，漏斗球无明显偏斜；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3.符合JY/T 0429标准要求。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胶头滴管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1.规格：直形，全长100±10 mm，球距上管口长30±5mm，球径19±1mm，管口 径10~11mm，管径7~9mm，管上部壁厚1±0.2mm，管尖端≥0.5mm，管尖径2~3mm； 2.无色透明硼硅玻璃制造；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3.滴管应附硅胶帽，吸放弹性好，开口直径6mm，与滴管口套合牢固稳定。</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集气瓶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1.规格：标称容量250mL，瓶身厚≥1.3mm，瓶底厚≥2.0mm；配带玻璃导管的两孔橡胶塞。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2.透明钠钙玻璃制，无明显黄绿色，瓶塞与瓶口配合适宜，紧实不晃动，应符合密合性二级，口部应圆整光滑，底部应平整，放置平台上不应摇晃或转动。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坩埚钳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1.规格：不小于总长200mm，前端长100mm，柄长50mm，闭合时中间弯曲部分内径应在2cm～3cm；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2.不锈钢材质；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3.钳腮做工精致，尖头闭合性好。</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镊子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不锈钢，直头，长14cm，头宽3.2mm，厚度1.9mm，前部应有防滑脱锯齿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1.木制或者竹制，长度≥200mm，宽度约20mm，厚度约20mm；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2.试管夹闭口缝≤1mm，开口距离≥25mm，试管夹持部位圆弧内径≤15mm；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3.毡块粘接牢固，试管夹弹簧作防锈处理。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陶土网</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1.产品为在铁丝网上涂敷陶土材料而制成；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2.铁丝网做防锈处理，四周包边无毛刺；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3.边长≥15cm,陶土部位直径≥10cm。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药匙</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不锈钢材质，一头药匙，一头搅拌，长10cm左右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玻璃导管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1.Φ≥7mm，长度≥100mm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2.材质：无色透明硼硅玻璃制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千克</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1.Φ9mm，长度≥200mm；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2.无色透明高硼硅玻璃制；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3.粗细均匀，两端烧结烘口处理使其光滑。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千克</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乳胶管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1.规格：5*7mm乳胶导气管；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2.适合5.5-6.5mm的导气管。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猪毛、铁丝组成，Φ18mm，手持部分顶端应为环状，顶部要有刷丝，铁丝不可外露</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1.规格：90mm，盖外径 93(0~+1.5)mm，底外径 90(-1-0)mm，皿盖高 16±2mm，皿底高 18±1mm，皿壁厚 1.2~2mm；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2.无色透明玻璃制造，玻璃薄厚均匀、耐高温高压；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3.培养皿口边沿平整，底和盖套合后应吻合。</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研钵</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1.规格：口内径 95±5 ㎜，全高 65±5㎜，壁厚 8±2 ㎜，研锤杆直径 12±2㎜，长 120±15 ㎜，研球直径 20±5 ㎜；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2.瓷制；3.配有研杵，内部粗糙便于研磨，外部光滑。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蒸发皿</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1.产品为白色瓷质材料制作；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2.外形尺寸：口径60±5㎜。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闻香盒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1.不透明塑料材质；2.直径10cm,高12cm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过滤纸</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直径11cm 中速定性滤纸，100张/盒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焊锡枪套装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内热式，60W，数显调温，橡胶电源线，带烙铁架、焊锡丝、松香、海绵、收纳盒等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1.3号，剪全长150mm，A型；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2.高碳钢，剪体表面电镀，防锈性能好；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3.剪头刃含碳量大于0.35%，硬度不低于HRC54度，外口面刃钢和低碳钢界限分明，外口面刃钢宽度不小于0.8mm，剪刀前端要尖口，经钝化处理；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4.钢材深入剪柄底端，软套管，手感舒适；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5.剪切手感轻松均匀锋利，不咬口、崩口、变形；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6.符合QB/T1966－1994标准。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水平仪</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1.三水泡型，可横向、纵向、45°角测量；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2.铝合金尺身；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3.水平面工作长度160mm～250mm。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不锈钢筛组合</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2.目数：5目、10目、20目、40目各一个；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3.直径20cm。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透明水桶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PP材质，10L，加固手柄</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1.塑料材质；2.挤压式；3.300ml</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可堆叠存放，箱体高宽深：150×310×425mm，透明环保PP材质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金工工具箱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1.箱体：尺寸约为长415mm宽355mm厚度135mm，手拎直角铝箱，四边铝框架，箱体深灰色，黑色金属包角，内部EVA带槽位或轧带固定衬垫，带锁扣，可上锁，拎手带护垫。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（1）两用扳手4把：碳钢，规格：10/12/13/15mm；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（2）什锦锉6把：轴承钢，规格：平扁/尖扁/半圆/圆/三角/四方；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（3）样冲1支：铬钒钢，带护套；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（4）钢卷尺1把：3m长，16mm带宽，II级精度，带自锁保护；水平无折1.2m,竖直1.8M无折；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（5）钢锉4把：高碳钢T12，整体热处理，规格：半圆、扁、方、圆，长度200mm；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（6）铁皮剪1把：#55高碳钢，8”/200mm长，沾塑手柄，可剪1mm铁皮；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（7）钢直尺1把：不锈钢直尺，30cm长，刻连续公制刻度；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（8）内六角扳手1套：铬钒钢，L型内六角扳手，规格：1.5-10mm，每套装塑架；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（9）丝锥板牙套装16件：合金钢材质，M3-M12，2只扳手，每套塑盒装；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（10）钳工锤1把：德式，300g锤头，硬杂木柄；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（11）钢丝刷1把：硬杂木柄，250mm长；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（12）螺丝刀4把：铬钒钢刀杆，一字5x75mm，6x100mm，十字PH1x75mm，PH2x100mm，双色柄；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（13）钢丝钳1把：160mm长，#55钢材质，表面镍铁合金，双色TPR柄；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（14）尖嘴钳1把：160mm长，#55钢材质，表面镍铁合金，双色TPR柄；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（15）活扳手1把：碳钢，8”/200mm开口活扳手；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（16）小手锯1把：6”/150mm长，塑柄，铝合金框架；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（17）备用钢锯条4支：6”/150mm长；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（18）铝座钢角尺1把：铝座手柄，不锈钢尺片，250mm刻度，连续公制刻度；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（19）游标卡尺：不锈钢材质，150mm长度，精度0.05mm，带自锁功能；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（20）多功能电筒：长度170mm，头尾带磁吸固定，整体可拉长至56cm，头部可弯曲，LR44电池。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护目镜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1.封闭型，可叠加佩戴近视眼镜；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2.聚碳酸脂镜片，耐酸碱，抗冲击，耐磨，便于清洗；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3.人工力学贴合设计，可调节系带，贴合各种脸型，有间接通风口，佩戴舒适；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4.符合GB 14866标准要求。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发光二极管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1.5V，5mm LED使用环保环氧树脂胶，铜镀锡引脚，抗氧化，耐腐蚀，导热性好；透光率高，发光稳定；每包100个，红黄绿白蓝各20个。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载玻片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1.规格：25.4mm*76.2mm，厚度1-1.2mm，50片/盒，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2.全透明；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3.八棱倒角。</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盖玻片</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1.规格：正方形，18mm*18mm*0.17mm，100片/盒；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2.符合JB/T8230.4-1997标准要求。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透明塑料材质，高6cm～10cm，带透气孔，盒盖带5倍放大镜，底盖有标尺。</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风的形成演示箱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亚克力塑料和金属片制作，尺寸不小于28cm*15.5cm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擀面杖</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1.实木；2.长30cm；3.直径2.5cm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吸管塔台连接件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ABS塑料，每个头直径6mm，可对接直径6mm的吸管，搭建平面立体框架，500个/包，其中5头300个、4头200个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0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简易电路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包含：导线、灯泡、灯座、回形针、图钉、开关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1.电池座：5号电池卡座4组、1号电池卡座2个；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2.开关（电键）： 长7.3*宽3.4cm,数量 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3.鳄鱼夹导线：长度 300mm，线径单芯4mm，纯铜鳄鱼接线夹，纯铜导线铜芯截面积≥0.5mm2（不少于 28 股铜芯），导线外径不低于2.3mm，鳄鱼夹和导线焊接牢固，焊接工艺优良，焊点不裸露；接线叉导线长度300mm，单芯4 mm 纯铜接线叉，接线叉开口5.9 mm，纯铜导线，导线铜芯截面积不低于0.5mm2（不少于28股铜芯），导线外径不低于2.3mm，接线叉和导线焊接牢固，焊接工艺优良，焊点不裸露；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2根不同颜色（如红黑）导线组成1对导线，本套件包含10对鳄鱼夹导线、10对接线插的导线；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4.长方形软木块10*10*1cm 1块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5.回形针1盒（100枚）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6.图钉1盒（100枚）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7.灯泡1.5V 10个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8.灯座2个</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拉力器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1.材质：TPE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2.管径：6*9mm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3.8字拉力器，采用骨头链接，牢固不易脱落，泡棉锁扣，受力均匀。</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铝片琴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1.15音，彩色，已校准音；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2.榉木底座；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2.配带打锤一对。</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音钹</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1.响铜制作，直径150mm；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2.千股棉线制作手线，防滑。</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铲子套件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1.材质不锈钢，一体成型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2.园艺3件套，包含铲子、耙子、铁锹；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3.铲子长度≥25cm,耙子长度≥25cm,铁锹长度≥25cm。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喷雾器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1.材质：PP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2.容量：3L，宽度约145mm，高约340mm。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3.铜制喷嘴，蓄压足，省时省力持续出水，加厚壶身，耐用。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料理机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干湿两用，主杯容量：≥1.2L，加热功率≥750W，搅拌功率≥900W；304不锈钢四叶刀头，食品接触级材质，内置过滤网、研磨杯、小量杯。</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不锈钢，无磁，全长16.5cm，勺口直径5cm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听诊器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1.医用听诊器；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2.导管材料为乳胶导管，抗拉强度＞17MPG，伸长率＞700％；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3.听诊头及耳测听音头为铜合金并电镀；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4.耳测听音效果应清晰，无杂音。</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科学实验室3</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科学准备室1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特殊器材柜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科学准备室1</w:t>
            </w:r>
            <w:r>
              <w:rPr>
                <w:rFonts w:hint="eastAsia" w:ascii="宋体" w:hAnsi="宋体" w:eastAsia="宋体" w:cs="宋体"/>
                <w:b/>
                <w:bCs/>
                <w:i w:val="0"/>
                <w:iCs w:val="0"/>
                <w:color w:val="000000"/>
                <w:sz w:val="20"/>
                <w:szCs w:val="20"/>
                <w:highlight w:val="none"/>
                <w:u w:val="none"/>
              </w:rPr>
            </w:r>
            <w:r/>
          </w:p>
        </w:tc>
      </w:tr>
      <w:tr>
        <w:trPr>
          <w:trHeight w:val="33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PP药品柜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2、材质：PP材质；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3、柜体：侧板，顶板及底板采用增强型PP材质一次注塑成型，表面做磨砂处理；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4、上柜门：采用增强型PP材质一次注塑成型，外嵌厚度≥5mm钢化烤漆玻璃,中间玻璃做镂空处理；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5、下柜门：采用增强型PP材质一次注塑成型，外嵌厚度≥5mm钢化烤漆玻璃；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6、层板：配两块活动层板，层板为增强型PP材质一次注塑成型，承重≥20公斤。层板可以抽取，自由组合各层空间；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7、门把手：采用增强型PP材质一次注塑成型；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8、门铰链：用增强型PP材质一次注塑成型，内嵌隐藏安装；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9、药品柜：内部无可视金属材料；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10、通风：柜体预留通风系统，可以与通风管路连接。</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科学准备室1</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1、参考尺寸：2400*750*850mm±10mm；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2、材质：实木多层免漆板+抗倍特板；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3、台面：台面采用抗倍特一体成型，耐80度以上高温、防水：浸水24小时后的膨胀指数不多于0.1mm，面板四周采CNC修边，四周倒角；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4、台身：所有板材厚度≥18mm实木多层免漆板，封边采用厚度≥1mm塑制封边条机械四边封边，连接采用五金螺丝，金属防锈带阻尼铰链、消音三节抽轨；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5、结构：上部四个抽屉，下部四个木门、内有1块活动搁板。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科学准备室1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1、参考尺寸：400*300*480mm±10mm：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科学准备室1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科学准备室2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特殊器材柜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科学准备室2</w:t>
            </w:r>
            <w:r>
              <w:rPr>
                <w:rFonts w:hint="eastAsia" w:ascii="宋体" w:hAnsi="宋体" w:eastAsia="宋体" w:cs="宋体"/>
                <w:b/>
                <w:bCs/>
                <w:i w:val="0"/>
                <w:iCs w:val="0"/>
                <w:color w:val="000000"/>
                <w:sz w:val="20"/>
                <w:szCs w:val="20"/>
                <w:highlight w:val="none"/>
                <w:u w:val="none"/>
              </w:rPr>
            </w:r>
            <w:r/>
          </w:p>
        </w:tc>
      </w:tr>
      <w:tr>
        <w:trPr>
          <w:trHeight w:val="33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PP药品柜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2、材质：PP材质；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3、柜体：侧板，顶板及底板采用增强型PP材质一次注塑成型，表面做磨砂处理；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4、上柜门：采用增强型PP材质一次注塑成型，外嵌厚度≥5mm钢化烤漆玻璃,中间玻璃做镂空处理；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5、下柜门：采用增强型PP材质一次注塑成型，外嵌厚度≥5mm钢化烤漆玻璃；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6、层板：配两块活动层板，层板为增强型PP材质一次注塑成型，承重≥20公斤。层板可以抽取，自由组合各层空间；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7、门把手：采用增强型PP材质一次注塑成型；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8、门铰链：用增强型PP材质一次注塑成型，内嵌隐藏安装；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9、药品柜：内部无可视金属材料；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10、通风：柜体预留通风系统，可以与通风管路连接。</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科学准备室2</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1、参考尺寸：2400*750*850mm±10mm；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2、材质：实木多层免漆板+抗倍特板；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3、台面：台面采用抗倍特一体成型，耐80度以上高温、防水：浸水24小时后的膨胀指数不多于0.1mm，面板四周采CNC修边，四周倒角；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4、台身：所有板材厚度≥18mm实木多层免漆板，封边采用厚度≥1mm塑制封边条机械四边封边，连接采用五金螺丝，金属防锈带阻尼铰链、消音三节抽轨；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5、结构：上部四个抽屉，下部四个木门、内有1块活动搁板。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科学准备室2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1、参考尺寸：400*300*480mm±10mm：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科学准备室2</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教师电脑桌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1、参考尺寸：1800*700*760mm±10mm：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3、工艺：台面采用厚度25mm橡胶木实木机拼板，其余采用18mm厚橡胶木实木机拼板，所有板边倒圆边圆角，板面无结疤、光滑无毛刺，油漆采用环保聚脂木器漆（清水漆、五底三面），消音三节抽轨：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4、结构：50*50*壁厚1.5mm方管桌架、酸洗磷化喷塑处理。两边抽屉，中间键盘抽，预留双主机位置，留有过线孔，可配电子设备使用。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1、参考尺寸：570*580*850mm±10mm：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2、椅背：透气网布，背框采用高强度尼龙，S型设计：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3、坐垫：透气网布，填充记忆阻燃海绵：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4、框架：钢管材质，钢管厚度1.2人体工程学设计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5、扶手：PP塑料曲线形扶手设计：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6、脚垫：高强度尼龙防滑垫。</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学生电脑桌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1、参考尺寸：1400*600*720mm±10mm：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3、工艺：台面采用厚度25mm橡胶木实木机拼板，其余采用18mm厚橡胶木实木机拼板，所有板边倒圆边圆角，板面无结疤、光滑无毛刺，油漆采用环保聚脂木器漆（清水漆、五底三面），消音三节抽轨：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4、结构：40*40*壁厚1.5mm方管桌架、酸洗磷化喷塑处理。上部两个键盘抽，下部双主机位置，留有过线孔。</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信息技术教室1、2人桌</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学生凳</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1、参考尺寸：360*260*420mm±10mm：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凳腿规格25*25mm方管、壁厚≥1.2mm，凳架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1、参考尺寸：1000*400*1200mm±10mm：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4、功能：整体采用九宫格设计，所有储物柜均为敞格不带门板。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信息技术教室1</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教师电脑桌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1、参考尺寸：1800*700*760mm±10mm：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3、工艺：台面采用厚度25mm橡胶木实木机拼板，其余采用18mm厚橡胶木实木机拼板，所有板边倒圆边圆角，板面无结疤、光滑无毛刺，油漆采用环保聚脂木器漆（清水漆、五底三面），消音三节抽轨：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4、结构：50*50*壁厚1.5mm方管桌架、酸洗磷化喷塑处理。两边抽屉，中间键盘抽，预留双主机位置，留有过线孔，可配电子设备使用。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1、参考尺寸：570*580*850mm±10mm：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2、椅背：透气网布，背框采用高强度尼龙，S型设计：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3、坐垫：透气网布，填充记忆阻燃海绵：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4、框架：钢管材质，钢管厚度1.2人体工程学设计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5、扶手：PP塑料曲线形扶手设计：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6、脚垫：高强度尼龙防滑垫。</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学生电脑桌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1、参考尺寸：1400*600*720mm±10mm：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3、工艺：台面采用厚度25mm橡胶木实木机拼板，其余采用18mm厚橡胶木实木机拼板，所有板边倒圆边圆角，板面无结疤、光滑无毛刺，油漆采用环保聚脂木器漆（清水漆、五底三面），消音三节抽轨：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4、结构：40*40*壁厚1.5mm方管桌架、酸洗磷化喷塑处理。上部两个键盘抽，下部双主机位置，留有过线孔。</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信息技术教室2、2人桌</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学生凳</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1、参考尺寸：360*260*420mm±10mm：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凳腿规格25*25mm方管、壁厚≥1.2mm，凳架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1、参考尺寸：1000*400*1200mm±10mm：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4、功能：整体采用九宫格设计，所有储物柜均为敞格不带门板。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教师电脑桌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1、参考尺寸：1800*700*760mm±10mm：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2、材质：抗倍特板+钢架：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3、工艺：材质采用12mm抗倍特一体成型。耐80度以上高温。浸水24小时后的膨胀指数不多于0.1mm，面板四周采CNC修边，四周倒角；桌架采用40*40mm方管钢架满焊焊接而成，表面经酸洗磷化喷塑处理：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4、功能：讲台整体采用两边抽屉，中间键盘抽，预留双主机位置的设计，留有过线孔，可配电子设备使用。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1、参考尺寸：570*580*850mm±10mm：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2、椅背：透气网布，背框采用高强度尼龙，S型设计：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3、坐垫：透气网布，填充记忆阻燃海绵：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4、框架：钢管材质，钢管厚度1.2人体工程学设计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5、扶手：PP塑料曲线形扶手设计：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6、脚垫：高强度尼龙防滑垫。</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信息技术教室3</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1、参考尺寸：1400*1200*720mm±10mm；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2、材质：抗倍特板+钢架；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3、工艺：材质采用12mm抗倍特一体成型。耐80度以上高温。浸水24小时后的膨胀指数不多于0.1mm，面板四周采CNC修边，四周倒角；桌架采用40*40mm方管钢架满焊焊接而成，表面经酸洗磷化喷塑处理；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4、功能：四机位使用。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信息技术教室3、4人桌</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1、参考尺寸：430*425*440/550mm±10mm；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2、材质：PP+钢管；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坐垫采用PP新料一体注塑成型，坐垫参考尺寸376*411*H135mm，椅腿钢管直径≥22mm，壁厚≥1.8mm，满焊焊接，表面采用高温粉体烤漆。脚垫采用PP纤维质塑胶一体成型，坐凳下配有防滑垫，便于悬挂于桌面；脚垫采用PP纤维质塑胶一体成型，所有零部件采用永久性固定方式。</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信息技术教室3</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1、参考尺寸：1000*450*800mm±10mm；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信息技术教室3</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1、参考尺寸：840*400*2000mm±10mm；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信息技术教室3</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信息技术准备室1</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1、参考尺寸：1500*600*2000mm±10mm；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信息技术准备室1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1、参考尺寸：2400*800*760mm±10mm；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2、材质：橡胶木实木机拼板+实木多层免漆板+钢架；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三抽柜采用厚度≥18mm实木多层免漆板，封边采用厚度≥1mm塑制封边条机械四边封边，消音三节抽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信息技术准备室1</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1、参考尺寸：400*300*440mm±10mm：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信息技术准备室1</w:t>
            </w:r>
            <w:r>
              <w:rPr>
                <w:rFonts w:hint="eastAsia" w:ascii="宋体" w:hAnsi="宋体" w:eastAsia="宋体" w:cs="宋体"/>
                <w:b/>
                <w:bCs/>
                <w:i w:val="0"/>
                <w:iCs w:val="0"/>
                <w:color w:val="000000"/>
                <w:sz w:val="20"/>
                <w:szCs w:val="20"/>
                <w:highlight w:val="none"/>
                <w:u w:val="none"/>
              </w:rPr>
            </w:r>
            <w:r/>
          </w:p>
        </w:tc>
      </w:tr>
      <w:tr>
        <w:trPr>
          <w:trHeight w:val="45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维修工具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信息维修专用工具箱，至少包含：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1.UCP-376TX三用网线钳4P6P8P</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2.寻线仪+网络测试仪（二合一）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3.万用表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4.光钎红光笔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5.剥线钳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6.电烙铁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7.网络打线器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8.9件套内六角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9.6寸钢丝钳(终身质保）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10.6寸尖嘴钳（终身质保）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11.6寸胶柄活扳手（终身质保）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12.焊锡丝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13.测电笔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14.6*100十字螺丝刀（终身质保）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15.6*100一字螺丝刀（终身质保）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16.3*75十字螺丝刀（终身质保）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17.3*75一字螺丝刀（终身质保)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18.工具箱</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信息技术准备室1</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信息技术准备室2</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1、参考尺寸：1500*600*2000mm±10mm；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信息技术准备室2</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1、参考尺寸：2400*800*760mm±10mm；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2、材质：橡胶木实木机拼板+实木多层免漆板+钢架；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所有板边倒圆边圆角，板面无结疤、光滑无毛刺；油漆采用环保木器底漆、面漆，五底三面油漆工艺，清晰体现实木质感；钢制桌腿规格60*40mm、壁厚≥1.5mm，桌架经酸洗磷化哑光黑色喷塑处理；拆分式结构，配螺丝配件；三抽柜采用厚度≥18mm实木多层免漆板，封边采用厚度≥1mm塑制封边条机械四边封边，消音三节抽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信息技术准备室2</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1、参考尺寸：400*300*440mm±10mm：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信息技术准备室2</w:t>
            </w:r>
            <w:r>
              <w:rPr>
                <w:rFonts w:hint="eastAsia" w:ascii="宋体" w:hAnsi="宋体" w:eastAsia="宋体" w:cs="宋体"/>
                <w:b/>
                <w:bCs/>
                <w:i w:val="0"/>
                <w:iCs w:val="0"/>
                <w:color w:val="000000"/>
                <w:sz w:val="20"/>
                <w:szCs w:val="20"/>
                <w:highlight w:val="none"/>
                <w:u w:val="none"/>
              </w:rPr>
            </w:r>
            <w:r/>
          </w:p>
        </w:tc>
      </w:tr>
      <w:tr>
        <w:trPr>
          <w:trHeight w:val="45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维修工具</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信息维修专用工具箱，至少包含：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1.UCP-376TX三用网线钳4P6P8P</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2.寻线仪+网络测试仪（二合一）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3.万用表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4.光钎红光笔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5.剥线钳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6.电烙铁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7.网络打线器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8.9件套内六角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9.6寸钢丝钳(终身质保）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10.6寸尖嘴钳（终身质保）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11.6寸胶柄活扳手（终身质保）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12.焊锡丝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13.测电笔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14.6*100十字螺丝刀（终身质保）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15.6*100一字螺丝刀（终身质保）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16.3*75十字螺丝刀（终身质保）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17.3*75一字螺丝刀（终身质保)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18.工具箱</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信息技术准备室2</w:t>
            </w:r>
            <w:r>
              <w:rPr>
                <w:rFonts w:hint="eastAsia" w:ascii="宋体" w:hAnsi="宋体" w:eastAsia="宋体" w:cs="宋体"/>
                <w:b/>
                <w:bCs/>
                <w:i w:val="0"/>
                <w:iCs w:val="0"/>
                <w:color w:val="000000"/>
                <w:sz w:val="20"/>
                <w:szCs w:val="20"/>
                <w:highlight w:val="none"/>
                <w:u w:val="none"/>
              </w:rPr>
            </w:r>
            <w:r/>
          </w:p>
        </w:tc>
      </w:tr>
      <w:tr>
        <w:trPr>
          <w:trHeight w:val="3162"/>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塑钢课桌椅</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课桌尺寸：628*455mm高度可调节，课椅尺寸：455*450mm高度可调节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课桌台面尺寸：628*435*20mm，材料：ABS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1.前部和侧面边缘带有5毫米高的挡边设计，可以防止铅笔等文具用品掉落；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2.台面下方有优质钢管制作的方框加强铁框，铁框尺寸：540*290mm，钢管规格：12.5*25*1.6mm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3.台面同书斗之间采用嵌入式连接方式，以提高台面同连接的牢固度和台面的平整度。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4.此产品使用大型注塑机一次成型，塑料材质采用增强ABS工程塑料，具有极高的强度和极高的耐磨性。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课桌书斗内净尺寸：490*340*115mm，材料: PP增强塑料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1.书斗壳体前方有折边设计，可以放置铅笔等文具用品，并且增加书斗的强度。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2.侧面同台面的嵌入式设计，可以大大提高书斗和铁架的安装稳定性，并且可以安装挂钩，挂钩承重50kg，用于悬挂书包等物品。书斗和台面之间采用嵌入式连接方式，以提高台面同连接的牢固度。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3.此产品使用大型注塑机一次成型。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课桌铁架材料：优质碳素光亮管，架子主体钢管规格:升降上部眼睛管17*37*1.8mm，下部眼睛管22*42*1.8mm；横档钢管规格：眼睛管17*37*1.8mm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1.采用分体升降式L字型设计; 两侧焊接一根160x30x8扁铁用于支撑书斗台面，使书桌整体结构变得简洁大方，并且在扁铁上攻好螺纹用于安装挂钩。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2.前部脚垫采用两段式设计，内塞用于盖住眼睛管子。外套成鞋子状，保护钢管的同时，底部的平面设计用来贴合地面，美观实用。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后部脚垫成带圆弧的三角形设计，同铁架圆弧完美结合，风格上同整体书桌协调一致，铁架的后跟部带有一块3.4mm的铁板插入后部脚垫，并且用螺丝固定，起到牢固的作用，使课桌在日常使用过程中不会扭曲变形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铁架升降上部表面采用电镀处理，下部表面采用优质静电粉末喷涂，喷涂工艺为：除油-水洗-除锈-水洗-水洗-表调-披膜-水洗-烘干-喷涂。表面抗压强度与划格测试达到ASTM D3363 和ASTMD3359，达ROHS环保测试标准。采用高光粉末涂料。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课椅坐垫坐垫尺寸：420*420 mm，靠背尺寸：400*400mm ，材料：PP增强塑料+玻纤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 坐垫靠背整体采用一体式蝴蝶型壳体设计。壳体上的曲线符合人体功能学原理，不仅美观，更能有助于改善学生的坐姿，缓解久坐的疲劳感；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PP材料中增加的玻璃纤维能可以大大提高椅子的强度和韧性。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底部同椅架连接采用214*276*29mm的方盒连接。椅子座垫简洁大方，稳定性强。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靠背处有开口，方便搬运和打扫教室卫生。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课椅铁架材料：优质碳素光亮管，架子主体钢管规格:升降上部眼睛管17*37*1.8mm，下部眼睛管22*42*1.8mm；横档钢管规格：眼睛管17*37*1.8mm。椅垫连接支架为方盒式212*274*26mm。钢板厚度2.0mm。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 钢架主体采用分体升降式设计；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两毫米厚的钢板制成的顶部大尺寸连接支架同塑料一体式座椅靠背采用螺丝连接结构, 并且在支架下方配好塑料缓冲垫，尺寸Ø20*16mm可以避免椅子放在桌子上时对桌面板产生的划伤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前部脚垫采用两片式设计，内塞用于盖住眼睛管子。外套成鞋子壮，保护钢管的同时，底部的平面设计用来贴合地面，美观实用。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后部脚垫成带圆弧的三角形设计，同铁架圆弧完美结合，风格上同整体书桌协调一致，铁架的后跟部带有一块3.4mm的铁板插入后部脚垫并且用螺丝固定，起到牢固的作用，使椅子在日常使用过程中不会扭曲变形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铁架表面采用优质静电粉末喷涂，喷涂工艺为：除油-水洗-除锈-水洗-水洗-表调-披膜-水洗-烘干-喷涂。表面抗压强度与划格测试达到ASTM D3363 和ASTMD3359，达ROHS环保测试标准。采用高光粉末涂料。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录播教室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观摩椅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1、参考尺寸：500*590*800mmmm±10mm；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2、面料：优质耐磨网饰面，高级耐磨弹力绒布座饰面；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3、海绵：5公分35密度纯新海绵，永不变形；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4、配置pp加纤固定背匡，PP固定扶手，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5、椅架：1.2mm厚喷涂黑色32*20旦型4脚椅架，带黑色尼龙固定脚塞；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6、功能：坐垫可翻起，架子可全折叠，可收缩活动写字板，带杯槽。</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录播教室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值班桌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1、参考尺寸：1400*600*750mm±10mm；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2、材质：实木多层免漆板+橡胶木实木机拼板；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3、工艺：桌面采用厚度≥25mm橡胶木实木机拼板，柜体采用厚度≥18mm实木多层免漆板，封边采用厚度≥1mm塑制封边条机械四边封边，柜体由三抽屉柜+储物柜组合，采用镀锌阻尼缓冲铰链、消音三节抽轨。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门卫室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值班椅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1、参考尺寸：580*580*920/1010mm±10mm；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2、材质：网格布+钢架+硬质塑料；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3、工艺：座垫采用厚度≥40mm高密度回弹海绵，外包弹性莱卡布料，靠背网格布。钢制五星脚，尼龙材质五个静音防刮滑轮组成一个圆；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4、功能：椅垫下面带升降板手调节升降高度。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门卫室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置物桌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1、参考尺寸：桌1200*600*750mm±10mm；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2、材质：实木多层免漆板+橡胶木实木机拼板；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3、工艺：桌面采用厚度≥25mm橡胶木实木机拼板，柜体采用厚度≥18mm实木多层免漆板，封边采用厚度≥1mm塑制封边条机械四边封边，柜体由2组屉柜+储物柜组合，采用镀锌阻尼缓冲铰链、消音三节抽轨。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门卫室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接待凳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1、参考尺寸：400*300*440mm±10mm：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门卫室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值班床</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1、参考尺寸：2000*1000*400/900mm±10mm；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2、材质：实木多层免漆板+杉木实木；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3、工艺：床箱体采用厚度≥18mm实木多层免漆板，封边采用厚度≥1mm塑制封边条机械四边封边，16mm厚杉木实木条床板条。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门卫室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门卫室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1、参考尺寸：1500*500*2000mm±10mm；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门卫室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4、功能：上部对开木门、三层置物空间，下部对开木门、两层置物空间，层板均采用活动可自由调节形式，上下柜门采用免拉手斜边设计。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门卫室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快递柜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1、参考尺寸：2400*600*1200mm±10mm；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2、材质：实木多层免漆板+橡胶木实木机拼板；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3、工艺：顶板采用厚度≥25mm橡胶木实木机拼板，柜体采用厚度≥18mm实木多层免漆板，封边采用厚度≥1mm塑制封边条机械四边封边，按快递件大小分成大小不同的12格。</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门卫室</w:t>
            </w:r>
            <w:r>
              <w:rPr>
                <w:rFonts w:hint="eastAsia" w:ascii="宋体" w:hAnsi="宋体" w:eastAsia="宋体" w:cs="宋体"/>
                <w:b/>
                <w:bCs/>
                <w:i w:val="0"/>
                <w:iCs w:val="0"/>
                <w:color w:val="000000"/>
                <w:sz w:val="20"/>
                <w:szCs w:val="20"/>
                <w:highlight w:val="none"/>
                <w:u w:val="none"/>
              </w:rPr>
            </w:r>
            <w:r/>
          </w:p>
        </w:tc>
      </w:tr>
      <w:tr>
        <w:trPr>
          <w:trHeight w:val="288"/>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绝缘垫</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厚度10mm黑色YS树脂绝缘垫。</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门卫室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1、规格：桌1400*700*750mm±10mm、柜400*450*600±10mm；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实木多层免漆板，柜体采用厚度≥18mm实木多层免漆板，封边采用厚度≥1mm塑制封边条机械四边封边，桌台面下设理线架。桌腿采用规格30*60mm、壁厚≥1.5mm扁管口字脚，钢脚中间为上线盒，钢架表面经酸洗磷化喷塑处理。挡板采用厚度≥1mm钢板，桌面含插座网线位置预留。钢架办公桌加3抽屉柜组合，采用镀锌阻尼缓冲铰链、消音三节抽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文印室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rPr>
                <w:rFonts w:hint="eastAsia" w:ascii="宋体" w:hAnsi="宋体" w:eastAsia="宋体" w:cs="宋体"/>
                <w:i w:val="0"/>
                <w:iCs w:val="0"/>
                <w:color w:val="000000"/>
                <w:sz w:val="20"/>
                <w:szCs w:val="20"/>
                <w:highlight w:val="none"/>
                <w:u w:val="none"/>
              </w:rPr>
            </w:r>
            <w:r/>
          </w:p>
        </w:tc>
        <w:tc>
          <w:tcPr>
            <w:tcW w:w="3008"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1、规格：580*580*900/1000mm±10mm；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2、椅背：透气网布，背框采用高强度尼龙，S型设计；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3、坐垫：透气网布，填充记忆阻燃海绵；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4、气杆：国标SGS3级气杆正常上下申缩10万次不漏气；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5、五星脚：PP加纤材质，重量可承受厚度≥800公斤；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6、轮子：耐磨防滑尼龙轮。</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文印室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文印桌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1、参考尺寸：2400*1200*750mm±10mm；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3、工艺：桌面采用厚度≥25mm实木多层免漆板，封边采用厚度≥1mm塑制封边条机械四边封边。桌架采用规格50*50mm、壁厚≥1.5mm钢管，表面经酸洗磷化喷塑处理。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文印室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文印架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1、参考尺寸：1500*600*2000mm±10mm；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3、工艺：80*40mmC型钢立柱，60*40mmP型钢横梁，拼装式层板；表面经酸洗磷化喷塑处理，分四层、高度可调。</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文印室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1、参考尺寸：840*400*2000mm±10mm；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文印室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护理台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1、参考尺寸：850*580*490mm±10mm：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2、材质：抗菌HDPE材质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3、承重：35kg：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4、安装方式：壁挂式打孔安装。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53340" cy="72263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3340"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0.0pt;mso-position-horizontal:absolute;mso-position-vertical-relative:text;margin-top:0.0pt;mso-position-vertical:absolute;width:4.2pt;height:56.9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53340" cy="72263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3340"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0.0pt;mso-position-horizontal:absolute;mso-position-vertical-relative:text;margin-top:0.0pt;mso-position-vertical:absolute;width:4.2pt;height:56.9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母婴室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休闲椅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1、参考尺寸：580*610*780mm±10mm：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2、坐垫及靠背：西皮，填充高密度定型海绵：                                                                                                                                                                                              </w:t>
            </w:r>
            <w:r>
              <w:rPr>
                <w:rFonts w:hint="eastAsia" w:ascii="宋体" w:hAnsi="宋体" w:eastAsia="宋体" w:cs="宋体"/>
                <w:i w:val="0"/>
                <w:iCs w:val="0"/>
                <w:color w:val="000000"/>
                <w:sz w:val="20"/>
                <w:szCs w:val="20"/>
                <w:highlight w:val="none"/>
                <w:u w:val="none"/>
                <w:lang w:val="en-US" w:eastAsia="zh-CN" w:bidi="ar"/>
              </w:rPr>
              <w:t xml:space="preserve">                                                                                              3、工艺：五金螺丝，三合一链接件等：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4、脚架：碳素钢脚架，防滑脚垫。</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母婴室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3、工艺：所有板材厚度≥18mm实木多层免漆板，封边采用厚度≥1mm塑制封边条机械四边封边，连接采用五金螺丝，金属防锈带阻尼铰链，上柜木框钢化玻璃，门带锁；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母婴室</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1、变频/定频：定频；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2、高度：170.1-180cm；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3、控温方式：机械控温；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4、门个数：3个；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5、制冷方式：直冷；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6、宽度：60cm；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7、深度：50.1-55cm；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8、运转音：37dB(A)；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9、总容积：218L。</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母婴室</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屏风</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1、参考尺寸：2000*1800mm±10mm；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2、材质：无磁钢管，防水布，静音万向轮；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3、工艺：四折屏风。</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母婴室</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1、参考尺寸：1400*450*750mm±10mm；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2、桌面：采用厚度25mm实木多层免漆板，封边采用厚度≥1mm塑制封边条机械四边封边，桌面四角圆角处理；                </w:t>
            </w:r>
            <w:r>
              <w:rPr>
                <w:rFonts w:hint="eastAsia" w:ascii="宋体" w:hAnsi="宋体" w:eastAsia="宋体" w:cs="宋体"/>
                <w:i w:val="0"/>
                <w:iCs w:val="0"/>
                <w:color w:val="000000"/>
                <w:sz w:val="20"/>
                <w:szCs w:val="20"/>
                <w:highlight w:val="none"/>
                <w:u w:val="none"/>
                <w:lang w:val="en-US" w:eastAsia="zh-CN" w:bidi="ar"/>
              </w:rPr>
              <w:t xml:space="preserve">                                                                                                                                  3、桌架：立柱采用厚度1.5mm钢管冷轧钢，横梁采用厚度1.2mm冷轧钢，表面高温静电喷涂；                                                                                </w:t>
            </w:r>
            <w:r>
              <w:rPr>
                <w:rFonts w:hint="eastAsia" w:ascii="宋体" w:hAnsi="宋体" w:eastAsia="宋体" w:cs="宋体"/>
                <w:i w:val="0"/>
                <w:iCs w:val="0"/>
                <w:color w:val="000000"/>
                <w:sz w:val="20"/>
                <w:szCs w:val="20"/>
                <w:highlight w:val="none"/>
                <w:u w:val="none"/>
                <w:lang w:val="en-US" w:eastAsia="zh-CN" w:bidi="ar"/>
              </w:rPr>
              <w:t xml:space="preserve">                                                                  4、挡板：采用厚度≥18mm实木多层免漆板，封边采用厚度≥1mm塑制封边条机械四边封边；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5、脚轮：塑料脚轮，带刹车；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6、折叠：可90度折叠；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7、平衡码：可固定拼接、整体移动。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53340" cy="73215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3340" cy="732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0.0pt;mso-position-horizontal:absolute;mso-position-vertical-relative:text;margin-top:0.0pt;mso-position-vertical:absolute;width:4.2pt;height:57.6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53340" cy="73215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3340" cy="732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0.0pt;mso-position-horizontal:absolute;mso-position-vertical-relative:text;margin-top:0.0pt;mso-position-vertical:absolute;width:4.2pt;height:57.6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10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少先队室</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1、参考尺寸：500*520*800mm±10mm；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2、背架：采用PA+玻纤，一体注塑成型，环保防火，舒适透气特网；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3、靠</w:t>
            </w:r>
            <w:r>
              <w:rPr>
                <w:rFonts w:hint="eastAsia" w:ascii="宋体" w:hAnsi="宋体" w:eastAsia="宋体" w:cs="宋体"/>
                <w:i w:val="0"/>
                <w:iCs w:val="0"/>
                <w:color w:val="000000"/>
                <w:sz w:val="20"/>
                <w:szCs w:val="20"/>
                <w:highlight w:val="none"/>
                <w:u w:val="none"/>
                <w:lang w:val="en-US" w:eastAsia="zh-CN" w:bidi="ar"/>
              </w:rPr>
              <w:t xml:space="preserve">背：倾仰机构设计，有效缓解疲劳；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4、座垫：采用防阻燃定型海绵；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5、椅架：T1.5mm定制异型管，喷涂支架，可折叠收纳；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6、脚轮：Φ50mmPU万向滑动轮。</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少先队室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3、工艺：所有板材厚度≥18mm实木多层免漆板，封边采用厚度≥1mm塑制封边条机械四边封边，连接采用五金螺丝，金属防锈带阻尼铰链，上柜木框钢化玻璃，门带锁；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4、功能：上部木框钢化玻璃对开门、三层置物空间，下部双门两层柜体，层板均采用活动可自由调节形式，上下柜门采用免拉手斜边设计。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少先队室</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荣誉柜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3、工艺：所有板材厚度≥18mm实木多层免漆板，封边采用厚度≥1mm塑制封边条机械四边封边，连接采用五金螺丝，金属防锈带阻尼铰链，上柜木框钢化玻璃，门带锁；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4、功能：上部博古架造型，下部对开门、内有一层活动搁板，柜门采用免拉手斜边设计。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少先队室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文化板块</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1、按大队部规范要求，含队徽、队史、呼号、五旗等文化展板、管理制度等。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少先队室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队旗架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1、参考尺寸：1200mm*300mm*800mm；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                                                                                                                                                                                         3、工艺：架体均采用厚度18mm实木多层免漆板，倒圆角；采用锌合金三合一连接件，不锈钢螺丝；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4、功能：架体分两层，层板开孔。</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少先队室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队旗套装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1、规格1200*900mm纳米防水材质大队旗2幅含配套可伸缩1.1到2.2米旗杆；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2、规格800*600mm纳米防水材质中队旗18幅含配套可伸缩1.1到2.2米旗杆。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少先队室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三人沙发</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1、参考尺寸：1800*800*800mm±10mm；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000000"/>
                <w:sz w:val="20"/>
                <w:szCs w:val="20"/>
                <w:highlight w:val="none"/>
                <w:u w:val="none"/>
                <w:lang w:val="en-US" w:eastAsia="zh-CN" w:bidi="ar"/>
              </w:rPr>
              <w:t xml:space="preserve">                                        3、沙发套为优质西皮饰面，靠背填充优质公仔棉，坐垫内填充高弹力海绵；                                                                                                                                                              4、靠包型扶手设计，碳素钢高脚，五金螺丝连接件。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心理教室、个体辅导室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1、参考尺寸：1000*800*800mm±10mm；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000000"/>
                <w:sz w:val="20"/>
                <w:szCs w:val="20"/>
                <w:highlight w:val="none"/>
                <w:u w:val="none"/>
                <w:lang w:val="en-US" w:eastAsia="zh-CN" w:bidi="ar"/>
              </w:rPr>
              <w:t xml:space="preserve">                                        3、沙发套为优质西皮饰面，靠背填充优质公仔棉，坐垫内填充高弹力海绵；                                                                                                                                                              4、靠包型扶手设计，碳素钢高脚，五金螺丝连接件。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心理教室、个体辅导室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茶几</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1、参考尺寸：1200*600*450mm±10mm；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3、工艺：面板厚度25mm实木多层免漆板，封边采用厚度≥1mm塑制封边条机械四边封边；25*25方管钢架、表面经酸洗磷化喷塑处理。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心理教室、个体辅导室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方几</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1、参考尺寸：550*550*450mm±10mm；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3、工艺：面板厚度25mm实木多层免漆板，封边采用厚度≥1mm塑制封边条机械四边封边；25*25方管钢架、表面经酸洗磷化喷塑处理。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心理教室、个体辅导室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1、参考尺寸：800*400*800mm±10mm；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2、材质：实木多层免漆板+大理石；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5、五金：采用金属防锈带阻尼铰链、消音承重三节抽轨；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6、拉手：采用免拉手设计；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7、结构：上部两组抽屉，下部对开木门、内有1块活动搁板。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心理教室、个体辅导室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三人沙发</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1、参考尺寸：1800*800*800mm±10mm；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000000"/>
                <w:sz w:val="20"/>
                <w:szCs w:val="20"/>
                <w:highlight w:val="none"/>
                <w:u w:val="none"/>
                <w:lang w:val="en-US" w:eastAsia="zh-CN" w:bidi="ar"/>
              </w:rPr>
              <w:t xml:space="preserve">                                        3、沙发套为优质西皮饰面，靠背填充优质公仔棉，坐垫内填充高弹力海绵；                                                                                                                                                              4、靠包型扶手设计，碳素钢高脚，五金螺丝连接件。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心理教室、家庭辅导室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1、参考尺寸：1000*800*800mm±10mm；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000000"/>
                <w:sz w:val="20"/>
                <w:szCs w:val="20"/>
                <w:highlight w:val="none"/>
                <w:u w:val="none"/>
                <w:lang w:val="en-US" w:eastAsia="zh-CN" w:bidi="ar"/>
              </w:rPr>
              <w:t xml:space="preserve">                                        3、沙发套为优质西皮饰面，靠背填充优质公仔棉，坐垫内填充高弹力海绵；                                                                                                                                                              4、靠包型扶手设计，碳素钢高脚，五金螺丝连接件。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心理教室、家庭辅导室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茶几</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1、参考尺寸：1200*600*450mm±10mm；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3、工艺：面板厚度25mm实木多层免漆板，封边采用厚度≥1mm塑制封边条机械四边封边；25*25方管钢架、表面经酸洗磷化喷塑处理。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心理教室、家庭辅导室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方几</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1、参考尺寸：550*550*450mm±10mm；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3、工艺：面板厚度25mm实木多层免漆板，封边采用厚度≥1mm塑制封边条机械四边封边；25*25方管钢架、表面经酸洗磷化喷塑处理。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心理教室、家庭辅导室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1、参考尺寸：800*400*800mm±10mm；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2、材质：实木多层免漆板+大理石；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5、五金：采用金属防锈带阻尼铰链、消音承重三节抽轨；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6、拉手：采用免拉手设计；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7、结构：上部两组抽屉，下部对开木门、内有1块活动搁板。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心理教室、家庭辅导室</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1、参考尺寸：1000*500*800mm±10mm；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4、功能：上部分为4个规格300*400*300mm储物格，下部分为2组规格600*400*600mm带门柜体。</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心理教室、家庭辅导室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书柜（高）</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3、工艺：工艺：所有板材厚度≥18mm实木多层免漆板，封边采用厚度≥1mm塑制封边条机械四边封边，整体采用9宫格设计，所有储物柜均为敞格不带门板。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心理教室、家庭辅导室</w:t>
            </w:r>
            <w:r>
              <w:rPr>
                <w:rFonts w:hint="eastAsia" w:ascii="宋体" w:hAnsi="宋体" w:eastAsia="宋体" w:cs="宋体"/>
                <w:b/>
                <w:bCs/>
                <w:i w:val="0"/>
                <w:iCs w:val="0"/>
                <w:color w:val="000000"/>
                <w:sz w:val="20"/>
                <w:szCs w:val="20"/>
                <w:highlight w:val="none"/>
                <w:u w:val="none"/>
              </w:rPr>
            </w:r>
            <w:r/>
          </w:p>
        </w:tc>
      </w:tr>
      <w:tr>
        <w:trPr>
          <w:trHeight w:val="28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升降讲台</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1、参考尺寸：690*530*750/1110mm±10mm；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2、桌面：桌面采用厚度≥18mm环保高密度板，表面的边缘采用弧形倒角设计；桌面安装长度30cm的铝拉丝档条，桌面配置有笔槽；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3、气动升降杆：作为升降杆柱体采用铝合金材质，表面高温静电喷涂，桌面气动升降范围为755到1110mm；气杆采用一键无极升降，升降按键采用弧形设计，符合人体工学；气动升降杆最大承重不低于15KG；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4、底盘：采用铝合金材质的开放型支架底盘，表面高温静电喷涂，安装4个不小于2寸万向PU滑轮，2轮可锁定；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5、装饰板：桌面下方安装厚度≥5mm的亚克力LOGO装饰板，参考尺寸400*245mm，可以印刷尺寸20CM的校徽；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6、功能：桌面呈10度倾斜，可以选配安装水杯架、键盘托。</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心理教室、团体辅导室</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团体活动桌椅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1、参考尺寸：直径1200mm*高720mm±10mm；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2、团体辅导桌采用环形组合桌设计，由6个桌面组成，6款颜色搭配。根据团体辅导活动需要，可以灵活组成多样排列方式；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3、桌腿、椅腿配置高度调节旋钮；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4、多色彩桌面设计：桌面采用白、橘、绿、蓝、粉、黄等多款颜色搭配；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5、组成：6色团辅桌、6把座椅。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心理教室、团体辅导室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收纳矮柜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1、参考尺寸：900*400*800mm±10mm；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心理教室、团体辅导室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卡座</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1、参考尺寸：1000*400*450mm；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2、材质：实木多层免漆板＋软包；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3、工艺：所有板材厚度≥18mm实木多层免漆板，封边采用厚度≥1mm塑制封边条机械四边封边，连接采用五金螺丝；高弹性海绵内吋，布艺软包饰面。</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心理教室、沙盘室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参考尺寸：300*300*450Hmm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1.内部结构：实木框架，高强度弹簧及绷带。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2.海绵：高密度高回弹海棉。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3.饰面可选：布艺或西皮</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心理教室、沙盘室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卡座</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1、参考尺寸：1000*400*450mm；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2、材质：实木多层免漆板＋软包；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3、工艺：所有板材厚度≥18mm实木多层免漆板，封边采用厚度≥1mm塑制封边条机械四边封边，连接采用五金螺丝；高弹性海绵内吋，布艺软包饰面。</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心理教室、悦纳室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参考尺寸：300*300*450Hmm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1.内部结构：实木框架，高强度弹簧及绷带。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2.海绵：高密度高回弹海棉。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3.饰面可选：布艺或西皮</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心理教室、悦纳室</w:t>
            </w:r>
            <w:r>
              <w:rPr>
                <w:rFonts w:hint="eastAsia" w:ascii="宋体" w:hAnsi="宋体" w:eastAsia="宋体" w:cs="宋体"/>
                <w:b/>
                <w:bCs/>
                <w:i w:val="0"/>
                <w:iCs w:val="0"/>
                <w:color w:val="000000"/>
                <w:sz w:val="20"/>
                <w:szCs w:val="20"/>
                <w:highlight w:val="none"/>
                <w:u w:val="none"/>
              </w:rPr>
            </w:r>
            <w:r/>
          </w:p>
        </w:tc>
      </w:tr>
      <w:tr>
        <w:trPr>
          <w:trHeight w:val="438"/>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1、规格：桌1400*700*750mm±10mm、柜400*450*600±10mm；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实木多层免漆板，柜体采用厚度≥18mm实木多层免漆板，封边采用厚度≥1mm塑制封边条机械四边封边，桌台面下设理线架。桌腿采用规格30*60mm、壁厚≥1.5mm扁管口字脚，钢脚中间为上线盒，钢架表面经酸洗磷化喷塑处理。挡板采用厚度≥1mm钢板，桌面含插座网线位置预留。钢架办公桌加3抽屉柜组合，采用镀锌阻尼缓冲铰链、消音三节抽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1、参考尺寸：450*500*500/750mm±10mm；                                  </w:t>
            </w:r>
            <w:r>
              <w:rPr>
                <w:rFonts w:hint="eastAsia" w:ascii="宋体" w:hAnsi="宋体" w:eastAsia="宋体" w:cs="宋体"/>
                <w:i w:val="0"/>
                <w:iCs w:val="0"/>
                <w:color w:val="000000"/>
                <w:sz w:val="20"/>
                <w:szCs w:val="20"/>
                <w:highlight w:val="none"/>
                <w:u w:val="none"/>
                <w:lang w:val="en-US" w:eastAsia="zh-CN" w:bidi="ar"/>
              </w:rPr>
              <w:t xml:space="preserve">                                                                                                                                                                                                                                                             2、面</w:t>
            </w:r>
            <w:r>
              <w:rPr>
                <w:rFonts w:hint="eastAsia" w:ascii="宋体" w:hAnsi="宋体" w:eastAsia="宋体" w:cs="宋体"/>
                <w:i w:val="0"/>
                <w:iCs w:val="0"/>
                <w:color w:val="000000"/>
                <w:sz w:val="20"/>
                <w:szCs w:val="20"/>
                <w:highlight w:val="none"/>
                <w:u w:val="none"/>
                <w:lang w:val="en-US" w:eastAsia="zh-CN" w:bidi="ar"/>
              </w:rPr>
              <w:t xml:space="preserve">料：采用优质黑色网布，透气性优良；                                                                                                                                                                                                                                               </w:t>
            </w:r>
            <w:r>
              <w:rPr>
                <w:rFonts w:hint="eastAsia" w:ascii="宋体" w:hAnsi="宋体" w:eastAsia="宋体" w:cs="宋体"/>
                <w:i w:val="0"/>
                <w:iCs w:val="0"/>
                <w:color w:val="000000"/>
                <w:sz w:val="20"/>
                <w:szCs w:val="20"/>
                <w:highlight w:val="none"/>
                <w:u w:val="none"/>
                <w:lang w:val="en-US" w:eastAsia="zh-CN" w:bidi="ar"/>
              </w:rPr>
              <w:t xml:space="preserve">                                                3、海绵：采用优质海绵，阻燃级别高且柔软性能好、回弹性高、不变形；                                                                                                                                                                               </w:t>
            </w:r>
            <w:r>
              <w:rPr>
                <w:rFonts w:hint="eastAsia" w:ascii="宋体" w:hAnsi="宋体" w:eastAsia="宋体" w:cs="宋体"/>
                <w:i w:val="0"/>
                <w:iCs w:val="0"/>
                <w:color w:val="000000"/>
                <w:sz w:val="20"/>
                <w:szCs w:val="20"/>
                <w:highlight w:val="none"/>
                <w:u w:val="none"/>
                <w:lang w:val="en-US" w:eastAsia="zh-CN" w:bidi="ar"/>
              </w:rPr>
              <w:t xml:space="preserve">                                                                                                                4、气压棒：优质气压棒，可承受不低于30万次升降；                                                                                                                       </w:t>
            </w:r>
            <w:r>
              <w:rPr>
                <w:rFonts w:hint="eastAsia" w:ascii="宋体" w:hAnsi="宋体" w:eastAsia="宋体" w:cs="宋体"/>
                <w:i w:val="0"/>
                <w:iCs w:val="0"/>
                <w:color w:val="000000"/>
                <w:sz w:val="20"/>
                <w:szCs w:val="20"/>
                <w:highlight w:val="none"/>
                <w:u w:val="none"/>
                <w:lang w:val="en-US" w:eastAsia="zh-CN" w:bidi="ar"/>
              </w:rPr>
              <w:t xml:space="preserve">                                                                                                                                                                        5、椅轮：采用尼龙加纤维交强而成，强度高，耐磨性好；                                                              </w:t>
            </w:r>
            <w:r>
              <w:rPr>
                <w:rFonts w:hint="eastAsia" w:ascii="宋体" w:hAnsi="宋体" w:eastAsia="宋体" w:cs="宋体"/>
                <w:i w:val="0"/>
                <w:iCs w:val="0"/>
                <w:color w:val="000000"/>
                <w:sz w:val="20"/>
                <w:szCs w:val="20"/>
                <w:highlight w:val="none"/>
                <w:u w:val="none"/>
                <w:lang w:val="en-US" w:eastAsia="zh-CN" w:bidi="ar"/>
              </w:rPr>
              <w:t xml:space="preserve">                                                                                                                                                                                                                                 6、椅脚：五星脚静态承重能力强，不会因湿度和温度的变化而脆裂。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档案柜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1、参考尺寸：840*400*2000mm±10mm；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三人沙发</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1、参考尺寸：1800*800*800mm±10mm；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000000"/>
                <w:sz w:val="20"/>
                <w:szCs w:val="20"/>
                <w:highlight w:val="none"/>
                <w:u w:val="none"/>
                <w:lang w:val="en-US" w:eastAsia="zh-CN" w:bidi="ar"/>
              </w:rPr>
              <w:t xml:space="preserve">                                        3、沙发套为优质西皮饰面，靠背填充优质公仔棉，坐垫内填充高弹力海绵；                                                                                                                                                              4、靠包型扶手设计，碳素钢高脚，五金螺丝连接件。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1、参考尺寸：1000*800*800mm±10mm；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2、实木松木整体框架，弹性绑带固定，坐垫蛇形弹簧；                                                                                                                      </w:t>
            </w:r>
            <w:r>
              <w:rPr>
                <w:rFonts w:hint="eastAsia" w:ascii="宋体" w:hAnsi="宋体" w:eastAsia="宋体" w:cs="宋体"/>
                <w:i w:val="0"/>
                <w:iCs w:val="0"/>
                <w:color w:val="000000"/>
                <w:sz w:val="20"/>
                <w:szCs w:val="20"/>
                <w:highlight w:val="none"/>
                <w:u w:val="none"/>
                <w:lang w:val="en-US" w:eastAsia="zh-CN" w:bidi="ar"/>
              </w:rPr>
              <w:t xml:space="preserve">                                        3、沙发套为优质西皮饰面，靠背填充优质公仔棉，坐垫内填充高弹力海绵；                                                                                                                                                              4、靠包型扶手设计，碳素钢高脚，五金螺丝连接件。</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茶几</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1、参考尺寸：1200*600*450mm±10mm；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3、工艺：面板厚度25mm实木多层免漆板，封边采用厚度≥1mm塑制封边条机械四边封边；25*25方管钢架、表面经酸洗磷化喷塑处理。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方几</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1、参考尺寸：550*550*450mm±10mm；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3、工艺：面板厚度25mm实木多层免漆板，封边采用厚度≥1mm塑制封边条机械四边封边；25*25方管钢架、表面经酸洗磷化喷塑处理。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1、参考尺寸：800*400*800mm±10mm；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2、材质：实木多层免漆板+大理石；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5、五金：采用金属防锈带阻尼铰链、消音承重三节抽轨；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6、拉手：采用免拉手设计；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7、结构：上部两组抽屉，下部对开木门、内有1块活动搁板。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测评桌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1、参考尺寸：1200*600*750mm±10mm；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2、材质：钢木；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实木多层免漆板，柜体采用厚度≥18mm实木多层免漆板，封边采用厚度≥1mm塑制封边条机械四边封边，桌台面下设理线架。桌腿采用规格40*40mm、壁厚≥1.5mm方管钢架，钢脚中间为上线盒，钢架表面经酸洗磷化喷塑处理。挡板采用厚度≥1mm钢板；钢架办公桌加3抽屉柜组合，采用消音三节抽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测评凳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1、参考尺寸：400*300*420mm±10mm：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数码录音笔</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1、全金属外壳设计；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2、48KHz高品质录音；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3、≥32G内存；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4、≥7小时续航；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5、配备双音腔喇叭；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6、动态高频抑制+动态低频补偿。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24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监控摄像头</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1、像素：≥800万；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2、智能检测：移动检测，宠物检测，人形识别，异声感知；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3、可旋转角度：水平旋转340°，垂直旋转130°；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4、供网方式：无线Wi-Fi；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5、隐私保护：软件遮蔽；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6、存储编码：H.265；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7、追踪方式：定点+定时巡航，移动追踪；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8、语音类型：语音通话；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9、供电方式：电源供电；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10、存储方式：云存，扩展存储卡。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团体辅导教具箱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要求包含团体辅导箱不小于4个，参考尺寸：长400mm*宽 300mm*高 160mm；含各类型的活动器材，适合多人同时使用。活动主题：自我探索，亲情联接，人际互动，团体熔炼，学会学习，潜能开发，领导管理，开拓创新，价值选择，社会责任。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1、自我探索：成长五部曲、心灵之舞、我的“角落”、左右脚、20个“自我”、自画像、背上留言、生命线、盲人与“拐杖”求生抉择。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2、亲情联接：家庭大事记、找变化、清扫亲情“垃圾”、给......的一封信、My Birthday party、父母亲的剪影、感恩父母、原生家庭、再选你的父母、我的家庭树。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3、人际互动：身体认字、说句奉承话、快枪手、爱在指尖、你说我画、心有千千结、巧过地雷阵、朋友大拍卖、最少的脚、多元排队。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4、团队熔炼：背背佳、七手八脚、食指神功、气球桥梁、啄木鸟行动、创意搭档、风中奇遇、横渡硫酸河、信任之旅、珍珠岛救援大行动。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5、学会学习：撕纸条、疯狂一分钟、我是钟、出谋划策、职业畅想发布会、没有你，我怎么办、神奇大变身、叫醒你的N种思维、fashion show、enjoy your feeling。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6、潜能开发：突出重围、举手礼、穿绳游戏、优点坐椅、三只小猪“造房子”、随机应变、传球游戏、沧海一舟、创意剪纸、穿越A4纸。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7、领导管理：勇于面对、今天我当家、老鹰抓小鸡、缺失的一角、真的还是假的、贩卖希望、你来说，我来做、合作方块、穿越障碍、勇闯夺命岛。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8、开拓创新：九点连线、一笔变新字、如何卖木梳给和尚、敢想敢画、从A到B、万能的口香糖、一张让你叫绝的A4纸、分苹果、创意积木大比拼、玩具创意设计。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9、价值选择：找零钱、早操大表态、取绰号、超级一比一、艺术插花、我的“VIT”、海上求生、价值拍卖、红黑游戏、沉船游戏。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10、社会责任：承担责任、歌唱祖国、家乡美、我说我知道、放飞我心、职业生涯探索、中国地图、共建未来城、家乡拼图、拯救阳光城。                                                                            ▲</w:t>
            </w:r>
            <w:r>
              <w:rPr>
                <w:rFonts w:hint="eastAsia" w:ascii="宋体" w:hAnsi="宋体" w:eastAsia="宋体" w:cs="宋体"/>
                <w:i w:val="0"/>
                <w:iCs w:val="0"/>
                <w:color w:val="000000"/>
                <w:sz w:val="20"/>
                <w:szCs w:val="20"/>
                <w:highlight w:val="red"/>
                <w:u w:val="none"/>
                <w:lang w:val="en-US" w:eastAsia="zh-CN" w:bidi="ar"/>
              </w:rPr>
              <w:t xml:space="preserve">提供团体辅导箱</w:t>
            </w:r>
            <w:r>
              <w:rPr>
                <w:rFonts w:hint="eastAsia" w:ascii="宋体" w:hAnsi="宋体" w:eastAsia="宋体" w:cs="宋体"/>
                <w:i w:val="0"/>
                <w:iCs w:val="0"/>
                <w:color w:val="000000"/>
                <w:sz w:val="20"/>
                <w:szCs w:val="20"/>
                <w:highlight w:val="none"/>
                <w:u w:val="none"/>
                <w:lang w:val="en-US" w:eastAsia="zh-CN" w:bidi="ar"/>
              </w:rPr>
              <w:t xml:space="preserve">（套尺、胶水、弹力球）关于（铅, 镉, 汞和六价铬，各多溴联苯，各多溴二苯醚 ）的检测报告扫描件加盖厂家公章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心理情景剧道具箱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产品参数： 在组成上道具箱包括了不小于43个各种颜色的丝巾，用于导演创伤场景的创伤衣以及辅助治疗师进行暖身活动的卡片，辅助放松的各种嗅觉和听觉道具以及面具等。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具体组成： 心理剧道具铝箱一只 不小于43个各种颜色的丝巾，辅助放松的香薰产品以及配件。人物个性的面具 创伤衣 心理卡片 胶带以及剪刀等常用工具等。</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62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生涯团体辅导器材箱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1.工具箱质地要求：周边高级铝合金、ABS面板。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生涯教育课程教学手册参数要求：能唤醒学生的学生发展意识，帮助学生完善自我概念，掌握自己的兴趣、个人特质、高校专业倾向，树立个人价值观，更好地进行个人升学和专业选择。需包含生涯相关重要理论，能够从体系的角度看待课程结构；具有生涯发展教育课堂教学过程中涉及的相关内容以及教学方案的形式呈现课程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3.要求正规出版社出版，书籍字迹清晰，内容排版符合阅读习惯。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4.人格特质卡数量：不少于12张/套。内容需涵盖不少于十二种人格特质描述，采用动作、场景、对话等进行诠释，同时搭配人格特质的文字描述、人格特质的定义、可能适合的工作领域等内容。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大学专业分类卡：数量：不少于100张/套。要求：需支持按国家专业分类法12学门92学类细分，专业卡片上需有相应专业分类代码、专业名称与归属学门，包含专业概述、霍兰德兴趣码、下设专业、高中相关专业等内容。根据专业的学习要求推荐高中相关学科；根据霍兰德兴趣码推荐匹配度较高的大学专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职业卡数量：不少于100张/套，要求：需涵盖近100种职业介绍，并根据霍兰德兴趣代码分类，让学生按照兴趣测评代码了解相关职业。卡片用简洁直观的方式展示了职务名称、学科门类、兴趣代码、专业知识、职业活动、工作内容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兴趣六型卡数量：不少于6张/套。要求：需分别对应霍兰德类型论的六个兴趣类型：R型/实用型、I型/研究型、A型/艺术型、S型/社会型、E型/企业型、C型/事务型，卡片内容应包含性格特征、擅长事物、做事原则、期望职业等。让学生通过测试了解自己的兴趣类型后更好的开展规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8.提供卡牌游戏说明指导视频，采用U盘或光盘进行存储。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心理沙盘</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一、1个个体实木心理沙盘，使用尺寸：≥长 720mm×宽 570mm×深70mm，边框厚度≥15mm，沙盘含架子整体高度≥750mm。专用三底两面环保漆；内侧底与边框、底部为蓝色，外部为实木色，表面光滑不伤手、防水、耐磨不掉色。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二、1个团体实木沙盘，使用尺寸≥ 1150mm×宽 720mm×深70mm，边框厚度≥15mm，沙盘含架子整体高度≥750mm。专用三底两面环保漆；底部为蓝色，外部为实木色，表面光滑不伤手、防水、耐磨不掉色。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三、3个实木沙具柜，沙具柜规格：≥1500mm×300mm×980mm，柜体采用5层8阶设计，既美观又便于分类摆放选取沙具。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四、1600个沙具种类：18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五、沙盘游戏书籍1本。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六、精选原色水洗砂30公斤，颗粒光滑、大小均匀、高温消毒。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七、沙具选取框1套 （沙具选取框3个，清理刷3个）。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八、互联网大数据资产管理系统1套。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1、支持对沙盘游戏类产品进行资产编号、照片、资产分类、购入日期、创建时间操作。（提供软件流转流程功能界面截图并加盖厂家公章）；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2、支持新增个体辅导活动功能，实现辅导缘由、辅导目标、辅导信息等功能。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3、支持AI自动解读分析沙盘游戏报告功能。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与互联网大数据平台进行对接学习心理沙盘游戏教学视频内容包括但不限于（沙盘游戏初体验和自我察觉、沙盘治疗为何有效、沙盘游戏的设置及操作性意义、个体沙盘实操的体验和督导、沙盘游戏的心理学原理、沙盘游戏咨询师的要求与素养、个体沙盘作品的评估与分析、不同年龄段阶段儿童青少年的沙游作品特征、沙盘游戏在心理辅导中的应用、团体沙盘游戏操作技术、沙盘游戏在在情商智商方面的应用、团体沙盘游戏的操作和督导、沙盘游戏在家庭关系治疗中的应用、团体沙盘游戏中可能的问题及应对方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red"/>
                <w:u w:val="none"/>
                <w:lang w:val="en-US" w:eastAsia="zh-CN" w:bidi="ar"/>
              </w:rPr>
              <w:t xml:space="preserve">提供沙盘检测</w:t>
            </w:r>
            <w:r>
              <w:rPr>
                <w:rFonts w:hint="eastAsia" w:ascii="宋体" w:hAnsi="宋体" w:eastAsia="宋体" w:cs="宋体"/>
                <w:i w:val="0"/>
                <w:iCs w:val="0"/>
                <w:color w:val="000000"/>
                <w:sz w:val="20"/>
                <w:szCs w:val="20"/>
                <w:highlight w:val="none"/>
                <w:u w:val="none"/>
                <w:lang w:val="en-US" w:eastAsia="zh-CN" w:bidi="ar"/>
              </w:rPr>
              <w:t xml:space="preserve">（甲醛释放量）的检测报告扫描件并加盖厂家公章</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音乐减压放松椅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尺寸：≥780mm（长）*880mm（宽）*1000mm(高）(椅背收起)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≥1580mm（长）*880mm（宽）*830mm(高）（椅背展开）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产品净重：约45KG  最大承载量：不小于100KG；电源：220V（50Hz）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产品系统组成：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1.独立电动控制系统：音乐椅靠背、腿部电动控制设计，靠背约100度-170度，腿部90度-170度任意调节。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2.数字播放系统：≥15寸高清数字显示屏，超薄塑胶外框；可支持多种格式图片、视频及扩展卡；有USB接口，有耳机接口，可外接音箱；可自动浏览、播放图片+背景音乐；可定时开关机。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3.音乐放松系统：专业减压、放松、催眠系列音乐包。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4.播音系统:内置高品质音响，流线型手工箱体设计，喇叭外露式设计环绕，内置蓝牙，带有模拟音频信号输入接口、USB输入接口，支持电脑、手机、平板等随需切换无线/有线模式，更多应用场景。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5.存储系统：随机配置高速存储卡，支持SD卡及USB存储设备s等。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6.头等舱设计开发的进口小牛皮/仿皮座椅。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7.含专业心理音乐、专业心理图片和专业心理视频的SD卡（8G）1张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8.视频：催眠用摇摆钟视频、鼻腔放松，肌肉放松，呼吸放松等放松训练教学视频、经典眩晕视频，增强自信，提升自我独立能力心理电影。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9.放松音乐：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（1）改善失眠、促进睡眠治疗处方 ：脑波音乐、深度睡眠音乐，音乐催眠放松音乐等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（2）消除寂寞、减少失落感处方 ：心灵音乐馆之-谣風、池清凉、唱遍山月、春芽等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（3）消除悲伤、抚慰心灵治疗处方：α脑波音乐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（4）消除愤怒、消除心灵淤塞治疗处方:纯音乐之-你的笑颜，夕阳箫鼓、小霓裳等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（5）消除浮躁、促进内心平静治疗处方：大自然背景声（小桥流水、鸟语花香、荷塘月色、寂静山林等）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（6）消除紧张，焦虑治疗处方：自信训练。减压音乐等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 消除自卑，提升自信治疗处方：（冥想合放松音乐）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（8）缓解身心疲劳、身体疼痛治疗处方：（天韵五行音乐等）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（9）接触忧郁、抑郁情绪治疗处方：（嘎达梅林、假日海滩、云水禅心等）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（10）陶冶心情、醒脑提神治疗处方：（旺盛的自愈力、自律与决心、释放压力、内在调和等）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1、音乐放松椅1台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2、≥15寸显示器1个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3、显示器支架1套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4、催眠眼罩2个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5、音乐治疗导论1本</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正念虚拟现实训练系统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一、硬件参数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1、光学及定位技术：视场角≥98度；光学定位系统支持透视模式及10m✕10m安全护导，支持5个安全区记忆。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2、计算平台及其它配置：CPU：高通骁龙XR2芯片：Kryo585核心，8核64位；GPU：Adreno650，主频587MHz；运行内存≥6G，本地储存≥256G；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3、显示功能：5.5inchx1SFRTFT；分辨率：4K高清；刷新率：≥90Hz，已与VR软件匹配；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前置摄像头：鱼眼单色（640✕480@60Hz）≥4个，视场角：166°支持头部6DoF定位。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4、VR双手柄及交互功能：左右手、双手柄6DoF体感手柄，支持光学定位，支持线性振动马达；每个手柄机身按键≥7个，共两套手柄不少于14个交互按键。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二、软件功能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1、待机场景：开机后进入水世界待机场景，让使用者初步微体验虚拟世界的感受，逐渐适应后触发光球进入动态片头；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2、沉浸式动态片头：在宇宙中跟随星河动态穿梭，经历土星、全息人物、时空隧道等身临其境的震撼体验可进一步了解VR2.0的特点；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3、系统主场景：用户身处半透明玻璃圆盘上，右侧为虚拟人，通过摇杆转动面前的轨道球选择知识大类、随即投影出多种具体VR知识库；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4、AI数字人：半透明身体头戴红色VR的AI数字人，数字人带有语音交互、界面使用、内容操作、关于虚拟世界、关于软件等功能；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5、语音交互：用户可通过语言指令与数字人进行对话，如：我要做物理实验，数字人可瞬间接收语音并呈现相关知识；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6、内容操作：在系统主场景中可观看数字人进行内容操作，其中介绍了多个手柄的功能使用以及内容虚拟大屏投射。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7、VR资源库软件包含以下VR内容：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7.1、VR心理健康：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疏导训练类：五音灵境、正念大道、思维炮弹、镜像之屋、心理沙盘训练、冥想漫游、心理疏导、深度疏导、美好人生、专注力训练、深度身心训练、眼动训练、预防早恋、克服厌学、亲子关系、克服叛逆、控制孩子玩手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心理测评类：Texas社交行为调查量表、阿森斯失眠量表(AIS)、工作压力自测问卷、焦虑测评量表（SAS）、精神压力自测问卷、人际关系综合诊断量表、同学关系测验问卷、显性焦虑量表（MAS）、性格倾向测试、自我压力测试量表、心理测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（3）宣泄解压类：解压花园、攀岩、宣泄解压馆、解压运动馆、太阳系、游乐园、刺激过山车、翼装飞行、艺术馆放松、宇宙解压之旅、海洋动物、深海解压、跳伞；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（4）应激训练类：克服社交恐惧、克服高空恐惧、克服公众演讲恐惧、克服幽闭恐惧、克服密集恐惧、冰雹、沙尘暴、山体滑坡、雷击、地震逃生、防溺水、暴雨、雪崩、台风；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（5）旅行放松类：威尼斯、日本、什刹海与鼓楼、大栅栏、长城、天坛、日坛、地坛、圆明园、颐和园、鸟巢水立方、北海公园天安门、香山、北京。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7.2、VR职业生涯规划体验：消防员、警察、军人、宇航员、牙医、飞行员、医生、赛车手、文秘前台、会场布置、行政、司机、冲浪手、篮球运动员、潜水员、动物饲养员、科学家（一）、科学家（二）、戏曲演员（一）、戏曲演员（二）、手艺人（一）、手艺人（二）、幼教、护士。</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20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智能击打呐喊宣泄系统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一、软件功能：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1、支持系统设置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（1）提供用户名密码登录和刷脸登录；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（2）提供设置击打仪和血氧仪蓝牙连接、人脸识别绑定、退出等；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（3）提供设置训练的难易程度、音量调节、灵敏度调节等；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（4）提供数据采集和蓝牙连接状态悬浮展示，动态监测；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2、支持训练内容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▲（1）系统包含声动未来、拳力以赴、面舞飞扬、动感平衡等不少于4个部分；(</w:t>
            </w:r>
            <w:r>
              <w:rPr>
                <w:rFonts w:hint="eastAsia" w:ascii="宋体" w:hAnsi="宋体" w:eastAsia="宋体" w:cs="宋体"/>
                <w:i w:val="0"/>
                <w:iCs w:val="0"/>
                <w:color w:val="000000"/>
                <w:sz w:val="20"/>
                <w:szCs w:val="20"/>
                <w:highlight w:val="red"/>
                <w:u w:val="none"/>
                <w:lang w:val="en-US" w:eastAsia="zh-CN" w:bidi="ar"/>
              </w:rPr>
              <w:t xml:space="preserve">提供“</w:t>
            </w:r>
            <w:r>
              <w:rPr>
                <w:rFonts w:hint="eastAsia" w:ascii="宋体" w:hAnsi="宋体" w:eastAsia="宋体" w:cs="宋体"/>
                <w:i w:val="0"/>
                <w:iCs w:val="0"/>
                <w:color w:val="000000"/>
                <w:sz w:val="20"/>
                <w:szCs w:val="20"/>
                <w:highlight w:val="none"/>
                <w:u w:val="none"/>
                <w:lang w:val="en-US" w:eastAsia="zh-CN" w:bidi="ar"/>
              </w:rPr>
              <w:t xml:space="preserve">多元智动减压系统”检测报告扫描件及功能界面截图加盖厂家公章)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（2）系统包含拳击、呐喊、体感互动多维一体的减压形式；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w:t>
            </w:r>
            <w:r>
              <w:rPr>
                <w:rFonts w:hint="eastAsia" w:ascii="宋体" w:hAnsi="宋体" w:eastAsia="宋体" w:cs="宋体"/>
                <w:i w:val="0"/>
                <w:iCs w:val="0"/>
                <w:color w:val="000000"/>
                <w:sz w:val="20"/>
                <w:szCs w:val="20"/>
                <w:highlight w:val="red"/>
                <w:u w:val="none"/>
                <w:lang w:val="en-US" w:eastAsia="zh-CN" w:bidi="ar"/>
              </w:rPr>
              <w:t xml:space="preserve">提供</w:t>
            </w:r>
            <w:r>
              <w:rPr>
                <w:rFonts w:hint="eastAsia" w:ascii="宋体" w:hAnsi="宋体" w:eastAsia="宋体" w:cs="宋体"/>
                <w:i w:val="0"/>
                <w:iCs w:val="0"/>
                <w:color w:val="000000"/>
                <w:sz w:val="20"/>
                <w:szCs w:val="20"/>
                <w:highlight w:val="none"/>
                <w:u w:val="none"/>
                <w:lang w:val="en-US" w:eastAsia="zh-CN" w:bidi="ar"/>
              </w:rPr>
              <w:t xml:space="preserve">“多元智动减压系统”检测报告扫描件及功能界面截图加盖厂家公章)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（4）拳力以赴提供极速超越、拳速前进、泳无止境、活力拳击等不少于4个训练项目，连接击打仪，通过加速度传感器和数据处理算法，捕获用户的击打力度、频率，通过蓝牙传输心跳速率和血氧饱和度数据；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（5）面舞飞扬提供深海智航、星际奇航、食趣精灵等不少于3个训练项目，通过摄像头捕获脸部和头部动作，具备面部识别能力。可查看训练介绍，了解训练玩法；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提供“多元智动减压系统”检测报告扫描件及功能界面截图加盖厂家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（7）训练过程中，系统会提供加油鼓励的动画和正向语音语库，包括涵盖工作、学习、情绪、社会等不少于8大类；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（8）训练结束后系统自动统计并上传训练数据，如用户ID、训练项目、训练时长、训练结果等；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3、支持与云平台实现用户数据对接，实现用户信息的录入、保存、批量导入、删除、报告查看，数据分析等管理功能。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二、硬件参数：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1、使用终端：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（1）尺寸：≥长950mm*宽500mm，可触控；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（2）分辨率：≥1920*1080；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（3）处理器：四核2.4GHzCortex-A76+四核1.8GHzCortex-A55；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（4）内存：≥8G；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（5）储存空间：≥64G；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（6）音频接口：喇叭输出（支持左右声道输出，最在支持双20W/4R，10W/8R），MICIN*1；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（7）USB接口：≥1个USB3.0OTG，≥6个USBHOST；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（8）串口：2个232，2个TTL；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（9）网络接口：10/100BASE-T以太网接口，内置Wifi，支持蓝牙4.2；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（10）摄像头：有效像素≥1920*1080；有效焦距≥3.95mm；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2、表面材质：前覆钢化玻璃；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3、机体工艺：铝合金氧化边框；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4、整机尺寸：≥长1050mm*宽450mm*高1750mm；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5、立式击打宣泄靶：总高度≥1700mm，击打靶底座直径≥600mm；靶心直径≥300mm，高≥1030mm；击打靶材质为硅胶；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6、蓝牙模块：内含陀螺仪检测人体的运动量，含蓝牙数据传输模块，蓝牙传输距离≥10米；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7、无线采集器：测量血氧饱和度和脉率，OLED显示。尺寸≥55mm*35mm，血氧饱和度测量范围0-100%，脉率测量范围25-250bpm。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动感单车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1、运动减压区：包括跑跑乐、越野竞技、障碍酷跑、骑行探险等游戏。可通过单车前把按钮控制系统运行，将系统与单车互联结合，通过单车阻力大小的细腻变化增强使用者的骑行趣味性。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呐喊宣泄区：包括砸金蛋、快乐骑行、心灵之旅等游戏。为保证真正实现心理宣泄的效果，不仅在游戏中加入呐喊功能，通过呐喊分贝的大小来击碎游戏进程中的石头，达到宣泄效果。还设计了通过骑行速度、心率控制来通过游戏关卡的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休闲放松区：通过“钢铁城市、节奏电音、四季初见、梦幻蝶舞”不同的场景，加入自行选择“大气磅礴、幻境美梦、恋爱回忆、青春活力、轻柔舒缓、夏日青春、遇见森林等”音乐节奏来实现休闲放松的骑行场景。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4、档案区：自动生成用户使用档案，包括消耗卡路里、运动历程等数据。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5、登录界面：注册登录功能，生成自己的账号，便于记录、统计个人的运动数据。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6、操作台四色按键控制系统：四色按键分别是向左向右返回确定。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二、产品配置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1、基本参数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单车尺寸：≥105cm*65cm*125cm；净重30kg；车架采用人体工学设计，让使用者感觉更轻松；前扶手可上下自行调节以适应不同体形的使用者；可上下调整单车座位，使用者可根据需要自行调节；脚踏采用脚尖全包设计，防止脚掌踩空，更安全；前移动轮设计，移动轻巧、方便；与软件配套变更单车阻力，使用户有更真实的体验、系统可以无线数据传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（2）使用终端尺寸：≥L240mm*W155mm*H8mm；设备自身集成摄录像、蓝牙、扩展口、互联网等功能。运行速度流畅，多点式触摸，使用方便，携带方便，视觉体验出众。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2、产品特点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（1）采用飞梭中控控制阻力；自发电功能；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（2）按键操作方向转弯，骑行决定人物速度心率采集实时显示；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（3）运动过程中，游戏软件中根据场景坡度变化自由变化，体验真实户外骑行；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（4）单车采用磁控轮结构，IPCS曲柄，扎实不易变形，脚踏锁定，防止脚掌踩空，脚踏安全系数更高，增加运动惯性；升降坐垫，高度可调老少适用；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（5）丰富多彩的游戏中渗透着积极心理学的理念，心率、热量消耗实时显示，使得运动者在游戏的乐趣中不但更好地宣泄放松，而且提高了自身的心肺功能等。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3、4D互动仿真训练系统；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4、车把智能操控系统；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5、生理指标监测反馈系统；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6、训练评估指导管理系统为一体的多维运动宣泄系统。</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校园心育系统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一、技术概述：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系统架构：整个系统基于SAAS云部署，采用应用服务器+数据库+客户端浏览器的运行模式。服务器端通过在计算机云端集群上搭建基于Spring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浏览器为操作界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2、数据库：使用MySQL作为数据库管理平台，同时采用分布式文件存储数据库MongoDB存储大数据内容，能高效检索和做数据分析；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3、系统部署：整个微服务系统采用容器进行部署，并使用容器编排管理；支持分布式均衡负载、多级节点部署，用户按需接入服务；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4、数据安全：采用用户权限管理、鉴权加密、数据库加密、磁盘阵列服务器等多种安全策略保护信息安全。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二、基础数据中心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1、支持部门、角色以及人员管理和设置，包含部门管理、角色管理、老师管理、学生管理等功能；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2、支持部门管理：为每个部门添加多个年级，为每个年级添加多个班级。可以添加、编辑和删除年级和班级，支持批量导入部门；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3、支持角色管理：自定义添加角色，并为角色分配相应的系统模块权限；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4、支持老师管理：添加、修改、删除信息和分配角色，包括姓名、生日、性别、手机号、部门等，支持批量导入与下载数据，并可批量调整所属部门；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5、支持学生管理：添加、修改、删除信息和分配角色，包括账号、姓名、密码、性别、生日、部门等，支持单个添加及批量导入、下载信息，并可批量调整所在班级；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6、支持用户导入：下载导入模板，批量导入，自动生成登录账号、密码及机构信息；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7、支持权限设置：层级化权限管理，权限可细化至具体功能模块的菜单级别，支持自定义设置角色查看模块权限；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8、支持添加的用户，互通登录云平台和云平台对应相同的硬件设备。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9、AI心理助手：支持通过心理助手快速询问系统常见问题，并通过心理助手完成导入学生和导入部门等操作。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三、家校心育中心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1、支持心理预约：开放预约时间表，并提供心理咨询服务预约通道；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2、支持心理普查：可在平台完成学校的心理普查和测评、家庭教育调研等工作；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3、支持家校共育：针对学生的问题，在家校间进行观察、跟踪和问题上报，并支持在对应学生校园心理辅导期间通过此模块完成辅导治疗家庭作业；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心理知识科普：内容涵盖学习心理、人际关系、生活、性格等层面，围绕问题相关的情绪、思维、行为、认知评价等展开；课程内容包括“如何引导爱玩手机的孩子”、“如何预防和减少青春期逆反”、“如何识别孩子心理健康预警信号”、“如何培养孩子热爱父母的优秀品格”等，且内容会定期常态化更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校园心理活动：学校机构能够自主管理并发布各类心理活动，包括活动详情、时间、地点等关信息，通过智能化的管理平台，学校机构可以追踪活动的发布状态，实时活动进展。学生只需通过线上平台，即可完成活动报名；学校机构可发布各类社区信息，包括但不限于心理健康知识、成长建议、活动预告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6、异常情况上报：支持在教师端/家长端上传问题学生异常情况至心理健康中心，支持结构化表单填写问题状况，并自动区分其预警等级；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7、支持校内辅导：支持教师端/家长端对申请辅导的学生进行同意并查看辅导记录；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8、心情记录：支持记录当天心情和发布动态内容，查看每月心情记录；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9、自我探索：支持提供认识自我、学会学习、升学与择业、社会与适应、人际交往等不少于五种类型量表，支持测评和查看报告。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四、危机管理中心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危机管理中心包括概况、心理筛查、危机预警、心理辅导、档案管理、排版预约、其他管理等功能。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1、支持概况总览：包括总人数、预警人数、危机人数、报告数等；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2、支持发起普查：支持自定义发布普查计划，含普查名称、普查说明、普查开始、结束时间、发布范围、发布对象、报告查看权限、量表选择等；（</w:t>
            </w:r>
            <w:r>
              <w:rPr>
                <w:rFonts w:hint="eastAsia" w:ascii="宋体" w:hAnsi="宋体" w:eastAsia="宋体" w:cs="宋体"/>
                <w:i w:val="0"/>
                <w:iCs w:val="0"/>
                <w:color w:val="000000"/>
                <w:sz w:val="20"/>
                <w:szCs w:val="20"/>
                <w:highlight w:val="red"/>
                <w:u w:val="none"/>
                <w:lang w:val="en-US" w:eastAsia="zh-CN" w:bidi="ar"/>
              </w:rPr>
              <w:t xml:space="preserve">提供</w:t>
            </w:r>
            <w:r>
              <w:rPr>
                <w:rFonts w:hint="eastAsia" w:ascii="宋体" w:hAnsi="宋体" w:eastAsia="宋体" w:cs="宋体"/>
                <w:i w:val="0"/>
                <w:iCs w:val="0"/>
                <w:color w:val="000000"/>
                <w:sz w:val="20"/>
                <w:szCs w:val="20"/>
                <w:highlight w:val="none"/>
                <w:u w:val="none"/>
                <w:lang w:val="en-US" w:eastAsia="zh-CN" w:bidi="ar"/>
              </w:rPr>
              <w:t xml:space="preserve">“校园心育系统”检测报告扫描件并加盖厂家公章）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普查列表：普查动态：可对测评计划的测评进度按照已普查人数、未普查人数等状态进行统计，形成统计图表；查看普查报告包含普查筛查标准、筛查工具、心理测试分析、预警名单、对策与建议；预警名单可对普查存在风险或问题的人员进行识别预警级别和名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4、支持异常上报：支持查看老师或家长上传的问题学生信息，支持查看问题上报内容并对异常上报学生进行流转预警处理。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5、支持量表评估：支持通过使用标准化的心理测量工具来评估受测者在某些特定领域的心理特征或状态，可针对普查预警名单人员发起二次测评操作；心理访谈：心理工作者与受测者的交谈；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6、支持观察记录：记录个体的信息，在生活中的行为和情绪变化、学习表现、思维等信息；共享观察记录：支持观察记录数据共享；观察数据删除；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7、支持校外转介：管理校内学生转介或在外医院心理治疗信息，下载建议书：提供文档下载功能；心理诊断报告：支持上传学生医院诊断信息并存档；支持对学生的休学、复学状态进行变更和记录；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支持心理预警库：支持查看由普查或异常上报预警流转人员信息，支持对人员量表评估、心理访谈、观察记录的发起和查看；支持对同意评估的预警学生发送《评估登记表》，了解学生家庭情况、在学校的情况、重大事件、情绪和行为；支持调整人员预警等级；支持在心理访谈完善情况下使用智能评估结合学生访谈情况和历史量表信息自动生成评估诊断参考信息；支持通过智能分析帮助老师定位学生危机程度和问题类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9、支持个体危机管理：支持危机干预：危机干预包括校内辅导、校外转介等；流转：对用户的预警级别进行流转；（</w:t>
            </w:r>
            <w:r>
              <w:rPr>
                <w:rFonts w:hint="eastAsia" w:ascii="宋体" w:hAnsi="宋体" w:eastAsia="宋体" w:cs="宋体"/>
                <w:i w:val="0"/>
                <w:iCs w:val="0"/>
                <w:color w:val="000000"/>
                <w:sz w:val="20"/>
                <w:szCs w:val="20"/>
                <w:highlight w:val="red"/>
                <w:u w:val="none"/>
                <w:lang w:val="en-US" w:eastAsia="zh-CN" w:bidi="ar"/>
              </w:rPr>
              <w:t xml:space="preserve">提供</w:t>
            </w:r>
            <w:r>
              <w:rPr>
                <w:rFonts w:hint="eastAsia" w:ascii="宋体" w:hAnsi="宋体" w:eastAsia="宋体" w:cs="宋体"/>
                <w:i w:val="0"/>
                <w:iCs w:val="0"/>
                <w:color w:val="000000"/>
                <w:sz w:val="20"/>
                <w:szCs w:val="20"/>
                <w:highlight w:val="none"/>
                <w:u w:val="none"/>
                <w:lang w:val="en-US" w:eastAsia="zh-CN" w:bidi="ar"/>
              </w:rPr>
              <w:t xml:space="preserve">“校园心育系统”检测报告扫描件并加盖厂家公章）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支持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11、支持普查档案：对个人普查档案进行管理；个人普查档案包含基本信息、因子得分、总体分析等内容；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支持排班管理：支持老师排班管理，对心理老师进行预约时段、预约次数进行排班设置，可设置、修改、删除预约的初始时间段和结束时间段；支持预约排班查看，可查看心理老师预约排班情况，含用户姓名，预约起始时间，是否完成等；（提供“校园心育系统”检测报告扫描件并加盖厂家公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13、支持危机上报：支持将对应材料上报至上级机构（诊断书、家校观察记录、心理访谈记录、量表评估）；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14、支持上报管理：普查上报：查看下级对上级进行上报的普查数据；普查档案上报：支持查看下级对上级进行上报的普查档案数据；危机上报：支持查看下级对上级进行上报的危机预警数据。（</w:t>
            </w:r>
            <w:r>
              <w:rPr>
                <w:rFonts w:hint="eastAsia" w:ascii="宋体" w:hAnsi="宋体" w:eastAsia="宋体" w:cs="宋体"/>
                <w:i w:val="0"/>
                <w:iCs w:val="0"/>
                <w:color w:val="000000"/>
                <w:sz w:val="20"/>
                <w:szCs w:val="20"/>
                <w:highlight w:val="red"/>
                <w:u w:val="none"/>
                <w:lang w:val="en-US" w:eastAsia="zh-CN" w:bidi="ar"/>
              </w:rPr>
              <w:t xml:space="preserve">提供</w:t>
            </w:r>
            <w:r>
              <w:rPr>
                <w:rFonts w:hint="eastAsia" w:ascii="宋体" w:hAnsi="宋体" w:eastAsia="宋体" w:cs="宋体"/>
                <w:i w:val="0"/>
                <w:iCs w:val="0"/>
                <w:color w:val="000000"/>
                <w:sz w:val="20"/>
                <w:szCs w:val="20"/>
                <w:highlight w:val="none"/>
                <w:u w:val="none"/>
                <w:lang w:val="en-US" w:eastAsia="zh-CN" w:bidi="ar"/>
              </w:rPr>
              <w:t xml:space="preserve">“校园心育系统”检测报告扫描件</w:t>
            </w:r>
            <w:r>
              <w:rPr>
                <w:rStyle w:val="1296"/>
                <w:color w:val="000000"/>
                <w:highlight w:val="none"/>
                <w:lang w:val="en-US" w:eastAsia="zh-CN" w:bidi="ar"/>
              </w:rPr>
              <w:t xml:space="preserve">并加盖厂家公章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五、智慧心大数据中心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支持机构数据：以学校为单位的数据查看与分析；查看当前教师总数、查看到心理老师、普通老师、班主任等师资分布比例和数量；查看学生总人数、学生男女性别分布；查看学生年级人数分布分析；查看一定时间范围内新增和日活的数据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2、支持普查数据：查看机构心理普查的次数以及测评次数；可查看普查类型、人数、档案数、预警人数等数据；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3、支持资源数据：查看资源总数、资源观看情况、资源类型统计等数据；查看主题活动总数、活动数据统计等数据；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4、支持设备数据：查看区域内功能室数据、设备总数、使用情况、分布情况、运行情况、报告数等。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六、物联设备管理（与已有终端设备连接）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1、校园心育系统统一、集中、汇总性的报表系统，所有统计分析类的数据，包括数据总览，明细列表，图表分析展示、列表展示、数据搜索等数据报表；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2、支持查看所购买过的并且有权限同时已上云的设备APP使用的数据概览和使用数据的明细列表，并且可以通过跟踪筛选条件进行分维度筛选；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3、支持查看云平台自身系统的使用数据，作为用户行为数据分析和用户行为数据的日志数据，并且在有权限的情况下可以查看明细；通过用户行为数据分析也可以得出一些参考指导建议。</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心理教室、教师办公室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档案柜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1、参考尺寸：840*400*2000mm±10mm；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3、工艺：所有板材厚度≥18mm实木多层免漆板，封边采用厚度≥1mm塑制封边条机械四边封边，连接采用五金螺丝，金属防锈带阻尼铰链，上柜木框钢化玻璃门；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4、功能：上部木框钢化玻璃对开门、三层置物空间，下部对开木门、两层置物空间，层板均采用活动可自由调节形式，上下柜门采用免拉手斜边设计。</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卫生保健室、诊室</w:t>
            </w:r>
            <w:r>
              <w:rPr>
                <w:rFonts w:hint="eastAsia" w:ascii="宋体" w:hAnsi="宋体" w:eastAsia="宋体" w:cs="宋体"/>
                <w:b/>
                <w:bCs/>
                <w:i w:val="0"/>
                <w:iCs w:val="0"/>
                <w:color w:val="000000"/>
                <w:sz w:val="20"/>
                <w:szCs w:val="20"/>
                <w:highlight w:val="none"/>
                <w:u w:val="none"/>
              </w:rPr>
            </w:r>
            <w:r/>
          </w:p>
        </w:tc>
      </w:tr>
      <w:tr>
        <w:trPr>
          <w:trHeight w:val="16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护理床</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1、参考尺寸：床体尺寸210*96*50cm，床面尺寸200*90cm；，便孔尺寸25*26cm，床垫厚度6cm；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2、调节角度：曲腿角度-70~30，起背角度0~75，翻身角度0~50，钢板厚度1.2mm；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3、材质：床体采用冷轧冲压钢材，ABS床头床尾；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4、功能：采用带刹车静音脚轮，采用精钢折叠摇柄，木质餐桌板。</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卫生保健室、处置室</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移动屏风</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1、参考尺寸：2000*1800mm±10mm；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2、材质：无磁钢管，防水布，静音万向轮；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3、工艺：四折屏风。</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卫生保健室、处置室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1、规格：桌1400*700*750mm±10mm、柜400*450*600±10mm；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2、材质：实木多层免漆板+钢架；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厚度≥25mm实木多层免漆板，柜体采用厚度≥18mm实木多层免漆板，封边采用厚度≥1mm塑制封边条机械四边封边，桌台面下设理线架。桌腿采用规格30*60mm、壁厚≥1.5mm扁管口字脚，钢脚中间为上线盒，钢架表面经酸洗磷化喷塑处理。挡板采用厚度≥1mm钢板，桌面含插座网线位置预留。钢架办公桌加3抽屉柜组合，采用镀锌阻尼缓冲铰链、消音三节抽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1、规格：580*580*900/1000mm±10mm；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2、椅背：透气网布，背框采用高强度尼龙，S型设计；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3、坐垫：透气网布，填充记忆阻燃海绵；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4、气杆：国标SGS3级气杆正常上下申缩10万次不漏气；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5、五星脚：PP加纤材质，重量可承受厚度≥800公斤；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6、轮子：耐磨防滑尼龙轮。</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诊察床</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1、参考尺寸：1880*600*670mm±10mm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3、工艺：床框采用规格≥40*20*1.0mm矩管焊接；床腿采用规格≥30*30*1.0圆管焊接。床面采用木板包覆以海绵和人造革制成；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4、功能：用来勘察病人具体情况用的病床。</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诊察凳</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1、参考尺寸：400*300*420mm±10mm：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2、材质：橡胶木实木机拼板+钢架：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凳面采用厚度25mm橡胶木实木机拼板、所有板边倒圆边圆角，板面无结疤、光滑无毛刺；油漆采用环保木器底漆、面漆，五底三面油漆工艺，清晰体现实木质感；钢制桌腿规格30*30mm、壁厚≥1.5mm，凳架经酸洗磷化哑光黑色喷塑处理。</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药品橱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1、参考尺寸：850*500*1800mm±10mm；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2、材质：冷轧钢板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3、工艺：全钢框架，冷轧钢板，不锈钢台面，上部玻璃柜门，下部钢制对开门内设隔板一层，中间部分抽屉两组。</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144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候诊椅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1、参考尺寸：1750*650*780mm±10mm；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2、材质：仿皮面料+冷扎钢板；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扶手底脚采用注塑机一次压塑成形，座板采用厚度≥1.0mm冷扎钢板，除锈处理后喷涂底漆后喷闪银漆。底部横梁壁厚≥1.5mm三角钢管，喷涂户外漆粉。采用厚度≥20mm高密度海棉和厚度≥100mm夹层木板，面料采用仿皮面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19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1、参考尺寸：1400*500*800mm±10mm；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2、结构：实木多层免漆板+大理石；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3、台面：采用厚度≥15mm大理石，边缘加厚至30mm；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4、柜体：所有板材厚度≥18mm实木多层免漆板，封边采用厚度≥1mm塑制封边条机械四边封边，三合一连接件组装；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5、铰链：采用金属防锈带阻尼铰链；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6、拉手：采用免拉手设计；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7、功能：含304不锈钢水槽、铜质冷热水龙头1套。</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给排水系统</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1、室内上下水接管线、按规范；PPR进水管、PVC出水管，三角阀，并增设油污过滤装置。</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120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身高坐高体重计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1、最大秤量：200kg；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2、最小秤量：2kg；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3、分度值：100g；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4、显示：LCD(带背光)；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5、身高计测量范围：70cm~190cm，分度值0.5cm。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药品箱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参考规格345*250*200mm，铝合金框架，铝塑面板，内置隔层。</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落地蛇形灯</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不锈钢灯罩，立杆，蛇形软管，开关灯口；底座为20*40mm矩形管焊接；照明用。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综合应急包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大号铝合金外箱，内置绷带，纱布，创可贴，胶布等常用设备。</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污物箱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不锈钢外筒，塑料内筒，容积12L。脚踏式启闭。φ240mm。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血压计</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水银柱式，铝合金外壳，附带袖带、充气球等，方便教师及学生培训使用。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72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对数灯光视力表</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采用《标准对数视力表》，金属外壳，功率≥60W，双灯管光源，双路开关，保险管。有机板面板，印刷标准为标准对数视力表。外形参考尺寸920*290*80mm。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课桌椅测量尺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三折木质，长度200CM，最小分度值0.5cm。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放大镜</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通光直径不小于100mm。</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复苏安妮（带光电感应）</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模拟复苏人体模型，可人工手位胸外按压，可人工口对口呼吸等多功能，方便教师及学生培训使用，提供相关培训说明资料。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轮椅</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低靠背，两大轮两小轮，带刹车。</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颈托、夹板、三角巾</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颈托为高分子材质，夹板为木质外包纯棉布，海绵，三块一组，三角巾为一次性灭菌包。</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简易呼吸器（复苏球）</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压缩呼吸球，手动动力源，由压缩球、面罩等配件组成，方便教师及学生培训使用，提供相关培训说明资料。。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冰袋</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物理降温专用。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969</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热敷袋</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热敷袋，橡塑制品。</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970</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听诊器</w:t>
            </w:r>
            <w:r>
              <w:rPr>
                <w:rFonts w:hint="eastAsia" w:ascii="宋体" w:hAnsi="宋体" w:eastAsia="宋体" w:cs="宋体"/>
                <w:i w:val="0"/>
                <w:iCs w:val="0"/>
                <w:color w:val="000000"/>
                <w:sz w:val="20"/>
                <w:szCs w:val="20"/>
                <w:highlight w:val="none"/>
                <w:u w:val="none"/>
              </w:rPr>
            </w:r>
            <w:r/>
          </w:p>
        </w:tc>
        <w:tc>
          <w:tcPr>
            <w:shd w:val="clear" w:color="auto" w:fill="ffffff"/>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由听头，橡塑导管，耳塞架组成。</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971</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单人担架</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折叠式，参考规格：2000*550*100mm，金属管材支架，牛津帆布面料。承重160kg以上。</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972</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辨色图谱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图册式，上海科技出版社。</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973</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双拐</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铝合金制，九档可调，称重不低于70kg。</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48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974</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止血带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卡扣式</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9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975</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手推车</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1、参考规格：800*500*900mm；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3、功能：大容量抽屉、加高护栏、网篮、利器盒、双污桶、万向轮。</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976</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冰箱</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1、变频/定频：定频；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2、高度：170.1-180cm；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3、控温方式：机械控温；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4、门个数：3个；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5、制冷方式：直冷；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6、宽度：≥60cm；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7、深度：50.1-55cm；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8、运转音：不大于37dB(A)；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9、总容积：≥218L。</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819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977</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自动体外除颤仪（AED）</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1、整机重量（含电池）不大于2.6kg，设备本身具备便携把手，不需要额外便携包，具备高便携性；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2、抗冲击/跌落性能：具备优异的抗冲击/跌落性能，机器六面均可承受1.5m跌落冲击；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3、防尘防水级别：设备具有良好的防尘防水设计，防尘防水级别IP55；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4、工作温度范围至少满足 -5ºC ～ 50ºC，且从室温环境下进入-20ºC 环境后，至少能工作60分钟；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5、采用双相波技术，双相指数截断（BTE）波形，波形参数可根据病人阻抗进行自动补偿；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6、能量可递增，首次除颤没有消除室颤时，第二次和第三次电击自动使用更高级别能量。成人最大除颤能量可达 360J；</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7、从开机到200J放电准备就绪用时7S；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8、一次性电极片及一次性电池出厂有效期60 个月。一次性电池在适合条件下，可以支持350 次 200J 放电或≥200 次 360J 放电；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9、可检测电池低电量并给出报警提示，低电量报警后至少还可持续30分钟工作时间和至少10次200J除颤充放电（适合条件下）；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10、7英寸彩屏，屏幕分辨率不低于 780×480，有清晰的动画指导贴放多功能电极片，心肺复苏（CPR)等操作，提高对普通施救人员的操作指导、准确施救；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11、智能环境除噪：根据环境自动调整屏幕亮度和音量，适应野外强光环境下和急救现场嘈杂环境下使用；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12、采用开盖开机方式，符合施救者直觉设计，不需要按键才能开机，避免施救者在忙乱抢救时因不知道按开关键开机而延误施救；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13、语音提示提供中英文双语支持，可一键快速切换中英文，符合公共领域使用要求；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14、支持成人/小儿患者类型快速一键切换，可根据病人类型自动切换提示信息、除颤能量和CPR按压模式；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15、具备录音功能，可保存60分钟抢救现场录音；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16、数据存储：可存储 ECG 波形数据、事件数据、录音数据、急救数据（有急救时间、CPR 持续时间、放电次数等要素）等，可存储1000 份自检报告。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17、支持USB接口，可通过外部USB闪存设备导出抢救记录数据；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18、具备自检功能：具备每日、每周、每月、每季度的设备自检和用户手动自检，可及时判断机器状态是否正常；自检反馈：根据自检结果，红灯/绿灯显示设备状态，不开机情况下可提示故障；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19、有心律分析数据库支撑，设备可除颤节律分析算法性能应包含以下评测数据库：CU数据库、VFDB数据库、MIT-BIH 数据库；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20、适合教师及学生训练使用，提供相关培训说明资料。</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r>
        <w:trPr>
          <w:trHeight w:val="2160"/>
        </w:trPr>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978</w:t>
            </w:r>
            <w:r>
              <w:rPr>
                <w:rFonts w:hint="eastAsia" w:ascii="宋体" w:hAnsi="宋体" w:eastAsia="宋体" w:cs="宋体"/>
                <w:i w:val="0"/>
                <w:iCs w:val="0"/>
                <w:color w:val="000000"/>
                <w:sz w:val="20"/>
                <w:szCs w:val="20"/>
                <w:highlight w:val="none"/>
                <w:u w:val="none"/>
              </w:rPr>
            </w:r>
            <w:r/>
          </w:p>
        </w:tc>
        <w:tc>
          <w:tcPr>
            <w:tcW w:w="729" w:type="dxa"/>
            <w:vAlign w:val="center"/>
            <w:textDirection w:val="lrTb"/>
            <w:noWrap/>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自动体外除颤仪练习机</w:t>
            </w:r>
            <w:r>
              <w:rPr>
                <w:rFonts w:hint="eastAsia" w:ascii="宋体" w:hAnsi="宋体" w:eastAsia="宋体" w:cs="宋体"/>
                <w:i w:val="0"/>
                <w:iCs w:val="0"/>
                <w:color w:val="000000"/>
                <w:sz w:val="20"/>
                <w:szCs w:val="20"/>
                <w:highlight w:val="none"/>
                <w:u w:val="none"/>
              </w:rPr>
            </w:r>
            <w:r/>
          </w:p>
        </w:tc>
        <w:tc>
          <w:tcPr>
            <w:tcW w:w="3008"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1、参考规格：(宽x长x高)：21cm*28.6cm*7.8cm；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2、电池：DC12V，8节5号(AA)电池；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3、显示屏：≥7“TFT；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4、按键：语言切换键，成人/小儿模式切换键、电击键；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5、CPR节奏音：30：2, 15：2；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6、基本训练场景：≥6个；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7、模拟电极片连接状态：已连接、未连接；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8、模拟可电击节律：可电击、不建议电击；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9、模拟放电模式：半自动、全自动。</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73" w:type="dxa"/>
            <w:vAlign w:val="center"/>
            <w:textDirection w:val="lrTb"/>
            <w:noWrap w:val="false"/>
          </w:tcPr>
          <w:p>
            <w:pPr>
              <w:pStyle w:val="7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卫生保健室、保健室</w:t>
            </w:r>
            <w:r>
              <w:rPr>
                <w:rFonts w:hint="eastAsia" w:ascii="宋体" w:hAnsi="宋体" w:eastAsia="宋体" w:cs="宋体"/>
                <w:b/>
                <w:bCs/>
                <w:i w:val="0"/>
                <w:iCs w:val="0"/>
                <w:color w:val="000000"/>
                <w:sz w:val="20"/>
                <w:szCs w:val="20"/>
                <w:highlight w:val="none"/>
                <w:u w:val="none"/>
              </w:rPr>
            </w:r>
            <w:r/>
          </w:p>
        </w:tc>
      </w:tr>
    </w:tbl>
    <w:p>
      <w:pPr>
        <w:pStyle w:val="708"/>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★2.原材料环保要求</w:t>
      </w:r>
      <w:r>
        <w:rPr>
          <w:rFonts w:hint="eastAsia" w:ascii="宋体" w:hAnsi="宋体" w:cs="宋体"/>
          <w:b/>
          <w:bCs/>
          <w:color w:val="000000"/>
          <w:sz w:val="24"/>
          <w:szCs w:val="24"/>
          <w:highlight w:val="none"/>
        </w:rPr>
      </w:r>
      <w:r/>
    </w:p>
    <w:p>
      <w:pPr>
        <w:pStyle w:val="7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（1）供应商中标后，应提供家具材质清单、原材料产地证明，需就拟投入本项目生产的原材料和主要辅材进行送检，送检内容和受检机构需经采购人认可。</w:t>
      </w:r>
      <w:r>
        <w:rPr>
          <w:rFonts w:hint="eastAsia" w:ascii="宋体" w:hAnsi="宋体" w:cs="宋体"/>
          <w:bCs/>
          <w:color w:val="000000"/>
          <w:sz w:val="24"/>
          <w:szCs w:val="24"/>
          <w:highlight w:val="none"/>
        </w:rPr>
      </w:r>
      <w:r/>
    </w:p>
    <w:p>
      <w:pPr>
        <w:pStyle w:val="7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（2）原材料及辅材应符合国家规定的强制性环保指标。</w:t>
      </w:r>
      <w:r>
        <w:rPr>
          <w:rFonts w:hint="eastAsia" w:ascii="宋体" w:hAnsi="宋体" w:cs="宋体"/>
          <w:bCs/>
          <w:color w:val="000000"/>
          <w:sz w:val="24"/>
          <w:szCs w:val="24"/>
          <w:highlight w:val="none"/>
        </w:rPr>
      </w:r>
      <w:r/>
    </w:p>
    <w:p>
      <w:pPr>
        <w:pStyle w:val="708"/>
        <w:rPr>
          <w:rFonts w:hint="eastAsia" w:ascii="宋体" w:hAnsi="宋体" w:cs="宋体"/>
          <w:bCs/>
          <w:color w:val="000000"/>
          <w:sz w:val="24"/>
          <w:szCs w:val="24"/>
          <w:highlight w:val="none"/>
        </w:rPr>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708"/>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hint="eastAsia" w:ascii="宋体" w:hAnsi="宋体" w:cs="宋体"/>
          <w:bCs/>
          <w:color w:val="000000"/>
          <w:sz w:val="24"/>
          <w:szCs w:val="24"/>
          <w:highlight w:val="none"/>
        </w:rPr>
      </w:r>
      <w:r/>
    </w:p>
    <w:p>
      <w:pPr>
        <w:pStyle w:val="708"/>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供应商提供设备安装日程计划。 </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rFonts w:hint="eastAsia" w:ascii="宋体" w:hAnsi="宋体" w:cs="宋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（3）安全施工要求</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供应商应采取安全措施，确保施工安全。因本项目施工产生的施工人员和学校师生人身安全问题由供应商承担全部责任。 </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（4）验收要求</w:t>
      </w:r>
      <w:r>
        <w:rPr>
          <w:rFonts w:hint="eastAsia" w:ascii="宋体" w:hAnsi="宋体" w:cs="宋体"/>
          <w:bCs/>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①供应商提交的货物由采购人（或委托第三方专业机构）负责检测、验收。 不合格的，供应商必须免费整改直至合格为止。</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lang w:val="en-US" w:eastAsia="zh-CN"/>
        </w:rPr>
        <w:t xml:space="preserve">货物</w:t>
      </w:r>
      <w:r>
        <w:rPr>
          <w:rFonts w:hint="eastAsia" w:ascii="宋体" w:hAnsi="宋体" w:cs="宋体"/>
          <w:color w:val="000000"/>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③对交付质量有异议的货物，采购人可对供应商正式供货</w:t>
      </w:r>
      <w:r>
        <w:rPr>
          <w:rFonts w:hint="eastAsia" w:ascii="宋体" w:hAnsi="宋体" w:cs="宋体"/>
          <w:color w:val="000000"/>
          <w:sz w:val="24"/>
          <w:szCs w:val="24"/>
          <w:highlight w:val="none"/>
          <w:lang w:val="en-US" w:eastAsia="zh-CN"/>
        </w:rPr>
        <w:t xml:space="preserve">产品</w:t>
      </w:r>
      <w:r>
        <w:rPr>
          <w:rFonts w:hint="eastAsia" w:ascii="宋体" w:hAnsi="宋体" w:cs="宋体"/>
          <w:color w:val="000000"/>
          <w:sz w:val="24"/>
          <w:szCs w:val="24"/>
          <w:highlight w:val="none"/>
        </w:rPr>
        <w:t xml:space="preserve">随机抽取一件进行破坏性检测，被抽样检测</w:t>
      </w:r>
      <w:r>
        <w:rPr>
          <w:rFonts w:hint="eastAsia" w:ascii="宋体" w:hAnsi="宋体" w:cs="宋体"/>
          <w:color w:val="000000"/>
          <w:sz w:val="24"/>
          <w:szCs w:val="24"/>
          <w:highlight w:val="none"/>
          <w:lang w:val="en-US" w:eastAsia="zh-CN"/>
        </w:rPr>
        <w:t xml:space="preserve">产品</w:t>
      </w:r>
      <w:r>
        <w:rPr>
          <w:rFonts w:hint="eastAsia" w:ascii="宋体" w:hAnsi="宋体" w:cs="宋体"/>
          <w:color w:val="000000"/>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000000"/>
          <w:sz w:val="24"/>
          <w:szCs w:val="24"/>
          <w:highlight w:val="none"/>
          <w:lang w:val="en-US" w:eastAsia="zh-CN"/>
        </w:rPr>
        <w:t xml:space="preserve">货物</w:t>
      </w:r>
      <w:r>
        <w:rPr>
          <w:rFonts w:hint="eastAsia" w:ascii="宋体" w:hAnsi="宋体" w:cs="宋体"/>
          <w:color w:val="000000"/>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rPr>
          <w:rFonts w:hint="eastAsia" w:ascii="宋体" w:hAnsi="宋体" w:cs="宋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（5）质保（维保）及售后要求</w:t>
      </w:r>
      <w:r>
        <w:rPr>
          <w:rFonts w:hint="eastAsia" w:ascii="宋体" w:hAnsi="宋体" w:cs="宋体"/>
          <w:bCs/>
          <w:color w:val="000000"/>
          <w:sz w:val="24"/>
          <w:szCs w:val="24"/>
          <w:highlight w:val="none"/>
        </w:rPr>
      </w:r>
      <w:r/>
    </w:p>
    <w:p>
      <w:pPr>
        <w:pStyle w:val="708"/>
        <w:ind w:firstLine="480"/>
        <w:rPr>
          <w:color w:val="000000"/>
          <w:sz w:val="24"/>
          <w:szCs w:val="24"/>
          <w:highlight w:val="none"/>
        </w:rPr>
      </w:pPr>
      <w:r>
        <w:rPr>
          <w:color w:val="000000"/>
          <w:sz w:val="24"/>
          <w:szCs w:val="24"/>
          <w:highlight w:val="none"/>
        </w:rPr>
        <w:t xml:space="preserve">①</w:t>
      </w:r>
      <w:r>
        <w:rPr>
          <w:rFonts w:hint="eastAsia"/>
          <w:color w:val="000000"/>
          <w:sz w:val="24"/>
          <w:szCs w:val="24"/>
          <w:highlight w:val="none"/>
        </w:rPr>
        <w:t xml:space="preserve">本项目整体质保</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color w:val="000000"/>
          <w:sz w:val="24"/>
          <w:szCs w:val="24"/>
          <w:highlight w:val="none"/>
          <w:lang w:eastAsia="zh-CN"/>
        </w:rPr>
        <w:t xml:space="preserve">自验收报告签字确认日起，进入质保期</w:t>
      </w:r>
      <w:r>
        <w:rPr>
          <w:rFonts w:hint="eastAsia"/>
          <w:color w:val="000000"/>
          <w:sz w:val="24"/>
          <w:szCs w:val="24"/>
          <w:highlight w:val="none"/>
        </w:rPr>
        <w:t xml:space="preserve">），</w:t>
      </w:r>
      <w:r>
        <w:rPr>
          <w:color w:val="000000"/>
          <w:sz w:val="24"/>
          <w:szCs w:val="24"/>
          <w:highlight w:val="none"/>
        </w:rPr>
        <w:t xml:space="preserve">质保期内，每年维护保养1次，维护保养及更换损坏件的费用包含在投标总价中。</w:t>
      </w:r>
      <w:r>
        <w:rPr>
          <w:color w:val="000000"/>
          <w:sz w:val="24"/>
          <w:szCs w:val="24"/>
          <w:highlight w:val="none"/>
        </w:rPr>
      </w:r>
      <w:r/>
    </w:p>
    <w:p>
      <w:pPr>
        <w:pStyle w:val="708"/>
        <w:ind w:firstLine="480"/>
        <w:rPr>
          <w:color w:val="000000"/>
          <w:sz w:val="24"/>
          <w:szCs w:val="24"/>
          <w:highlight w:val="none"/>
        </w:rPr>
      </w:pPr>
      <w:r>
        <w:rPr>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rPr>
          <w:color w:val="000000"/>
          <w:sz w:val="24"/>
          <w:szCs w:val="24"/>
          <w:highlight w:val="none"/>
        </w:rPr>
      </w:r>
      <w:r/>
    </w:p>
    <w:p>
      <w:pPr>
        <w:pStyle w:val="708"/>
        <w:ind w:firstLine="480"/>
        <w:rPr>
          <w:rFonts w:hint="eastAsia"/>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 3 \* GB3 \* MERGEFORMAT </w:instrText>
      </w:r>
      <w:r>
        <w:rPr>
          <w:color w:val="000000"/>
          <w:sz w:val="24"/>
          <w:szCs w:val="24"/>
          <w:highlight w:val="none"/>
        </w:rPr>
        <w:fldChar w:fldCharType="separate"/>
      </w:r>
      <w:r>
        <w:rPr>
          <w:color w:val="000000"/>
          <w:sz w:val="24"/>
          <w:szCs w:val="24"/>
          <w:highlight w:val="none"/>
        </w:rPr>
        <w:t xml:space="preserve">③</w:t>
      </w:r>
      <w:r>
        <w:rPr>
          <w:color w:val="000000"/>
          <w:sz w:val="24"/>
          <w:szCs w:val="24"/>
          <w:highlight w:val="none"/>
        </w:rPr>
        <w:fldChar w:fldCharType="end"/>
      </w:r>
      <w:r>
        <w:rPr>
          <w:color w:val="000000"/>
          <w:sz w:val="24"/>
          <w:szCs w:val="24"/>
          <w:highlight w:val="none"/>
        </w:rPr>
        <w:t xml:space="preserve">质保期外，供应商提供</w:t>
      </w:r>
      <w:r>
        <w:rPr>
          <w:rFonts w:hint="eastAsia"/>
          <w:color w:val="000000"/>
          <w:sz w:val="24"/>
          <w:szCs w:val="24"/>
          <w:highlight w:val="none"/>
          <w:lang w:eastAsia="zh-CN"/>
        </w:rPr>
        <w:t xml:space="preserve">终身</w:t>
      </w:r>
      <w:r>
        <w:rPr>
          <w:color w:val="000000"/>
          <w:sz w:val="24"/>
          <w:szCs w:val="24"/>
          <w:highlight w:val="none"/>
        </w:rPr>
        <w:t xml:space="preserve">服务，在货物的设计使用寿命周期内，供应商能保证采购人更换到原厂正宗的备件材料，确保产品的正常使用。</w:t>
      </w:r>
      <w:r>
        <w:rPr>
          <w:rFonts w:hint="eastAsia"/>
          <w:color w:val="000000"/>
          <w:sz w:val="24"/>
          <w:szCs w:val="24"/>
          <w:highlight w:val="none"/>
        </w:rPr>
      </w:r>
      <w:r/>
    </w:p>
    <w:p>
      <w:pPr>
        <w:pStyle w:val="708"/>
        <w:ind w:firstLine="480"/>
        <w:rPr>
          <w:color w:val="000000"/>
          <w:sz w:val="24"/>
          <w:szCs w:val="24"/>
          <w:highlight w:val="none"/>
        </w:rPr>
      </w:pPr>
      <w:r>
        <w:rPr>
          <w:rFonts w:hint="eastAsia" w:ascii="宋体" w:hAnsi="宋体"/>
          <w:color w:val="000000"/>
          <w:sz w:val="24"/>
          <w:szCs w:val="24"/>
          <w:highlight w:val="none"/>
        </w:rPr>
        <w:t xml:space="preserve">（</w:t>
      </w:r>
      <w:r>
        <w:rPr>
          <w:rFonts w:hint="eastAsia"/>
          <w:color w:val="000000"/>
          <w:sz w:val="24"/>
          <w:szCs w:val="24"/>
          <w:highlight w:val="none"/>
        </w:rPr>
        <w:t xml:space="preserve">6</w:t>
      </w:r>
      <w:r>
        <w:rPr>
          <w:rFonts w:hint="eastAsia" w:ascii="宋体" w:hAnsi="宋体"/>
          <w:color w:val="000000"/>
          <w:sz w:val="24"/>
          <w:szCs w:val="24"/>
          <w:highlight w:val="none"/>
        </w:rPr>
        <w:t xml:space="preserve">）项目管理</w:t>
      </w:r>
      <w:r>
        <w:rPr>
          <w:color w:val="000000"/>
          <w:sz w:val="24"/>
          <w:szCs w:val="24"/>
          <w:highlight w:val="none"/>
        </w:rPr>
      </w:r>
      <w:r/>
    </w:p>
    <w:p>
      <w:pPr>
        <w:pStyle w:val="708"/>
        <w:ind w:firstLine="480"/>
        <w:rPr>
          <w:rFonts w:hint="eastAsia"/>
          <w:color w:val="000000"/>
          <w:sz w:val="24"/>
          <w:szCs w:val="24"/>
          <w:highlight w:val="none"/>
        </w:rPr>
      </w:pPr>
      <w:r>
        <w:rPr>
          <w:rFonts w:hint="eastAsia" w:ascii="宋体" w:hAnsi="宋体"/>
          <w:color w:val="000000"/>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rPr>
          <w:rFonts w:hint="eastAsia"/>
          <w:color w:val="000000"/>
          <w:sz w:val="24"/>
          <w:szCs w:val="24"/>
          <w:highlight w:val="none"/>
        </w:rPr>
      </w:r>
      <w:r/>
    </w:p>
    <w:p>
      <w:pPr>
        <w:pStyle w:val="708"/>
        <w:ind w:firstLine="480"/>
        <w:rPr>
          <w:rFonts w:hint="eastAsia"/>
          <w:color w:val="000000"/>
          <w:sz w:val="24"/>
          <w:szCs w:val="24"/>
          <w:highlight w:val="none"/>
        </w:rPr>
      </w:pPr>
      <w:r>
        <w:rPr>
          <w:rFonts w:hint="eastAsia" w:ascii="宋体" w:hAnsi="宋体"/>
          <w:color w:val="000000"/>
          <w:sz w:val="24"/>
          <w:szCs w:val="24"/>
          <w:highlight w:val="none"/>
        </w:rPr>
        <w:t xml:space="preserve">②投标人必须承诺在履约过程中，严格按照“南京市教育装备项目管理平台”的技术与管理规范，在规定的时间节点，提供相应的合同履约资料，包括照片。</w:t>
      </w:r>
      <w:r>
        <w:rPr>
          <w:rFonts w:hint="eastAsia"/>
          <w:color w:val="000000"/>
          <w:sz w:val="24"/>
          <w:szCs w:val="24"/>
          <w:highlight w:val="none"/>
        </w:rPr>
      </w:r>
      <w:r/>
    </w:p>
    <w:p>
      <w:pPr>
        <w:pStyle w:val="708"/>
        <w:ind w:firstLine="480"/>
        <w:rPr>
          <w:color w:val="000000"/>
          <w:sz w:val="24"/>
          <w:szCs w:val="24"/>
          <w:highlight w:val="none"/>
        </w:rPr>
      </w:pPr>
      <w:r>
        <w:rPr>
          <w:rFonts w:hint="eastAsia" w:ascii="宋体" w:hAnsi="宋体"/>
          <w:color w:val="000000"/>
          <w:sz w:val="24"/>
          <w:szCs w:val="24"/>
          <w:highlight w:val="none"/>
        </w:rPr>
        <w:t xml:space="preserve">③投标人必须承诺对所有进入固定资产的设备，按南京市的统一要求，通过“南京市教育装备项目管理平台”</w:t>
      </w:r>
      <w:r>
        <w:rPr>
          <w:rFonts w:hint="eastAsia"/>
          <w:color w:val="000000"/>
          <w:sz w:val="24"/>
          <w:szCs w:val="24"/>
          <w:highlight w:val="none"/>
        </w:rPr>
        <w:t xml:space="preserve">(</w:t>
      </w:r>
      <w:r>
        <w:rPr>
          <w:rFonts w:hint="eastAsia" w:ascii="宋体" w:hAnsi="宋体"/>
          <w:color w:val="000000"/>
          <w:sz w:val="24"/>
          <w:szCs w:val="24"/>
          <w:highlight w:val="none"/>
        </w:rPr>
        <w:t xml:space="preserve">南京市教育装备项目管理平台网址</w:t>
      </w:r>
      <w:r>
        <w:rPr>
          <w:rFonts w:hint="eastAsia"/>
          <w:color w:val="000000"/>
          <w:sz w:val="24"/>
          <w:szCs w:val="24"/>
          <w:highlight w:val="none"/>
        </w:rPr>
        <w:t xml:space="preserve">http://nj.cneefix.com)</w:t>
      </w:r>
      <w:r>
        <w:rPr>
          <w:rFonts w:hint="eastAsia" w:ascii="宋体" w:hAnsi="宋体"/>
          <w:color w:val="000000"/>
          <w:sz w:val="24"/>
          <w:szCs w:val="24"/>
          <w:highlight w:val="none"/>
        </w:rPr>
        <w:t xml:space="preserve">制作二维码标签，并张贴到设备上。</w:t>
      </w:r>
      <w:r>
        <w:rPr>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3.付款条件</w:t>
      </w:r>
      <w:r>
        <w:rPr>
          <w:rFonts w:hint="eastAsia" w:ascii="宋体" w:hAnsi="宋体" w:cs="宋体"/>
          <w:bCs/>
          <w:color w:val="000000"/>
          <w:sz w:val="24"/>
          <w:szCs w:val="24"/>
          <w:highlight w:val="none"/>
        </w:rPr>
      </w:r>
      <w:r/>
    </w:p>
    <w:p>
      <w:pPr>
        <w:pStyle w:val="708"/>
        <w:ind w:firstLine="480"/>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708"/>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708"/>
        <w:ind w:firstLine="480"/>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 xml:space="preserve">（1）交付时间：</w:t>
      </w:r>
      <w:r>
        <w:rPr>
          <w:rFonts w:hint="eastAsia" w:ascii="宋体" w:hAnsi="宋体" w:cs="宋体"/>
          <w:color w:val="000000"/>
          <w:sz w:val="24"/>
          <w:szCs w:val="24"/>
          <w:highlight w:val="none"/>
          <w:lang w:eastAsia="zh-CN"/>
        </w:rPr>
        <w:t xml:space="preserve">合同签订后30日历天内交付并完成安装调试及验收等相关工作。</w:t>
      </w:r>
      <w:r>
        <w:rPr>
          <w:rFonts w:hint="eastAsia" w:ascii="宋体" w:hAnsi="宋体" w:eastAsia="宋体" w:cs="宋体"/>
          <w:color w:val="000000"/>
          <w:sz w:val="24"/>
          <w:szCs w:val="24"/>
          <w:highlight w:val="none"/>
          <w:lang w:eastAsia="zh-CN"/>
        </w:rPr>
      </w:r>
      <w:r/>
    </w:p>
    <w:p>
      <w:pPr>
        <w:pStyle w:val="708"/>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（三）样品要求</w:t>
      </w:r>
      <w:r>
        <w:rPr>
          <w:rFonts w:hint="eastAsia" w:ascii="宋体" w:hAnsi="宋体" w:cs="宋体"/>
          <w:bCs/>
          <w:color w:val="000000"/>
          <w:sz w:val="24"/>
          <w:szCs w:val="24"/>
          <w:highlight w:val="none"/>
        </w:rPr>
      </w:r>
      <w:r/>
    </w:p>
    <w:p>
      <w:pPr>
        <w:pStyle w:val="7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1.供应商提供以下样品：制作标准和要求与本次采购对应产品的参数一致。</w:t>
      </w:r>
      <w:r>
        <w:rPr>
          <w:rFonts w:hint="eastAsia" w:ascii="宋体" w:hAnsi="宋体" w:cs="宋体"/>
          <w:color w:val="000000"/>
          <w:sz w:val="24"/>
          <w:szCs w:val="24"/>
          <w:highlight w:val="none"/>
        </w:rPr>
      </w:r>
      <w:r/>
    </w:p>
    <w:p>
      <w:pPr>
        <w:pStyle w:val="708"/>
        <w:ind w:firstLine="480"/>
        <w:spacing w:line="360" w:lineRule="auto"/>
        <w:rPr>
          <w:rFonts w:hint="eastAsia" w:ascii="宋体" w:hAnsi="宋体"/>
          <w:b/>
          <w:color w:val="000000"/>
          <w:sz w:val="22"/>
          <w:szCs w:val="22"/>
          <w:highlight w:val="none"/>
          <w:lang w:val="zh-CN"/>
        </w:rPr>
      </w:pPr>
      <w:r>
        <w:rPr>
          <w:rFonts w:hint="eastAsia" w:ascii="宋体" w:hAnsi="宋体"/>
          <w:b/>
          <w:color w:val="000000"/>
          <w:sz w:val="22"/>
          <w:szCs w:val="22"/>
          <w:highlight w:val="none"/>
          <w:lang w:val="zh-CN"/>
        </w:rPr>
        <w:t xml:space="preserve">2.供应商应在投标截止时间前将样品送至</w:t>
      </w:r>
      <w:r>
        <w:rPr>
          <w:rFonts w:hint="eastAsia" w:ascii="宋体" w:hAnsi="宋体"/>
          <w:b/>
          <w:color w:val="000000"/>
          <w:sz w:val="22"/>
          <w:szCs w:val="22"/>
          <w:highlight w:val="none"/>
          <w:lang w:val="en-US" w:eastAsia="zh-CN"/>
        </w:rPr>
        <w:t xml:space="preserve">南京建淳造价师事务所有限公司</w:t>
      </w:r>
      <w:r>
        <w:rPr>
          <w:rFonts w:hint="eastAsia" w:ascii="宋体" w:hAnsi="宋体"/>
          <w:b/>
          <w:color w:val="000000"/>
          <w:sz w:val="22"/>
          <w:szCs w:val="22"/>
          <w:highlight w:val="none"/>
          <w:lang w:val="zh-CN"/>
        </w:rPr>
        <w:t xml:space="preserve">（地址：南京市</w:t>
      </w:r>
      <w:r>
        <w:rPr>
          <w:rFonts w:hint="eastAsia" w:ascii="宋体" w:hAnsi="宋体"/>
          <w:b/>
          <w:color w:val="000000"/>
          <w:sz w:val="22"/>
          <w:szCs w:val="22"/>
          <w:highlight w:val="none"/>
          <w:lang w:val="en-US" w:eastAsia="zh-CN"/>
        </w:rPr>
        <w:t xml:space="preserve">建邺区江东中路186-1号宏普捷座7楼723室</w:t>
      </w:r>
      <w:r>
        <w:rPr>
          <w:rFonts w:hint="eastAsia" w:ascii="宋体" w:hAnsi="宋体"/>
          <w:b/>
          <w:color w:val="000000"/>
          <w:sz w:val="22"/>
          <w:szCs w:val="22"/>
          <w:highlight w:val="none"/>
          <w:lang w:val="zh-CN"/>
        </w:rPr>
        <w:t xml:space="preserve">  联系人：</w:t>
      </w:r>
      <w:r>
        <w:rPr>
          <w:rFonts w:hint="eastAsia" w:ascii="宋体" w:hAnsi="宋体"/>
          <w:b/>
          <w:color w:val="000000"/>
          <w:sz w:val="22"/>
          <w:szCs w:val="22"/>
          <w:highlight w:val="none"/>
          <w:lang w:val="en-US" w:eastAsia="zh-CN"/>
        </w:rPr>
        <w:t xml:space="preserve">金芸</w:t>
      </w:r>
      <w:r>
        <w:rPr>
          <w:rFonts w:hint="eastAsia" w:ascii="宋体" w:hAnsi="宋体"/>
          <w:b/>
          <w:color w:val="000000"/>
          <w:sz w:val="22"/>
          <w:szCs w:val="22"/>
          <w:highlight w:val="none"/>
          <w:lang w:val="zh-CN"/>
        </w:rPr>
        <w:t xml:space="preserve">  联系方式：</w:t>
      </w:r>
      <w:r>
        <w:rPr>
          <w:rFonts w:hint="eastAsia" w:ascii="宋体" w:hAnsi="宋体"/>
          <w:b/>
          <w:color w:val="000000"/>
          <w:sz w:val="22"/>
          <w:szCs w:val="22"/>
          <w:highlight w:val="none"/>
          <w:lang w:val="en-US" w:eastAsia="zh-CN"/>
        </w:rPr>
        <w:t xml:space="preserve">17715289656</w:t>
      </w:r>
      <w:r>
        <w:rPr>
          <w:rFonts w:hint="eastAsia" w:ascii="宋体" w:hAnsi="宋体"/>
          <w:b/>
          <w:color w:val="000000"/>
          <w:sz w:val="22"/>
          <w:szCs w:val="22"/>
          <w:highlight w:val="none"/>
          <w:lang w:val="zh-CN"/>
        </w:rPr>
        <w:t xml:space="preserve">），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rPr>
          <w:rFonts w:hint="eastAsia" w:ascii="宋体" w:hAnsi="宋体"/>
          <w:b/>
          <w:color w:val="000000"/>
          <w:sz w:val="22"/>
          <w:szCs w:val="22"/>
          <w:highlight w:val="none"/>
          <w:lang w:val="zh-CN"/>
        </w:rPr>
      </w:r>
      <w:r/>
    </w:p>
    <w:p>
      <w:pPr>
        <w:pStyle w:val="708"/>
        <w:ind w:firstLine="480"/>
        <w:spacing w:line="360" w:lineRule="auto"/>
        <w:rPr>
          <w:rFonts w:hint="eastAsia" w:ascii="宋体" w:hAnsi="宋体"/>
          <w:b/>
          <w:color w:val="000000"/>
          <w:sz w:val="22"/>
          <w:szCs w:val="22"/>
          <w:highlight w:val="none"/>
          <w:lang w:val="zh-CN"/>
        </w:rPr>
      </w:pPr>
      <w:r>
        <w:rPr>
          <w:rFonts w:hint="eastAsia" w:ascii="宋体" w:hAnsi="宋体"/>
          <w:b/>
          <w:color w:val="000000"/>
          <w:sz w:val="22"/>
          <w:szCs w:val="22"/>
          <w:highlight w:val="none"/>
          <w:lang w:val="zh-CN"/>
        </w:rPr>
        <w:t xml:space="preserve">3.样品提交时间：投标截止时间前半小时开始接收，投标截止时间后不再接受。</w:t>
      </w:r>
      <w:r>
        <w:rPr>
          <w:rFonts w:hint="eastAsia" w:ascii="宋体" w:hAnsi="宋体"/>
          <w:b/>
          <w:color w:val="000000"/>
          <w:sz w:val="22"/>
          <w:szCs w:val="22"/>
          <w:highlight w:val="none"/>
          <w:lang w:val="zh-CN"/>
        </w:rPr>
      </w:r>
      <w:r/>
    </w:p>
    <w:p>
      <w:pPr>
        <w:pStyle w:val="70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4.其他说明</w:t>
      </w:r>
      <w:r>
        <w:rPr>
          <w:rFonts w:hint="eastAsia" w:ascii="宋体" w:hAnsi="宋体" w:cs="宋体"/>
          <w:color w:val="000000"/>
          <w:sz w:val="24"/>
          <w:szCs w:val="24"/>
          <w:highlight w:val="none"/>
        </w:rPr>
      </w:r>
      <w:r/>
    </w:p>
    <w:p>
      <w:pPr>
        <w:pStyle w:val="70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（1）样品的所有费用由供应商承担。中标供应商的样品由采购人封存、保管，作为履约验收的参考。</w:t>
      </w:r>
      <w:r>
        <w:rPr>
          <w:rFonts w:hint="eastAsia" w:ascii="宋体" w:hAnsi="宋体" w:cs="宋体"/>
          <w:color w:val="000000"/>
          <w:sz w:val="24"/>
          <w:szCs w:val="24"/>
          <w:highlight w:val="none"/>
        </w:rPr>
      </w:r>
      <w:r/>
    </w:p>
    <w:p>
      <w:pPr>
        <w:pStyle w:val="7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（2）样品尺寸正负偏离不超过</w:t>
      </w:r>
      <w:r>
        <w:rPr>
          <w:rFonts w:ascii="宋体" w:hAnsi="宋体" w:cs="宋体"/>
          <w:color w:val="000000"/>
          <w:sz w:val="24"/>
          <w:szCs w:val="24"/>
          <w:highlight w:val="none"/>
        </w:rPr>
        <w:t xml:space="preserve">1cm</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90"/>
        <w:rPr>
          <w:rFonts w:hint="eastAsia"/>
          <w:color w:val="000000"/>
          <w:highlight w:val="none"/>
        </w:rPr>
      </w:pPr>
      <w:r>
        <w:rPr>
          <w:rFonts w:hint="eastAsia"/>
          <w:color w:val="000000"/>
          <w:highlight w:val="none"/>
        </w:rPr>
      </w:r>
      <w:r/>
    </w:p>
    <w:p>
      <w:pPr>
        <w:pStyle w:val="813"/>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13"/>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13"/>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13"/>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08"/>
        <w:rPr>
          <w:rFonts w:hint="eastAsia" w:ascii="宋体" w:hAnsi="宋体" w:eastAsia="宋体" w:cs="宋体"/>
          <w:b/>
          <w:bCs/>
          <w:color w:val="000000"/>
          <w:spacing w:val="-10"/>
          <w:sz w:val="36"/>
          <w:szCs w:val="36"/>
          <w:highlight w:val="none"/>
          <w:lang w:val="zh-CN"/>
        </w:rPr>
      </w:pPr>
      <w:r/>
      <w:bookmarkStart w:id="62" w:name="_Toc29312"/>
      <w:r/>
      <w:bookmarkStart w:id="63" w:name="_Toc2129"/>
      <w:r>
        <w:rPr>
          <w:rFonts w:hint="eastAsia" w:ascii="宋体" w:hAnsi="宋体" w:eastAsia="宋体" w:cs="宋体"/>
          <w:b/>
          <w:bCs/>
          <w:color w:val="000000"/>
          <w:spacing w:val="-10"/>
          <w:sz w:val="36"/>
          <w:szCs w:val="36"/>
          <w:highlight w:val="none"/>
          <w:lang w:val="zh-CN"/>
        </w:rPr>
        <w:br w:type="page" w:clear="all"/>
      </w:r>
      <w:r>
        <w:rPr>
          <w:rFonts w:hint="eastAsia" w:ascii="宋体" w:hAnsi="宋体" w:eastAsia="宋体" w:cs="宋体"/>
          <w:b/>
          <w:bCs/>
          <w:color w:val="000000"/>
          <w:spacing w:val="-10"/>
          <w:sz w:val="36"/>
          <w:szCs w:val="36"/>
          <w:highlight w:val="none"/>
          <w:lang w:val="zh-CN"/>
        </w:rPr>
      </w:r>
      <w:r/>
    </w:p>
    <w:p>
      <w:pPr>
        <w:pStyle w:val="743"/>
        <w:jc w:val="center"/>
        <w:rPr>
          <w:rFonts w:hint="eastAsia" w:ascii="宋体" w:hAnsi="宋体" w:eastAsia="宋体" w:cs="宋体"/>
          <w:color w:val="000000"/>
          <w:szCs w:val="21"/>
          <w:highlight w:val="none"/>
          <w:lang w:val="zh-CN"/>
        </w:rPr>
        <w:outlineLvl w:val="0"/>
      </w:pPr>
      <w:r>
        <w:rPr>
          <w:rFonts w:hint="eastAsia" w:ascii="宋体" w:hAnsi="宋体" w:eastAsia="宋体" w:cs="宋体"/>
          <w:b/>
          <w:bCs/>
          <w:color w:val="000000"/>
          <w:spacing w:val="-10"/>
          <w:sz w:val="36"/>
          <w:szCs w:val="36"/>
          <w:highlight w:val="none"/>
          <w:lang w:val="zh-CN"/>
        </w:rPr>
        <w:t xml:space="preserve">第五章  合同主要条款及格式</w:t>
      </w:r>
      <w:bookmarkEnd w:id="62"/>
      <w:r/>
      <w:bookmarkEnd w:id="63"/>
      <w:r>
        <w:rPr>
          <w:rFonts w:hint="eastAsia" w:ascii="宋体" w:hAnsi="宋体" w:eastAsia="宋体" w:cs="宋体"/>
          <w:color w:val="000000"/>
          <w:szCs w:val="21"/>
          <w:highlight w:val="none"/>
          <w:lang w:val="zh-CN"/>
        </w:rPr>
      </w:r>
      <w:r/>
    </w:p>
    <w:p>
      <w:pPr>
        <w:pStyle w:val="708"/>
        <w:jc w:val="center"/>
        <w:spacing w:before="145" w:after="145" w:line="264" w:lineRule="auto"/>
        <w:rPr>
          <w:rFonts w:hint="eastAsia" w:ascii="宋体" w:hAnsi="宋体"/>
          <w:b/>
          <w:color w:val="000000"/>
          <w:sz w:val="30"/>
          <w:szCs w:val="21"/>
          <w:highlight w:val="none"/>
        </w:rPr>
        <w:outlineLvl w:val="0"/>
      </w:pPr>
      <w:r/>
      <w:bookmarkEnd w:id="27"/>
      <w:r>
        <w:rPr>
          <w:rFonts w:hint="eastAsia" w:ascii="宋体" w:hAnsi="宋体"/>
          <w:b/>
          <w:color w:val="000000"/>
          <w:sz w:val="30"/>
          <w:szCs w:val="21"/>
          <w:highlight w:val="none"/>
        </w:rPr>
      </w:r>
      <w:r/>
    </w:p>
    <w:p>
      <w:pPr>
        <w:pStyle w:val="708"/>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64" w:name="_Toc25070"/>
      <w:r>
        <w:rPr>
          <w:rFonts w:hint="eastAsia" w:ascii="方正小标宋简体" w:hAnsi="方正小标宋简体" w:eastAsia="方正小标宋简体" w:cs="方正小标宋简体"/>
          <w:bCs/>
          <w:color w:val="000000"/>
          <w:sz w:val="32"/>
          <w:szCs w:val="32"/>
          <w:highlight w:val="none"/>
        </w:rPr>
        <w:t xml:space="preserve">政府采购合同（货物）</w:t>
      </w:r>
      <w:bookmarkEnd w:id="64"/>
      <w:r>
        <w:rPr>
          <w:rFonts w:hint="eastAsia" w:ascii="方正小标宋简体" w:hAnsi="方正小标宋简体" w:eastAsia="方正小标宋简体" w:cs="方正小标宋简体"/>
          <w:bCs/>
          <w:color w:val="000000"/>
          <w:sz w:val="32"/>
          <w:szCs w:val="32"/>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65" w:name="_Toc31279"/>
      <w:r>
        <w:rPr>
          <w:rFonts w:ascii="宋体" w:hAnsi="宋体" w:cs="Courier New"/>
          <w:color w:val="000000"/>
          <w:sz w:val="24"/>
          <w:szCs w:val="24"/>
          <w:highlight w:val="none"/>
        </w:rPr>
        <w:t xml:space="preserve">合同编号：</w:t>
      </w:r>
      <w:bookmarkEnd w:id="65"/>
      <w:r>
        <w:rPr>
          <w:rFonts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66" w:name="_Toc13050"/>
      <w:r>
        <w:rPr>
          <w:rFonts w:ascii="宋体" w:hAnsi="宋体" w:cs="Courier New"/>
          <w:color w:val="000000"/>
          <w:sz w:val="24"/>
          <w:szCs w:val="24"/>
          <w:highlight w:val="none"/>
        </w:rPr>
        <w:t xml:space="preserve">项目名称：                                       项目编号：</w:t>
      </w:r>
      <w:bookmarkEnd w:id="66"/>
      <w:r>
        <w:rPr>
          <w:rFonts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67" w:name="_Toc9314"/>
      <w:r>
        <w:rPr>
          <w:rFonts w:ascii="宋体" w:hAnsi="宋体" w:cs="Courier New"/>
          <w:color w:val="000000"/>
          <w:sz w:val="24"/>
          <w:szCs w:val="24"/>
          <w:highlight w:val="none"/>
        </w:rPr>
        <w:t xml:space="preserve">甲方（买方）：</w:t>
      </w:r>
      <w:r>
        <w:rPr>
          <w:rFonts w:hint="eastAsia" w:ascii="宋体" w:hAnsi="宋体" w:cs="宋体"/>
          <w:color w:val="000000"/>
          <w:sz w:val="24"/>
          <w:szCs w:val="24"/>
          <w:highlight w:val="none"/>
        </w:rPr>
        <w:t xml:space="preserve">南京江北新区管理委员会教育局</w:t>
      </w:r>
      <w:bookmarkEnd w:id="67"/>
      <w:r>
        <w:rPr>
          <w:rFonts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68" w:name="_Toc23426"/>
      <w:r>
        <w:rPr>
          <w:rFonts w:ascii="宋体" w:hAnsi="宋体" w:cs="Courier New"/>
          <w:color w:val="000000"/>
          <w:sz w:val="24"/>
          <w:szCs w:val="24"/>
          <w:highlight w:val="none"/>
        </w:rPr>
        <w:t xml:space="preserve">乙方（卖方）：</w:t>
      </w:r>
      <w:bookmarkEnd w:id="68"/>
      <w:r>
        <w:rPr>
          <w:rFonts w:ascii="宋体" w:hAnsi="宋体" w:cs="Courier New"/>
          <w:color w:val="000000"/>
          <w:sz w:val="24"/>
          <w:szCs w:val="24"/>
          <w:highlight w:val="none"/>
        </w:rPr>
      </w:r>
      <w:r/>
    </w:p>
    <w:p>
      <w:pPr>
        <w:pStyle w:val="708"/>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69" w:name="OLE_LINK59"/>
      <w:r/>
      <w:bookmarkStart w:id="70" w:name="OLE_LINK58"/>
      <w:r>
        <w:rPr>
          <w:rFonts w:hint="eastAsia" w:ascii="宋体" w:hAnsi="宋体" w:cs="宋体"/>
          <w:color w:val="000000"/>
          <w:sz w:val="24"/>
          <w:szCs w:val="24"/>
          <w:highlight w:val="none"/>
        </w:rPr>
        <w:t xml:space="preserve">南京市江北新区公共工程建设中心</w:t>
      </w:r>
      <w:bookmarkEnd w:id="69"/>
      <w:r/>
      <w:bookmarkEnd w:id="70"/>
      <w:r>
        <w:rPr>
          <w:rFonts w:hint="eastAsia" w:ascii="宋体" w:hAnsi="宋体" w:cs="宋体"/>
          <w:color w:val="000000"/>
          <w:sz w:val="24"/>
          <w:szCs w:val="24"/>
          <w:highlight w:val="none"/>
        </w:rPr>
      </w:r>
      <w:r/>
    </w:p>
    <w:p>
      <w:pPr>
        <w:pStyle w:val="708"/>
        <w:ind w:firstLine="482"/>
        <w:jc w:val="left"/>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hint="eastAsia" w:ascii="宋体" w:hAnsi="宋体" w:cs="宋体"/>
          <w:color w:val="000000"/>
          <w:sz w:val="24"/>
          <w:szCs w:val="24"/>
          <w:highlight w:val="none"/>
        </w:rPr>
        <w:t xml:space="preserve">鉴于受托代建单位</w:t>
      </w:r>
      <w:bookmarkStart w:id="71" w:name="OLE_LINK72"/>
      <w:r/>
      <w:bookmarkStart w:id="72" w:name="OLE_LINK73"/>
      <w:r>
        <w:rPr>
          <w:rFonts w:hint="eastAsia" w:ascii="宋体" w:hAnsi="宋体" w:cs="宋体"/>
          <w:color w:val="000000"/>
          <w:sz w:val="24"/>
          <w:szCs w:val="24"/>
          <w:highlight w:val="none"/>
        </w:rPr>
        <w:t xml:space="preserve">南京市江北新区公共工程建设中心</w:t>
      </w:r>
      <w:bookmarkEnd w:id="71"/>
      <w:r/>
      <w:bookmarkEnd w:id="72"/>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000000"/>
          <w:sz w:val="24"/>
          <w:szCs w:val="24"/>
          <w:highlight w:val="none"/>
          <w:lang w:val="zh-CN"/>
        </w:rPr>
        <w:t xml:space="preserve">侨康路学校新建工程项目功能室设备采购</w:t>
      </w:r>
      <w:r>
        <w:rPr>
          <w:rFonts w:hint="eastAsia" w:ascii="宋体" w:hAnsi="宋体" w:cs="宋体"/>
          <w:color w:val="000000"/>
          <w:sz w:val="24"/>
          <w:szCs w:val="24"/>
          <w:highlight w:val="none"/>
        </w:rPr>
        <w:t xml:space="preserve">及有关事项协商一致，共同达成如下协议：</w:t>
      </w:r>
      <w:r>
        <w:rPr>
          <w:rFonts w:ascii="宋体" w:hAnsi="宋体" w:cs="Courier New"/>
          <w:b/>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rPr>
          <w:rFonts w:hint="eastAsia" w:ascii="宋体" w:hAnsi="宋体" w:cs="Courier New"/>
          <w:color w:val="000000"/>
          <w:sz w:val="24"/>
          <w:szCs w:val="24"/>
          <w:highlight w:val="none"/>
        </w:rPr>
      </w:r>
      <w:r/>
    </w:p>
    <w:tbl>
      <w:tblPr>
        <w:tblW w:w="89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08"/>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08"/>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90"/>
        <w:rPr>
          <w:rFonts w:hint="eastAsia"/>
          <w:color w:val="000000"/>
          <w:highlight w:val="none"/>
        </w:rPr>
      </w:pPr>
      <w:r>
        <w:rPr>
          <w:rFonts w:hint="eastAsia"/>
          <w:color w:val="000000"/>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1286"/>
        <w:ind w:firstLine="480"/>
        <w:jc w:val="left"/>
        <w:keepLines w:val="0"/>
        <w:keepNext w:val="0"/>
        <w:pageBreakBefore w:val="0"/>
        <w:spacing w:line="360" w:lineRule="auto"/>
        <w:widowControl w:val="off"/>
        <w:rPr>
          <w:rFonts w:hAnsi="宋体" w:cs="Courier New"/>
          <w:color w:val="000000"/>
          <w:sz w:val="24"/>
          <w:szCs w:val="24"/>
          <w:highlight w:val="none"/>
        </w:rPr>
      </w:pPr>
      <w:r>
        <w:rPr>
          <w:rFonts w:hAnsi="宋体" w:cs="Courier New"/>
          <w:color w:val="000000"/>
          <w:sz w:val="24"/>
          <w:szCs w:val="24"/>
          <w:highlight w:val="none"/>
        </w:rPr>
        <w:t xml:space="preserve">2.1 </w:t>
      </w:r>
      <w:r>
        <w:rPr>
          <w:rFonts w:hint="eastAsia" w:hAnsi="宋体" w:cs="Courier New"/>
          <w:color w:val="000000"/>
          <w:sz w:val="24"/>
          <w:szCs w:val="24"/>
          <w:highlight w:val="none"/>
        </w:rPr>
        <w:t xml:space="preserve">本合同金额为（大写）：____________________圆（____________________元）人民币。</w:t>
      </w:r>
      <w:r>
        <w:rPr>
          <w:rFonts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rPr>
          <w:rFonts w:hint="eastAsia" w:ascii="宋体" w:hAnsi="宋体" w:cs="Courier New"/>
          <w:color w:val="000000"/>
          <w:sz w:val="24"/>
          <w:szCs w:val="24"/>
          <w:highlight w:val="none"/>
        </w:rPr>
      </w:r>
      <w:r/>
    </w:p>
    <w:p>
      <w:pPr>
        <w:pStyle w:val="708"/>
        <w:ind w:firstLine="480"/>
        <w:spacing w:line="360" w:lineRule="auto"/>
        <w:widowControl/>
        <w:rPr>
          <w:rFonts w:hint="eastAsia" w:ascii="宋体" w:hAnsi="宋体" w:cs="宋体"/>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highlight w:val="none"/>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8.1合同签订后支付合同总额10%的预付款。</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8.2施工、安装、调试完毕，由甲方组织相关学校进行验收，验收合格并由乙方协助学校完成资产入库登记，六个月内支付合同总额的50%。</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8.3在本工程项目竣工验收合格，一年内支付合同总额的35%，剩余5%为质保金。</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8.4质保金在质保期满后一次性付清。</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8.5具体支付依据当年新区财政资金状况而定。</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8.6发票及付款流程</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8.6.1乙方所开发票名称为“南京江北新区管理委员会教育局”，依据付款要求，提供相应材料。</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hint="eastAsia" w:ascii="宋体" w:hAnsi="宋体" w:cs="宋体"/>
          <w:b w:val="0"/>
          <w:bCs w:val="0"/>
          <w:color w:val="000000"/>
          <w:sz w:val="24"/>
          <w:szCs w:val="24"/>
          <w:highlight w:val="none"/>
          <w:lang w:val="en-US" w:eastAsia="zh-CN"/>
        </w:rPr>
      </w:r>
      <w:r/>
    </w:p>
    <w:p>
      <w:pPr>
        <w:pStyle w:val="708"/>
        <w:ind w:firstLine="480"/>
        <w:spacing w:line="360" w:lineRule="auto"/>
        <w:widowControl/>
        <w:rPr>
          <w:rFonts w:hint="eastAsia" w:ascii="宋体" w:hAnsi="宋体" w:cs="宋体"/>
          <w:color w:val="000000"/>
          <w:sz w:val="24"/>
          <w:szCs w:val="24"/>
          <w:highlight w:val="none"/>
        </w:rPr>
      </w:pPr>
      <w:r>
        <w:rPr>
          <w:rFonts w:hint="eastAsia" w:hAnsi="宋体" w:cs="Courier New"/>
          <w:color w:val="000000"/>
          <w:sz w:val="24"/>
          <w:szCs w:val="24"/>
          <w:highlight w:val="none"/>
          <w:lang w:val="en-US" w:eastAsia="zh-CN"/>
        </w:rPr>
        <w:t xml:space="preserve">8.6.2 </w:t>
      </w:r>
      <w:r>
        <w:rPr>
          <w:rFonts w:hint="eastAsia" w:ascii="宋体" w:hAnsi="宋体" w:cs="宋体"/>
          <w:color w:val="000000"/>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1286"/>
        <w:ind w:firstLine="480"/>
        <w:jc w:val="left"/>
        <w:keepLines w:val="0"/>
        <w:keepNext w:val="0"/>
        <w:pageBreakBefore w:val="0"/>
        <w:spacing w:line="360" w:lineRule="auto"/>
        <w:widowControl w:val="off"/>
        <w:rPr>
          <w:rFonts w:hint="eastAsia" w:hAnsi="宋体" w:cs="Courier New"/>
          <w:color w:val="000000"/>
          <w:sz w:val="24"/>
          <w:szCs w:val="24"/>
          <w:highlight w:val="none"/>
        </w:rPr>
      </w:pPr>
      <w:r>
        <w:rPr>
          <w:rFonts w:hint="eastAsia" w:hAnsi="宋体" w:cs="Courier New"/>
          <w:color w:val="000000"/>
          <w:sz w:val="24"/>
          <w:szCs w:val="24"/>
          <w:highlight w:val="none"/>
        </w:rPr>
        <w:t xml:space="preserve">8.</w:t>
      </w:r>
      <w:r>
        <w:rPr>
          <w:rFonts w:hint="eastAsia" w:hAnsi="宋体" w:cs="Courier New"/>
          <w:color w:val="000000"/>
          <w:sz w:val="24"/>
          <w:szCs w:val="24"/>
          <w:highlight w:val="none"/>
          <w:lang w:val="en-US" w:eastAsia="zh-CN"/>
        </w:rPr>
        <w:t xml:space="preserve">7 </w:t>
      </w:r>
      <w:r>
        <w:rPr>
          <w:rFonts w:hint="eastAsia" w:hAnsi="宋体" w:cs="Courier New"/>
          <w:color w:val="000000"/>
          <w:sz w:val="24"/>
          <w:szCs w:val="24"/>
          <w:highlight w:val="none"/>
        </w:rPr>
        <w:t xml:space="preserve">当采购数量与实际使用数量不一致时，乙方应根据实际使用量供货，合同的最终结算金额按实际使用量乘以成交单价进行计算。</w:t>
      </w:r>
      <w:r>
        <w:rPr>
          <w:rFonts w:hint="eastAsia"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2</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五</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w:t>
      </w:r>
      <w:r>
        <w:rPr>
          <w:rFonts w:hint="eastAsia" w:ascii="宋体" w:hAnsi="宋体" w:cs="Courier New"/>
          <w:color w:val="000000"/>
          <w:sz w:val="24"/>
          <w:szCs w:val="24"/>
          <w:highlight w:val="none"/>
          <w:lang w:eastAsia="zh-CN"/>
        </w:rPr>
        <w:t xml:space="preserve">终身</w:t>
      </w:r>
      <w:r>
        <w:rPr>
          <w:rFonts w:hint="eastAsia" w:ascii="宋体" w:hAnsi="宋体" w:cs="Courier New"/>
          <w:color w:val="000000"/>
          <w:sz w:val="24"/>
          <w:szCs w:val="24"/>
          <w:highlight w:val="none"/>
        </w:rPr>
        <w:t xml:space="preserve">维修，维修时只收取部件成本费。</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lang w:eastAsia="zh-CN"/>
        </w:rPr>
        <w:t xml:space="preserve">，</w:t>
      </w:r>
      <w:r>
        <w:rPr>
          <w:rFonts w:hint="eastAsia" w:ascii="宋体" w:hAnsi="宋体" w:cs="宋体"/>
          <w:color w:val="000000"/>
          <w:sz w:val="24"/>
          <w:szCs w:val="24"/>
          <w:highlight w:val="none"/>
        </w:rPr>
        <w:t xml:space="preserve">具体工作由甲方委托丙方组织进行，乙方必须服从丙方安排。</w:t>
      </w:r>
      <w:r>
        <w:rPr>
          <w:rFonts w:hint="eastAsia" w:ascii="宋体" w:hAnsi="宋体" w:cs="宋体"/>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分离的项目，甲方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邀请实际使用人参与验收。</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48小时前通知甲方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，以准备接货。</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前发生的风险均由乙方负责。</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指定的地点视为交付，乙方同时需通知甲方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货物已送达。</w:t>
      </w:r>
      <w:r>
        <w:rPr>
          <w:rFonts w:hint="eastAsia" w:ascii="宋体" w:hAnsi="宋体" w:cs="Courier New"/>
          <w:color w:val="000000"/>
          <w:sz w:val="24"/>
          <w:szCs w:val="24"/>
          <w:highlight w:val="none"/>
        </w:rPr>
      </w:r>
      <w:r/>
    </w:p>
    <w:p>
      <w:pPr>
        <w:pStyle w:val="70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highlight w:val="none"/>
        </w:rPr>
      </w:r>
      <w:r/>
    </w:p>
    <w:p>
      <w:pPr>
        <w:pStyle w:val="708"/>
        <w:ind w:firstLine="482"/>
        <w:spacing w:line="360" w:lineRule="auto"/>
        <w:shd w:val="solid" w:color="ffffff" w:fill="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十四、安装调试、培训和验收</w:t>
      </w:r>
      <w:r>
        <w:rPr>
          <w:rFonts w:hint="eastAsia" w:ascii="宋体" w:hAnsi="宋体" w:cs="宋体"/>
          <w:b/>
          <w:color w:val="000000"/>
          <w:sz w:val="24"/>
          <w:szCs w:val="24"/>
          <w:highlight w:val="none"/>
        </w:rPr>
      </w:r>
      <w:r/>
    </w:p>
    <w:p>
      <w:pPr>
        <w:pStyle w:val="708"/>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color w:val="000000"/>
          <w:sz w:val="24"/>
          <w:szCs w:val="24"/>
          <w:highlight w:val="none"/>
        </w:rPr>
      </w:r>
      <w:r/>
    </w:p>
    <w:p>
      <w:pPr>
        <w:pStyle w:val="708"/>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highlight w:val="none"/>
        </w:rPr>
      </w:r>
      <w:r/>
    </w:p>
    <w:p>
      <w:pPr>
        <w:pStyle w:val="708"/>
        <w:ind w:firstLine="480"/>
        <w:spacing w:before="120" w:after="120" w:line="400" w:lineRule="exact"/>
        <w:widowControl/>
        <w:rPr>
          <w:rFonts w:hint="eastAsia" w:ascii="Calibri" w:hAnsi="Calibri"/>
          <w:color w:val="000000"/>
          <w:sz w:val="24"/>
          <w:szCs w:val="22"/>
          <w:highlight w:val="none"/>
          <w:lang w:bidi="ar"/>
        </w:rPr>
      </w:pPr>
      <w:r/>
      <w:bookmarkStart w:id="73"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08"/>
        <w:jc w:val="left"/>
        <w:rPr>
          <w:rFonts w:hint="eastAsia" w:ascii="宋体" w:hAnsi="宋体"/>
          <w:color w:val="000000"/>
          <w:sz w:val="24"/>
          <w:szCs w:val="24"/>
          <w:highlight w:val="none"/>
        </w:rPr>
      </w:pPr>
      <w:r/>
      <w:bookmarkEnd w:id="73"/>
      <w:r>
        <w:rPr>
          <w:rFonts w:hint="eastAsia" w:ascii="宋体" w:hAnsi="宋体"/>
          <w:color w:val="000000"/>
          <w:sz w:val="24"/>
          <w:szCs w:val="24"/>
          <w:highlight w:val="none"/>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808"/>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13"/>
        <w:rPr>
          <w:rFonts w:hint="eastAsia"/>
          <w:color w:val="000000"/>
          <w:highlight w:val="none"/>
        </w:rPr>
      </w:pPr>
      <w:r>
        <w:rPr>
          <w:rFonts w:hint="eastAsia"/>
          <w:color w:val="000000"/>
          <w:highlight w:val="none"/>
        </w:rPr>
      </w:r>
      <w:r/>
    </w:p>
    <w:p>
      <w:pPr>
        <w:pStyle w:val="708"/>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r>
      <w:r/>
    </w:p>
    <w:p>
      <w:pPr>
        <w:pStyle w:val="708"/>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74" w:name="_Toc14346"/>
      <w:r>
        <w:rPr>
          <w:rFonts w:hint="eastAsia" w:ascii="方正小标宋简体" w:hAnsi="方正小标宋简体" w:eastAsia="方正小标宋简体" w:cs="方正小标宋简体"/>
          <w:bCs/>
          <w:color w:val="000000"/>
          <w:sz w:val="32"/>
          <w:szCs w:val="32"/>
          <w:highlight w:val="none"/>
        </w:rPr>
        <w:t xml:space="preserve">《*******合同》补充协议（合同附件）</w:t>
      </w:r>
      <w:bookmarkEnd w:id="74"/>
      <w:r>
        <w:rPr>
          <w:rFonts w:hint="eastAsia" w:ascii="方正小标宋简体" w:hAnsi="方正小标宋简体" w:eastAsia="方正小标宋简体" w:cs="方正小标宋简体"/>
          <w:bCs/>
          <w:color w:val="000000"/>
          <w:sz w:val="32"/>
          <w:szCs w:val="32"/>
          <w:highlight w:val="none"/>
        </w:rPr>
      </w:r>
      <w:r/>
    </w:p>
    <w:p>
      <w:pPr>
        <w:pStyle w:val="708"/>
        <w:ind w:left="560" w:firstLine="960"/>
        <w:spacing w:line="360" w:lineRule="auto"/>
        <w:rPr>
          <w:rFonts w:hint="eastAsia" w:ascii="宋体" w:hAnsi="宋体" w:eastAsia="宋体" w:cs="宋体"/>
          <w:color w:val="000000"/>
          <w:sz w:val="24"/>
          <w:szCs w:val="24"/>
          <w:highlight w:val="none"/>
          <w:lang w:val="zh-CN"/>
        </w:rPr>
        <w:outlineLvl w:val="9"/>
      </w:pPr>
      <w:r>
        <w:rPr>
          <w:rFonts w:hint="eastAsia" w:hAnsi="宋体"/>
          <w:color w:val="000000"/>
          <w:sz w:val="24"/>
          <w:szCs w:val="24"/>
          <w:highlight w:val="none"/>
        </w:rPr>
        <w:t xml:space="preserve">招标文件及合同未约定事项，双方可友好协商签订补充协议。</w:t>
      </w:r>
      <w:r>
        <w:rPr>
          <w:rFonts w:hint="eastAsia" w:ascii="宋体" w:hAnsi="宋体" w:eastAsia="宋体" w:cs="宋体"/>
          <w:color w:val="000000"/>
          <w:sz w:val="24"/>
          <w:szCs w:val="24"/>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bookmarkStart w:id="75" w:name="_Toc16496"/>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0"/>
        <w:jc w:val="left"/>
        <w:spacing w:line="240" w:lineRule="auto"/>
        <w:rPr>
          <w:rFonts w:hint="eastAsia" w:ascii="宋体" w:hAnsi="宋体" w:eastAsia="宋体" w:cs="宋体"/>
          <w:b/>
          <w:bCs/>
          <w:color w:val="000000"/>
          <w:sz w:val="36"/>
          <w:szCs w:val="36"/>
          <w:highlight w:val="none"/>
          <w:lang w:val="zh-CN"/>
        </w:rPr>
        <w:outlineLvl w:val="9"/>
      </w:pPr>
      <w:r/>
      <w:bookmarkStart w:id="76" w:name="_Toc29650"/>
      <w:r>
        <w:rPr>
          <w:rFonts w:hint="eastAsia" w:ascii="宋体" w:hAnsi="宋体" w:eastAsia="宋体" w:cs="宋体"/>
          <w:b/>
          <w:bCs/>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r>
      <w:r/>
    </w:p>
    <w:p>
      <w:pPr>
        <w:pStyle w:val="708"/>
        <w:ind w:left="560"/>
        <w:jc w:val="center"/>
        <w:spacing w:line="360" w:lineRule="auto"/>
        <w:rPr>
          <w:rFonts w:hint="eastAsia" w:ascii="宋体" w:hAnsi="宋体" w:eastAsia="宋体" w:cs="宋体"/>
          <w:b/>
          <w:bCs/>
          <w:color w:val="000000"/>
          <w:sz w:val="36"/>
          <w:szCs w:val="36"/>
          <w:highlight w:val="none"/>
          <w:lang w:val="zh-CN"/>
        </w:rPr>
        <w:outlineLvl w:val="0"/>
      </w:pPr>
      <w:r/>
      <w:bookmarkStart w:id="77" w:name="_Toc28908"/>
      <w:r>
        <w:rPr>
          <w:rFonts w:hint="eastAsia" w:ascii="宋体" w:hAnsi="宋体" w:eastAsia="宋体" w:cs="宋体"/>
          <w:b/>
          <w:bCs/>
          <w:color w:val="000000"/>
          <w:sz w:val="36"/>
          <w:szCs w:val="36"/>
          <w:highlight w:val="none"/>
          <w:lang w:val="zh-CN"/>
        </w:rPr>
        <w:t xml:space="preserve">第六章 </w:t>
      </w:r>
      <w:r>
        <w:rPr>
          <w:rFonts w:hint="eastAsia" w:ascii="宋体" w:hAnsi="宋体" w:eastAsia="宋体" w:cs="宋体"/>
          <w:b/>
          <w:bCs/>
          <w:color w:val="000000"/>
          <w:sz w:val="36"/>
          <w:szCs w:val="36"/>
          <w:highlight w:val="none"/>
        </w:rPr>
        <w:t xml:space="preserve">投标文件</w:t>
      </w:r>
      <w:r>
        <w:rPr>
          <w:rFonts w:hint="eastAsia" w:ascii="宋体" w:hAnsi="宋体" w:eastAsia="宋体" w:cs="宋体"/>
          <w:b/>
          <w:bCs/>
          <w:color w:val="000000"/>
          <w:sz w:val="36"/>
          <w:szCs w:val="36"/>
          <w:highlight w:val="none"/>
          <w:lang w:val="zh-CN"/>
        </w:rPr>
        <w:t xml:space="preserve">格式及附件</w:t>
      </w:r>
      <w:bookmarkEnd w:id="75"/>
      <w:r/>
      <w:bookmarkEnd w:id="76"/>
      <w:r/>
      <w:bookmarkEnd w:id="77"/>
      <w:r>
        <w:rPr>
          <w:rFonts w:hint="eastAsia" w:ascii="宋体" w:hAnsi="宋体" w:eastAsia="宋体" w:cs="宋体"/>
          <w:b/>
          <w:bCs/>
          <w:color w:val="000000"/>
          <w:sz w:val="36"/>
          <w:szCs w:val="36"/>
          <w:highlight w:val="none"/>
          <w:lang w:val="zh-CN"/>
        </w:rPr>
      </w:r>
      <w:r/>
    </w:p>
    <w:p>
      <w:pPr>
        <w:pStyle w:val="708"/>
        <w:ind w:left="560"/>
        <w:jc w:val="center"/>
        <w:spacing w:line="360" w:lineRule="auto"/>
        <w:rPr>
          <w:rFonts w:hint="eastAsia" w:ascii="宋体" w:hAnsi="宋体" w:eastAsia="宋体" w:cs="宋体"/>
          <w:b/>
          <w:bCs/>
          <w:color w:val="000000"/>
          <w:sz w:val="36"/>
          <w:szCs w:val="36"/>
          <w:highlight w:val="none"/>
          <w:lang w:val="zh-CN"/>
        </w:rPr>
        <w:outlineLvl w:val="9"/>
      </w:pPr>
      <w:r>
        <w:rPr>
          <w:rFonts w:hint="eastAsia" w:ascii="宋体" w:hAnsi="宋体" w:eastAsia="宋体" w:cs="宋体"/>
          <w:b/>
          <w:bCs/>
          <w:color w:val="000000"/>
          <w:sz w:val="36"/>
          <w:szCs w:val="36"/>
          <w:highlight w:val="none"/>
          <w:lang w:val="zh-CN"/>
        </w:rPr>
      </w:r>
      <w:r/>
    </w:p>
    <w:p>
      <w:pPr>
        <w:pStyle w:val="708"/>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r>
      <w:r/>
    </w:p>
    <w:p>
      <w:pPr>
        <w:pStyle w:val="708"/>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t xml:space="preserve">投标文件</w:t>
      </w:r>
      <w:r>
        <w:rPr>
          <w:rFonts w:hint="eastAsia" w:ascii="宋体" w:hAnsi="宋体" w:eastAsia="宋体" w:cs="宋体"/>
          <w:b/>
          <w:color w:val="000000"/>
          <w:sz w:val="72"/>
          <w:highlight w:val="none"/>
        </w:rPr>
      </w:r>
      <w:r/>
    </w:p>
    <w:p>
      <w:pPr>
        <w:pStyle w:val="708"/>
        <w:ind w:firstLine="3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ind w:firstLine="1084"/>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项 目 编 号：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08"/>
        <w:ind w:firstLine="1084"/>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项 目 名 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       供应商名称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08"/>
        <w:jc w:val="cente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08"/>
        <w:spacing w:line="360" w:lineRule="auto"/>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708"/>
        <w:spacing w:line="360" w:lineRule="auto"/>
        <w:rPr>
          <w:rFonts w:hint="eastAsia" w:ascii="宋体" w:hAnsi="宋体" w:eastAsia="宋体" w:cs="宋体"/>
          <w:b/>
          <w:color w:val="000000"/>
          <w:sz w:val="24"/>
          <w:szCs w:val="24"/>
          <w:highlight w:val="none"/>
        </w:rPr>
        <w:outlineLvl w:val="1"/>
      </w:pPr>
      <w:r/>
      <w:bookmarkStart w:id="78" w:name="_Toc28254"/>
      <w:r/>
      <w:bookmarkStart w:id="79" w:name="_Toc7750"/>
      <w:r>
        <w:rPr>
          <w:rFonts w:hint="eastAsia" w:ascii="宋体" w:hAnsi="宋体" w:eastAsia="宋体" w:cs="宋体"/>
          <w:b/>
          <w:color w:val="000000"/>
          <w:sz w:val="24"/>
          <w:szCs w:val="24"/>
          <w:highlight w:val="none"/>
          <w:lang w:val="zh-CN"/>
        </w:rPr>
        <w:t xml:space="preserve">附件一、投标申请及声明格式</w:t>
      </w:r>
      <w:bookmarkEnd w:id="78"/>
      <w:r/>
      <w:bookmarkEnd w:id="79"/>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bCs/>
          <w:color w:val="000000"/>
          <w:sz w:val="24"/>
          <w:szCs w:val="24"/>
          <w:highlight w:val="none"/>
        </w:rPr>
        <w:outlineLvl w:val="9"/>
      </w:pPr>
      <w:r/>
      <w:bookmarkStart w:id="80" w:name="_Toc4379"/>
      <w:r/>
      <w:bookmarkStart w:id="81" w:name="_Toc32604"/>
      <w:r/>
      <w:bookmarkStart w:id="82" w:name="_Toc30921"/>
      <w:r>
        <w:rPr>
          <w:rFonts w:hint="eastAsia" w:ascii="宋体" w:hAnsi="宋体" w:eastAsia="宋体" w:cs="宋体"/>
          <w:b/>
          <w:bCs/>
          <w:color w:val="000000"/>
          <w:sz w:val="24"/>
          <w:szCs w:val="24"/>
          <w:highlight w:val="none"/>
          <w:lang w:val="zh-CN"/>
        </w:rPr>
        <w:t xml:space="preserve">投标申请及声明</w:t>
      </w:r>
      <w:bookmarkEnd w:id="80"/>
      <w:r/>
      <w:bookmarkEnd w:id="81"/>
      <w:r/>
      <w:bookmarkEnd w:id="82"/>
      <w:r>
        <w:rPr>
          <w:rFonts w:hint="eastAsia" w:ascii="宋体" w:hAnsi="宋体" w:eastAsia="宋体" w:cs="宋体"/>
          <w:b/>
          <w:bCs/>
          <w:color w:val="000000"/>
          <w:sz w:val="24"/>
          <w:szCs w:val="24"/>
          <w:highlight w:val="none"/>
        </w:rPr>
      </w:r>
      <w:r/>
    </w:p>
    <w:p>
      <w:pPr>
        <w:pStyle w:val="1286"/>
        <w:spacing w:line="360" w:lineRule="auto"/>
        <w:rPr>
          <w:rFonts w:hint="eastAsia" w:ascii="宋体" w:hAnsi="宋体" w:eastAsia="宋体" w:cs="宋体"/>
          <w:color w:val="000000"/>
          <w:sz w:val="24"/>
          <w:szCs w:val="24"/>
          <w:highlight w:val="none"/>
        </w:rPr>
        <w:outlineLvl w:val="9"/>
      </w:pPr>
      <w:r/>
      <w:bookmarkStart w:id="83" w:name="_Toc27899"/>
      <w:r/>
      <w:bookmarkStart w:id="84" w:name="_Toc18647"/>
      <w:r>
        <w:rPr>
          <w:rFonts w:hint="eastAsia" w:ascii="宋体" w:hAnsi="宋体" w:eastAsia="宋体" w:cs="宋体"/>
          <w:color w:val="000000"/>
          <w:sz w:val="24"/>
          <w:szCs w:val="24"/>
          <w:highlight w:val="none"/>
          <w:lang w:val="zh-CN"/>
        </w:rPr>
        <w:t xml:space="preserve">致：招标人：</w:t>
      </w:r>
      <w:bookmarkEnd w:id="83"/>
      <w:r/>
      <w:bookmarkEnd w:id="84"/>
      <w:r>
        <w:rPr>
          <w:rFonts w:hint="eastAsia" w:ascii="宋体" w:hAnsi="宋体" w:eastAsia="宋体" w:cs="宋体"/>
          <w:color w:val="000000"/>
          <w:sz w:val="24"/>
          <w:szCs w:val="24"/>
          <w:highlight w:val="none"/>
          <w:u w:val="single"/>
          <w:lang w:val="zh-CN"/>
        </w:rPr>
        <w:t xml:space="preserve"> </w:t>
      </w:r>
      <w:r>
        <w:rPr>
          <w:rFonts w:hint="eastAsia" w:hAnsi="宋体" w:cs="宋体"/>
          <w:color w:val="000000"/>
          <w:sz w:val="24"/>
          <w:szCs w:val="24"/>
          <w:highlight w:val="none"/>
          <w:u w:val="single"/>
          <w:lang w:val="zh-CN"/>
        </w:rPr>
        <w:t xml:space="preserve">南京江北新区管理委员会教育局</w:t>
      </w:r>
      <w:r>
        <w:rPr>
          <w:rFonts w:hint="eastAsia" w:ascii="宋体" w:hAnsi="宋体" w:eastAsia="宋体" w:cs="宋体"/>
          <w:color w:val="000000"/>
          <w:sz w:val="24"/>
          <w:szCs w:val="24"/>
          <w:highlight w:val="none"/>
        </w:rPr>
      </w:r>
      <w:r/>
    </w:p>
    <w:p>
      <w:pPr>
        <w:pStyle w:val="1286"/>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bookmarkStart w:id="85" w:name="_Toc9373"/>
      <w:r/>
      <w:bookmarkStart w:id="86" w:name="_Toc4607"/>
      <w:r>
        <w:rPr>
          <w:rFonts w:hint="eastAsia" w:ascii="宋体" w:hAnsi="宋体" w:eastAsia="宋体" w:cs="宋体"/>
          <w:color w:val="000000"/>
          <w:sz w:val="24"/>
          <w:szCs w:val="24"/>
          <w:highlight w:val="none"/>
          <w:lang w:val="zh-CN"/>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（项目编号）</w:t>
      </w:r>
      <w:r>
        <w:rPr>
          <w:rFonts w:hint="eastAsia" w:ascii="宋体" w:hAnsi="宋体" w:eastAsia="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(姓名和职务)代表投标人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（投标人名称），提交投标文件。</w:t>
      </w:r>
      <w:bookmarkEnd w:id="85"/>
      <w:r/>
      <w:bookmarkEnd w:id="86"/>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据此函，签字人兹宣布声明和承诺如下：</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b/>
          <w:color w:val="000000"/>
          <w:sz w:val="24"/>
          <w:szCs w:val="24"/>
          <w:highlight w:val="none"/>
          <w:lang w:val="zh-CN"/>
        </w:rPr>
        <w:t xml:space="preserve">我们的资格条件完全符合政府采购法和本次招标要求</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我们</w:t>
      </w:r>
      <w:r>
        <w:rPr>
          <w:rFonts w:hint="eastAsia" w:ascii="宋体" w:hAnsi="宋体" w:eastAsia="宋体" w:cs="宋体"/>
          <w:color w:val="000000"/>
          <w:sz w:val="24"/>
          <w:szCs w:val="24"/>
          <w:highlight w:val="none"/>
          <w:lang w:val="zh-CN"/>
        </w:rPr>
        <w:t xml:space="preserve">同意并向贵方提供了与投标有关的所有证据和资料。</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按招标要求，我们的投标总报价为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（大写）元人民币。其中，小型企业的产品为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000000"/>
          <w:sz w:val="24"/>
          <w:szCs w:val="24"/>
          <w:highlight w:val="none"/>
          <w:lang w:val="zh-CN"/>
        </w:rPr>
        <w:t xml:space="preserve">不对招标文件本身提出质疑</w:t>
      </w:r>
      <w:r>
        <w:rPr>
          <w:rFonts w:hint="eastAsia" w:ascii="宋体" w:hAnsi="宋体" w:eastAsia="宋体" w:cs="宋体"/>
          <w:color w:val="000000"/>
          <w:sz w:val="24"/>
          <w:szCs w:val="24"/>
          <w:highlight w:val="none"/>
          <w:lang w:val="zh-CN"/>
        </w:rPr>
        <w:t xml:space="preserve">。否则，属于不诚信和故意扰乱政府采购活动行为，我们将无条件接受处罚。</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8、与本投标有关的正式联系方式为：</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地址：</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电话：</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传真：</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银行账号：</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供应商授权代表姓名（签字）：</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供应商名称：（盖章）</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708"/>
        <w:spacing w:line="360" w:lineRule="auto"/>
        <w:rPr>
          <w:rFonts w:hint="eastAsia" w:ascii="宋体" w:hAnsi="宋体" w:eastAsia="宋体" w:cs="宋体"/>
          <w:color w:val="000000"/>
          <w:sz w:val="24"/>
          <w:szCs w:val="24"/>
          <w:highlight w:val="none"/>
        </w:rPr>
        <w:outlineLvl w:val="1"/>
      </w:pPr>
      <w:r/>
      <w:bookmarkStart w:id="87" w:name="_Toc997"/>
      <w:r/>
      <w:bookmarkStart w:id="88" w:name="_Toc27970"/>
      <w:r>
        <w:rPr>
          <w:rFonts w:hint="eastAsia" w:ascii="宋体" w:hAnsi="宋体" w:eastAsia="宋体" w:cs="宋体"/>
          <w:b/>
          <w:color w:val="000000"/>
          <w:sz w:val="24"/>
          <w:szCs w:val="24"/>
          <w:highlight w:val="none"/>
          <w:lang w:val="zh-CN"/>
        </w:rPr>
        <w:t xml:space="preserve">附件二、法定代表人授权书格式</w:t>
      </w:r>
      <w:bookmarkEnd w:id="87"/>
      <w:r/>
      <w:bookmarkEnd w:id="88"/>
      <w:r>
        <w:rPr>
          <w:rFonts w:hint="eastAsia" w:ascii="宋体" w:hAnsi="宋体" w:eastAsia="宋体" w:cs="宋体"/>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法定代表人授权委托书</w:t>
      </w:r>
      <w:r>
        <w:rPr>
          <w:rFonts w:hint="eastAsia" w:ascii="宋体" w:hAnsi="宋体" w:eastAsia="宋体" w:cs="宋体"/>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南京江北新区管理委员会教育局</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南京建淳造价师事务所有限公司</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r>
      <w:r/>
    </w:p>
    <w:p>
      <w:pPr>
        <w:pStyle w:val="708"/>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本授权书声明：注册于</w:t>
      </w:r>
      <w:r>
        <w:rPr>
          <w:rFonts w:hint="eastAsia" w:ascii="宋体" w:hAnsi="宋体" w:eastAsia="宋体" w:cs="宋体"/>
          <w:color w:val="000000"/>
          <w:sz w:val="24"/>
          <w:szCs w:val="24"/>
          <w:highlight w:val="none"/>
          <w:u w:val="single"/>
          <w:lang w:val="zh-CN"/>
        </w:rPr>
        <w:t xml:space="preserve">                         （投标人住址）</w:t>
      </w:r>
      <w:r>
        <w:rPr>
          <w:rFonts w:hint="eastAsia" w:ascii="宋体" w:hAnsi="宋体" w:eastAsia="宋体" w:cs="宋体"/>
          <w:color w:val="000000"/>
          <w:sz w:val="24"/>
          <w:szCs w:val="24"/>
          <w:highlight w:val="none"/>
          <w:lang w:val="zh-CN"/>
        </w:rPr>
        <w:t xml:space="preserve">的 </w:t>
      </w:r>
      <w:r>
        <w:rPr>
          <w:rFonts w:hint="eastAsia" w:ascii="宋体" w:hAnsi="宋体" w:eastAsia="宋体" w:cs="宋体"/>
          <w:color w:val="000000"/>
          <w:sz w:val="24"/>
          <w:szCs w:val="24"/>
          <w:highlight w:val="none"/>
          <w:u w:val="single"/>
          <w:lang w:val="zh-CN"/>
        </w:rPr>
        <w:t xml:space="preserve">  （投标人名称）</w:t>
      </w:r>
      <w:r>
        <w:rPr>
          <w:rFonts w:hint="eastAsia" w:ascii="宋体" w:hAnsi="宋体" w:eastAsia="宋体" w:cs="宋体"/>
          <w:color w:val="000000"/>
          <w:sz w:val="24"/>
          <w:szCs w:val="24"/>
          <w:highlight w:val="none"/>
          <w:lang w:val="zh-CN"/>
        </w:rPr>
        <w:t xml:space="preserve">法定代表人 </w:t>
      </w:r>
      <w:r>
        <w:rPr>
          <w:rFonts w:hint="eastAsia" w:ascii="宋体" w:hAnsi="宋体" w:eastAsia="宋体" w:cs="宋体"/>
          <w:color w:val="000000"/>
          <w:sz w:val="24"/>
          <w:szCs w:val="24"/>
          <w:highlight w:val="none"/>
          <w:u w:val="single"/>
          <w:lang w:val="zh-CN"/>
        </w:rPr>
        <w:t xml:space="preserve">                     （法定代表人姓名、职务）</w:t>
      </w:r>
      <w:r>
        <w:rPr>
          <w:rFonts w:hint="eastAsia" w:ascii="宋体" w:hAnsi="宋体" w:eastAsia="宋体" w:cs="宋体"/>
          <w:color w:val="000000"/>
          <w:sz w:val="24"/>
          <w:szCs w:val="24"/>
          <w:highlight w:val="none"/>
          <w:lang w:val="zh-CN"/>
        </w:rPr>
        <w:t xml:space="preserve">代表本公司授权在下面签字的 </w:t>
      </w:r>
      <w:r>
        <w:rPr>
          <w:rFonts w:hint="eastAsia" w:ascii="宋体" w:hAnsi="宋体" w:eastAsia="宋体" w:cs="宋体"/>
          <w:color w:val="000000"/>
          <w:sz w:val="24"/>
          <w:szCs w:val="24"/>
          <w:highlight w:val="none"/>
          <w:u w:val="single"/>
          <w:lang w:val="zh-CN"/>
        </w:rPr>
        <w:t xml:space="preserve">           （投标人代表姓名、职务）</w:t>
      </w:r>
      <w:r>
        <w:rPr>
          <w:rFonts w:hint="eastAsia" w:ascii="宋体" w:hAnsi="宋体" w:eastAsia="宋体" w:cs="宋体"/>
          <w:color w:val="000000"/>
          <w:sz w:val="24"/>
          <w:szCs w:val="24"/>
          <w:highlight w:val="none"/>
          <w:lang w:val="zh-CN"/>
        </w:rPr>
        <w:t xml:space="preserve">为本公司的合法代理人，就贵方组织的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投标，以本公司名义处理一切与之有关的事务。</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本授权书于    年  月  日签字生效，特此声明。</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法定代表人签字：</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授权委托人签字：        </w:t>
      </w:r>
      <w:r>
        <w:rPr>
          <w:rFonts w:hint="eastAsia" w:ascii="宋体" w:hAnsi="宋体" w:eastAsia="宋体" w:cs="宋体"/>
          <w:color w:val="000000"/>
          <w:sz w:val="24"/>
          <w:szCs w:val="24"/>
          <w:highlight w:val="none"/>
        </w:rPr>
      </w:r>
      <w:r/>
    </w:p>
    <w:p>
      <w:pPr>
        <w:pStyle w:val="1044"/>
        <w:spacing w:line="480" w:lineRule="exact"/>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单位名称：（加盖电子公章）   </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法定代表人</w:t>
      </w:r>
      <w:r>
        <w:rPr>
          <w:rFonts w:hint="eastAsia" w:ascii="宋体" w:hAnsi="宋体" w:eastAsia="宋体" w:cs="宋体"/>
          <w:b/>
          <w:bCs/>
          <w:color w:val="000000"/>
          <w:sz w:val="24"/>
          <w:szCs w:val="24"/>
          <w:highlight w:val="none"/>
        </w:rPr>
        <w:t xml:space="preserve">身份证原件复印件：</w:t>
      </w:r>
      <w:r>
        <w:rPr>
          <w:rFonts w:hint="eastAsia" w:ascii="宋体" w:hAnsi="宋体" w:eastAsia="宋体" w:cs="宋体"/>
          <w:b/>
          <w:bCs/>
          <w:color w:val="000000"/>
          <w:sz w:val="24"/>
          <w:szCs w:val="24"/>
          <w:highlight w:val="none"/>
        </w:rPr>
      </w:r>
      <w:r/>
    </w:p>
    <w:p>
      <w:pPr>
        <w:pStyle w:val="708"/>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被授权人</w:t>
      </w:r>
      <w:r>
        <w:rPr>
          <w:rFonts w:hint="eastAsia" w:ascii="宋体" w:hAnsi="宋体" w:eastAsia="宋体" w:cs="宋体"/>
          <w:b/>
          <w:bCs/>
          <w:color w:val="000000"/>
          <w:sz w:val="24"/>
          <w:szCs w:val="24"/>
          <w:highlight w:val="none"/>
          <w:lang w:val="zh-CN"/>
        </w:rPr>
        <w:t xml:space="preserve">的身份证明文件的复印件：</w:t>
      </w:r>
      <w:r>
        <w:rPr>
          <w:rFonts w:hint="eastAsia" w:ascii="宋体" w:hAnsi="宋体" w:eastAsia="宋体" w:cs="宋体"/>
          <w:b/>
          <w:bCs/>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89" w:name="_Toc29681"/>
      <w:r/>
      <w:bookmarkStart w:id="90" w:name="_Toc26869"/>
      <w:r>
        <w:rPr>
          <w:rFonts w:hint="eastAsia" w:ascii="宋体" w:hAnsi="宋体" w:eastAsia="宋体" w:cs="宋体"/>
          <w:b/>
          <w:color w:val="000000"/>
          <w:sz w:val="24"/>
          <w:szCs w:val="24"/>
          <w:highlight w:val="none"/>
          <w:lang w:val="zh-CN"/>
        </w:rPr>
        <w:t xml:space="preserve">附件三、开标一览表格式</w:t>
      </w:r>
      <w:bookmarkEnd w:id="89"/>
      <w:r/>
      <w:bookmarkEnd w:id="90"/>
      <w:r>
        <w:rPr>
          <w:rFonts w:hint="eastAsia" w:ascii="宋体" w:hAnsi="宋体" w:eastAsia="宋体" w:cs="宋体"/>
          <w:b/>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开标一览表</w:t>
      </w:r>
      <w:r>
        <w:rPr>
          <w:rFonts w:hint="eastAsia" w:ascii="宋体" w:hAnsi="宋体" w:eastAsia="宋体" w:cs="宋体"/>
          <w:color w:val="000000"/>
          <w:sz w:val="24"/>
          <w:szCs w:val="24"/>
          <w:highlight w:val="none"/>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 </w:t>
            </w:r>
            <w:r>
              <w:rPr>
                <w:rFonts w:hint="eastAsia" w:ascii="宋体" w:hAnsi="宋体" w:eastAsia="宋体" w:cs="宋体"/>
                <w:color w:val="000000"/>
                <w:sz w:val="24"/>
                <w:szCs w:val="24"/>
                <w:highlight w:val="none"/>
              </w:rPr>
            </w:r>
            <w:r/>
          </w:p>
        </w:tc>
        <w:tc>
          <w:tcPr>
            <w:gridSpan w:val="2"/>
            <w:tcW w:w="3347"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gridSpan w:val="2"/>
            <w:tcW w:w="352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名               称</w:t>
            </w:r>
            <w:r>
              <w:rPr>
                <w:rFonts w:hint="eastAsia" w:ascii="宋体" w:hAnsi="宋体" w:eastAsia="宋体" w:cs="宋体"/>
                <w:color w:val="000000"/>
                <w:sz w:val="24"/>
                <w:szCs w:val="24"/>
                <w:highlight w:val="none"/>
              </w:rPr>
            </w:r>
            <w:r/>
          </w:p>
        </w:tc>
        <w:tc>
          <w:tcPr>
            <w:tcW w:w="87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w:t>
            </w: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报价（元）</w:t>
            </w: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lang w:val="en-US" w:eastAsia="zh-CN"/>
              </w:rPr>
            </w:r>
            <w:r/>
          </w:p>
        </w:tc>
        <w:tc>
          <w:tcPr>
            <w:gridSpan w:val="2"/>
            <w:tcW w:w="3522" w:type="dxa"/>
            <w:vAlign w:val="center"/>
            <w:textDirection w:val="lrTb"/>
            <w:noWrap w:val="false"/>
          </w:tcPr>
          <w:p>
            <w:pPr>
              <w:pStyle w:val="708"/>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z w:val="24"/>
                <w:szCs w:val="24"/>
                <w:highlight w:val="none"/>
                <w:lang w:eastAsia="zh-CN"/>
              </w:rPr>
              <w:t xml:space="preserve">侨康路学校新建工程项目功能室设备采购</w:t>
            </w:r>
            <w:r>
              <w:rPr>
                <w:rFonts w:hint="eastAsia" w:ascii="宋体" w:hAnsi="宋体" w:eastAsia="宋体" w:cs="宋体"/>
                <w:color w:val="000000"/>
                <w:spacing w:val="-2"/>
                <w:sz w:val="24"/>
                <w:szCs w:val="24"/>
                <w:highlight w:val="none"/>
                <w:lang w:val="en-US" w:eastAsia="zh-CN"/>
              </w:rPr>
            </w:r>
            <w:r/>
          </w:p>
        </w:tc>
        <w:tc>
          <w:tcPr>
            <w:tcW w:w="872" w:type="dxa"/>
            <w:vAlign w:val="center"/>
            <w:textDirection w:val="lrTb"/>
            <w:noWrap w:val="false"/>
          </w:tcPr>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pStyle w:val="708"/>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pStyle w:val="708"/>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投标总价（人民币，大写）</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ind w:firstLine="399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元</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投标货物中有无进口产品</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有       无</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供应商是否属于小微型企业</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       否</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人民币与美元汇率</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10：X</w:t>
            </w:r>
            <w:r>
              <w:rPr>
                <w:rFonts w:hint="eastAsia" w:ascii="宋体" w:hAnsi="宋体" w:eastAsia="宋体" w:cs="宋体"/>
                <w:color w:val="000000"/>
                <w:sz w:val="24"/>
                <w:szCs w:val="24"/>
                <w:highlight w:val="none"/>
              </w:rPr>
            </w:r>
            <w:r/>
          </w:p>
        </w:tc>
      </w:tr>
    </w:tbl>
    <w:p>
      <w:pPr>
        <w:pStyle w:val="708"/>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08"/>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rPr>
      </w:r>
      <w:r/>
    </w:p>
    <w:p>
      <w:pPr>
        <w:pStyle w:val="708"/>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在“投标货物中有无进口产品”栏后“有”或“无”上打“√”。</w:t>
      </w:r>
      <w:r>
        <w:rPr>
          <w:rFonts w:hint="eastAsia" w:ascii="宋体" w:hAnsi="宋体" w:eastAsia="宋体" w:cs="宋体"/>
          <w:color w:val="000000"/>
          <w:sz w:val="24"/>
          <w:szCs w:val="24"/>
          <w:highlight w:val="none"/>
        </w:rPr>
      </w:r>
      <w:r/>
    </w:p>
    <w:p>
      <w:pPr>
        <w:pStyle w:val="708"/>
        <w:ind w:firstLine="420"/>
        <w:jc w:val="left"/>
        <w:spacing w:line="360" w:lineRule="auto"/>
        <w:widowControl/>
        <w:rPr>
          <w:rFonts w:hint="eastAsia" w:ascii="宋体" w:hAnsi="宋体" w:eastAsia="宋体" w:cs="宋体"/>
          <w:color w:val="000000"/>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、在“供应商是否属于小和微型企业”栏后“是”或“否”上打“√”。</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分项报价表格式</w:t>
      </w:r>
      <w:r>
        <w:rPr>
          <w:rFonts w:hint="eastAsia" w:ascii="宋体" w:hAnsi="宋体" w:eastAsia="宋体" w:cs="宋体"/>
          <w:b/>
          <w:color w:val="000000"/>
          <w:sz w:val="24"/>
          <w:szCs w:val="24"/>
          <w:highlight w:val="none"/>
        </w:rPr>
      </w:r>
      <w:r/>
    </w:p>
    <w:p>
      <w:pPr>
        <w:pStyle w:val="708"/>
        <w:ind w:firstLine="3600"/>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分项报价表</w:t>
      </w:r>
      <w:r>
        <w:rPr>
          <w:rFonts w:hint="eastAsia" w:ascii="宋体" w:hAnsi="宋体" w:eastAsia="宋体" w:cs="宋体"/>
          <w:color w:val="000000"/>
          <w:sz w:val="24"/>
          <w:szCs w:val="24"/>
          <w:highlight w:val="none"/>
          <w:lang w:val="zh-CN"/>
        </w:rPr>
      </w:r>
      <w:r/>
    </w:p>
    <w:tbl>
      <w:tblPr>
        <w:tblW w:w="10709"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trHeight w:val="482"/>
          <w:tblHeader/>
        </w:trPr>
        <w:tc>
          <w:tcPr>
            <w:tcMar>
              <w:left w:w="-1" w:type="dxa"/>
              <w:top w:w="-1" w:type="dxa"/>
              <w:right w:w="-1" w:type="dxa"/>
              <w:bottom w:w="-1" w:type="dxa"/>
            </w:tcMar>
            <w:tcW w:w="834" w:type="dxa"/>
            <w:vAlign w:val="center"/>
            <w:vMerge w:val="restart"/>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序号</w:t>
            </w: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w:t>
            </w:r>
            <w:r>
              <w:rPr>
                <w:rFonts w:hint="eastAsia" w:ascii="宋体" w:hAnsi="宋体"/>
                <w:b/>
                <w:color w:val="000000"/>
                <w:sz w:val="24"/>
                <w:szCs w:val="24"/>
                <w:highlight w:val="none"/>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8</w:t>
            </w:r>
            <w:r>
              <w:rPr>
                <w:rFonts w:ascii="宋体" w:hAnsi="宋体"/>
                <w:b/>
                <w:color w:val="000000"/>
                <w:sz w:val="24"/>
                <w:szCs w:val="24"/>
                <w:highlight w:val="none"/>
              </w:rPr>
            </w:r>
            <w:r/>
          </w:p>
        </w:tc>
      </w:tr>
      <w:tr>
        <w:trPr>
          <w:tblHeader/>
        </w:trPr>
        <w:tc>
          <w:tcPr>
            <w:tcMar>
              <w:left w:w="-1" w:type="dxa"/>
              <w:top w:w="-1" w:type="dxa"/>
              <w:right w:w="-1" w:type="dxa"/>
              <w:bottom w:w="-1" w:type="dxa"/>
            </w:tcMar>
            <w:tcW w:w="834" w:type="dxa"/>
            <w:vAlign w:val="center"/>
            <w:vMerge w:val="continue"/>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产品名称</w:t>
            </w:r>
            <w:r>
              <w:rPr>
                <w:rFonts w:hint="eastAsia" w:ascii="宋体" w:hAnsi="宋体"/>
                <w:b/>
                <w:color w:val="000000"/>
                <w:sz w:val="24"/>
                <w:szCs w:val="24"/>
                <w:highlight w:val="none"/>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品牌</w:t>
            </w:r>
            <w:r>
              <w:rPr>
                <w:rFonts w:hint="eastAsia" w:ascii="宋体" w:hAnsi="宋体"/>
                <w:b/>
                <w:color w:val="000000"/>
                <w:sz w:val="24"/>
                <w:szCs w:val="24"/>
                <w:highlight w:val="none"/>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规格或型号</w:t>
            </w:r>
            <w:r>
              <w:rPr>
                <w:rFonts w:hint="eastAsia" w:ascii="宋体" w:hAnsi="宋体"/>
                <w:b/>
                <w:color w:val="000000"/>
                <w:sz w:val="24"/>
                <w:szCs w:val="24"/>
                <w:highlight w:val="none"/>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交付期</w:t>
            </w:r>
            <w:r>
              <w:rPr>
                <w:rFonts w:hint="eastAsia" w:ascii="宋体" w:hAnsi="宋体"/>
                <w:b/>
                <w:color w:val="000000"/>
                <w:sz w:val="24"/>
                <w:szCs w:val="24"/>
                <w:highlight w:val="none"/>
              </w:rPr>
            </w:r>
            <w:r/>
          </w:p>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（天）</w:t>
            </w:r>
            <w:r>
              <w:rPr>
                <w:rFonts w:hint="eastAsia" w:ascii="宋体" w:hAnsi="宋体"/>
                <w:b/>
                <w:color w:val="000000"/>
                <w:sz w:val="24"/>
                <w:szCs w:val="24"/>
                <w:highlight w:val="none"/>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数量</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单位</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单价</w:t>
            </w:r>
            <w:r>
              <w:rPr>
                <w:rFonts w:hint="eastAsia" w:ascii="宋体" w:hAnsi="宋体"/>
                <w:b/>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总价</w:t>
            </w:r>
            <w:r>
              <w:rPr>
                <w:rFonts w:hint="eastAsia" w:ascii="宋体" w:hAnsi="宋体"/>
                <w:b/>
                <w:color w:val="000000"/>
                <w:sz w:val="24"/>
                <w:szCs w:val="24"/>
                <w:highlight w:val="none"/>
              </w:rPr>
            </w:r>
            <w:r/>
          </w:p>
        </w:tc>
      </w:tr>
      <w:tr>
        <w:trPr>
          <w:trHeight w:val="757"/>
        </w:trPr>
        <w:tc>
          <w:tcPr>
            <w:tcMar>
              <w:left w:w="-1" w:type="dxa"/>
              <w:top w:w="-1" w:type="dxa"/>
              <w:right w:w="-1" w:type="dxa"/>
              <w:bottom w:w="-1" w:type="dxa"/>
            </w:tcMar>
            <w:tcW w:w="834"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666"/>
        </w:trPr>
        <w:tc>
          <w:tcPr>
            <w:tcMar>
              <w:left w:w="-1" w:type="dxa"/>
              <w:top w:w="-1" w:type="dxa"/>
              <w:right w:w="-1" w:type="dxa"/>
              <w:bottom w:w="-1" w:type="dxa"/>
            </w:tcMar>
            <w:tcW w:w="834" w:type="dxa"/>
            <w:vAlign w:val="center"/>
            <w:textDirection w:val="lrTb"/>
            <w:noWrap w:val="false"/>
          </w:tcPr>
          <w:p>
            <w:pPr>
              <w:pStyle w:val="708"/>
              <w:ind w:left="0" w:right="0" w:firstLine="0"/>
              <w:jc w:val="center"/>
              <w:spacing w:line="24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r>
            <w:r/>
          </w:p>
        </w:tc>
        <w:tc>
          <w:tcPr>
            <w:gridSpan w:val="8"/>
            <w:tcMar>
              <w:left w:w="-1" w:type="dxa"/>
              <w:top w:w="-1" w:type="dxa"/>
              <w:right w:w="-1" w:type="dxa"/>
              <w:bottom w:w="-1" w:type="dxa"/>
            </w:tcMar>
            <w:tcW w:w="9875" w:type="dxa"/>
            <w:vAlign w:val="center"/>
            <w:textDirection w:val="lrTb"/>
            <w:noWrap w:val="false"/>
          </w:tcPr>
          <w:p>
            <w:pPr>
              <w:pStyle w:val="708"/>
              <w:ind w:left="0" w:right="0" w:firstLine="0"/>
              <w:jc w:val="left"/>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含税价，税率</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bl>
    <w:p>
      <w:pPr>
        <w:pStyle w:val="708"/>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08"/>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rPr>
      </w:r>
      <w:r/>
    </w:p>
    <w:p>
      <w:pPr>
        <w:pStyle w:val="811"/>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808"/>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13"/>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13"/>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91" w:name="_Toc10499"/>
      <w:r/>
      <w:bookmarkStart w:id="92" w:name="_Toc6952"/>
      <w:r>
        <w:rPr>
          <w:rFonts w:hint="eastAsia" w:ascii="宋体" w:hAnsi="宋体" w:eastAsia="宋体" w:cs="宋体"/>
          <w:b/>
          <w:color w:val="000000"/>
          <w:sz w:val="24"/>
          <w:szCs w:val="24"/>
          <w:highlight w:val="none"/>
          <w:lang w:val="zh-CN"/>
        </w:rPr>
        <w:t xml:space="preserve">附件四、投标项目供货一览表格式</w:t>
      </w:r>
      <w:bookmarkEnd w:id="91"/>
      <w:r/>
      <w:bookmarkEnd w:id="92"/>
      <w:r>
        <w:rPr>
          <w:rFonts w:hint="eastAsia" w:ascii="宋体" w:hAnsi="宋体" w:eastAsia="宋体" w:cs="宋体"/>
          <w:b/>
          <w:color w:val="000000"/>
          <w:sz w:val="24"/>
          <w:szCs w:val="24"/>
          <w:highlight w:val="none"/>
        </w:rPr>
      </w:r>
      <w:r/>
    </w:p>
    <w:p>
      <w:pPr>
        <w:pStyle w:val="708"/>
        <w:jc w:val="center"/>
        <w:spacing w:line="360" w:lineRule="auto"/>
        <w:rPr>
          <w:rStyle w:val="1264"/>
          <w:rFonts w:hint="eastAsia" w:ascii="宋体" w:hAnsi="宋体" w:eastAsia="宋体" w:cs="宋体"/>
          <w:b/>
          <w:color w:val="000000"/>
          <w:sz w:val="24"/>
          <w:szCs w:val="22"/>
          <w:highlight w:val="none"/>
        </w:rPr>
        <w:outlineLvl w:val="9"/>
      </w:pPr>
      <w:r>
        <w:rPr>
          <w:rStyle w:val="1264"/>
          <w:rFonts w:hint="eastAsia" w:ascii="宋体" w:hAnsi="宋体" w:eastAsia="宋体" w:cs="宋体"/>
          <w:b/>
          <w:color w:val="000000"/>
          <w:sz w:val="24"/>
          <w:szCs w:val="22"/>
          <w:highlight w:val="none"/>
        </w:rPr>
        <w:t xml:space="preserve">供货一览表(格式供参考)</w:t>
      </w:r>
      <w:r>
        <w:rPr>
          <w:rStyle w:val="1264"/>
          <w:rFonts w:hint="eastAsia" w:ascii="宋体" w:hAnsi="宋体" w:eastAsia="宋体" w:cs="宋体"/>
          <w:b/>
          <w:color w:val="000000"/>
          <w:sz w:val="24"/>
          <w:szCs w:val="22"/>
          <w:highlight w:val="none"/>
        </w:rPr>
      </w:r>
      <w:r/>
    </w:p>
    <w:p>
      <w:pPr>
        <w:pStyle w:val="1287"/>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287"/>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bl>
      <w:tblPr>
        <w:tblStyle w:val="79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708"/>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708"/>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rPr>
          <w:rFonts w:hint="eastAsia" w:ascii="宋体" w:hAnsi="宋体" w:eastAsia="宋体" w:cs="宋体"/>
          <w:color w:val="000000"/>
          <w:sz w:val="24"/>
          <w:highlight w:val="none"/>
        </w:rPr>
      </w:r>
      <w:r/>
    </w:p>
    <w:p>
      <w:pPr>
        <w:pStyle w:val="708"/>
        <w:jc w:val="left"/>
        <w:spacing w:line="360" w:lineRule="auto"/>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93" w:name="_Toc14038"/>
      <w:r/>
      <w:bookmarkStart w:id="94" w:name="_Toc29918"/>
      <w:r>
        <w:rPr>
          <w:rFonts w:hint="eastAsia" w:ascii="宋体" w:hAnsi="宋体" w:eastAsia="宋体" w:cs="宋体"/>
          <w:b/>
          <w:color w:val="000000"/>
          <w:sz w:val="24"/>
          <w:szCs w:val="24"/>
          <w:highlight w:val="none"/>
          <w:lang w:val="zh-CN"/>
        </w:rPr>
        <w:t xml:space="preserve">附件五、技术条款偏离表格式</w:t>
      </w:r>
      <w:bookmarkEnd w:id="93"/>
      <w:r/>
      <w:bookmarkEnd w:id="94"/>
      <w:r>
        <w:rPr>
          <w:rFonts w:hint="eastAsia" w:ascii="宋体" w:hAnsi="宋体" w:eastAsia="宋体" w:cs="宋体"/>
          <w:b/>
          <w:color w:val="000000"/>
          <w:sz w:val="24"/>
          <w:szCs w:val="24"/>
          <w:highlight w:val="none"/>
        </w:rPr>
      </w:r>
      <w:r/>
    </w:p>
    <w:p>
      <w:pPr>
        <w:pStyle w:val="708"/>
        <w:ind w:left="420"/>
        <w:jc w:val="center"/>
        <w:spacing w:line="360" w:lineRule="auto"/>
        <w:widowControl/>
        <w:rPr>
          <w:rFonts w:hint="eastAsia" w:ascii="宋体" w:hAnsi="宋体" w:eastAsia="宋体" w:cs="宋体"/>
          <w:color w:val="000000"/>
          <w:sz w:val="24"/>
          <w:szCs w:val="24"/>
          <w:highlight w:val="none"/>
        </w:rPr>
        <w:outlineLvl w:val="9"/>
      </w:pPr>
      <w:r/>
      <w:bookmarkStart w:id="95" w:name="_Toc15356"/>
      <w:r/>
      <w:bookmarkStart w:id="96" w:name="_Toc32603"/>
      <w:r/>
      <w:bookmarkStart w:id="97" w:name="_Toc14329"/>
      <w:r>
        <w:rPr>
          <w:rFonts w:hint="eastAsia" w:ascii="宋体" w:hAnsi="宋体" w:eastAsia="宋体" w:cs="宋体"/>
          <w:color w:val="000000"/>
          <w:sz w:val="24"/>
          <w:szCs w:val="24"/>
          <w:highlight w:val="none"/>
          <w:lang w:val="zh-CN"/>
        </w:rPr>
        <w:t xml:space="preserve">技术条款偏离表</w:t>
      </w:r>
      <w:bookmarkEnd w:id="95"/>
      <w:r/>
      <w:bookmarkEnd w:id="96"/>
      <w:r/>
      <w:bookmarkEnd w:id="97"/>
      <w:r>
        <w:rPr>
          <w:rFonts w:hint="eastAsia" w:ascii="宋体" w:hAnsi="宋体" w:eastAsia="宋体" w:cs="宋体"/>
          <w:color w:val="000000"/>
          <w:sz w:val="24"/>
          <w:szCs w:val="24"/>
          <w:highlight w:val="none"/>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公开招标文件要求的规格型号</w:t>
            </w: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参与投标的技术响应</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偏离内容及原因</w:t>
            </w: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1292"/>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292"/>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w:t>
      </w:r>
      <w:r>
        <w:rPr>
          <w:rFonts w:hint="eastAsia"/>
          <w:color w:val="000000"/>
          <w:highlight w:val="none"/>
          <w:lang w:val="en-US" w:eastAsia="zh-CN"/>
        </w:rPr>
        <w:t xml:space="preserve">/</w:t>
      </w:r>
      <w:r>
        <w:rPr>
          <w:rFonts w:hint="eastAsia" w:ascii="宋体" w:hAnsi="宋体" w:eastAsia="宋体" w:cs="宋体"/>
          <w:color w:val="000000"/>
          <w:highlight w:val="none"/>
          <w:lang w:val="en-US" w:eastAsia="zh-CN"/>
        </w:rPr>
        <w:t xml:space="preserve">▲</w:t>
      </w:r>
      <w:r>
        <w:rPr>
          <w:rFonts w:hint="eastAsia"/>
          <w:color w:val="000000"/>
          <w:highlight w:val="none"/>
        </w:rPr>
        <w:t xml:space="preserve">”内容）及其他要求做出明确响应，否则视为无效投标。</w:t>
      </w:r>
      <w:r>
        <w:rPr>
          <w:rFonts w:hint="eastAsia"/>
          <w:color w:val="000000"/>
          <w:highlight w:val="none"/>
        </w:rPr>
      </w:r>
      <w:r/>
    </w:p>
    <w:p>
      <w:pPr>
        <w:pStyle w:val="1292"/>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w:t>
      </w:r>
      <w:r>
        <w:rPr>
          <w:rFonts w:hint="eastAsia"/>
          <w:color w:val="000000"/>
          <w:highlight w:val="none"/>
          <w:lang w:val="en-US" w:eastAsia="zh-CN"/>
        </w:rPr>
        <w:t xml:space="preserve">/</w:t>
      </w:r>
      <w:r>
        <w:rPr>
          <w:rFonts w:hint="eastAsia" w:ascii="宋体" w:hAnsi="宋体" w:eastAsia="宋体" w:cs="宋体"/>
          <w:color w:val="000000"/>
          <w:highlight w:val="none"/>
          <w:lang w:val="en-US" w:eastAsia="zh-CN"/>
        </w:rPr>
        <w:t xml:space="preserve">▲</w:t>
      </w:r>
      <w:r>
        <w:rPr>
          <w:rFonts w:hint="eastAsia"/>
          <w:color w:val="000000"/>
          <w:highlight w:val="none"/>
        </w:rPr>
        <w:t xml:space="preserve">”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rPr>
          <w:rFonts w:hint="eastAsia"/>
          <w:color w:val="000000"/>
          <w:highlight w:val="none"/>
        </w:rPr>
      </w:r>
      <w:r/>
    </w:p>
    <w:p>
      <w:pPr>
        <w:pStyle w:val="1292"/>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98" w:name="_Toc2470"/>
      <w:r/>
      <w:bookmarkStart w:id="99" w:name="_Toc15556"/>
      <w:r>
        <w:rPr>
          <w:rFonts w:hint="eastAsia" w:ascii="宋体" w:hAnsi="宋体" w:eastAsia="宋体" w:cs="宋体"/>
          <w:b/>
          <w:color w:val="000000"/>
          <w:sz w:val="24"/>
          <w:szCs w:val="24"/>
          <w:highlight w:val="none"/>
          <w:lang w:val="zh-CN"/>
        </w:rPr>
        <w:t xml:space="preserve">附件六、商务条款偏离表格式</w:t>
      </w:r>
      <w:bookmarkEnd w:id="98"/>
      <w:r/>
      <w:bookmarkEnd w:id="99"/>
      <w:r>
        <w:rPr>
          <w:rFonts w:hint="eastAsia" w:ascii="宋体" w:hAnsi="宋体" w:eastAsia="宋体" w:cs="宋体"/>
          <w:b/>
          <w:color w:val="000000"/>
          <w:sz w:val="24"/>
          <w:szCs w:val="24"/>
          <w:highlight w:val="none"/>
        </w:rPr>
      </w:r>
      <w:r/>
    </w:p>
    <w:p>
      <w:pPr>
        <w:pStyle w:val="708"/>
        <w:ind w:left="420"/>
        <w:jc w:val="center"/>
        <w:spacing w:line="360" w:lineRule="auto"/>
        <w:widowControl/>
        <w:rPr>
          <w:rFonts w:hint="eastAsia" w:ascii="宋体" w:hAnsi="宋体" w:eastAsia="宋体" w:cs="宋体"/>
          <w:color w:val="000000"/>
          <w:sz w:val="24"/>
          <w:szCs w:val="24"/>
          <w:highlight w:val="none"/>
        </w:rPr>
        <w:outlineLvl w:val="9"/>
      </w:pPr>
      <w:r/>
      <w:bookmarkStart w:id="100" w:name="_Toc11726"/>
      <w:r/>
      <w:bookmarkStart w:id="101" w:name="_Toc8421"/>
      <w:r/>
      <w:bookmarkStart w:id="102" w:name="_Toc2600"/>
      <w:r>
        <w:rPr>
          <w:rFonts w:hint="eastAsia" w:ascii="宋体" w:hAnsi="宋体" w:eastAsia="宋体" w:cs="宋体"/>
          <w:color w:val="000000"/>
          <w:sz w:val="24"/>
          <w:szCs w:val="24"/>
          <w:highlight w:val="none"/>
          <w:lang w:val="zh-CN"/>
        </w:rPr>
        <w:t xml:space="preserve">商务条款偏离表</w:t>
      </w:r>
      <w:bookmarkEnd w:id="100"/>
      <w:r/>
      <w:bookmarkEnd w:id="101"/>
      <w:r/>
      <w:bookmarkEnd w:id="102"/>
      <w:r>
        <w:rPr>
          <w:rFonts w:hint="eastAsia" w:ascii="宋体" w:hAnsi="宋体" w:eastAsia="宋体" w:cs="宋体"/>
          <w:color w:val="000000"/>
          <w:sz w:val="24"/>
          <w:szCs w:val="24"/>
          <w:highlight w:val="none"/>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公开招标文件要求的商务条款</w:t>
            </w: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参与投标的商务响应</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供应商的承诺或说明</w:t>
            </w: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说明：如果行数不够，请自行增加。</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left"/>
        <w:spacing w:line="240" w:lineRule="auto"/>
        <w:widowControl/>
        <w:rPr>
          <w:rFonts w:hint="eastAsia" w:ascii="宋体" w:hAnsi="宋体" w:cs="宋体"/>
          <w:b/>
          <w:color w:val="000000"/>
          <w:sz w:val="24"/>
          <w:szCs w:val="24"/>
          <w:highlight w:val="none"/>
          <w:lang w:val="zh-CN"/>
        </w:rPr>
        <w:outlineLvl w:val="9"/>
      </w:pPr>
      <w:r/>
      <w:bookmarkStart w:id="103" w:name="_Toc228350082"/>
      <w:r/>
      <w:bookmarkStart w:id="104" w:name="_Toc23713"/>
      <w:r>
        <w:rPr>
          <w:rFonts w:hint="eastAsia" w:ascii="宋体" w:hAnsi="宋体" w:cs="宋体"/>
          <w:b/>
          <w:color w:val="000000"/>
          <w:sz w:val="24"/>
          <w:szCs w:val="24"/>
          <w:highlight w:val="none"/>
          <w:lang w:val="zh-CN"/>
        </w:rPr>
        <w:br w:type="page" w:clear="all"/>
      </w:r>
      <w:r>
        <w:rPr>
          <w:rFonts w:hint="eastAsia" w:ascii="宋体" w:hAnsi="宋体" w:cs="宋体"/>
          <w:b/>
          <w:color w:val="000000"/>
          <w:sz w:val="24"/>
          <w:szCs w:val="24"/>
          <w:highlight w:val="none"/>
          <w:lang w:val="zh-CN"/>
        </w:rPr>
      </w:r>
      <w:r/>
    </w:p>
    <w:p>
      <w:pPr>
        <w:pStyle w:val="708"/>
        <w:jc w:val="left"/>
        <w:spacing w:line="360" w:lineRule="auto"/>
        <w:widowControl/>
        <w:rPr>
          <w:rFonts w:hint="eastAsia" w:ascii="宋体" w:hAnsi="宋体" w:cs="宋体"/>
          <w:b/>
          <w:color w:val="000000"/>
          <w:sz w:val="24"/>
          <w:szCs w:val="24"/>
          <w:highlight w:val="none"/>
          <w:lang w:val="zh-CN"/>
        </w:rPr>
        <w:outlineLvl w:val="1"/>
      </w:pPr>
      <w:r/>
      <w:bookmarkStart w:id="105" w:name="_Toc10648"/>
      <w:r>
        <w:rPr>
          <w:rFonts w:hint="eastAsia" w:ascii="宋体" w:hAnsi="宋体" w:cs="宋体"/>
          <w:b/>
          <w:color w:val="000000"/>
          <w:sz w:val="24"/>
          <w:szCs w:val="24"/>
          <w:highlight w:val="none"/>
          <w:lang w:val="zh-CN"/>
        </w:rPr>
        <w:t xml:space="preserve">附件七、核心产品品牌一览表（实质性格式）</w:t>
      </w:r>
      <w:bookmarkEnd w:id="103"/>
      <w:r/>
      <w:bookmarkEnd w:id="105"/>
      <w:r>
        <w:rPr>
          <w:rFonts w:hint="eastAsia" w:ascii="宋体" w:hAnsi="宋体" w:cs="宋体"/>
          <w:b/>
          <w:color w:val="000000"/>
          <w:sz w:val="24"/>
          <w:szCs w:val="24"/>
          <w:highlight w:val="none"/>
          <w:lang w:val="zh-CN"/>
        </w:rPr>
      </w:r>
      <w:r/>
    </w:p>
    <w:p>
      <w:pPr>
        <w:pStyle w:val="708"/>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2158"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2391"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bl>
    <w:p>
      <w:pPr>
        <w:pStyle w:val="708"/>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pStyle w:val="708"/>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708"/>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708"/>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bookmarkEnd w:id="104"/>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240" w:lineRule="auto"/>
        <w:rPr>
          <w:rFonts w:hint="eastAsia" w:ascii="宋体" w:hAnsi="宋体" w:eastAsia="宋体" w:cs="宋体"/>
          <w:b/>
          <w:color w:val="000000"/>
          <w:sz w:val="24"/>
          <w:szCs w:val="24"/>
          <w:highlight w:val="none"/>
        </w:rPr>
        <w:outlineLvl w:val="9"/>
      </w:pPr>
      <w:r/>
      <w:bookmarkStart w:id="106" w:name="_Toc26767"/>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107" w:name="_Toc8906"/>
      <w:r>
        <w:rPr>
          <w:rFonts w:hint="eastAsia" w:ascii="宋体" w:hAnsi="宋体" w:eastAsia="宋体" w:cs="宋体"/>
          <w:b/>
          <w:color w:val="000000"/>
          <w:sz w:val="24"/>
          <w:szCs w:val="24"/>
          <w:highlight w:val="none"/>
        </w:rPr>
        <w:t xml:space="preserve">附件八、中小企业声明函格式</w:t>
      </w:r>
      <w:bookmarkEnd w:id="106"/>
      <w:r/>
      <w:bookmarkEnd w:id="107"/>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中小企业声明函</w:t>
      </w: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本企业对上述声明内容的真实性负责。如有虚假，将依法承担相应责任。</w:t>
      </w:r>
      <w:r>
        <w:rPr>
          <w:rFonts w:hint="eastAsia" w:ascii="宋体" w:hAnsi="宋体" w:eastAsia="宋体" w:cs="宋体"/>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jc w:val="right"/>
        <w:spacing w:line="360" w:lineRule="auto"/>
        <w:widowControl/>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企业名称（</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pacing w:val="15"/>
          <w:sz w:val="24"/>
          <w:szCs w:val="24"/>
          <w:highlight w:val="none"/>
        </w:rPr>
        <w:t xml:space="preserve">）：</w:t>
      </w:r>
      <w:r>
        <w:rPr>
          <w:rFonts w:hint="eastAsia" w:ascii="宋体" w:hAnsi="宋体" w:eastAsia="宋体" w:cs="宋体"/>
          <w:color w:val="000000"/>
          <w:spacing w:val="15"/>
          <w:sz w:val="24"/>
          <w:szCs w:val="24"/>
          <w:highlight w:val="none"/>
        </w:rPr>
      </w:r>
      <w:r/>
    </w:p>
    <w:p>
      <w:pPr>
        <w:pStyle w:val="708"/>
        <w:ind w:firstLine="4560"/>
        <w:jc w:val="righ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rPr>
          <w:rFonts w:hint="eastAsia" w:ascii="宋体" w:hAnsi="宋体" w:eastAsia="宋体" w:cs="宋体"/>
          <w:color w:val="000000"/>
          <w:spacing w:val="15"/>
          <w:sz w:val="24"/>
          <w:szCs w:val="24"/>
          <w:highlight w:val="none"/>
        </w:rPr>
      </w:r>
      <w:r/>
    </w:p>
    <w:p>
      <w:pPr>
        <w:pStyle w:val="708"/>
        <w:ind w:firstLine="480"/>
        <w:jc w:val="left"/>
        <w:spacing w:line="340" w:lineRule="exact"/>
        <w:tabs>
          <w:tab w:val="left" w:pos="1800" w:leader="none"/>
          <w:tab w:val="left" w:pos="5580" w:leader="none"/>
        </w:tabs>
        <w:rPr>
          <w:rFonts w:ascii="宋体" w:hAnsi="宋体"/>
          <w:color w:val="000000"/>
          <w:sz w:val="24"/>
          <w:szCs w:val="22"/>
          <w:highlight w:val="none"/>
        </w:rPr>
      </w:pPr>
      <w:r/>
      <w:bookmarkStart w:id="108" w:name="_Hlk73391674"/>
      <w:r>
        <w:rPr>
          <w:rFonts w:ascii="宋体" w:hAnsi="宋体"/>
          <w:color w:val="000000"/>
          <w:sz w:val="24"/>
          <w:szCs w:val="22"/>
          <w:highlight w:val="none"/>
        </w:rPr>
        <w:t xml:space="preserve">注：</w:t>
      </w:r>
      <w:r>
        <w:rPr>
          <w:rFonts w:ascii="宋体" w:hAnsi="宋体"/>
          <w:color w:val="000000"/>
          <w:sz w:val="24"/>
          <w:szCs w:val="22"/>
          <w:highlight w:val="none"/>
        </w:rPr>
      </w:r>
      <w:r/>
    </w:p>
    <w:p>
      <w:pPr>
        <w:pStyle w:val="708"/>
        <w:ind w:firstLine="480"/>
        <w:jc w:val="left"/>
        <w:spacing w:line="340" w:lineRule="exact"/>
        <w:tabs>
          <w:tab w:val="left" w:pos="1800" w:leader="none"/>
          <w:tab w:val="left" w:pos="5580" w:leader="none"/>
        </w:tabs>
        <w:rPr>
          <w:rFonts w:ascii="宋体" w:hAnsi="宋体"/>
          <w:color w:val="000000"/>
          <w:sz w:val="24"/>
          <w:szCs w:val="22"/>
          <w:highlight w:val="none"/>
        </w:rPr>
      </w:pPr>
      <w:r/>
      <w:bookmarkEnd w:id="108"/>
      <w:r>
        <w:rPr>
          <w:rFonts w:hint="eastAsia" w:ascii="宋体" w:hAnsi="宋体"/>
          <w:color w:val="000000"/>
          <w:sz w:val="24"/>
          <w:szCs w:val="22"/>
          <w:highlight w:val="none"/>
        </w:rPr>
        <w:t xml:space="preserve">1．从业人员、营业收入、资产总额填报上一年度数据，无上一年度数据的新成立企业可不填报。</w:t>
      </w:r>
      <w:r>
        <w:rPr>
          <w:rFonts w:ascii="宋体" w:hAnsi="宋体"/>
          <w:color w:val="000000"/>
          <w:sz w:val="24"/>
          <w:szCs w:val="22"/>
          <w:highlight w:val="none"/>
        </w:rPr>
      </w:r>
      <w:r/>
    </w:p>
    <w:p>
      <w:pPr>
        <w:pStyle w:val="708"/>
        <w:ind w:firstLine="480"/>
        <w:jc w:val="left"/>
        <w:spacing w:line="340" w:lineRule="exact"/>
        <w:tabs>
          <w:tab w:val="left" w:pos="1800" w:leader="none"/>
          <w:tab w:val="left" w:pos="5580" w:leader="none"/>
        </w:tabs>
        <w:rPr>
          <w:rFonts w:ascii="Calibri" w:hAnsi="Calibri"/>
          <w:b/>
          <w:bCs/>
          <w:sz w:val="24"/>
          <w:szCs w:val="22"/>
          <w:highlight w:val="none"/>
          <w:u w:val="single"/>
        </w:rPr>
      </w:pPr>
      <w:r/>
      <w:bookmarkStart w:id="109" w:name="_Hlk72665336"/>
      <w:r>
        <w:rPr>
          <w:rFonts w:hint="eastAsia" w:ascii="宋体" w:hAnsi="宋体"/>
          <w:sz w:val="24"/>
          <w:szCs w:val="22"/>
          <w:highlight w:val="none"/>
        </w:rPr>
        <w:t xml:space="preserve">2．</w:t>
      </w:r>
      <w:r>
        <w:rPr>
          <w:rFonts w:hint="eastAsia" w:ascii="Calibri" w:hAnsi="Calibri"/>
          <w:b/>
          <w:bCs/>
          <w:sz w:val="24"/>
          <w:szCs w:val="22"/>
          <w:highlight w:val="none"/>
          <w:u w:val="single"/>
        </w:rPr>
        <w:t xml:space="preserve">中小企业参加政府采购活动，应当出具此格式文件。《中小企业声明函》由参加政府采购活动的供应商出具</w:t>
      </w:r>
      <w:r>
        <w:rPr>
          <w:rFonts w:ascii="Calibri" w:hAnsi="Calibri"/>
          <w:b/>
          <w:bCs/>
          <w:sz w:val="24"/>
          <w:szCs w:val="22"/>
          <w:highlight w:val="none"/>
          <w:u w:val="single"/>
        </w:rPr>
        <w:t xml:space="preserve">。</w:t>
      </w:r>
      <w:r>
        <w:rPr>
          <w:rFonts w:ascii="Calibri" w:hAnsi="Calibri"/>
          <w:b/>
          <w:bCs/>
          <w:sz w:val="24"/>
          <w:szCs w:val="22"/>
          <w:highlight w:val="none"/>
          <w:u w:val="single"/>
        </w:rPr>
      </w:r>
      <w:r/>
    </w:p>
    <w:p>
      <w:pPr>
        <w:pStyle w:val="708"/>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sz w:val="24"/>
          <w:szCs w:val="22"/>
          <w:highlight w:val="none"/>
        </w:rPr>
        <w:t xml:space="preserve">3．</w:t>
      </w:r>
      <w:r>
        <w:rPr>
          <w:rFonts w:ascii="宋体" w:hAnsi="宋体"/>
          <w:color w:val="000000"/>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highlight w:val="none"/>
        </w:rPr>
      </w:r>
      <w:r/>
    </w:p>
    <w:p>
      <w:pPr>
        <w:pStyle w:val="708"/>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4．</w:t>
      </w:r>
      <w:bookmarkEnd w:id="109"/>
      <w:r>
        <w:rPr>
          <w:rFonts w:hint="eastAsia" w:ascii="宋体" w:hAnsi="宋体"/>
          <w:b/>
          <w:bCs/>
          <w:color w:val="000000"/>
          <w:sz w:val="24"/>
          <w:szCs w:val="22"/>
          <w:highlight w:val="none"/>
        </w:rPr>
        <w:t xml:space="preserve">供应商如不提供此声明函，价格将不做相应扣除。</w:t>
      </w:r>
      <w:r>
        <w:rPr>
          <w:rFonts w:hint="eastAsia" w:ascii="宋体" w:hAnsi="宋体"/>
          <w:b/>
          <w:bCs/>
          <w:color w:val="000000"/>
          <w:sz w:val="24"/>
          <w:szCs w:val="22"/>
          <w:highlight w:val="none"/>
        </w:rPr>
      </w:r>
      <w:r/>
    </w:p>
    <w:p>
      <w:pPr>
        <w:pStyle w:val="708"/>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highlight w:val="none"/>
        </w:rPr>
      </w:r>
      <w:r/>
    </w:p>
    <w:p>
      <w:pPr>
        <w:pStyle w:val="708"/>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w:t>
      </w:r>
      <w:r>
        <w:rPr>
          <w:rFonts w:hint="eastAsia" w:ascii="宋体" w:hAnsi="宋体" w:cs="宋体"/>
          <w:b/>
          <w:bCs/>
          <w:color w:val="000000"/>
          <w:sz w:val="24"/>
          <w:szCs w:val="24"/>
          <w:highlight w:val="none"/>
          <w:u w:val="single"/>
          <w:lang w:val="en-US" w:eastAsia="zh-CN"/>
        </w:rPr>
        <w:t xml:space="preserve">工业</w:t>
      </w:r>
      <w:r>
        <w:rPr>
          <w:rFonts w:ascii="宋体" w:hAnsi="宋体" w:cs="宋体"/>
          <w:b/>
          <w:bCs/>
          <w:color w:val="000000"/>
          <w:sz w:val="24"/>
          <w:szCs w:val="24"/>
          <w:highlight w:val="none"/>
          <w:u w:val="single"/>
        </w:rPr>
        <w:t xml:space="preserve">。</w:t>
      </w:r>
      <w:r>
        <w:rPr>
          <w:rFonts w:ascii="Calibri" w:hAnsi="Calibri"/>
          <w:color w:val="000000"/>
          <w:sz w:val="22"/>
          <w:szCs w:val="22"/>
          <w:highlight w:val="none"/>
          <w:u w:val="single"/>
        </w:rPr>
      </w:r>
      <w:r/>
    </w:p>
    <w:p>
      <w:pPr>
        <w:pStyle w:val="708"/>
        <w:ind w:firstLine="482"/>
        <w:spacing w:line="340" w:lineRule="exact"/>
        <w:tabs>
          <w:tab w:val="left" w:pos="1800" w:leader="none"/>
          <w:tab w:val="left" w:pos="5580" w:leader="none"/>
        </w:tabs>
        <w:rPr>
          <w:rFonts w:hint="eastAsia" w:ascii="宋体" w:hAnsi="宋体"/>
          <w:b/>
          <w:bCs/>
          <w:color w:val="000000"/>
          <w:sz w:val="24"/>
          <w:szCs w:val="22"/>
          <w:highlight w:val="none"/>
          <w:u w:val="single"/>
        </w:rPr>
      </w:pPr>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《政府采购促进中小企业发展管理办法》（财库﹝2020﹞46号）</w:t>
      </w:r>
      <w:r>
        <w:rPr>
          <w:rFonts w:ascii="宋体" w:hAnsi="宋体"/>
          <w:b/>
          <w:bCs/>
          <w:color w:val="000000"/>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highlight w:val="none"/>
          <w:u w:val="single"/>
        </w:rPr>
        <w:t xml:space="preserve">中</w:t>
      </w:r>
      <w:r>
        <w:rPr>
          <w:rFonts w:ascii="宋体" w:hAnsi="宋体"/>
          <w:b/>
          <w:bCs/>
          <w:color w:val="000000"/>
          <w:sz w:val="24"/>
          <w:szCs w:val="22"/>
          <w:highlight w:val="none"/>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highlight w:val="none"/>
          <w:u w:val="single"/>
        </w:rPr>
      </w:r>
      <w:r/>
    </w:p>
    <w:p>
      <w:pPr>
        <w:pStyle w:val="710"/>
        <w:rPr>
          <w:rFonts w:hint="eastAsia"/>
          <w:highlight w:val="none"/>
        </w:rPr>
      </w:pPr>
      <w:r>
        <w:rPr>
          <w:rFonts w:ascii="宋体" w:hAnsi="宋体"/>
          <w:b/>
          <w:bCs/>
          <w:color w:val="000000"/>
          <w:sz w:val="24"/>
          <w:szCs w:val="22"/>
          <w:highlight w:val="none"/>
        </w:rPr>
        <w:t xml:space="preserve">如有遗漏的，则所遗漏项的生产企业将被视为非小微企业，供应商不再享受小微企业价格扣除。《</w:t>
      </w:r>
      <w:r>
        <w:rPr>
          <w:rFonts w:hint="eastAsia" w:ascii="宋体" w:hAnsi="宋体"/>
          <w:b/>
          <w:bCs/>
          <w:color w:val="000000"/>
          <w:sz w:val="24"/>
          <w:szCs w:val="22"/>
          <w:highlight w:val="none"/>
        </w:rPr>
        <w:t xml:space="preserve">中</w:t>
      </w:r>
      <w:r>
        <w:rPr>
          <w:rFonts w:ascii="宋体" w:hAnsi="宋体"/>
          <w:b/>
          <w:bCs/>
          <w:color w:val="000000"/>
          <w:sz w:val="24"/>
          <w:szCs w:val="22"/>
          <w:highlight w:val="none"/>
        </w:rPr>
        <w:t xml:space="preserve">小企业声明函》中的“标的名称”是指采购清单中每项产品名称。</w:t>
      </w:r>
      <w:r>
        <w:rPr>
          <w:rFonts w:hint="eastAsia"/>
          <w:highlight w:val="none"/>
        </w:rPr>
      </w:r>
      <w:r/>
    </w:p>
    <w:p>
      <w:pPr>
        <w:pStyle w:val="708"/>
        <w:ind w:firstLine="420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bookmarkStart w:id="110" w:name="_Toc19369"/>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rPr>
          <w:rFonts w:hint="eastAsia" w:ascii="宋体" w:hAnsi="宋体" w:eastAsia="宋体" w:cs="宋体"/>
          <w:b/>
          <w:color w:val="000000"/>
          <w:sz w:val="24"/>
          <w:szCs w:val="24"/>
          <w:highlight w:val="none"/>
        </w:rPr>
      </w:pPr>
      <w:r/>
      <w:bookmarkStart w:id="111" w:name="_Toc1423"/>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附件九、无重大违法记录声明格式</w:t>
      </w:r>
      <w:bookmarkEnd w:id="110"/>
      <w:r/>
      <w:bookmarkEnd w:id="111"/>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无重大违法记录声明</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参加政府采购活动前3年内在经营活动中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（在下划线上如实填写：有或没有）重大违法记录。</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r>
      <w:r/>
    </w:p>
    <w:p>
      <w:pPr>
        <w:pStyle w:val="708"/>
        <w:ind w:firstLine="451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日期：年     月    日</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112" w:name="_Toc9701"/>
      <w:r/>
      <w:bookmarkStart w:id="113" w:name="_Toc29018"/>
      <w:r>
        <w:rPr>
          <w:rFonts w:hint="eastAsia" w:ascii="宋体" w:hAnsi="宋体" w:eastAsia="宋体" w:cs="宋体"/>
          <w:b/>
          <w:color w:val="000000"/>
          <w:sz w:val="24"/>
          <w:szCs w:val="24"/>
          <w:highlight w:val="none"/>
        </w:rPr>
        <w:t xml:space="preserve">附件十、具备履行合同所必需的设备和专业技术能力的声明格式及证明材料</w:t>
      </w:r>
      <w:bookmarkEnd w:id="112"/>
      <w:r/>
      <w:bookmarkEnd w:id="113"/>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具备履行合同所必需的设备和专业技术能力的声明格式</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主要设备有：                          。( 若有 )</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主要专业技术能力有：                  。( 若有 )</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r>
      <w:r/>
    </w:p>
    <w:p>
      <w:pPr>
        <w:pStyle w:val="708"/>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08"/>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114" w:name="_Toc10293"/>
      <w:r/>
      <w:bookmarkStart w:id="115" w:name="_Toc4067"/>
      <w:r/>
      <w:bookmarkStart w:id="116" w:name="_Hlk40203486"/>
      <w:r>
        <w:rPr>
          <w:rFonts w:hint="eastAsia" w:ascii="宋体" w:hAnsi="宋体" w:eastAsia="宋体" w:cs="宋体"/>
          <w:b/>
          <w:color w:val="000000"/>
          <w:sz w:val="24"/>
          <w:szCs w:val="24"/>
          <w:highlight w:val="none"/>
        </w:rPr>
        <w:t xml:space="preserve">附件十一、南京市政府采购供应商信用记录表暨信用承诺书</w:t>
      </w:r>
      <w:bookmarkEnd w:id="114"/>
      <w:r/>
      <w:bookmarkEnd w:id="115"/>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提供“信用南京”在线打印的《南京市政府采购供应商信用记录表暨信用承诺书》</w:t>
      </w: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ind w:right="480"/>
        <w:jc w:val="cente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             供应商（盖章）</w:t>
      </w:r>
      <w:r>
        <w:rPr>
          <w:rFonts w:hint="eastAsia" w:ascii="宋体" w:hAnsi="宋体" w:eastAsia="宋体" w:cs="宋体"/>
          <w:b/>
          <w:color w:val="000000"/>
          <w:sz w:val="24"/>
          <w:szCs w:val="24"/>
          <w:highlight w:val="none"/>
        </w:rPr>
      </w:r>
      <w:r/>
    </w:p>
    <w:p>
      <w:pPr>
        <w:pStyle w:val="708"/>
        <w:ind w:right="480" w:firstLine="4457"/>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法定代表人签名：</w:t>
      </w:r>
      <w:r>
        <w:rPr>
          <w:rFonts w:hint="eastAsia" w:ascii="宋体" w:hAnsi="宋体" w:eastAsia="宋体" w:cs="宋体"/>
          <w:b/>
          <w:color w:val="000000"/>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1"/>
      </w:pPr>
      <w:r/>
      <w:bookmarkStart w:id="117" w:name="_Toc3337"/>
      <w:r/>
      <w:bookmarkStart w:id="118" w:name="_Toc16914"/>
      <w:r>
        <w:rPr>
          <w:rFonts w:hint="eastAsia" w:ascii="宋体" w:hAnsi="宋体" w:eastAsia="宋体" w:cs="宋体"/>
          <w:b/>
          <w:color w:val="000000"/>
          <w:spacing w:val="15"/>
          <w:sz w:val="24"/>
          <w:szCs w:val="24"/>
          <w:highlight w:val="none"/>
        </w:rPr>
        <w:t xml:space="preserve">附件十二、</w:t>
      </w:r>
      <w:r>
        <w:rPr>
          <w:rFonts w:hint="eastAsia" w:ascii="宋体" w:hAnsi="宋体" w:eastAsia="宋体" w:cs="宋体"/>
          <w:b/>
          <w:bCs/>
          <w:color w:val="000000"/>
          <w:spacing w:val="15"/>
          <w:sz w:val="24"/>
          <w:szCs w:val="24"/>
          <w:highlight w:val="none"/>
        </w:rPr>
        <w:t xml:space="preserve">安全生产责任承诺书</w:t>
      </w:r>
      <w:bookmarkEnd w:id="117"/>
      <w:r/>
      <w:bookmarkEnd w:id="118"/>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t xml:space="preserve">安全生产责任承诺书</w:t>
      </w:r>
      <w:r>
        <w:rPr>
          <w:rFonts w:hint="eastAsia" w:ascii="宋体" w:hAnsi="宋体" w:eastAsia="宋体" w:cs="宋体"/>
          <w:b/>
          <w:bCs/>
          <w:color w:val="000000"/>
          <w:spacing w:val="15"/>
          <w:sz w:val="24"/>
          <w:szCs w:val="24"/>
          <w:highlight w:val="none"/>
        </w:rPr>
      </w:r>
      <w:r/>
    </w:p>
    <w:p>
      <w:pPr>
        <w:pStyle w:val="708"/>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pacing w:val="15"/>
          <w:sz w:val="24"/>
          <w:szCs w:val="24"/>
          <w:highlight w:val="none"/>
          <w:u w:val="single"/>
        </w:rPr>
      </w:r>
      <w:r/>
    </w:p>
    <w:p>
      <w:pPr>
        <w:pStyle w:val="708"/>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w:t>
      </w:r>
      <w:r>
        <w:rPr>
          <w:rFonts w:hint="eastAsia" w:ascii="宋体" w:hAnsi="宋体" w:eastAsia="宋体" w:cs="宋体"/>
          <w:color w:val="000000"/>
          <w:spacing w:val="15"/>
          <w:sz w:val="24"/>
          <w:szCs w:val="24"/>
          <w:highlight w:val="none"/>
        </w:rPr>
        <w:t xml:space="preserve">过程中，保证不发生重大人员伤亡事故，在此服务过程中所发生的一切工伤事故，或安全事故，均由我公司承担一切责任。</w:t>
      </w: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rPr>
          <w:rFonts w:hint="eastAsia" w:ascii="宋体" w:hAnsi="宋体" w:eastAsia="宋体" w:cs="宋体"/>
          <w:color w:val="000000"/>
          <w:spacing w:val="15"/>
          <w:sz w:val="24"/>
          <w:szCs w:val="24"/>
          <w:highlight w:val="none"/>
          <w:u w:val="singl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rPr>
          <w:rFonts w:hint="eastAsia" w:ascii="宋体" w:hAnsi="宋体" w:eastAsia="宋体" w:cs="宋体"/>
          <w:color w:val="000000"/>
          <w:spacing w:val="15"/>
          <w:sz w:val="24"/>
          <w:szCs w:val="24"/>
          <w:highlight w:val="none"/>
          <w:u w:val="singl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rPr>
          <w:rFonts w:hint="eastAsia" w:ascii="宋体" w:hAnsi="宋体" w:eastAsia="宋体" w:cs="宋体"/>
          <w:color w:val="000000"/>
          <w:spacing w:val="15"/>
          <w:sz w:val="24"/>
          <w:szCs w:val="24"/>
          <w:highlight w:val="none"/>
          <w:u w:val="singl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bookmarkEnd w:id="116"/>
      <w:r>
        <w:rPr>
          <w:rFonts w:hint="eastAsia" w:ascii="宋体" w:hAnsi="宋体" w:eastAsia="宋体" w:cs="宋体"/>
          <w:color w:val="000000"/>
          <w:spacing w:val="15"/>
          <w:sz w:val="24"/>
          <w:szCs w:val="24"/>
          <w:highlight w:val="none"/>
          <w:u w:val="singl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1"/>
      </w:pPr>
      <w:r/>
      <w:bookmarkStart w:id="119" w:name="_Toc10109"/>
      <w:r/>
      <w:bookmarkStart w:id="120" w:name="_Toc32465"/>
      <w:r>
        <w:rPr>
          <w:rFonts w:hint="eastAsia" w:ascii="宋体" w:hAnsi="宋体" w:eastAsia="宋体" w:cs="宋体"/>
          <w:b/>
          <w:color w:val="000000"/>
          <w:spacing w:val="15"/>
          <w:sz w:val="24"/>
          <w:szCs w:val="24"/>
          <w:highlight w:val="none"/>
        </w:rPr>
        <w:t xml:space="preserve">附件十三、残疾人福利性单位声明函</w:t>
      </w:r>
      <w:bookmarkEnd w:id="119"/>
      <w:r/>
      <w:bookmarkEnd w:id="120"/>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残疾人福利性单位声明函</w:t>
      </w: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rPr>
          <w:rFonts w:hint="eastAsia" w:ascii="宋体" w:hAnsi="宋体" w:eastAsia="宋体" w:cs="宋体"/>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本单位对上述声明的真实性负责。如有虚假，将依法承担相应责任。 </w:t>
      </w:r>
      <w:r>
        <w:rPr>
          <w:rFonts w:hint="eastAsia" w:ascii="宋体" w:hAnsi="宋体" w:eastAsia="宋体" w:cs="宋体"/>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单位名称（盖章）： </w:t>
      </w:r>
      <w:r>
        <w:rPr>
          <w:rFonts w:hint="eastAsia" w:ascii="宋体" w:hAnsi="宋体" w:eastAsia="宋体" w:cs="宋体"/>
          <w:color w:val="000000"/>
          <w:spacing w:val="15"/>
          <w:sz w:val="24"/>
          <w:szCs w:val="24"/>
          <w:highlight w:val="none"/>
        </w:rPr>
      </w:r>
      <w:r/>
    </w:p>
    <w:p>
      <w:pPr>
        <w:pStyle w:val="708"/>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1"/>
      </w:pPr>
      <w:r/>
      <w:bookmarkStart w:id="121" w:name="_Toc24073"/>
      <w:r/>
      <w:bookmarkStart w:id="122" w:name="_Toc21343"/>
      <w:r/>
      <w:bookmarkStart w:id="123" w:name="_Hlk40203523"/>
      <w:r>
        <w:rPr>
          <w:rFonts w:hint="eastAsia" w:ascii="宋体" w:hAnsi="宋体" w:eastAsia="宋体" w:cs="宋体"/>
          <w:b/>
          <w:color w:val="000000"/>
          <w:spacing w:val="15"/>
          <w:sz w:val="24"/>
          <w:szCs w:val="24"/>
          <w:highlight w:val="none"/>
        </w:rPr>
        <w:t xml:space="preserve">附件十四、属于监狱企业的证明文件</w:t>
      </w:r>
      <w:bookmarkEnd w:id="121"/>
      <w:r/>
      <w:bookmarkEnd w:id="122"/>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属于监狱企业的证明文件</w:t>
      </w: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（提供由省级以上监狱管理局、戒毒管理局(含新疆生产建设兵团)出具的属于监狱企业的证 明文件）</w:t>
      </w:r>
      <w:bookmarkEnd w:id="123"/>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1"/>
      </w:pPr>
      <w:r/>
      <w:bookmarkStart w:id="124" w:name="_Toc13811"/>
      <w:r/>
      <w:bookmarkStart w:id="125" w:name="_Toc30704"/>
      <w:r>
        <w:rPr>
          <w:rFonts w:hint="eastAsia" w:ascii="宋体" w:hAnsi="宋体" w:eastAsia="宋体" w:cs="宋体"/>
          <w:b/>
          <w:color w:val="000000"/>
          <w:spacing w:val="15"/>
          <w:sz w:val="24"/>
          <w:szCs w:val="24"/>
          <w:highlight w:val="none"/>
        </w:rPr>
        <w:t xml:space="preserve">附件十五、供应商认为需提供的其他资料</w:t>
      </w:r>
      <w:bookmarkEnd w:id="124"/>
      <w:r/>
      <w:bookmarkEnd w:id="125"/>
      <w:r>
        <w:rPr>
          <w:rFonts w:hint="eastAsia" w:ascii="宋体" w:hAnsi="宋体" w:eastAsia="宋体" w:cs="宋体"/>
          <w:b/>
          <w:color w:val="000000"/>
          <w:spacing w:val="15"/>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126" w:name="_Toc959"/>
      <w:r/>
      <w:bookmarkStart w:id="127" w:name="_Toc27578"/>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十六</w:t>
      </w:r>
      <w:r>
        <w:rPr>
          <w:rFonts w:hint="eastAsia" w:ascii="宋体" w:hAnsi="宋体" w:eastAsia="宋体" w:cs="宋体"/>
          <w:b/>
          <w:color w:val="000000"/>
          <w:sz w:val="24"/>
          <w:szCs w:val="24"/>
          <w:highlight w:val="none"/>
        </w:rPr>
        <w:t xml:space="preserve">、联合体协议格式</w:t>
      </w:r>
      <w:bookmarkEnd w:id="126"/>
      <w:r/>
      <w:bookmarkEnd w:id="127"/>
      <w:r>
        <w:rPr>
          <w:rFonts w:hint="eastAsia" w:ascii="宋体" w:hAnsi="宋体" w:eastAsia="宋体" w:cs="宋体"/>
          <w:b/>
          <w:color w:val="000000"/>
          <w:sz w:val="24"/>
          <w:szCs w:val="24"/>
          <w:highlight w:val="none"/>
        </w:rPr>
      </w:r>
      <w:r/>
    </w:p>
    <w:p>
      <w:pPr>
        <w:pStyle w:val="708"/>
        <w:jc w:val="center"/>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联合体协议（</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708"/>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甲方承担的工作和义务是：___________________________________________________________</w:t>
      </w:r>
      <w:r>
        <w:rPr>
          <w:rFonts w:hint="eastAsia" w:ascii="宋体" w:hAnsi="宋体" w:eastAsia="宋体" w:cs="宋体"/>
          <w:color w:val="000000"/>
          <w:sz w:val="24"/>
          <w:szCs w:val="24"/>
          <w:highlight w:val="none"/>
        </w:rPr>
      </w:r>
      <w:r/>
    </w:p>
    <w:p>
      <w:pPr>
        <w:pStyle w:val="708"/>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乙方承担的工作和义务是：___________________________________________________________</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联合体投标中，中小企业合同金额为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%；其中小微企业合同金额为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元，所占中小企业合同金额比例为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甲方：（盖章）                             乙方：（盖章）</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住所：                                     住所：</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                                 通信地址：</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法定代表人签字：                           法定代表人签字：</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                                     电话：</w:t>
      </w:r>
      <w:r>
        <w:rPr>
          <w:rFonts w:hint="eastAsia" w:ascii="宋体" w:hAnsi="宋体" w:eastAsia="宋体" w:cs="宋体"/>
          <w:color w:val="000000"/>
          <w:sz w:val="24"/>
          <w:szCs w:val="24"/>
          <w:highlight w:val="none"/>
        </w:rPr>
      </w:r>
      <w:r/>
    </w:p>
    <w:p>
      <w:pPr>
        <w:pStyle w:val="78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08"/>
        <w:jc w:val="left"/>
        <w:spacing w:line="360" w:lineRule="auto"/>
        <w:widowControl/>
        <w:rPr>
          <w:rFonts w:ascii="宋体" w:hAnsi="宋体" w:cs="宋体"/>
          <w:b/>
          <w:color w:val="000000"/>
          <w:sz w:val="24"/>
          <w:szCs w:val="24"/>
          <w:highlight w:val="none"/>
          <w:lang w:val="zh-CN"/>
        </w:rPr>
        <w:outlineLvl w:val="1"/>
      </w:pPr>
      <w:r/>
      <w:bookmarkStart w:id="128" w:name="_Toc16709"/>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、关于符合本国产品标准的声明函</w:t>
      </w:r>
      <w:bookmarkEnd w:id="128"/>
      <w:r>
        <w:rPr>
          <w:rFonts w:ascii="宋体" w:hAnsi="宋体" w:cs="宋体"/>
          <w:b/>
          <w:color w:val="000000"/>
          <w:sz w:val="24"/>
          <w:szCs w:val="24"/>
          <w:highlight w:val="none"/>
          <w:lang w:val="zh-CN"/>
        </w:rPr>
      </w:r>
      <w:r/>
    </w:p>
    <w:p>
      <w:pPr>
        <w:pStyle w:val="70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708"/>
        <w:numPr>
          <w:ilvl w:val="0"/>
          <w:numId w:val="8"/>
        </w:numPr>
        <w:ind w:firstLine="420"/>
        <w:jc w:val="left"/>
        <w:spacing w:before="24" w:after="24" w:line="360" w:lineRule="auto"/>
        <w:shd w:val="clear" w:color="auto" w:fill="ffffff"/>
        <w:widowControl/>
        <w:tabs>
          <w:tab w:val="left" w:pos="312" w:leader="none"/>
        </w:tabs>
        <w:rPr>
          <w:rFonts w:hint="eastAsia" w:ascii="宋体" w:hAnsi="宋体" w:cs="微软雅黑"/>
          <w:color w:val="000000"/>
          <w:sz w:val="24"/>
          <w:szCs w:val="24"/>
          <w:highlight w:val="none"/>
          <w:shd w:val="clear" w:color="auto" w:fill="ffffff"/>
          <w:lang w:val="zh-CN" w:bidi="zh-CN"/>
        </w:rPr>
      </w:pP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r>
      <w:r/>
    </w:p>
    <w:p>
      <w:pPr>
        <w:pStyle w:val="708"/>
        <w:numPr>
          <w:ilvl w:val="0"/>
          <w:numId w:val="0"/>
        </w:numPr>
        <w:ind w:firstLine="48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strike/>
          <w:color w:val="000000"/>
          <w:sz w:val="24"/>
          <w:szCs w:val="24"/>
          <w:highlight w:val="none"/>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708"/>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708"/>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708"/>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708"/>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708"/>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708"/>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708"/>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769"/>
        <w:rPr>
          <w:rFonts w:hint="eastAsia"/>
          <w:color w:val="000000"/>
          <w:highlight w:val="none"/>
        </w:rPr>
      </w:pPr>
      <w:r>
        <w:rPr>
          <w:rFonts w:hint="eastAsia"/>
          <w:color w:val="000000"/>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1</w:t>
    </w:r>
    <w:r>
      <w:fldChar w:fldCharType="end"/>
    </w:r>
    <w:r>
      <w:rPr>
        <w:rStyle w:val="794"/>
      </w:rPr>
    </w:r>
    <w:r/>
  </w:p>
  <w:p>
    <w:pPr>
      <w:pStyle w:val="7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pStyle w:val="708"/>
        <w:ind w:left="0" w:firstLine="0"/>
      </w:pPr>
      <w:rPr>
        <w:rFonts w:hint="eastAsia"/>
      </w:rPr>
    </w:lvl>
    <w:lvl w:ilvl="1">
      <w:start w:val="1"/>
      <w:numFmt w:val="decimal"/>
      <w:pStyle w:val="1267"/>
      <w:isLgl w:val="false"/>
      <w:suff w:val="space"/>
      <w:lvlText w:val="%1.%2"/>
      <w:lvlJc w:val="left"/>
      <w:pPr>
        <w:pStyle w:val="708"/>
        <w:ind w:left="0" w:firstLine="0"/>
      </w:pPr>
      <w:rPr>
        <w:rFonts w:hint="eastAsia"/>
      </w:rPr>
    </w:lvl>
    <w:lvl w:ilvl="2">
      <w:start w:val="1"/>
      <w:numFmt w:val="decimal"/>
      <w:pStyle w:val="1268"/>
      <w:isLgl w:val="false"/>
      <w:suff w:val="space"/>
      <w:lvlText w:val="%1.%2.%3"/>
      <w:lvlJc w:val="left"/>
      <w:pPr>
        <w:pStyle w:val="708"/>
        <w:ind w:left="0" w:firstLine="0"/>
      </w:pPr>
      <w:rPr>
        <w:color w:val="000000"/>
        <w:sz w:val="21"/>
        <w:szCs w:val="21"/>
      </w:rPr>
    </w:lvl>
    <w:lvl w:ilvl="3">
      <w:start w:val="1"/>
      <w:numFmt w:val="decimal"/>
      <w:pStyle w:val="1269"/>
      <w:isLgl w:val="false"/>
      <w:suff w:val="space"/>
      <w:lvlText w:val="%1.%2.%3.%4"/>
      <w:lvlJc w:val="left"/>
      <w:pPr>
        <w:pStyle w:val="708"/>
        <w:ind w:left="142" w:firstLine="0"/>
      </w:pPr>
      <w:rPr>
        <w:rFonts w:hint="eastAsia"/>
        <w:color w:val="000000"/>
        <w:sz w:val="21"/>
        <w:szCs w:val="21"/>
      </w:rPr>
    </w:lvl>
    <w:lvl w:ilvl="4">
      <w:start w:val="1"/>
      <w:numFmt w:val="decimal"/>
      <w:isLgl w:val="false"/>
      <w:suff w:val="space"/>
      <w:lvlText w:val="%1.%2.%3.%4.%5"/>
      <w:lvlJc w:val="left"/>
      <w:pPr>
        <w:pStyle w:val="708"/>
        <w:ind w:left="0" w:firstLine="0"/>
      </w:pPr>
      <w:rPr>
        <w:rFonts w:hint="eastAsia"/>
        <w:color w:val="000000"/>
        <w:sz w:val="24"/>
        <w:szCs w:val="24"/>
      </w:rPr>
    </w:lvl>
    <w:lvl w:ilvl="5">
      <w:start w:val="1"/>
      <w:numFmt w:val="decimal"/>
      <w:isLgl w:val="false"/>
      <w:suff w:val="tab"/>
      <w:lvlText w:val="%1.%2.%3.%4.%5.%6"/>
      <w:lvlJc w:val="left"/>
      <w:pPr>
        <w:pStyle w:val="708"/>
        <w:ind w:left="3260" w:hanging="1134"/>
      </w:pPr>
      <w:rPr>
        <w:rFonts w:hint="eastAsia"/>
      </w:rPr>
    </w:lvl>
    <w:lvl w:ilvl="6">
      <w:start w:val="1"/>
      <w:numFmt w:val="decimal"/>
      <w:isLgl w:val="false"/>
      <w:suff w:val="tab"/>
      <w:lvlText w:val="%1.%2.%3.%4.%5.%6.%7"/>
      <w:lvlJc w:val="left"/>
      <w:pPr>
        <w:pStyle w:val="708"/>
        <w:ind w:left="3827" w:hanging="1276"/>
      </w:pPr>
      <w:rPr>
        <w:rFonts w:hint="eastAsia"/>
      </w:rPr>
    </w:lvl>
    <w:lvl w:ilvl="7">
      <w:start w:val="1"/>
      <w:numFmt w:val="decimal"/>
      <w:isLgl w:val="false"/>
      <w:suff w:val="tab"/>
      <w:lvlText w:val="%1.%2.%3.%4.%5.%6.%7.%8"/>
      <w:lvlJc w:val="left"/>
      <w:pPr>
        <w:pStyle w:val="708"/>
        <w:ind w:left="4394" w:hanging="1418"/>
      </w:pPr>
      <w:rPr>
        <w:rFonts w:hint="eastAsia"/>
      </w:rPr>
    </w:lvl>
    <w:lvl w:ilvl="8">
      <w:start w:val="1"/>
      <w:numFmt w:val="decimal"/>
      <w:isLgl w:val="false"/>
      <w:suff w:val="tab"/>
      <w:lvlText w:val="%1.%2.%3.%4.%5.%6.%7.%8.%9"/>
      <w:lvlJc w:val="left"/>
      <w:pPr>
        <w:pStyle w:val="708"/>
        <w:ind w:left="5102" w:hanging="1700"/>
      </w:pPr>
      <w:rPr>
        <w:rFonts w:hint="eastAsia"/>
      </w:rPr>
    </w:lvl>
  </w:abstractNum>
  <w:abstractNum w:abstractNumId="2">
    <w:multiLevelType w:val="hybridMultilevel"/>
    <w:lvl w:ilvl="0">
      <w:start w:val="1"/>
      <w:numFmt w:val="bullet"/>
      <w:pStyle w:val="1165"/>
      <w:isLgl w:val="false"/>
      <w:suff w:val="tab"/>
      <w:lvlText w:val=""/>
      <w:lvlJc w:val="left"/>
      <w:pPr>
        <w:pStyle w:val="708"/>
        <w:ind w:left="420" w:hanging="420"/>
        <w:tabs>
          <w:tab w:val="num" w:pos="420" w:leader="none"/>
        </w:tabs>
      </w:pPr>
      <w:rPr>
        <w:rFonts w:ascii="Wingdings" w:hAnsi="Wingdings"/>
      </w:rPr>
    </w:lvl>
    <w:lvl w:ilvl="1">
      <w:start w:val="1"/>
      <w:numFmt w:val="decimal"/>
      <w:isLgl w:val="false"/>
      <w:suff w:val="tab"/>
      <w:lvlText w:val="（%2）"/>
      <w:lvlJc w:val="left"/>
      <w:pPr>
        <w:pStyle w:val="708"/>
        <w:ind w:left="1500" w:hanging="1080"/>
        <w:tabs>
          <w:tab w:val="num" w:pos="1500" w:leader="none"/>
        </w:tabs>
      </w:pPr>
      <w:rPr>
        <w:rFonts w:hint="eastAsia"/>
      </w:rPr>
    </w:lvl>
    <w:lvl w:ilvl="2">
      <w:start w:val="1"/>
      <w:numFmt w:val="decimal"/>
      <w:isLgl w:val="false"/>
      <w:suff w:val="tab"/>
      <w:lvlText w:val="（%3）"/>
      <w:lvlJc w:val="left"/>
      <w:pPr>
        <w:pStyle w:val="708"/>
        <w:ind w:left="1560" w:hanging="720"/>
        <w:tabs>
          <w:tab w:val="num" w:pos="1560" w:leader="none"/>
        </w:tabs>
      </w:pPr>
      <w:rPr>
        <w:rFonts w:hint="eastAsia"/>
      </w:rPr>
    </w:lvl>
    <w:lvl w:ilvl="3">
      <w:start w:val="1"/>
      <w:numFmt w:val="decimal"/>
      <w:isLgl w:val="false"/>
      <w:suff w:val="tab"/>
      <w:lvlText w:val="%4."/>
      <w:lvlJc w:val="left"/>
      <w:pPr>
        <w:pStyle w:val="708"/>
        <w:ind w:left="1680" w:hanging="420"/>
        <w:tabs>
          <w:tab w:val="num" w:pos="1680" w:leader="none"/>
        </w:tabs>
      </w:pPr>
    </w:lvl>
    <w:lvl w:ilvl="4">
      <w:start w:val="1"/>
      <w:numFmt w:val="lowerLetter"/>
      <w:isLgl w:val="false"/>
      <w:suff w:val="tab"/>
      <w:lvlText w:val="%5)"/>
      <w:lvlJc w:val="left"/>
      <w:pPr>
        <w:pStyle w:val="708"/>
        <w:ind w:left="2100" w:hanging="420"/>
        <w:tabs>
          <w:tab w:val="num" w:pos="2100" w:leader="none"/>
        </w:tabs>
      </w:pPr>
    </w:lvl>
    <w:lvl w:ilvl="5">
      <w:start w:val="1"/>
      <w:numFmt w:val="lowerRoman"/>
      <w:isLgl w:val="false"/>
      <w:suff w:val="tab"/>
      <w:lvlText w:val="%6."/>
      <w:lvlJc w:val="right"/>
      <w:pPr>
        <w:pStyle w:val="708"/>
        <w:ind w:left="2520" w:hanging="420"/>
        <w:tabs>
          <w:tab w:val="num" w:pos="2520" w:leader="none"/>
        </w:tabs>
      </w:pPr>
    </w:lvl>
    <w:lvl w:ilvl="6">
      <w:start w:val="1"/>
      <w:numFmt w:val="decimal"/>
      <w:isLgl w:val="false"/>
      <w:suff w:val="tab"/>
      <w:lvlText w:val="%7."/>
      <w:lvlJc w:val="left"/>
      <w:pPr>
        <w:pStyle w:val="708"/>
        <w:ind w:left="2940" w:hanging="420"/>
        <w:tabs>
          <w:tab w:val="num" w:pos="2940" w:leader="none"/>
        </w:tabs>
      </w:pPr>
    </w:lvl>
    <w:lvl w:ilvl="7">
      <w:start w:val="1"/>
      <w:numFmt w:val="lowerLetter"/>
      <w:isLgl w:val="false"/>
      <w:suff w:val="tab"/>
      <w:lvlText w:val="%8)"/>
      <w:lvlJc w:val="left"/>
      <w:pPr>
        <w:pStyle w:val="708"/>
        <w:ind w:left="3360" w:hanging="420"/>
        <w:tabs>
          <w:tab w:val="num" w:pos="3360" w:leader="none"/>
        </w:tabs>
      </w:pPr>
    </w:lvl>
    <w:lvl w:ilvl="8">
      <w:start w:val="1"/>
      <w:numFmt w:val="lowerRoman"/>
      <w:isLgl w:val="false"/>
      <w:suff w:val="tab"/>
      <w:lvlText w:val="%9."/>
      <w:lvlJc w:val="right"/>
      <w:pPr>
        <w:pStyle w:val="708"/>
        <w:ind w:left="3780" w:hanging="420"/>
        <w:tabs>
          <w:tab w:val="num" w:pos="3780" w:leader="none"/>
        </w:tabs>
      </w:pPr>
    </w:lvl>
  </w:abstractNum>
  <w:abstractNum w:abstractNumId="3">
    <w:multiLevelType w:val="hybridMultilevel"/>
    <w:lvl w:ilvl="0">
      <w:start w:val="1"/>
      <w:numFmt w:val="bullet"/>
      <w:pStyle w:val="1131"/>
      <w:isLgl w:val="false"/>
      <w:suff w:val="tab"/>
      <w:lvlText w:val=""/>
      <w:lvlJc w:val="left"/>
      <w:pPr>
        <w:pStyle w:val="708"/>
        <w:ind w:left="360" w:hanging="360"/>
        <w:tabs>
          <w:tab w:val="num" w:pos="360" w:leader="none"/>
        </w:tabs>
      </w:pPr>
      <w:rPr>
        <w:rFonts w:ascii="Symbol" w:hAnsi="Symbol"/>
      </w:rPr>
    </w:lvl>
    <w:lvl w:ilvl="1">
      <w:start w:val="1"/>
      <w:numFmt w:val="bullet"/>
      <w:isLgl w:val="false"/>
      <w:suff w:val="tab"/>
      <w:lvlText w:val="o"/>
      <w:lvlJc w:val="left"/>
      <w:pPr>
        <w:pStyle w:val="708"/>
        <w:ind w:left="1440" w:hanging="360"/>
      </w:pPr>
      <w:rPr>
        <w:rFonts w:ascii="Courier New" w:hAnsi="Courier New" w:eastAsia="Courier New" w:cs="Courier New"/>
      </w:rPr>
    </w:lvl>
    <w:lvl w:ilvl="2">
      <w:start w:val="1"/>
      <w:numFmt w:val="bullet"/>
      <w:isLgl w:val="false"/>
      <w:suff w:val="tab"/>
      <w:lvlText w:val="§"/>
      <w:lvlJc w:val="left"/>
      <w:pPr>
        <w:pStyle w:val="708"/>
        <w:ind w:left="2160" w:hanging="360"/>
      </w:pPr>
      <w:rPr>
        <w:rFonts w:ascii="Wingdings" w:hAnsi="Wingdings" w:eastAsia="Wingdings" w:cs="Wingdings"/>
      </w:rPr>
    </w:lvl>
    <w:lvl w:ilvl="3">
      <w:start w:val="1"/>
      <w:numFmt w:val="bullet"/>
      <w:isLgl w:val="false"/>
      <w:suff w:val="tab"/>
      <w:lvlText w:val="·"/>
      <w:lvlJc w:val="left"/>
      <w:pPr>
        <w:pStyle w:val="708"/>
        <w:ind w:left="2880" w:hanging="360"/>
      </w:pPr>
      <w:rPr>
        <w:rFonts w:ascii="Symbol" w:hAnsi="Symbol" w:eastAsia="Symbol" w:cs="Symbol"/>
      </w:rPr>
    </w:lvl>
    <w:lvl w:ilvl="4">
      <w:start w:val="1"/>
      <w:numFmt w:val="bullet"/>
      <w:isLgl w:val="false"/>
      <w:suff w:val="tab"/>
      <w:lvlText w:val="o"/>
      <w:lvlJc w:val="left"/>
      <w:pPr>
        <w:pStyle w:val="708"/>
        <w:ind w:left="3600" w:hanging="360"/>
      </w:pPr>
      <w:rPr>
        <w:rFonts w:ascii="Courier New" w:hAnsi="Courier New" w:eastAsia="Courier New" w:cs="Courier New"/>
      </w:rPr>
    </w:lvl>
    <w:lvl w:ilvl="5">
      <w:start w:val="1"/>
      <w:numFmt w:val="bullet"/>
      <w:isLgl w:val="false"/>
      <w:suff w:val="tab"/>
      <w:lvlText w:val="§"/>
      <w:lvlJc w:val="left"/>
      <w:pPr>
        <w:pStyle w:val="708"/>
        <w:ind w:left="4320" w:hanging="360"/>
      </w:pPr>
      <w:rPr>
        <w:rFonts w:ascii="Wingdings" w:hAnsi="Wingdings" w:eastAsia="Wingdings" w:cs="Wingdings"/>
      </w:rPr>
    </w:lvl>
    <w:lvl w:ilvl="6">
      <w:start w:val="1"/>
      <w:numFmt w:val="bullet"/>
      <w:isLgl w:val="false"/>
      <w:suff w:val="tab"/>
      <w:lvlText w:val="·"/>
      <w:lvlJc w:val="left"/>
      <w:pPr>
        <w:pStyle w:val="708"/>
        <w:ind w:left="5040" w:hanging="360"/>
      </w:pPr>
      <w:rPr>
        <w:rFonts w:ascii="Symbol" w:hAnsi="Symbol" w:eastAsia="Symbol" w:cs="Symbol"/>
      </w:rPr>
    </w:lvl>
    <w:lvl w:ilvl="7">
      <w:start w:val="1"/>
      <w:numFmt w:val="bullet"/>
      <w:isLgl w:val="false"/>
      <w:suff w:val="tab"/>
      <w:lvlText w:val="o"/>
      <w:lvlJc w:val="left"/>
      <w:pPr>
        <w:pStyle w:val="708"/>
        <w:ind w:left="5760" w:hanging="360"/>
      </w:pPr>
      <w:rPr>
        <w:rFonts w:ascii="Courier New" w:hAnsi="Courier New" w:eastAsia="Courier New" w:cs="Courier New"/>
      </w:rPr>
    </w:lvl>
    <w:lvl w:ilvl="8">
      <w:start w:val="1"/>
      <w:numFmt w:val="bullet"/>
      <w:isLgl w:val="false"/>
      <w:suff w:val="tab"/>
      <w:lvlText w:val="§"/>
      <w:lvlJc w:val="left"/>
      <w:pPr>
        <w:pStyle w:val="70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9"/>
      <w:isLgl w:val="false"/>
      <w:suff w:val="tab"/>
      <w:lvlText w:val="%1"/>
      <w:lvlJc w:val="left"/>
      <w:pPr>
        <w:pStyle w:val="708"/>
        <w:ind w:left="567" w:hanging="567"/>
        <w:tabs>
          <w:tab w:val="num" w:pos="567" w:leader="none"/>
        </w:tabs>
      </w:pPr>
      <w:rPr>
        <w:rFonts w:hint="eastAsia"/>
      </w:rPr>
    </w:lvl>
    <w:lvl w:ilvl="1">
      <w:start w:val="1"/>
      <w:numFmt w:val="decimal"/>
      <w:pStyle w:val="1151"/>
      <w:isLgl w:val="false"/>
      <w:suff w:val="tab"/>
      <w:lvlText w:val="%1.%2"/>
      <w:lvlJc w:val="left"/>
      <w:pPr>
        <w:pStyle w:val="708"/>
        <w:ind w:left="567" w:hanging="283"/>
        <w:tabs>
          <w:tab w:val="num" w:pos="1004" w:leader="none"/>
        </w:tabs>
      </w:pPr>
      <w:rPr>
        <w:rFonts w:hint="eastAsia"/>
      </w:rPr>
    </w:lvl>
    <w:lvl w:ilvl="2">
      <w:start w:val="1"/>
      <w:numFmt w:val="decimal"/>
      <w:isLgl w:val="false"/>
      <w:suff w:val="tab"/>
      <w:lvlText w:val="%1.%2.%3"/>
      <w:lvlJc w:val="left"/>
      <w:pPr>
        <w:pStyle w:val="708"/>
        <w:ind w:left="1134" w:hanging="567"/>
        <w:tabs>
          <w:tab w:val="num" w:pos="1647" w:leader="none"/>
        </w:tabs>
      </w:pPr>
      <w:rPr>
        <w:rFonts w:hint="eastAsia"/>
      </w:rPr>
    </w:lvl>
    <w:lvl w:ilvl="3">
      <w:start w:val="1"/>
      <w:numFmt w:val="decimal"/>
      <w:isLgl w:val="false"/>
      <w:suff w:val="tab"/>
      <w:lvlText w:val="%1.%2.%3.%4"/>
      <w:lvlJc w:val="left"/>
      <w:pPr>
        <w:pStyle w:val="708"/>
        <w:ind w:left="2851" w:hanging="708"/>
        <w:tabs>
          <w:tab w:val="num" w:pos="3223" w:leader="none"/>
        </w:tabs>
      </w:pPr>
      <w:rPr>
        <w:rFonts w:hint="eastAsia"/>
      </w:rPr>
    </w:lvl>
    <w:lvl w:ilvl="4">
      <w:start w:val="1"/>
      <w:numFmt w:val="decimal"/>
      <w:isLgl w:val="false"/>
      <w:suff w:val="tab"/>
      <w:lvlText w:val="%1.%2.%3.%4.%5"/>
      <w:lvlJc w:val="left"/>
      <w:pPr>
        <w:pStyle w:val="708"/>
        <w:ind w:left="3418" w:hanging="850"/>
        <w:tabs>
          <w:tab w:val="num" w:pos="3648" w:leader="none"/>
        </w:tabs>
      </w:pPr>
      <w:rPr>
        <w:rFonts w:hint="eastAsia"/>
      </w:rPr>
    </w:lvl>
    <w:lvl w:ilvl="5">
      <w:start w:val="1"/>
      <w:numFmt w:val="decimal"/>
      <w:isLgl w:val="false"/>
      <w:suff w:val="tab"/>
      <w:lvlText w:val="%1.%2.%3.%4.%5.%6"/>
      <w:lvlJc w:val="left"/>
      <w:pPr>
        <w:pStyle w:val="708"/>
        <w:ind w:left="4127" w:hanging="1134"/>
        <w:tabs>
          <w:tab w:val="num" w:pos="4433" w:leader="none"/>
        </w:tabs>
      </w:pPr>
      <w:rPr>
        <w:rFonts w:hint="eastAsia"/>
      </w:rPr>
    </w:lvl>
    <w:lvl w:ilvl="6">
      <w:start w:val="1"/>
      <w:numFmt w:val="decimal"/>
      <w:isLgl w:val="false"/>
      <w:suff w:val="tab"/>
      <w:lvlText w:val="%1.%2.%3.%4.%5.%6.%7"/>
      <w:lvlJc w:val="left"/>
      <w:pPr>
        <w:pStyle w:val="708"/>
        <w:ind w:left="4694" w:hanging="1276"/>
        <w:tabs>
          <w:tab w:val="num" w:pos="4858" w:leader="none"/>
        </w:tabs>
      </w:pPr>
      <w:rPr>
        <w:rFonts w:hint="eastAsia"/>
      </w:rPr>
    </w:lvl>
    <w:lvl w:ilvl="7">
      <w:start w:val="1"/>
      <w:numFmt w:val="decimal"/>
      <w:isLgl w:val="false"/>
      <w:suff w:val="tab"/>
      <w:lvlText w:val="%1.%2.%3.%4.%5.%6.%7.%8"/>
      <w:lvlJc w:val="left"/>
      <w:pPr>
        <w:pStyle w:val="708"/>
        <w:ind w:left="5261" w:hanging="1418"/>
        <w:tabs>
          <w:tab w:val="num" w:pos="5643" w:leader="none"/>
        </w:tabs>
      </w:pPr>
      <w:rPr>
        <w:rFonts w:hint="eastAsia"/>
      </w:rPr>
    </w:lvl>
    <w:lvl w:ilvl="8">
      <w:start w:val="1"/>
      <w:numFmt w:val="decimal"/>
      <w:isLgl w:val="false"/>
      <w:suff w:val="tab"/>
      <w:lvlText w:val="%1.%2.%3.%4.%5.%6.%7.%8.%9"/>
      <w:lvlJc w:val="left"/>
      <w:pPr>
        <w:pStyle w:val="708"/>
        <w:ind w:left="5969" w:hanging="1700"/>
        <w:tabs>
          <w:tab w:val="num" w:pos="6429" w:leader="none"/>
        </w:tabs>
      </w:pPr>
      <w:rPr>
        <w:rFonts w:hint="eastAsia"/>
      </w:rPr>
    </w:lvl>
  </w:abstractNum>
  <w:abstractNum w:abstractNumId="6">
    <w:multiLevelType w:val="hybridMultilevel"/>
    <w:lvl w:ilvl="0">
      <w:start w:val="1"/>
      <w:numFmt w:val="decimal"/>
      <w:isLgl w:val="false"/>
      <w:suff w:val="nothing"/>
      <w:lvlText w:val="（%1）"/>
      <w:lvlJc w:val="left"/>
      <w:pPr>
        <w:pStyle w:val="708"/>
      </w:pPr>
    </w:lvl>
    <w:lvl w:ilvl="1">
      <w:start w:val="1"/>
      <w:numFmt w:val="bullet"/>
      <w:isLgl w:val="false"/>
      <w:suff w:val="tab"/>
      <w:lvlText w:val="o"/>
      <w:lvlJc w:val="left"/>
      <w:pPr>
        <w:pStyle w:val="708"/>
        <w:ind w:left="1440" w:hanging="360"/>
      </w:pPr>
      <w:rPr>
        <w:rFonts w:ascii="Courier New" w:hAnsi="Courier New" w:eastAsia="Courier New" w:cs="Courier New"/>
      </w:rPr>
    </w:lvl>
    <w:lvl w:ilvl="2">
      <w:start w:val="1"/>
      <w:numFmt w:val="bullet"/>
      <w:isLgl w:val="false"/>
      <w:suff w:val="tab"/>
      <w:lvlText w:val="§"/>
      <w:lvlJc w:val="left"/>
      <w:pPr>
        <w:pStyle w:val="708"/>
        <w:ind w:left="2160" w:hanging="360"/>
      </w:pPr>
      <w:rPr>
        <w:rFonts w:ascii="Wingdings" w:hAnsi="Wingdings" w:eastAsia="Wingdings" w:cs="Wingdings"/>
      </w:rPr>
    </w:lvl>
    <w:lvl w:ilvl="3">
      <w:start w:val="1"/>
      <w:numFmt w:val="bullet"/>
      <w:isLgl w:val="false"/>
      <w:suff w:val="tab"/>
      <w:lvlText w:val="·"/>
      <w:lvlJc w:val="left"/>
      <w:pPr>
        <w:pStyle w:val="708"/>
        <w:ind w:left="2880" w:hanging="360"/>
      </w:pPr>
      <w:rPr>
        <w:rFonts w:ascii="Symbol" w:hAnsi="Symbol" w:eastAsia="Symbol" w:cs="Symbol"/>
      </w:rPr>
    </w:lvl>
    <w:lvl w:ilvl="4">
      <w:start w:val="1"/>
      <w:numFmt w:val="bullet"/>
      <w:isLgl w:val="false"/>
      <w:suff w:val="tab"/>
      <w:lvlText w:val="o"/>
      <w:lvlJc w:val="left"/>
      <w:pPr>
        <w:pStyle w:val="708"/>
        <w:ind w:left="3600" w:hanging="360"/>
      </w:pPr>
      <w:rPr>
        <w:rFonts w:ascii="Courier New" w:hAnsi="Courier New" w:eastAsia="Courier New" w:cs="Courier New"/>
      </w:rPr>
    </w:lvl>
    <w:lvl w:ilvl="5">
      <w:start w:val="1"/>
      <w:numFmt w:val="bullet"/>
      <w:isLgl w:val="false"/>
      <w:suff w:val="tab"/>
      <w:lvlText w:val="§"/>
      <w:lvlJc w:val="left"/>
      <w:pPr>
        <w:pStyle w:val="708"/>
        <w:ind w:left="4320" w:hanging="360"/>
      </w:pPr>
      <w:rPr>
        <w:rFonts w:ascii="Wingdings" w:hAnsi="Wingdings" w:eastAsia="Wingdings" w:cs="Wingdings"/>
      </w:rPr>
    </w:lvl>
    <w:lvl w:ilvl="6">
      <w:start w:val="1"/>
      <w:numFmt w:val="bullet"/>
      <w:isLgl w:val="false"/>
      <w:suff w:val="tab"/>
      <w:lvlText w:val="·"/>
      <w:lvlJc w:val="left"/>
      <w:pPr>
        <w:pStyle w:val="708"/>
        <w:ind w:left="5040" w:hanging="360"/>
      </w:pPr>
      <w:rPr>
        <w:rFonts w:ascii="Symbol" w:hAnsi="Symbol" w:eastAsia="Symbol" w:cs="Symbol"/>
      </w:rPr>
    </w:lvl>
    <w:lvl w:ilvl="7">
      <w:start w:val="1"/>
      <w:numFmt w:val="bullet"/>
      <w:isLgl w:val="false"/>
      <w:suff w:val="tab"/>
      <w:lvlText w:val="o"/>
      <w:lvlJc w:val="left"/>
      <w:pPr>
        <w:pStyle w:val="708"/>
        <w:ind w:left="5760" w:hanging="360"/>
      </w:pPr>
      <w:rPr>
        <w:rFonts w:ascii="Courier New" w:hAnsi="Courier New" w:eastAsia="Courier New" w:cs="Courier New"/>
      </w:rPr>
    </w:lvl>
    <w:lvl w:ilvl="8">
      <w:start w:val="1"/>
      <w:numFmt w:val="bullet"/>
      <w:isLgl w:val="false"/>
      <w:suff w:val="tab"/>
      <w:lvlText w:val="§"/>
      <w:lvlJc w:val="left"/>
      <w:pPr>
        <w:pStyle w:val="708"/>
        <w:ind w:left="6480" w:hanging="360"/>
      </w:pPr>
      <w:rPr>
        <w:rFonts w:ascii="Wingdings" w:hAnsi="Wingdings" w:eastAsia="Wingdings" w:cs="Wingdings"/>
      </w:rPr>
    </w:lvl>
  </w:abstractNum>
  <w:abstractNum w:abstractNumId="7">
    <w:multiLevelType w:val="hybridMultilevel"/>
    <w:lvl w:ilvl="0">
      <w:start w:val="1"/>
      <w:numFmt w:val="decimal"/>
      <w:pStyle w:val="1140"/>
      <w:isLgl w:val="false"/>
      <w:suff w:val="tab"/>
      <w:lvlText w:val="(%1)"/>
      <w:lvlJc w:val="left"/>
      <w:pPr>
        <w:pStyle w:val="70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08"/>
        <w:ind w:left="840" w:hanging="420"/>
        <w:tabs>
          <w:tab w:val="num" w:pos="840" w:leader="none"/>
        </w:tabs>
      </w:pPr>
    </w:lvl>
    <w:lvl w:ilvl="2">
      <w:start w:val="1"/>
      <w:numFmt w:val="lowerRoman"/>
      <w:isLgl w:val="false"/>
      <w:suff w:val="tab"/>
      <w:lvlText w:val="%3."/>
      <w:lvlJc w:val="right"/>
      <w:pPr>
        <w:pStyle w:val="708"/>
        <w:ind w:left="1260" w:hanging="420"/>
        <w:tabs>
          <w:tab w:val="num" w:pos="1260" w:leader="none"/>
        </w:tabs>
      </w:pPr>
    </w:lvl>
    <w:lvl w:ilvl="3">
      <w:start w:val="1"/>
      <w:numFmt w:val="decimal"/>
      <w:isLgl w:val="false"/>
      <w:suff w:val="tab"/>
      <w:lvlText w:val="%4."/>
      <w:lvlJc w:val="left"/>
      <w:pPr>
        <w:pStyle w:val="708"/>
        <w:ind w:left="1680" w:hanging="420"/>
        <w:tabs>
          <w:tab w:val="num" w:pos="1680" w:leader="none"/>
        </w:tabs>
      </w:pPr>
    </w:lvl>
    <w:lvl w:ilvl="4">
      <w:start w:val="1"/>
      <w:numFmt w:val="lowerLetter"/>
      <w:pStyle w:val="1162"/>
      <w:isLgl w:val="false"/>
      <w:suff w:val="tab"/>
      <w:lvlText w:val="%5)"/>
      <w:lvlJc w:val="left"/>
      <w:pPr>
        <w:pStyle w:val="708"/>
        <w:ind w:left="2100" w:hanging="420"/>
        <w:tabs>
          <w:tab w:val="num" w:pos="2100" w:leader="none"/>
        </w:tabs>
      </w:pPr>
    </w:lvl>
    <w:lvl w:ilvl="5">
      <w:start w:val="1"/>
      <w:numFmt w:val="lowerRoman"/>
      <w:isLgl w:val="false"/>
      <w:suff w:val="tab"/>
      <w:lvlText w:val="%6."/>
      <w:lvlJc w:val="right"/>
      <w:pPr>
        <w:pStyle w:val="708"/>
        <w:ind w:left="2520" w:hanging="420"/>
        <w:tabs>
          <w:tab w:val="num" w:pos="2520" w:leader="none"/>
        </w:tabs>
      </w:pPr>
    </w:lvl>
    <w:lvl w:ilvl="6">
      <w:start w:val="1"/>
      <w:numFmt w:val="decimal"/>
      <w:isLgl w:val="false"/>
      <w:suff w:val="tab"/>
      <w:lvlText w:val="%7."/>
      <w:lvlJc w:val="left"/>
      <w:pPr>
        <w:pStyle w:val="708"/>
        <w:ind w:left="2940" w:hanging="420"/>
        <w:tabs>
          <w:tab w:val="num" w:pos="2940" w:leader="none"/>
        </w:tabs>
      </w:pPr>
    </w:lvl>
    <w:lvl w:ilvl="7">
      <w:start w:val="1"/>
      <w:numFmt w:val="lowerLetter"/>
      <w:isLgl w:val="false"/>
      <w:suff w:val="tab"/>
      <w:lvlText w:val="%8)"/>
      <w:lvlJc w:val="left"/>
      <w:pPr>
        <w:pStyle w:val="708"/>
        <w:ind w:left="3360" w:hanging="420"/>
        <w:tabs>
          <w:tab w:val="num" w:pos="3360" w:leader="none"/>
        </w:tabs>
      </w:pPr>
    </w:lvl>
    <w:lvl w:ilvl="8">
      <w:start w:val="1"/>
      <w:numFmt w:val="lowerRoman"/>
      <w:isLgl w:val="false"/>
      <w:suff w:val="tab"/>
      <w:lvlText w:val="%9."/>
      <w:lvlJc w:val="right"/>
      <w:pPr>
        <w:pStyle w:val="708"/>
        <w:ind w:left="3780" w:hanging="420"/>
        <w:tabs>
          <w:tab w:val="num" w:pos="3780" w:leader="none"/>
        </w:tabs>
      </w:pPr>
    </w:lvl>
  </w:abstractNum>
  <w:num w:numId="1">
    <w:abstractNumId w:val="5"/>
  </w:num>
  <w:num w:numId="2">
    <w:abstractNumId w:val="3"/>
  </w:num>
  <w:num w:numId="3">
    <w:abstractNumId w:val="7"/>
  </w:num>
  <w:num w:numId="4">
    <w:abstractNumId w:val="2"/>
  </w:num>
  <w:num w:numId="5">
    <w:abstractNumId w:val="1"/>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814"/>
    <w:uiPriority w:val="9"/>
    <w:qFormat/>
    <w:pPr>
      <w:keepLines/>
      <w:keepNext/>
      <w:spacing w:before="480" w:after="200"/>
      <w:outlineLvl w:val="0"/>
    </w:pPr>
    <w:rPr>
      <w:rFonts w:ascii="Arial" w:hAnsi="Arial" w:eastAsia="Arial" w:cs="Arial"/>
      <w:sz w:val="40"/>
      <w:szCs w:val="40"/>
    </w:rPr>
  </w:style>
  <w:style w:type="paragraph" w:styleId="14">
    <w:name w:val="Heading 2"/>
    <w:basedOn w:val="708"/>
    <w:next w:val="708"/>
    <w:link w:val="815"/>
    <w:uiPriority w:val="9"/>
    <w:unhideWhenUsed/>
    <w:qFormat/>
    <w:pPr>
      <w:keepLines/>
      <w:keepNext/>
      <w:spacing w:before="360" w:after="200"/>
      <w:outlineLvl w:val="1"/>
    </w:pPr>
    <w:rPr>
      <w:rFonts w:ascii="Arial" w:hAnsi="Arial" w:eastAsia="Arial" w:cs="Arial"/>
      <w:sz w:val="34"/>
    </w:rPr>
  </w:style>
  <w:style w:type="paragraph" w:styleId="16">
    <w:name w:val="Heading 3"/>
    <w:basedOn w:val="708"/>
    <w:next w:val="708"/>
    <w:link w:val="81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8"/>
    <w:next w:val="708"/>
    <w:link w:val="81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8"/>
    <w:next w:val="708"/>
    <w:link w:val="81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8"/>
    <w:next w:val="708"/>
    <w:link w:val="81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8"/>
    <w:next w:val="708"/>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8"/>
    <w:next w:val="708"/>
    <w:link w:val="82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8"/>
    <w:next w:val="708"/>
    <w:link w:val="82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08"/>
    <w:next w:val="708"/>
    <w:link w:val="823"/>
    <w:uiPriority w:val="10"/>
    <w:qFormat/>
    <w:pPr>
      <w:contextualSpacing/>
      <w:spacing w:before="300" w:after="200"/>
    </w:pPr>
    <w:rPr>
      <w:sz w:val="48"/>
      <w:szCs w:val="48"/>
    </w:rPr>
  </w:style>
  <w:style w:type="paragraph" w:styleId="35">
    <w:name w:val="Subtitle"/>
    <w:basedOn w:val="708"/>
    <w:next w:val="708"/>
    <w:link w:val="824"/>
    <w:uiPriority w:val="11"/>
    <w:qFormat/>
    <w:pPr>
      <w:spacing w:before="200" w:after="200"/>
    </w:pPr>
    <w:rPr>
      <w:sz w:val="24"/>
      <w:szCs w:val="24"/>
    </w:rPr>
  </w:style>
  <w:style w:type="paragraph" w:styleId="41">
    <w:name w:val="Header"/>
    <w:basedOn w:val="708"/>
    <w:link w:val="827"/>
    <w:uiPriority w:val="99"/>
    <w:unhideWhenUsed/>
    <w:pPr>
      <w:spacing w:after="0" w:line="240" w:lineRule="auto"/>
      <w:tabs>
        <w:tab w:val="center" w:pos="7143" w:leader="none"/>
        <w:tab w:val="right" w:pos="14287" w:leader="none"/>
      </w:tabs>
    </w:pPr>
  </w:style>
  <w:style w:type="paragraph" w:styleId="43">
    <w:name w:val="Footer"/>
    <w:basedOn w:val="708"/>
    <w:link w:val="829"/>
    <w:uiPriority w:val="99"/>
    <w:unhideWhenUsed/>
    <w:pPr>
      <w:spacing w:after="0" w:line="240" w:lineRule="auto"/>
      <w:tabs>
        <w:tab w:val="center" w:pos="7143" w:leader="none"/>
        <w:tab w:val="right" w:pos="14287" w:leader="none"/>
      </w:tabs>
    </w:pPr>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08"/>
    <w:link w:val="95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8"/>
    <w:link w:val="95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90">
    <w:name w:val="table of figures"/>
    <w:basedOn w:val="708"/>
    <w:next w:val="708"/>
    <w:uiPriority w:val="99"/>
    <w:unhideWhenUsed/>
    <w:pPr>
      <w:spacing w:after="0" w:afterAutospacing="0"/>
    </w:pPr>
  </w:style>
  <w:style w:type="paragraph" w:styleId="708" w:default="1">
    <w:name w:val="Normal"/>
    <w:next w:val="708"/>
    <w:link w:val="708"/>
    <w:qFormat/>
    <w:pPr>
      <w:jc w:val="both"/>
      <w:widowControl w:val="off"/>
    </w:pPr>
    <w:rPr>
      <w:rFonts w:ascii="Times New Roman" w:hAnsi="Times New Roman" w:eastAsia="宋体" w:cs="Times New Roman"/>
      <w:sz w:val="21"/>
      <w:lang w:val="en-US" w:eastAsia="zh-CN" w:bidi="ar-SA"/>
    </w:rPr>
  </w:style>
  <w:style w:type="paragraph" w:styleId="709">
    <w:name w:val="标题 1"/>
    <w:basedOn w:val="708"/>
    <w:next w:val="708"/>
    <w:link w:val="708"/>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10">
    <w:name w:val="标题 2"/>
    <w:basedOn w:val="708"/>
    <w:next w:val="708"/>
    <w:link w:val="720"/>
    <w:qFormat/>
    <w:pPr>
      <w:jc w:val="left"/>
      <w:keepLines/>
      <w:keepNext/>
      <w:spacing w:before="120" w:after="120"/>
      <w:outlineLvl w:val="1"/>
    </w:pPr>
    <w:rPr>
      <w:rFonts w:ascii="宋体" w:hAnsi="宋体"/>
      <w:b/>
      <w:szCs w:val="24"/>
    </w:rPr>
  </w:style>
  <w:style w:type="paragraph" w:styleId="711">
    <w:name w:val="标题 3"/>
    <w:basedOn w:val="708"/>
    <w:next w:val="722"/>
    <w:link w:val="721"/>
    <w:qFormat/>
    <w:pPr>
      <w:keepLines/>
      <w:keepNext/>
      <w:spacing w:line="390" w:lineRule="atLeast"/>
      <w:shd w:val="clear" w:color="auto" w:fill="ffffff"/>
      <w:outlineLvl w:val="2"/>
    </w:pPr>
    <w:rPr>
      <w:rFonts w:ascii="宋体" w:hAnsi="宋体"/>
      <w:b/>
      <w:szCs w:val="21"/>
    </w:rPr>
  </w:style>
  <w:style w:type="paragraph" w:styleId="712">
    <w:name w:val="标题 4"/>
    <w:basedOn w:val="708"/>
    <w:next w:val="708"/>
    <w:link w:val="723"/>
    <w:qFormat/>
    <w:pPr>
      <w:keepLines/>
      <w:keepNext/>
      <w:spacing w:before="120" w:after="120"/>
      <w:outlineLvl w:val="3"/>
    </w:pPr>
    <w:rPr>
      <w:rFonts w:ascii="Arial" w:hAnsi="Arial" w:eastAsia="黑体"/>
      <w:b/>
      <w:sz w:val="28"/>
    </w:rPr>
  </w:style>
  <w:style w:type="paragraph" w:styleId="713">
    <w:name w:val="标题 5"/>
    <w:basedOn w:val="708"/>
    <w:next w:val="722"/>
    <w:link w:val="724"/>
    <w:qFormat/>
    <w:pPr>
      <w:keepNext/>
      <w:spacing w:before="145" w:after="145"/>
      <w:outlineLvl w:val="4"/>
    </w:pPr>
    <w:rPr>
      <w:rFonts w:ascii="黑体" w:eastAsia="黑体"/>
      <w:b/>
      <w:color w:val="000000"/>
      <w:sz w:val="28"/>
    </w:rPr>
  </w:style>
  <w:style w:type="paragraph" w:styleId="714">
    <w:name w:val="标题 6"/>
    <w:basedOn w:val="708"/>
    <w:next w:val="708"/>
    <w:link w:val="725"/>
    <w:qFormat/>
    <w:pPr>
      <w:keepLines/>
      <w:keepNext/>
      <w:spacing w:before="240" w:after="64" w:line="320" w:lineRule="auto"/>
      <w:outlineLvl w:val="5"/>
    </w:pPr>
    <w:rPr>
      <w:rFonts w:ascii="Arial" w:hAnsi="Arial" w:eastAsia="黑体"/>
      <w:b/>
      <w:bCs/>
      <w:sz w:val="24"/>
      <w:szCs w:val="24"/>
    </w:rPr>
  </w:style>
  <w:style w:type="paragraph" w:styleId="715">
    <w:name w:val="标题 7"/>
    <w:basedOn w:val="708"/>
    <w:next w:val="708"/>
    <w:link w:val="726"/>
    <w:qFormat/>
    <w:pPr>
      <w:keepLines/>
      <w:keepNext/>
      <w:spacing w:before="240" w:after="64" w:line="320" w:lineRule="auto"/>
      <w:outlineLvl w:val="6"/>
    </w:pPr>
    <w:rPr>
      <w:b/>
      <w:bCs/>
      <w:sz w:val="24"/>
      <w:szCs w:val="24"/>
    </w:rPr>
  </w:style>
  <w:style w:type="paragraph" w:styleId="716">
    <w:name w:val="标题 8"/>
    <w:basedOn w:val="708"/>
    <w:next w:val="708"/>
    <w:link w:val="727"/>
    <w:qFormat/>
    <w:pPr>
      <w:keepLines/>
      <w:keepNext/>
      <w:spacing w:before="240" w:after="64" w:line="320" w:lineRule="auto"/>
      <w:outlineLvl w:val="7"/>
    </w:pPr>
    <w:rPr>
      <w:rFonts w:ascii="Arial" w:hAnsi="Arial" w:eastAsia="黑体"/>
      <w:sz w:val="24"/>
      <w:szCs w:val="24"/>
    </w:rPr>
  </w:style>
  <w:style w:type="paragraph" w:styleId="717">
    <w:name w:val="标题 9"/>
    <w:basedOn w:val="708"/>
    <w:next w:val="708"/>
    <w:link w:val="728"/>
    <w:qFormat/>
    <w:pPr>
      <w:keepLines/>
      <w:keepNext/>
      <w:spacing w:before="240" w:after="64" w:line="320" w:lineRule="auto"/>
      <w:outlineLvl w:val="8"/>
    </w:pPr>
    <w:rPr>
      <w:rFonts w:ascii="Arial" w:hAnsi="Arial" w:eastAsia="黑体"/>
      <w:szCs w:val="21"/>
    </w:rPr>
  </w:style>
  <w:style w:type="character" w:styleId="718">
    <w:name w:val="默认段落字体"/>
    <w:next w:val="718"/>
    <w:link w:val="708"/>
    <w:uiPriority w:val="1"/>
    <w:unhideWhenUsed/>
    <w:qFormat/>
  </w:style>
  <w:style w:type="table" w:styleId="719">
    <w:name w:val="普通表格"/>
    <w:next w:val="719"/>
    <w:link w:val="708"/>
    <w:uiPriority w:val="99"/>
    <w:unhideWhenUsed/>
    <w:qFormat/>
    <w:tblPr/>
  </w:style>
  <w:style w:type="character" w:styleId="720">
    <w:name w:val="标题 2 字符"/>
    <w:next w:val="720"/>
    <w:link w:val="710"/>
    <w:qFormat/>
    <w:rPr>
      <w:rFonts w:ascii="宋体" w:hAnsi="宋体" w:eastAsia="宋体"/>
      <w:b/>
      <w:sz w:val="21"/>
      <w:szCs w:val="24"/>
      <w:lang w:val="en-US" w:eastAsia="zh-CN" w:bidi="ar-SA"/>
    </w:rPr>
  </w:style>
  <w:style w:type="character" w:styleId="721">
    <w:name w:val="标题 3 字符"/>
    <w:next w:val="721"/>
    <w:link w:val="711"/>
    <w:qFormat/>
    <w:rPr>
      <w:rFonts w:ascii="宋体" w:hAnsi="宋体" w:eastAsia="宋体"/>
      <w:b/>
      <w:sz w:val="21"/>
      <w:szCs w:val="21"/>
      <w:shd w:val="clear" w:color="auto" w:fill="ffffff"/>
    </w:rPr>
  </w:style>
  <w:style w:type="paragraph" w:styleId="722">
    <w:name w:val="正文缩进"/>
    <w:basedOn w:val="708"/>
    <w:next w:val="722"/>
    <w:link w:val="708"/>
    <w:qFormat/>
    <w:pPr>
      <w:ind w:firstLine="420"/>
    </w:pPr>
  </w:style>
  <w:style w:type="character" w:styleId="723">
    <w:name w:val="标题 4 字符"/>
    <w:next w:val="723"/>
    <w:link w:val="712"/>
    <w:qFormat/>
    <w:rPr>
      <w:rFonts w:ascii="Arial" w:hAnsi="Arial" w:eastAsia="黑体"/>
      <w:b/>
      <w:sz w:val="28"/>
      <w:lang w:val="en-US" w:eastAsia="zh-CN" w:bidi="ar-SA"/>
    </w:rPr>
  </w:style>
  <w:style w:type="character" w:styleId="724">
    <w:name w:val="标题 5 字符"/>
    <w:next w:val="724"/>
    <w:link w:val="713"/>
    <w:qFormat/>
    <w:rPr>
      <w:rFonts w:ascii="黑体" w:eastAsia="黑体"/>
      <w:b/>
      <w:color w:val="000000"/>
      <w:sz w:val="28"/>
      <w:lang w:val="en-US" w:eastAsia="zh-CN" w:bidi="ar-SA"/>
    </w:rPr>
  </w:style>
  <w:style w:type="character" w:styleId="725">
    <w:name w:val="标题 6 字符"/>
    <w:next w:val="725"/>
    <w:link w:val="714"/>
    <w:qFormat/>
    <w:rPr>
      <w:rFonts w:ascii="Arial" w:hAnsi="Arial" w:eastAsia="黑体"/>
      <w:b/>
      <w:bCs/>
      <w:sz w:val="24"/>
      <w:szCs w:val="24"/>
      <w:lang w:val="en-US" w:eastAsia="zh-CN" w:bidi="ar-SA"/>
    </w:rPr>
  </w:style>
  <w:style w:type="character" w:styleId="726">
    <w:name w:val="标题 7 字符"/>
    <w:next w:val="726"/>
    <w:link w:val="715"/>
    <w:qFormat/>
    <w:rPr>
      <w:rFonts w:eastAsia="宋体"/>
      <w:b/>
      <w:bCs/>
      <w:sz w:val="24"/>
      <w:szCs w:val="24"/>
      <w:lang w:val="en-US" w:eastAsia="zh-CN" w:bidi="ar-SA"/>
    </w:rPr>
  </w:style>
  <w:style w:type="character" w:styleId="727">
    <w:name w:val="标题 8 字符"/>
    <w:next w:val="727"/>
    <w:link w:val="716"/>
    <w:qFormat/>
    <w:rPr>
      <w:rFonts w:ascii="Arial" w:hAnsi="Arial" w:eastAsia="黑体"/>
      <w:sz w:val="24"/>
      <w:szCs w:val="24"/>
      <w:lang w:val="en-US" w:eastAsia="zh-CN" w:bidi="ar-SA"/>
    </w:rPr>
  </w:style>
  <w:style w:type="character" w:styleId="728">
    <w:name w:val="标题 9 字符"/>
    <w:next w:val="728"/>
    <w:link w:val="717"/>
    <w:qFormat/>
    <w:rPr>
      <w:rFonts w:ascii="Arial" w:hAnsi="Arial" w:eastAsia="黑体"/>
      <w:sz w:val="21"/>
      <w:szCs w:val="21"/>
      <w:lang w:val="en-US" w:eastAsia="zh-CN" w:bidi="ar-SA"/>
    </w:rPr>
  </w:style>
  <w:style w:type="paragraph" w:styleId="729">
    <w:name w:val="列表 3"/>
    <w:basedOn w:val="708"/>
    <w:next w:val="729"/>
    <w:link w:val="708"/>
    <w:qFormat/>
    <w:pPr>
      <w:ind w:left="1260" w:hanging="420"/>
    </w:pPr>
  </w:style>
  <w:style w:type="paragraph" w:styleId="730">
    <w:name w:val="目录 7"/>
    <w:basedOn w:val="708"/>
    <w:next w:val="708"/>
    <w:link w:val="708"/>
    <w:semiHidden/>
    <w:qFormat/>
    <w:pPr>
      <w:ind w:left="1260"/>
      <w:jc w:val="left"/>
    </w:pPr>
    <w:rPr>
      <w:sz w:val="18"/>
    </w:rPr>
  </w:style>
  <w:style w:type="paragraph" w:styleId="731">
    <w:name w:val="列表编号 2"/>
    <w:basedOn w:val="708"/>
    <w:next w:val="731"/>
    <w:link w:val="708"/>
    <w:qFormat/>
    <w:pPr>
      <w:ind w:left="1440" w:hanging="1440"/>
      <w:spacing w:line="360" w:lineRule="auto"/>
      <w:tabs>
        <w:tab w:val="left" w:pos="1440" w:leader="none"/>
      </w:tabs>
    </w:pPr>
    <w:rPr>
      <w:sz w:val="24"/>
      <w:szCs w:val="24"/>
    </w:rPr>
  </w:style>
  <w:style w:type="paragraph" w:styleId="732">
    <w:name w:val="索引 8"/>
    <w:basedOn w:val="708"/>
    <w:next w:val="708"/>
    <w:link w:val="708"/>
    <w:semiHidden/>
    <w:qFormat/>
    <w:pPr>
      <w:ind w:left="2940"/>
    </w:pPr>
  </w:style>
  <w:style w:type="paragraph" w:styleId="733">
    <w:name w:val="列表编号"/>
    <w:basedOn w:val="708"/>
    <w:next w:val="733"/>
    <w:link w:val="708"/>
    <w:qFormat/>
    <w:pPr>
      <w:ind w:left="2952" w:hanging="432"/>
      <w:tabs>
        <w:tab w:val="left" w:pos="2952" w:leader="none"/>
      </w:tabs>
    </w:pPr>
    <w:rPr>
      <w:szCs w:val="24"/>
    </w:rPr>
  </w:style>
  <w:style w:type="paragraph" w:styleId="734">
    <w:name w:val="题注"/>
    <w:basedOn w:val="708"/>
    <w:next w:val="708"/>
    <w:link w:val="708"/>
    <w:uiPriority w:val="35"/>
    <w:unhideWhenUsed/>
    <w:qFormat/>
    <w:pPr>
      <w:spacing w:line="276" w:lineRule="auto"/>
    </w:pPr>
    <w:rPr>
      <w:b/>
      <w:bCs/>
      <w:color w:val="4472c4"/>
      <w:sz w:val="18"/>
      <w:szCs w:val="18"/>
    </w:rPr>
  </w:style>
  <w:style w:type="paragraph" w:styleId="735">
    <w:name w:val="索引 5"/>
    <w:basedOn w:val="708"/>
    <w:next w:val="708"/>
    <w:link w:val="708"/>
    <w:semiHidden/>
    <w:qFormat/>
    <w:pPr>
      <w:ind w:left="1680"/>
    </w:pPr>
  </w:style>
  <w:style w:type="paragraph" w:styleId="736">
    <w:name w:val="文档结构图"/>
    <w:basedOn w:val="708"/>
    <w:next w:val="736"/>
    <w:link w:val="737"/>
    <w:semiHidden/>
    <w:qFormat/>
    <w:pPr>
      <w:shd w:val="clear" w:color="auto" w:fill="000080"/>
    </w:pPr>
  </w:style>
  <w:style w:type="character" w:styleId="737">
    <w:name w:val="文档结构图 字符"/>
    <w:next w:val="737"/>
    <w:link w:val="736"/>
    <w:qFormat/>
    <w:rPr>
      <w:rFonts w:eastAsia="宋体"/>
      <w:sz w:val="21"/>
      <w:lang w:val="en-US" w:eastAsia="zh-CN" w:bidi="ar-SA"/>
    </w:rPr>
  </w:style>
  <w:style w:type="paragraph" w:styleId="738">
    <w:name w:val="批注文字"/>
    <w:basedOn w:val="708"/>
    <w:next w:val="738"/>
    <w:link w:val="739"/>
    <w:qFormat/>
    <w:pPr>
      <w:jc w:val="left"/>
    </w:pPr>
  </w:style>
  <w:style w:type="character" w:styleId="739">
    <w:name w:val="批注文字 字符"/>
    <w:next w:val="739"/>
    <w:link w:val="738"/>
    <w:qFormat/>
    <w:rPr>
      <w:rFonts w:eastAsia="宋体"/>
      <w:sz w:val="21"/>
      <w:lang w:val="en-US" w:eastAsia="zh-CN" w:bidi="ar-SA"/>
    </w:rPr>
  </w:style>
  <w:style w:type="paragraph" w:styleId="740">
    <w:name w:val="索引 6"/>
    <w:basedOn w:val="708"/>
    <w:next w:val="708"/>
    <w:link w:val="708"/>
    <w:semiHidden/>
    <w:qFormat/>
    <w:pPr>
      <w:ind w:left="2100"/>
    </w:pPr>
  </w:style>
  <w:style w:type="paragraph" w:styleId="741">
    <w:name w:val="称呼"/>
    <w:basedOn w:val="708"/>
    <w:next w:val="708"/>
    <w:link w:val="708"/>
    <w:qFormat/>
    <w:rPr>
      <w:rFonts w:ascii="方正仿宋_GB2312" w:eastAsia="方正仿宋_GB2312"/>
      <w:sz w:val="28"/>
    </w:rPr>
  </w:style>
  <w:style w:type="paragraph" w:styleId="742">
    <w:name w:val="正文文本 3"/>
    <w:basedOn w:val="708"/>
    <w:next w:val="742"/>
    <w:link w:val="708"/>
    <w:qFormat/>
    <w:rPr>
      <w:rFonts w:ascii="方正仿宋_GB2312" w:hAnsi="Arial" w:eastAsia="方正仿宋_GB2312"/>
      <w:sz w:val="32"/>
    </w:rPr>
  </w:style>
  <w:style w:type="paragraph" w:styleId="743">
    <w:name w:val="正文文本"/>
    <w:basedOn w:val="708"/>
    <w:next w:val="708"/>
    <w:link w:val="708"/>
    <w:qFormat/>
    <w:rPr>
      <w:rFonts w:ascii="方正楷体_GB2312" w:hAnsi="Arial" w:eastAsia="方正楷体_GB2312"/>
      <w:sz w:val="28"/>
    </w:rPr>
  </w:style>
  <w:style w:type="paragraph" w:styleId="744">
    <w:name w:val="正文文本缩进"/>
    <w:basedOn w:val="708"/>
    <w:next w:val="746"/>
    <w:link w:val="745"/>
    <w:qFormat/>
    <w:pPr>
      <w:ind w:firstLine="645"/>
    </w:pPr>
    <w:rPr>
      <w:rFonts w:ascii="方正楷体_GB2312" w:eastAsia="方正楷体_GB2312"/>
      <w:sz w:val="32"/>
    </w:rPr>
  </w:style>
  <w:style w:type="character" w:styleId="745">
    <w:name w:val="正文文本缩进 字符"/>
    <w:next w:val="745"/>
    <w:link w:val="744"/>
    <w:qFormat/>
    <w:rPr>
      <w:rFonts w:ascii="方正楷体_GB2312" w:eastAsia="方正楷体_GB2312"/>
      <w:sz w:val="32"/>
      <w:lang w:val="en-US" w:eastAsia="zh-CN" w:bidi="ar-SA"/>
    </w:rPr>
  </w:style>
  <w:style w:type="paragraph" w:styleId="746">
    <w:name w:val="寄信人地址"/>
    <w:basedOn w:val="708"/>
    <w:next w:val="746"/>
    <w:link w:val="708"/>
    <w:qFormat/>
    <w:rPr>
      <w:rFonts w:ascii="Arial" w:hAnsi="Arial"/>
    </w:rPr>
  </w:style>
  <w:style w:type="paragraph" w:styleId="747">
    <w:name w:val="文本块"/>
    <w:basedOn w:val="708"/>
    <w:next w:val="747"/>
    <w:link w:val="708"/>
    <w:uiPriority w:val="99"/>
    <w:unhideWhenUsed/>
    <w:qFormat/>
    <w:pPr>
      <w:ind w:left="1440" w:right="1440"/>
      <w:spacing w:after="120"/>
    </w:pPr>
  </w:style>
  <w:style w:type="paragraph" w:styleId="748">
    <w:name w:val="索引 4"/>
    <w:basedOn w:val="708"/>
    <w:next w:val="708"/>
    <w:link w:val="708"/>
    <w:semiHidden/>
    <w:qFormat/>
    <w:pPr>
      <w:ind w:left="1260"/>
    </w:pPr>
  </w:style>
  <w:style w:type="paragraph" w:styleId="749">
    <w:name w:val="目录 5"/>
    <w:basedOn w:val="708"/>
    <w:next w:val="708"/>
    <w:link w:val="708"/>
    <w:semiHidden/>
    <w:qFormat/>
    <w:pPr>
      <w:ind w:left="840"/>
      <w:jc w:val="left"/>
    </w:pPr>
    <w:rPr>
      <w:sz w:val="18"/>
    </w:rPr>
  </w:style>
  <w:style w:type="paragraph" w:styleId="750">
    <w:name w:val="目录 3"/>
    <w:basedOn w:val="708"/>
    <w:next w:val="708"/>
    <w:link w:val="708"/>
    <w:semiHidden/>
    <w:qFormat/>
    <w:pPr>
      <w:ind w:left="420"/>
      <w:jc w:val="left"/>
    </w:pPr>
    <w:rPr>
      <w:i/>
      <w:sz w:val="20"/>
    </w:rPr>
  </w:style>
  <w:style w:type="paragraph" w:styleId="751">
    <w:name w:val="纯文本"/>
    <w:basedOn w:val="708"/>
    <w:next w:val="708"/>
    <w:link w:val="752"/>
    <w:qFormat/>
    <w:rPr>
      <w:rFonts w:ascii="宋体" w:hAnsi="Courier New"/>
    </w:rPr>
  </w:style>
  <w:style w:type="character" w:styleId="752">
    <w:name w:val="纯文本 字符"/>
    <w:next w:val="752"/>
    <w:link w:val="751"/>
    <w:qFormat/>
    <w:rPr>
      <w:rFonts w:ascii="宋体" w:hAnsi="Courier New" w:eastAsia="宋体"/>
      <w:sz w:val="21"/>
      <w:lang w:val="en-US" w:eastAsia="zh-CN" w:bidi="ar-SA"/>
    </w:rPr>
  </w:style>
  <w:style w:type="paragraph" w:styleId="753">
    <w:name w:val="目录 8"/>
    <w:basedOn w:val="708"/>
    <w:next w:val="708"/>
    <w:link w:val="708"/>
    <w:semiHidden/>
    <w:qFormat/>
    <w:pPr>
      <w:ind w:left="1470"/>
      <w:jc w:val="left"/>
    </w:pPr>
    <w:rPr>
      <w:sz w:val="18"/>
    </w:rPr>
  </w:style>
  <w:style w:type="paragraph" w:styleId="754">
    <w:name w:val="索引 3"/>
    <w:basedOn w:val="708"/>
    <w:next w:val="708"/>
    <w:link w:val="708"/>
    <w:semiHidden/>
    <w:qFormat/>
    <w:pPr>
      <w:ind w:left="840"/>
    </w:pPr>
  </w:style>
  <w:style w:type="paragraph" w:styleId="755">
    <w:name w:val="日期"/>
    <w:basedOn w:val="708"/>
    <w:next w:val="708"/>
    <w:link w:val="708"/>
    <w:qFormat/>
    <w:pPr>
      <w:ind w:left="100"/>
    </w:pPr>
    <w:rPr>
      <w:sz w:val="28"/>
    </w:rPr>
  </w:style>
  <w:style w:type="paragraph" w:styleId="756">
    <w:name w:val="正文文本缩进 2"/>
    <w:basedOn w:val="708"/>
    <w:next w:val="708"/>
    <w:link w:val="757"/>
    <w:qFormat/>
    <w:pPr>
      <w:ind w:left="630" w:firstLine="645"/>
    </w:pPr>
    <w:rPr>
      <w:rFonts w:ascii="Arial" w:hAnsi="Arial" w:eastAsia="方正仿宋_GB2312"/>
      <w:sz w:val="32"/>
    </w:rPr>
  </w:style>
  <w:style w:type="character" w:styleId="757">
    <w:name w:val="正文文本缩进 2 字符"/>
    <w:next w:val="757"/>
    <w:link w:val="756"/>
    <w:qFormat/>
    <w:rPr>
      <w:rFonts w:ascii="Arial" w:hAnsi="Arial" w:eastAsia="方正仿宋_GB2312"/>
      <w:sz w:val="32"/>
      <w:lang w:val="en-US" w:eastAsia="zh-CN" w:bidi="ar-SA"/>
    </w:rPr>
  </w:style>
  <w:style w:type="paragraph" w:styleId="758">
    <w:name w:val="尾注文本"/>
    <w:basedOn w:val="708"/>
    <w:next w:val="758"/>
    <w:link w:val="708"/>
    <w:qFormat/>
    <w:pPr>
      <w:jc w:val="left"/>
    </w:pPr>
    <w:rPr>
      <w:sz w:val="20"/>
      <w:szCs w:val="24"/>
    </w:rPr>
  </w:style>
  <w:style w:type="paragraph" w:styleId="759">
    <w:name w:val="批注框文本"/>
    <w:basedOn w:val="708"/>
    <w:next w:val="759"/>
    <w:link w:val="708"/>
    <w:semiHidden/>
    <w:qFormat/>
    <w:rPr>
      <w:sz w:val="18"/>
      <w:szCs w:val="18"/>
    </w:rPr>
  </w:style>
  <w:style w:type="paragraph" w:styleId="760">
    <w:name w:val="页脚"/>
    <w:basedOn w:val="708"/>
    <w:next w:val="760"/>
    <w:link w:val="761"/>
    <w:qFormat/>
    <w:pPr>
      <w:jc w:val="left"/>
      <w:tabs>
        <w:tab w:val="center" w:pos="4153" w:leader="none"/>
        <w:tab w:val="right" w:pos="8306" w:leader="none"/>
      </w:tabs>
    </w:pPr>
    <w:rPr>
      <w:sz w:val="18"/>
    </w:rPr>
  </w:style>
  <w:style w:type="character" w:styleId="761">
    <w:name w:val="页脚 字符"/>
    <w:next w:val="761"/>
    <w:link w:val="760"/>
    <w:qFormat/>
    <w:rPr>
      <w:sz w:val="18"/>
    </w:rPr>
  </w:style>
  <w:style w:type="paragraph" w:styleId="762">
    <w:name w:val="页眉"/>
    <w:basedOn w:val="708"/>
    <w:next w:val="762"/>
    <w:link w:val="708"/>
    <w:qFormat/>
    <w:pPr>
      <w:jc w:val="center"/>
      <w:tabs>
        <w:tab w:val="center" w:pos="4153" w:leader="none"/>
        <w:tab w:val="right" w:pos="8306" w:leader="none"/>
      </w:tabs>
      <w:pBdr>
        <w:bottom w:val="single" w:color="000000" w:sz="6" w:space="1"/>
      </w:pBdr>
    </w:pPr>
    <w:rPr>
      <w:sz w:val="18"/>
    </w:rPr>
  </w:style>
  <w:style w:type="paragraph" w:styleId="763">
    <w:name w:val="签名"/>
    <w:basedOn w:val="708"/>
    <w:next w:val="763"/>
    <w:link w:val="708"/>
    <w:qFormat/>
    <w:pPr>
      <w:jc w:val="center"/>
      <w:spacing w:after="600" w:line="312" w:lineRule="atLeast"/>
    </w:pPr>
    <w:rPr>
      <w:rFonts w:eastAsia="方正仿宋_GB2312"/>
      <w:sz w:val="24"/>
    </w:rPr>
  </w:style>
  <w:style w:type="paragraph" w:styleId="764">
    <w:name w:val="目录 1"/>
    <w:basedOn w:val="708"/>
    <w:next w:val="708"/>
    <w:link w:val="708"/>
    <w:semiHidden/>
    <w:qFormat/>
    <w:pPr>
      <w:jc w:val="left"/>
      <w:spacing w:before="120" w:after="120"/>
    </w:pPr>
    <w:rPr>
      <w:b/>
      <w:caps/>
      <w:sz w:val="20"/>
    </w:rPr>
  </w:style>
  <w:style w:type="paragraph" w:styleId="765">
    <w:name w:val="目录 4"/>
    <w:basedOn w:val="708"/>
    <w:next w:val="708"/>
    <w:link w:val="708"/>
    <w:semiHidden/>
    <w:qFormat/>
    <w:pPr>
      <w:ind w:left="630"/>
      <w:jc w:val="left"/>
    </w:pPr>
    <w:rPr>
      <w:sz w:val="18"/>
    </w:rPr>
  </w:style>
  <w:style w:type="paragraph" w:styleId="766">
    <w:name w:val="索引标题"/>
    <w:basedOn w:val="708"/>
    <w:next w:val="767"/>
    <w:link w:val="708"/>
    <w:semiHidden/>
    <w:qFormat/>
  </w:style>
  <w:style w:type="paragraph" w:styleId="767">
    <w:name w:val="索引 1"/>
    <w:basedOn w:val="708"/>
    <w:next w:val="708"/>
    <w:link w:val="708"/>
    <w:semiHidden/>
    <w:qFormat/>
    <w:rPr>
      <w:rFonts w:ascii="方正仿宋_GB2312" w:hAnsi="宋体" w:eastAsia="方正仿宋_GB2312"/>
      <w:sz w:val="30"/>
      <w:szCs w:val="24"/>
    </w:rPr>
  </w:style>
  <w:style w:type="paragraph" w:styleId="768">
    <w:name w:val="副标题"/>
    <w:basedOn w:val="708"/>
    <w:next w:val="708"/>
    <w:link w:val="708"/>
    <w:qFormat/>
    <w:pPr>
      <w:jc w:val="left"/>
      <w:spacing w:after="600" w:line="276" w:lineRule="auto"/>
      <w:widowControl/>
    </w:pPr>
    <w:rPr>
      <w:rFonts w:ascii="Cambria" w:hAnsi="Cambria"/>
      <w:i/>
      <w:iCs/>
      <w:spacing w:val="13"/>
      <w:sz w:val="24"/>
      <w:szCs w:val="24"/>
      <w:lang w:eastAsia="en-US" w:bidi="en-US"/>
    </w:rPr>
  </w:style>
  <w:style w:type="paragraph" w:styleId="769">
    <w:name w:val="列表"/>
    <w:basedOn w:val="708"/>
    <w:next w:val="769"/>
    <w:link w:val="708"/>
    <w:qFormat/>
    <w:pPr>
      <w:contextualSpacing/>
      <w:ind w:left="200" w:hanging="200"/>
    </w:pPr>
  </w:style>
  <w:style w:type="paragraph" w:styleId="770">
    <w:name w:val="脚注文本"/>
    <w:basedOn w:val="708"/>
    <w:next w:val="770"/>
    <w:link w:val="708"/>
    <w:qFormat/>
    <w:pPr>
      <w:jc w:val="left"/>
    </w:pPr>
    <w:rPr>
      <w:sz w:val="18"/>
      <w:szCs w:val="18"/>
    </w:rPr>
  </w:style>
  <w:style w:type="paragraph" w:styleId="771">
    <w:name w:val="目录 6"/>
    <w:basedOn w:val="708"/>
    <w:next w:val="708"/>
    <w:link w:val="708"/>
    <w:semiHidden/>
    <w:qFormat/>
    <w:pPr>
      <w:ind w:left="1050"/>
      <w:jc w:val="left"/>
    </w:pPr>
    <w:rPr>
      <w:sz w:val="18"/>
    </w:rPr>
  </w:style>
  <w:style w:type="paragraph" w:styleId="772">
    <w:name w:val="正文文本缩进 3"/>
    <w:basedOn w:val="708"/>
    <w:next w:val="772"/>
    <w:link w:val="773"/>
    <w:qFormat/>
    <w:pPr>
      <w:ind w:left="645" w:firstLine="645"/>
    </w:pPr>
    <w:rPr>
      <w:rFonts w:ascii="Arial" w:hAnsi="Arial" w:eastAsia="方正仿宋_GB2312"/>
      <w:color w:val="ffff00"/>
      <w:sz w:val="32"/>
    </w:rPr>
  </w:style>
  <w:style w:type="character" w:styleId="773">
    <w:name w:val="正文文本缩进 3 字符"/>
    <w:next w:val="773"/>
    <w:link w:val="772"/>
    <w:qFormat/>
    <w:rPr>
      <w:rFonts w:ascii="Arial" w:hAnsi="Arial" w:eastAsia="方正仿宋_GB2312"/>
      <w:color w:val="ffff00"/>
      <w:sz w:val="32"/>
      <w:lang w:val="en-US" w:eastAsia="zh-CN" w:bidi="ar-SA"/>
    </w:rPr>
  </w:style>
  <w:style w:type="paragraph" w:styleId="774">
    <w:name w:val="索引 7"/>
    <w:basedOn w:val="708"/>
    <w:next w:val="708"/>
    <w:link w:val="708"/>
    <w:semiHidden/>
    <w:qFormat/>
    <w:pPr>
      <w:ind w:left="2520"/>
    </w:pPr>
  </w:style>
  <w:style w:type="paragraph" w:styleId="775">
    <w:name w:val="索引 9"/>
    <w:basedOn w:val="708"/>
    <w:next w:val="708"/>
    <w:link w:val="708"/>
    <w:semiHidden/>
    <w:qFormat/>
    <w:pPr>
      <w:ind w:left="3360"/>
    </w:pPr>
  </w:style>
  <w:style w:type="paragraph" w:styleId="776">
    <w:name w:val="图表目录"/>
    <w:basedOn w:val="708"/>
    <w:next w:val="708"/>
    <w:link w:val="708"/>
    <w:semiHidden/>
    <w:qFormat/>
    <w:pPr>
      <w:ind w:left="840" w:hanging="420"/>
    </w:pPr>
  </w:style>
  <w:style w:type="paragraph" w:styleId="777">
    <w:name w:val="目录 2"/>
    <w:basedOn w:val="708"/>
    <w:next w:val="708"/>
    <w:link w:val="708"/>
    <w:semiHidden/>
    <w:qFormat/>
    <w:pPr>
      <w:ind w:left="210"/>
      <w:jc w:val="left"/>
    </w:pPr>
    <w:rPr>
      <w:smallCaps/>
      <w:sz w:val="20"/>
    </w:rPr>
  </w:style>
  <w:style w:type="paragraph" w:styleId="778">
    <w:name w:val="目录 9"/>
    <w:basedOn w:val="708"/>
    <w:next w:val="708"/>
    <w:link w:val="708"/>
    <w:semiHidden/>
    <w:qFormat/>
    <w:pPr>
      <w:ind w:left="1680"/>
      <w:jc w:val="left"/>
    </w:pPr>
    <w:rPr>
      <w:sz w:val="18"/>
    </w:rPr>
  </w:style>
  <w:style w:type="paragraph" w:styleId="779">
    <w:name w:val="正文文本 2"/>
    <w:basedOn w:val="708"/>
    <w:next w:val="779"/>
    <w:link w:val="708"/>
    <w:qFormat/>
    <w:pPr>
      <w:jc w:val="center"/>
      <w:widowControl/>
    </w:pPr>
    <w:rPr>
      <w:rFonts w:ascii="方正楷体_GB2312" w:eastAsia="方正楷体_GB2312"/>
      <w:sz w:val="28"/>
    </w:rPr>
  </w:style>
  <w:style w:type="paragraph" w:styleId="780">
    <w:name w:val="信息标题"/>
    <w:basedOn w:val="708"/>
    <w:next w:val="780"/>
    <w:link w:val="70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81">
    <w:name w:val="HTML 预设格式"/>
    <w:basedOn w:val="708"/>
    <w:next w:val="781"/>
    <w:link w:val="78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82">
    <w:name w:val="HTML 预设格式 字符"/>
    <w:next w:val="782"/>
    <w:link w:val="781"/>
    <w:uiPriority w:val="99"/>
    <w:qFormat/>
    <w:rPr>
      <w:rFonts w:ascii="黑体" w:hAnsi="Courier New" w:eastAsia="黑体" w:cs="Courier New"/>
      <w:lang w:val="en-US" w:eastAsia="zh-CN" w:bidi="ar-SA"/>
    </w:rPr>
  </w:style>
  <w:style w:type="paragraph" w:styleId="783">
    <w:name w:val="普通(网站)"/>
    <w:basedOn w:val="708"/>
    <w:next w:val="783"/>
    <w:link w:val="708"/>
    <w:qFormat/>
    <w:pPr>
      <w:jc w:val="left"/>
      <w:spacing w:before="100" w:beforeAutospacing="1" w:after="100" w:afterAutospacing="1"/>
      <w:widowControl/>
    </w:pPr>
    <w:rPr>
      <w:rFonts w:ascii="Arial" w:hAnsi="Arial" w:eastAsia="Arial Unicode MS" w:cs="Arial"/>
      <w:sz w:val="24"/>
      <w:szCs w:val="24"/>
    </w:rPr>
  </w:style>
  <w:style w:type="paragraph" w:styleId="784">
    <w:name w:val="索引 2"/>
    <w:basedOn w:val="708"/>
    <w:next w:val="708"/>
    <w:link w:val="708"/>
    <w:semiHidden/>
    <w:qFormat/>
    <w:pPr>
      <w:ind w:left="420"/>
    </w:pPr>
  </w:style>
  <w:style w:type="paragraph" w:styleId="785">
    <w:name w:val="标题"/>
    <w:basedOn w:val="708"/>
    <w:next w:val="785"/>
    <w:link w:val="786"/>
    <w:qFormat/>
    <w:pPr>
      <w:jc w:val="center"/>
      <w:spacing w:line="420" w:lineRule="exact"/>
      <w:widowControl/>
    </w:pPr>
    <w:rPr>
      <w:rFonts w:eastAsia="黑体"/>
      <w:b/>
      <w:sz w:val="28"/>
      <w:lang w:val="en-GB"/>
    </w:rPr>
  </w:style>
  <w:style w:type="character" w:styleId="786">
    <w:name w:val="标题 字符"/>
    <w:next w:val="786"/>
    <w:link w:val="785"/>
    <w:qFormat/>
    <w:rPr>
      <w:rFonts w:eastAsia="黑体"/>
      <w:b/>
      <w:sz w:val="28"/>
      <w:lang w:val="en-GB" w:eastAsia="zh-CN" w:bidi="ar-SA"/>
    </w:rPr>
  </w:style>
  <w:style w:type="paragraph" w:styleId="787">
    <w:name w:val="批注主题"/>
    <w:basedOn w:val="738"/>
    <w:next w:val="738"/>
    <w:link w:val="788"/>
    <w:semiHidden/>
    <w:qFormat/>
    <w:rPr>
      <w:b/>
      <w:bCs/>
    </w:rPr>
  </w:style>
  <w:style w:type="character" w:styleId="788">
    <w:name w:val="批注主题 字符"/>
    <w:next w:val="788"/>
    <w:link w:val="787"/>
    <w:qFormat/>
    <w:rPr>
      <w:rFonts w:eastAsia="宋体"/>
      <w:b/>
      <w:bCs/>
      <w:sz w:val="21"/>
      <w:lang w:val="en-US" w:eastAsia="zh-CN" w:bidi="ar-SA"/>
    </w:rPr>
  </w:style>
  <w:style w:type="paragraph" w:styleId="789">
    <w:name w:val="正文首行缩进"/>
    <w:basedOn w:val="743"/>
    <w:next w:val="769"/>
    <w:link w:val="708"/>
    <w:qFormat/>
    <w:pPr>
      <w:ind w:firstLine="420"/>
      <w:spacing w:after="120"/>
    </w:pPr>
    <w:rPr>
      <w:rFonts w:ascii="Times New Roman" w:hAnsi="Times New Roman" w:eastAsia="宋体"/>
      <w:sz w:val="21"/>
      <w:szCs w:val="24"/>
    </w:rPr>
  </w:style>
  <w:style w:type="paragraph" w:styleId="790">
    <w:name w:val="正文首行缩进 2"/>
    <w:basedOn w:val="744"/>
    <w:next w:val="708"/>
    <w:link w:val="708"/>
    <w:qFormat/>
    <w:pPr>
      <w:ind w:firstLine="420"/>
    </w:pPr>
    <w:rPr>
      <w:rFonts w:ascii="Calibri" w:hAnsi="Calibri" w:cs="Calibri"/>
      <w:szCs w:val="24"/>
    </w:rPr>
  </w:style>
  <w:style w:type="table" w:styleId="791">
    <w:name w:val="网格型"/>
    <w:basedOn w:val="719"/>
    <w:next w:val="791"/>
    <w:link w:val="708"/>
    <w:qFormat/>
    <w:pPr>
      <w:jc w:val="both"/>
      <w:widowControl w:val="off"/>
    </w:pPr>
    <w:tblPr/>
  </w:style>
  <w:style w:type="character" w:styleId="792">
    <w:name w:val="要点"/>
    <w:next w:val="792"/>
    <w:link w:val="708"/>
    <w:qFormat/>
    <w:rPr>
      <w:b/>
      <w:bCs/>
    </w:rPr>
  </w:style>
  <w:style w:type="character" w:styleId="793">
    <w:name w:val="尾注引用"/>
    <w:next w:val="793"/>
    <w:link w:val="708"/>
    <w:qFormat/>
    <w:rPr>
      <w:vertAlign w:val="superscript"/>
    </w:rPr>
  </w:style>
  <w:style w:type="character" w:styleId="794">
    <w:name w:val="页码"/>
    <w:basedOn w:val="718"/>
    <w:next w:val="794"/>
    <w:link w:val="708"/>
    <w:qFormat/>
  </w:style>
  <w:style w:type="character" w:styleId="795">
    <w:name w:val="已访问的超链接"/>
    <w:basedOn w:val="718"/>
    <w:next w:val="795"/>
    <w:link w:val="708"/>
    <w:uiPriority w:val="99"/>
    <w:qFormat/>
    <w:rPr>
      <w:color w:val="000000"/>
      <w:u w:val="none"/>
    </w:rPr>
  </w:style>
  <w:style w:type="character" w:styleId="796">
    <w:name w:val="强调"/>
    <w:next w:val="796"/>
    <w:link w:val="708"/>
    <w:qFormat/>
    <w:rPr>
      <w:b/>
      <w:bCs/>
      <w:i/>
      <w:iCs/>
      <w:spacing w:val="10"/>
      <w:shd w:val="clear" w:color="auto" w:fill="auto"/>
    </w:rPr>
  </w:style>
  <w:style w:type="character" w:styleId="797">
    <w:name w:val="行号"/>
    <w:basedOn w:val="718"/>
    <w:next w:val="797"/>
    <w:link w:val="708"/>
    <w:qFormat/>
  </w:style>
  <w:style w:type="character" w:styleId="798">
    <w:name w:val="HTML 打字机"/>
    <w:next w:val="798"/>
    <w:link w:val="708"/>
    <w:qFormat/>
    <w:rPr>
      <w:rFonts w:ascii="宋体" w:hAnsi="宋体" w:eastAsia="宋体" w:cs="宋体"/>
      <w:sz w:val="24"/>
      <w:szCs w:val="24"/>
    </w:rPr>
  </w:style>
  <w:style w:type="character" w:styleId="799">
    <w:name w:val="HTML 缩写"/>
    <w:basedOn w:val="718"/>
    <w:next w:val="799"/>
    <w:link w:val="708"/>
    <w:qFormat/>
  </w:style>
  <w:style w:type="character" w:styleId="800">
    <w:name w:val="超链接"/>
    <w:basedOn w:val="718"/>
    <w:next w:val="800"/>
    <w:link w:val="708"/>
    <w:uiPriority w:val="99"/>
    <w:qFormat/>
    <w:rPr>
      <w:color w:val="000000"/>
      <w:u w:val="none"/>
    </w:rPr>
  </w:style>
  <w:style w:type="character" w:styleId="801">
    <w:name w:val="HTML 代码"/>
    <w:basedOn w:val="718"/>
    <w:next w:val="801"/>
    <w:link w:val="708"/>
    <w:qFormat/>
    <w:rPr>
      <w:rFonts w:ascii="Courier New" w:hAnsi="Courier New"/>
      <w:sz w:val="20"/>
    </w:rPr>
  </w:style>
  <w:style w:type="character" w:styleId="802">
    <w:name w:val="批注引用"/>
    <w:next w:val="802"/>
    <w:link w:val="708"/>
    <w:qFormat/>
    <w:rPr>
      <w:sz w:val="21"/>
    </w:rPr>
  </w:style>
  <w:style w:type="character" w:styleId="803">
    <w:name w:val="脚注引用"/>
    <w:next w:val="803"/>
    <w:link w:val="708"/>
    <w:qFormat/>
    <w:rPr>
      <w:vertAlign w:val="superscript"/>
    </w:rPr>
  </w:style>
  <w:style w:type="character" w:styleId="804">
    <w:name w:val="HTML 键盘"/>
    <w:basedOn w:val="718"/>
    <w:next w:val="804"/>
    <w:link w:val="708"/>
    <w:qFormat/>
    <w:rPr>
      <w:rFonts w:ascii="DejaVu Math TeX Gyre" w:hAnsi="DejaVu Math TeX Gyre" w:eastAsia="DejaVu Math TeX Gyre" w:cs="DejaVu Math TeX Gyre"/>
      <w:sz w:val="20"/>
    </w:rPr>
  </w:style>
  <w:style w:type="character" w:styleId="805">
    <w:name w:val="HTML 样本"/>
    <w:next w:val="805"/>
    <w:link w:val="708"/>
    <w:qFormat/>
    <w:rPr>
      <w:rFonts w:ascii="Courier New" w:hAnsi="宋体" w:eastAsia="宋体" w:cs="Courier New"/>
    </w:rPr>
  </w:style>
  <w:style w:type="character" w:styleId="806">
    <w:name w:val="默认段落字体1"/>
    <w:next w:val="806"/>
    <w:link w:val="708"/>
    <w:semiHidden/>
    <w:qFormat/>
  </w:style>
  <w:style w:type="paragraph" w:styleId="807">
    <w:name w:val="标题 41"/>
    <w:basedOn w:val="708"/>
    <w:next w:val="708"/>
    <w:link w:val="708"/>
    <w:uiPriority w:val="99"/>
    <w:qFormat/>
    <w:pPr>
      <w:keepLines/>
      <w:keepNext/>
      <w:spacing w:line="360" w:lineRule="exact"/>
      <w:outlineLvl w:val="3"/>
    </w:pPr>
    <w:rPr>
      <w:rFonts w:ascii="宋体" w:hAnsi="宋体"/>
      <w:b/>
      <w:szCs w:val="21"/>
    </w:rPr>
  </w:style>
  <w:style w:type="paragraph" w:styleId="808">
    <w:name w:val="正文文本缩进11"/>
    <w:basedOn w:val="809"/>
    <w:next w:val="813"/>
    <w:link w:val="708"/>
    <w:qFormat/>
    <w:pPr>
      <w:ind w:firstLine="301"/>
      <w:spacing w:line="200" w:lineRule="exact"/>
    </w:pPr>
    <w:rPr>
      <w:rFonts w:ascii="宋体" w:hAnsi="宋体"/>
      <w:spacing w:val="-4"/>
      <w:sz w:val="18"/>
      <w:szCs w:val="20"/>
    </w:rPr>
  </w:style>
  <w:style w:type="paragraph" w:styleId="809">
    <w:name w:val="正文112"/>
    <w:next w:val="810"/>
    <w:link w:val="708"/>
    <w:qFormat/>
    <w:pPr>
      <w:jc w:val="both"/>
      <w:widowControl w:val="off"/>
    </w:pPr>
    <w:rPr>
      <w:rFonts w:ascii="Times New Roman" w:hAnsi="Times New Roman" w:eastAsia="宋体" w:cs="Times New Roman"/>
      <w:sz w:val="21"/>
      <w:szCs w:val="24"/>
      <w:lang w:val="en-US" w:eastAsia="zh-CN" w:bidi="ar-SA"/>
    </w:rPr>
  </w:style>
  <w:style w:type="paragraph" w:styleId="810">
    <w:name w:val="正文首行缩进1"/>
    <w:basedOn w:val="811"/>
    <w:next w:val="810"/>
    <w:link w:val="708"/>
    <w:semiHidden/>
    <w:qFormat/>
    <w:pPr>
      <w:ind w:firstLine="420"/>
    </w:pPr>
    <w:rPr>
      <w:rFonts w:cs="宋体"/>
      <w:szCs w:val="28"/>
    </w:rPr>
  </w:style>
  <w:style w:type="paragraph" w:styleId="811">
    <w:name w:val="正文文本1"/>
    <w:basedOn w:val="812"/>
    <w:next w:val="708"/>
    <w:link w:val="708"/>
    <w:qFormat/>
    <w:pPr>
      <w:spacing w:after="120"/>
    </w:pPr>
  </w:style>
  <w:style w:type="paragraph" w:styleId="812">
    <w:name w:val="正文1"/>
    <w:basedOn w:val="708"/>
    <w:next w:val="811"/>
    <w:link w:val="708"/>
    <w:qFormat/>
    <w:pPr>
      <w:ind w:firstLine="510"/>
      <w:spacing w:before="156" w:line="360" w:lineRule="auto"/>
    </w:pPr>
    <w:rPr>
      <w:sz w:val="24"/>
    </w:rPr>
  </w:style>
  <w:style w:type="paragraph" w:styleId="813">
    <w:name w:val="寄信人地址1"/>
    <w:basedOn w:val="708"/>
    <w:next w:val="813"/>
    <w:link w:val="708"/>
    <w:qFormat/>
    <w:rPr>
      <w:rFonts w:ascii="Arial" w:hAnsi="Arial" w:cs="宋体"/>
      <w:szCs w:val="24"/>
    </w:rPr>
  </w:style>
  <w:style w:type="character" w:styleId="814">
    <w:name w:val="Heading 1 Char"/>
    <w:basedOn w:val="718"/>
    <w:next w:val="814"/>
    <w:link w:val="708"/>
    <w:uiPriority w:val="9"/>
    <w:qFormat/>
    <w:rPr>
      <w:rFonts w:ascii="Arial" w:hAnsi="Arial" w:eastAsia="Arial" w:cs="Arial"/>
      <w:sz w:val="40"/>
      <w:szCs w:val="40"/>
    </w:rPr>
  </w:style>
  <w:style w:type="character" w:styleId="815">
    <w:name w:val="Heading 2 Char"/>
    <w:basedOn w:val="718"/>
    <w:next w:val="815"/>
    <w:link w:val="708"/>
    <w:uiPriority w:val="9"/>
    <w:qFormat/>
    <w:rPr>
      <w:rFonts w:ascii="Arial" w:hAnsi="Arial" w:eastAsia="Arial" w:cs="Arial"/>
      <w:sz w:val="34"/>
    </w:rPr>
  </w:style>
  <w:style w:type="character" w:styleId="816">
    <w:name w:val="Heading 3 Char"/>
    <w:basedOn w:val="718"/>
    <w:next w:val="816"/>
    <w:link w:val="708"/>
    <w:uiPriority w:val="9"/>
    <w:qFormat/>
    <w:rPr>
      <w:rFonts w:ascii="Arial" w:hAnsi="Arial" w:eastAsia="Arial" w:cs="Arial"/>
      <w:sz w:val="30"/>
      <w:szCs w:val="30"/>
    </w:rPr>
  </w:style>
  <w:style w:type="character" w:styleId="817">
    <w:name w:val="Heading 4 Char"/>
    <w:basedOn w:val="718"/>
    <w:next w:val="817"/>
    <w:link w:val="708"/>
    <w:uiPriority w:val="9"/>
    <w:qFormat/>
    <w:rPr>
      <w:rFonts w:ascii="Arial" w:hAnsi="Arial" w:eastAsia="Arial" w:cs="Arial"/>
      <w:b/>
      <w:bCs/>
      <w:sz w:val="26"/>
      <w:szCs w:val="26"/>
    </w:rPr>
  </w:style>
  <w:style w:type="character" w:styleId="818">
    <w:name w:val="Heading 5 Char"/>
    <w:basedOn w:val="718"/>
    <w:next w:val="818"/>
    <w:link w:val="708"/>
    <w:uiPriority w:val="9"/>
    <w:qFormat/>
    <w:rPr>
      <w:rFonts w:ascii="Arial" w:hAnsi="Arial" w:eastAsia="Arial" w:cs="Arial"/>
      <w:b/>
      <w:bCs/>
      <w:sz w:val="24"/>
      <w:szCs w:val="24"/>
    </w:rPr>
  </w:style>
  <w:style w:type="character" w:styleId="819">
    <w:name w:val="Heading 6 Char"/>
    <w:basedOn w:val="718"/>
    <w:next w:val="819"/>
    <w:link w:val="708"/>
    <w:uiPriority w:val="9"/>
    <w:qFormat/>
    <w:rPr>
      <w:rFonts w:ascii="Arial" w:hAnsi="Arial" w:eastAsia="Arial" w:cs="Arial"/>
      <w:b/>
      <w:bCs/>
      <w:sz w:val="22"/>
      <w:szCs w:val="22"/>
    </w:rPr>
  </w:style>
  <w:style w:type="character" w:styleId="820">
    <w:name w:val="Heading 7 Char"/>
    <w:basedOn w:val="718"/>
    <w:next w:val="820"/>
    <w:link w:val="708"/>
    <w:uiPriority w:val="9"/>
    <w:qFormat/>
    <w:rPr>
      <w:rFonts w:ascii="Arial" w:hAnsi="Arial" w:eastAsia="Arial" w:cs="Arial"/>
      <w:b/>
      <w:bCs/>
      <w:i/>
      <w:iCs/>
      <w:sz w:val="22"/>
      <w:szCs w:val="22"/>
    </w:rPr>
  </w:style>
  <w:style w:type="character" w:styleId="821">
    <w:name w:val="Heading 8 Char"/>
    <w:basedOn w:val="718"/>
    <w:next w:val="821"/>
    <w:link w:val="708"/>
    <w:uiPriority w:val="9"/>
    <w:qFormat/>
    <w:rPr>
      <w:rFonts w:ascii="Arial" w:hAnsi="Arial" w:eastAsia="Arial" w:cs="Arial"/>
      <w:i/>
      <w:iCs/>
      <w:sz w:val="22"/>
      <w:szCs w:val="22"/>
    </w:rPr>
  </w:style>
  <w:style w:type="character" w:styleId="822">
    <w:name w:val="Heading 9 Char"/>
    <w:basedOn w:val="718"/>
    <w:next w:val="822"/>
    <w:link w:val="708"/>
    <w:uiPriority w:val="9"/>
    <w:qFormat/>
    <w:rPr>
      <w:rFonts w:ascii="Arial" w:hAnsi="Arial" w:eastAsia="Arial" w:cs="Arial"/>
      <w:i/>
      <w:iCs/>
      <w:sz w:val="21"/>
      <w:szCs w:val="21"/>
    </w:rPr>
  </w:style>
  <w:style w:type="character" w:styleId="823">
    <w:name w:val="Title Char"/>
    <w:basedOn w:val="718"/>
    <w:next w:val="823"/>
    <w:link w:val="708"/>
    <w:uiPriority w:val="10"/>
    <w:qFormat/>
    <w:rPr>
      <w:sz w:val="48"/>
      <w:szCs w:val="48"/>
    </w:rPr>
  </w:style>
  <w:style w:type="character" w:styleId="824">
    <w:name w:val="Subtitle Char"/>
    <w:basedOn w:val="718"/>
    <w:next w:val="824"/>
    <w:link w:val="708"/>
    <w:uiPriority w:val="11"/>
    <w:qFormat/>
    <w:rPr>
      <w:sz w:val="24"/>
      <w:szCs w:val="24"/>
    </w:rPr>
  </w:style>
  <w:style w:type="character" w:styleId="825">
    <w:name w:val="Quote Char"/>
    <w:next w:val="825"/>
    <w:link w:val="708"/>
    <w:uiPriority w:val="29"/>
    <w:qFormat/>
    <w:rPr>
      <w:i/>
    </w:rPr>
  </w:style>
  <w:style w:type="character" w:styleId="826">
    <w:name w:val="Intense Quote Char"/>
    <w:next w:val="826"/>
    <w:link w:val="708"/>
    <w:uiPriority w:val="30"/>
    <w:qFormat/>
    <w:rPr>
      <w:i/>
    </w:rPr>
  </w:style>
  <w:style w:type="character" w:styleId="827">
    <w:name w:val="Header Char"/>
    <w:basedOn w:val="718"/>
    <w:next w:val="827"/>
    <w:link w:val="708"/>
    <w:uiPriority w:val="99"/>
    <w:qFormat/>
  </w:style>
  <w:style w:type="character" w:styleId="828">
    <w:name w:val="Footer Char"/>
    <w:basedOn w:val="718"/>
    <w:next w:val="828"/>
    <w:link w:val="708"/>
    <w:uiPriority w:val="99"/>
    <w:qFormat/>
  </w:style>
  <w:style w:type="character" w:styleId="829">
    <w:name w:val="Caption Char"/>
    <w:next w:val="829"/>
    <w:link w:val="708"/>
    <w:uiPriority w:val="99"/>
    <w:qFormat/>
  </w:style>
  <w:style w:type="table" w:styleId="830">
    <w:name w:val="Table Grid Light"/>
    <w:basedOn w:val="719"/>
    <w:next w:val="830"/>
    <w:link w:val="708"/>
    <w:uiPriority w:val="59"/>
    <w:qFormat/>
    <w:pPr>
      <w:spacing w:after="0" w:line="240" w:lineRule="auto"/>
    </w:pPr>
    <w:tblPr/>
  </w:style>
  <w:style w:type="table" w:styleId="831">
    <w:name w:val="Plain Table 1"/>
    <w:basedOn w:val="719"/>
    <w:next w:val="831"/>
    <w:link w:val="708"/>
    <w:uiPriority w:val="59"/>
    <w:qFormat/>
    <w:pPr>
      <w:spacing w:after="0" w:line="240" w:lineRule="auto"/>
    </w:pPr>
    <w:tblPr/>
  </w:style>
  <w:style w:type="table" w:styleId="832">
    <w:name w:val="Plain Table 2"/>
    <w:basedOn w:val="719"/>
    <w:next w:val="832"/>
    <w:link w:val="708"/>
    <w:uiPriority w:val="59"/>
    <w:qFormat/>
    <w:pPr>
      <w:spacing w:after="0" w:line="240" w:lineRule="auto"/>
    </w:pPr>
    <w:tblPr/>
  </w:style>
  <w:style w:type="table" w:styleId="833">
    <w:name w:val="Plain Table 3"/>
    <w:basedOn w:val="719"/>
    <w:next w:val="833"/>
    <w:link w:val="708"/>
    <w:uiPriority w:val="99"/>
    <w:qFormat/>
    <w:pPr>
      <w:spacing w:after="0" w:line="240" w:lineRule="auto"/>
    </w:pPr>
    <w:tblPr/>
  </w:style>
  <w:style w:type="table" w:styleId="834">
    <w:name w:val="Plain Table 4"/>
    <w:basedOn w:val="719"/>
    <w:next w:val="834"/>
    <w:link w:val="708"/>
    <w:uiPriority w:val="99"/>
    <w:qFormat/>
    <w:pPr>
      <w:spacing w:after="0" w:line="240" w:lineRule="auto"/>
    </w:pPr>
    <w:tblPr/>
  </w:style>
  <w:style w:type="table" w:styleId="835">
    <w:name w:val="Plain Table 5"/>
    <w:basedOn w:val="719"/>
    <w:next w:val="835"/>
    <w:link w:val="708"/>
    <w:uiPriority w:val="99"/>
    <w:qFormat/>
    <w:pPr>
      <w:spacing w:after="0" w:line="240" w:lineRule="auto"/>
    </w:pPr>
    <w:tblPr/>
  </w:style>
  <w:style w:type="table" w:styleId="836">
    <w:name w:val="Grid Table 1 Light"/>
    <w:basedOn w:val="719"/>
    <w:next w:val="836"/>
    <w:link w:val="708"/>
    <w:uiPriority w:val="99"/>
    <w:qFormat/>
    <w:pPr>
      <w:spacing w:after="0" w:line="240" w:lineRule="auto"/>
    </w:pPr>
    <w:tblPr/>
  </w:style>
  <w:style w:type="table" w:styleId="837">
    <w:name w:val="Grid Table 1 Light - Accent 1"/>
    <w:basedOn w:val="719"/>
    <w:next w:val="837"/>
    <w:link w:val="708"/>
    <w:uiPriority w:val="99"/>
    <w:qFormat/>
    <w:pPr>
      <w:spacing w:after="0" w:line="240" w:lineRule="auto"/>
    </w:pPr>
    <w:tblPr/>
  </w:style>
  <w:style w:type="table" w:styleId="838">
    <w:name w:val="Grid Table 1 Light - Accent 2"/>
    <w:basedOn w:val="719"/>
    <w:next w:val="838"/>
    <w:link w:val="708"/>
    <w:uiPriority w:val="99"/>
    <w:qFormat/>
    <w:pPr>
      <w:spacing w:after="0" w:line="240" w:lineRule="auto"/>
    </w:pPr>
    <w:tblPr/>
  </w:style>
  <w:style w:type="table" w:styleId="839">
    <w:name w:val="Grid Table 1 Light - Accent 3"/>
    <w:basedOn w:val="719"/>
    <w:next w:val="839"/>
    <w:link w:val="708"/>
    <w:uiPriority w:val="99"/>
    <w:qFormat/>
    <w:pPr>
      <w:spacing w:after="0" w:line="240" w:lineRule="auto"/>
    </w:pPr>
    <w:tblPr/>
  </w:style>
  <w:style w:type="table" w:styleId="840">
    <w:name w:val="Grid Table 1 Light - Accent 4"/>
    <w:basedOn w:val="719"/>
    <w:next w:val="840"/>
    <w:link w:val="708"/>
    <w:uiPriority w:val="99"/>
    <w:qFormat/>
    <w:pPr>
      <w:spacing w:after="0" w:line="240" w:lineRule="auto"/>
    </w:pPr>
    <w:tblPr/>
  </w:style>
  <w:style w:type="table" w:styleId="841">
    <w:name w:val="Grid Table 1 Light - Accent 5"/>
    <w:basedOn w:val="719"/>
    <w:next w:val="841"/>
    <w:link w:val="708"/>
    <w:uiPriority w:val="99"/>
    <w:qFormat/>
    <w:pPr>
      <w:spacing w:after="0" w:line="240" w:lineRule="auto"/>
    </w:pPr>
    <w:tblPr/>
  </w:style>
  <w:style w:type="table" w:styleId="842">
    <w:name w:val="Grid Table 1 Light - Accent 6"/>
    <w:basedOn w:val="719"/>
    <w:next w:val="842"/>
    <w:link w:val="708"/>
    <w:uiPriority w:val="99"/>
    <w:qFormat/>
    <w:pPr>
      <w:spacing w:after="0" w:line="240" w:lineRule="auto"/>
    </w:pPr>
    <w:tblPr/>
  </w:style>
  <w:style w:type="table" w:styleId="843">
    <w:name w:val="Grid Table 2"/>
    <w:basedOn w:val="719"/>
    <w:next w:val="843"/>
    <w:link w:val="708"/>
    <w:uiPriority w:val="99"/>
    <w:qFormat/>
    <w:pPr>
      <w:spacing w:after="0" w:line="240" w:lineRule="auto"/>
    </w:pPr>
    <w:tblPr/>
  </w:style>
  <w:style w:type="table" w:styleId="844">
    <w:name w:val="Grid Table 2 - Accent 1"/>
    <w:basedOn w:val="719"/>
    <w:next w:val="844"/>
    <w:link w:val="708"/>
    <w:uiPriority w:val="99"/>
    <w:qFormat/>
    <w:pPr>
      <w:spacing w:after="0" w:line="240" w:lineRule="auto"/>
    </w:pPr>
    <w:tblPr/>
  </w:style>
  <w:style w:type="table" w:styleId="845">
    <w:name w:val="Grid Table 2 - Accent 2"/>
    <w:basedOn w:val="719"/>
    <w:next w:val="845"/>
    <w:link w:val="708"/>
    <w:uiPriority w:val="99"/>
    <w:qFormat/>
    <w:pPr>
      <w:spacing w:after="0" w:line="240" w:lineRule="auto"/>
    </w:pPr>
    <w:tblPr/>
  </w:style>
  <w:style w:type="table" w:styleId="846">
    <w:name w:val="Grid Table 2 - Accent 3"/>
    <w:basedOn w:val="719"/>
    <w:next w:val="846"/>
    <w:link w:val="708"/>
    <w:uiPriority w:val="99"/>
    <w:qFormat/>
    <w:pPr>
      <w:spacing w:after="0" w:line="240" w:lineRule="auto"/>
    </w:pPr>
    <w:tblPr/>
  </w:style>
  <w:style w:type="table" w:styleId="847">
    <w:name w:val="Grid Table 2 - Accent 4"/>
    <w:basedOn w:val="719"/>
    <w:next w:val="847"/>
    <w:link w:val="708"/>
    <w:uiPriority w:val="99"/>
    <w:qFormat/>
    <w:pPr>
      <w:spacing w:after="0" w:line="240" w:lineRule="auto"/>
    </w:pPr>
    <w:tblPr/>
  </w:style>
  <w:style w:type="table" w:styleId="848">
    <w:name w:val="Grid Table 2 - Accent 5"/>
    <w:basedOn w:val="719"/>
    <w:next w:val="848"/>
    <w:link w:val="708"/>
    <w:uiPriority w:val="99"/>
    <w:qFormat/>
    <w:pPr>
      <w:spacing w:after="0" w:line="240" w:lineRule="auto"/>
    </w:pPr>
    <w:tblPr/>
  </w:style>
  <w:style w:type="table" w:styleId="849">
    <w:name w:val="Grid Table 2 - Accent 6"/>
    <w:basedOn w:val="719"/>
    <w:next w:val="849"/>
    <w:link w:val="708"/>
    <w:uiPriority w:val="99"/>
    <w:qFormat/>
    <w:pPr>
      <w:spacing w:after="0" w:line="240" w:lineRule="auto"/>
    </w:pPr>
    <w:tblPr/>
  </w:style>
  <w:style w:type="table" w:styleId="850">
    <w:name w:val="Grid Table 3"/>
    <w:basedOn w:val="719"/>
    <w:next w:val="850"/>
    <w:link w:val="708"/>
    <w:uiPriority w:val="99"/>
    <w:qFormat/>
    <w:pPr>
      <w:spacing w:after="0" w:line="240" w:lineRule="auto"/>
    </w:pPr>
    <w:tblPr/>
  </w:style>
  <w:style w:type="table" w:styleId="851">
    <w:name w:val="Grid Table 3 - Accent 1"/>
    <w:basedOn w:val="719"/>
    <w:next w:val="851"/>
    <w:link w:val="708"/>
    <w:uiPriority w:val="99"/>
    <w:qFormat/>
    <w:pPr>
      <w:spacing w:after="0" w:line="240" w:lineRule="auto"/>
    </w:pPr>
    <w:tblPr/>
  </w:style>
  <w:style w:type="table" w:styleId="852">
    <w:name w:val="Grid Table 3 - Accent 2"/>
    <w:basedOn w:val="719"/>
    <w:next w:val="852"/>
    <w:link w:val="708"/>
    <w:uiPriority w:val="99"/>
    <w:qFormat/>
    <w:pPr>
      <w:spacing w:after="0" w:line="240" w:lineRule="auto"/>
    </w:pPr>
    <w:tblPr/>
  </w:style>
  <w:style w:type="table" w:styleId="853">
    <w:name w:val="Grid Table 3 - Accent 3"/>
    <w:basedOn w:val="719"/>
    <w:next w:val="853"/>
    <w:link w:val="708"/>
    <w:uiPriority w:val="99"/>
    <w:qFormat/>
    <w:pPr>
      <w:spacing w:after="0" w:line="240" w:lineRule="auto"/>
    </w:pPr>
    <w:tblPr/>
  </w:style>
  <w:style w:type="table" w:styleId="854">
    <w:name w:val="Grid Table 3 - Accent 4"/>
    <w:basedOn w:val="719"/>
    <w:next w:val="854"/>
    <w:link w:val="708"/>
    <w:uiPriority w:val="99"/>
    <w:qFormat/>
    <w:pPr>
      <w:spacing w:after="0" w:line="240" w:lineRule="auto"/>
    </w:pPr>
    <w:tblPr/>
  </w:style>
  <w:style w:type="table" w:styleId="855">
    <w:name w:val="Grid Table 3 - Accent 5"/>
    <w:basedOn w:val="719"/>
    <w:next w:val="855"/>
    <w:link w:val="708"/>
    <w:uiPriority w:val="99"/>
    <w:qFormat/>
    <w:pPr>
      <w:spacing w:after="0" w:line="240" w:lineRule="auto"/>
    </w:pPr>
    <w:tblPr/>
  </w:style>
  <w:style w:type="table" w:styleId="856">
    <w:name w:val="Grid Table 3 - Accent 6"/>
    <w:basedOn w:val="719"/>
    <w:next w:val="856"/>
    <w:link w:val="708"/>
    <w:uiPriority w:val="99"/>
    <w:qFormat/>
    <w:pPr>
      <w:spacing w:after="0" w:line="240" w:lineRule="auto"/>
    </w:pPr>
    <w:tblPr/>
  </w:style>
  <w:style w:type="table" w:styleId="857">
    <w:name w:val="Grid Table 4"/>
    <w:basedOn w:val="719"/>
    <w:next w:val="857"/>
    <w:link w:val="708"/>
    <w:uiPriority w:val="59"/>
    <w:qFormat/>
    <w:pPr>
      <w:spacing w:after="0" w:line="240" w:lineRule="auto"/>
    </w:pPr>
    <w:tblPr/>
  </w:style>
  <w:style w:type="table" w:styleId="858">
    <w:name w:val="Grid Table 4 - Accent 1"/>
    <w:basedOn w:val="719"/>
    <w:next w:val="858"/>
    <w:link w:val="708"/>
    <w:uiPriority w:val="59"/>
    <w:qFormat/>
    <w:pPr>
      <w:spacing w:after="0" w:line="240" w:lineRule="auto"/>
    </w:pPr>
    <w:tblPr/>
  </w:style>
  <w:style w:type="table" w:styleId="859">
    <w:name w:val="Grid Table 4 - Accent 2"/>
    <w:basedOn w:val="719"/>
    <w:next w:val="859"/>
    <w:link w:val="708"/>
    <w:uiPriority w:val="59"/>
    <w:qFormat/>
    <w:pPr>
      <w:spacing w:after="0" w:line="240" w:lineRule="auto"/>
    </w:pPr>
    <w:tblPr/>
  </w:style>
  <w:style w:type="table" w:styleId="860">
    <w:name w:val="Grid Table 4 - Accent 3"/>
    <w:basedOn w:val="719"/>
    <w:next w:val="860"/>
    <w:link w:val="708"/>
    <w:uiPriority w:val="59"/>
    <w:qFormat/>
    <w:pPr>
      <w:spacing w:after="0" w:line="240" w:lineRule="auto"/>
    </w:pPr>
    <w:tblPr/>
  </w:style>
  <w:style w:type="table" w:styleId="861">
    <w:name w:val="Grid Table 4 - Accent 4"/>
    <w:basedOn w:val="719"/>
    <w:next w:val="861"/>
    <w:link w:val="708"/>
    <w:uiPriority w:val="59"/>
    <w:qFormat/>
    <w:pPr>
      <w:spacing w:after="0" w:line="240" w:lineRule="auto"/>
    </w:pPr>
    <w:tblPr/>
  </w:style>
  <w:style w:type="table" w:styleId="862">
    <w:name w:val="Grid Table 4 - Accent 5"/>
    <w:basedOn w:val="719"/>
    <w:next w:val="862"/>
    <w:link w:val="708"/>
    <w:uiPriority w:val="59"/>
    <w:qFormat/>
    <w:pPr>
      <w:spacing w:after="0" w:line="240" w:lineRule="auto"/>
    </w:pPr>
    <w:tblPr/>
  </w:style>
  <w:style w:type="table" w:styleId="863">
    <w:name w:val="Grid Table 4 - Accent 6"/>
    <w:basedOn w:val="719"/>
    <w:next w:val="863"/>
    <w:link w:val="708"/>
    <w:uiPriority w:val="59"/>
    <w:qFormat/>
    <w:pPr>
      <w:spacing w:after="0" w:line="240" w:lineRule="auto"/>
    </w:pPr>
    <w:tblPr/>
  </w:style>
  <w:style w:type="table" w:styleId="864">
    <w:name w:val="Grid Table 5 Dark"/>
    <w:basedOn w:val="719"/>
    <w:next w:val="864"/>
    <w:link w:val="708"/>
    <w:uiPriority w:val="99"/>
    <w:qFormat/>
    <w:pPr>
      <w:spacing w:after="0" w:line="240" w:lineRule="auto"/>
    </w:pPr>
    <w:tblPr/>
  </w:style>
  <w:style w:type="table" w:styleId="865">
    <w:name w:val="Grid Table 5 Dark- Accent 1"/>
    <w:basedOn w:val="719"/>
    <w:next w:val="865"/>
    <w:link w:val="708"/>
    <w:uiPriority w:val="99"/>
    <w:qFormat/>
    <w:pPr>
      <w:spacing w:after="0" w:line="240" w:lineRule="auto"/>
    </w:pPr>
    <w:tblPr/>
  </w:style>
  <w:style w:type="table" w:styleId="866">
    <w:name w:val="Grid Table 5 Dark - Accent 2"/>
    <w:basedOn w:val="719"/>
    <w:next w:val="866"/>
    <w:link w:val="708"/>
    <w:uiPriority w:val="99"/>
    <w:qFormat/>
    <w:pPr>
      <w:spacing w:after="0" w:line="240" w:lineRule="auto"/>
    </w:pPr>
    <w:tblPr/>
  </w:style>
  <w:style w:type="table" w:styleId="867">
    <w:name w:val="Grid Table 5 Dark - Accent 3"/>
    <w:basedOn w:val="719"/>
    <w:next w:val="867"/>
    <w:link w:val="708"/>
    <w:uiPriority w:val="99"/>
    <w:qFormat/>
    <w:pPr>
      <w:spacing w:after="0" w:line="240" w:lineRule="auto"/>
    </w:pPr>
    <w:tblPr/>
  </w:style>
  <w:style w:type="table" w:styleId="868">
    <w:name w:val="Grid Table 5 Dark- Accent 4"/>
    <w:basedOn w:val="719"/>
    <w:next w:val="868"/>
    <w:link w:val="708"/>
    <w:uiPriority w:val="99"/>
    <w:qFormat/>
    <w:pPr>
      <w:spacing w:after="0" w:line="240" w:lineRule="auto"/>
    </w:pPr>
    <w:tblPr/>
  </w:style>
  <w:style w:type="table" w:styleId="869">
    <w:name w:val="Grid Table 5 Dark - Accent 5"/>
    <w:basedOn w:val="719"/>
    <w:next w:val="869"/>
    <w:link w:val="708"/>
    <w:uiPriority w:val="99"/>
    <w:qFormat/>
    <w:pPr>
      <w:spacing w:after="0" w:line="240" w:lineRule="auto"/>
    </w:pPr>
    <w:tblPr/>
  </w:style>
  <w:style w:type="table" w:styleId="870">
    <w:name w:val="Grid Table 5 Dark - Accent 6"/>
    <w:basedOn w:val="719"/>
    <w:next w:val="870"/>
    <w:link w:val="708"/>
    <w:uiPriority w:val="99"/>
    <w:qFormat/>
    <w:pPr>
      <w:spacing w:after="0" w:line="240" w:lineRule="auto"/>
    </w:pPr>
    <w:tblPr/>
  </w:style>
  <w:style w:type="table" w:styleId="871">
    <w:name w:val="Grid Table 6 Colorful"/>
    <w:basedOn w:val="719"/>
    <w:next w:val="871"/>
    <w:link w:val="708"/>
    <w:uiPriority w:val="99"/>
    <w:qFormat/>
    <w:pPr>
      <w:spacing w:after="0" w:line="240" w:lineRule="auto"/>
    </w:pPr>
    <w:tblPr/>
  </w:style>
  <w:style w:type="table" w:styleId="872">
    <w:name w:val="Grid Table 6 Colorful - Accent 1"/>
    <w:basedOn w:val="719"/>
    <w:next w:val="872"/>
    <w:link w:val="708"/>
    <w:uiPriority w:val="99"/>
    <w:qFormat/>
    <w:pPr>
      <w:spacing w:after="0" w:line="240" w:lineRule="auto"/>
    </w:pPr>
    <w:tblPr/>
  </w:style>
  <w:style w:type="table" w:styleId="873">
    <w:name w:val="Grid Table 6 Colorful - Accent 2"/>
    <w:basedOn w:val="719"/>
    <w:next w:val="873"/>
    <w:link w:val="708"/>
    <w:uiPriority w:val="99"/>
    <w:qFormat/>
    <w:pPr>
      <w:spacing w:after="0" w:line="240" w:lineRule="auto"/>
    </w:pPr>
    <w:tblPr/>
  </w:style>
  <w:style w:type="table" w:styleId="874">
    <w:name w:val="Grid Table 6 Colorful - Accent 3"/>
    <w:basedOn w:val="719"/>
    <w:next w:val="874"/>
    <w:link w:val="708"/>
    <w:uiPriority w:val="99"/>
    <w:qFormat/>
    <w:pPr>
      <w:spacing w:after="0" w:line="240" w:lineRule="auto"/>
    </w:pPr>
    <w:tblPr/>
  </w:style>
  <w:style w:type="table" w:styleId="875">
    <w:name w:val="Grid Table 6 Colorful - Accent 4"/>
    <w:basedOn w:val="719"/>
    <w:next w:val="875"/>
    <w:link w:val="708"/>
    <w:uiPriority w:val="99"/>
    <w:qFormat/>
    <w:pPr>
      <w:spacing w:after="0" w:line="240" w:lineRule="auto"/>
    </w:pPr>
    <w:tblPr/>
  </w:style>
  <w:style w:type="table" w:styleId="876">
    <w:name w:val="Grid Table 6 Colorful - Accent 5"/>
    <w:basedOn w:val="719"/>
    <w:next w:val="876"/>
    <w:link w:val="708"/>
    <w:uiPriority w:val="99"/>
    <w:qFormat/>
    <w:pPr>
      <w:spacing w:after="0" w:line="240" w:lineRule="auto"/>
    </w:pPr>
    <w:tblPr/>
  </w:style>
  <w:style w:type="table" w:styleId="877">
    <w:name w:val="Grid Table 6 Colorful - Accent 6"/>
    <w:basedOn w:val="719"/>
    <w:next w:val="877"/>
    <w:link w:val="708"/>
    <w:uiPriority w:val="99"/>
    <w:qFormat/>
    <w:pPr>
      <w:spacing w:after="0" w:line="240" w:lineRule="auto"/>
    </w:pPr>
    <w:tblPr/>
  </w:style>
  <w:style w:type="table" w:styleId="878">
    <w:name w:val="Grid Table 7 Colorful"/>
    <w:basedOn w:val="719"/>
    <w:next w:val="878"/>
    <w:link w:val="708"/>
    <w:uiPriority w:val="99"/>
    <w:qFormat/>
    <w:pPr>
      <w:spacing w:after="0" w:line="240" w:lineRule="auto"/>
    </w:pPr>
    <w:tblPr/>
  </w:style>
  <w:style w:type="table" w:styleId="879">
    <w:name w:val="Grid Table 7 Colorful - Accent 1"/>
    <w:basedOn w:val="719"/>
    <w:next w:val="879"/>
    <w:link w:val="708"/>
    <w:uiPriority w:val="99"/>
    <w:qFormat/>
    <w:pPr>
      <w:spacing w:after="0" w:line="240" w:lineRule="auto"/>
    </w:pPr>
    <w:tblPr/>
  </w:style>
  <w:style w:type="table" w:styleId="880">
    <w:name w:val="Grid Table 7 Colorful - Accent 2"/>
    <w:basedOn w:val="719"/>
    <w:next w:val="880"/>
    <w:link w:val="708"/>
    <w:uiPriority w:val="99"/>
    <w:qFormat/>
    <w:pPr>
      <w:spacing w:after="0" w:line="240" w:lineRule="auto"/>
    </w:pPr>
    <w:tblPr/>
  </w:style>
  <w:style w:type="table" w:styleId="881">
    <w:name w:val="Grid Table 7 Colorful - Accent 3"/>
    <w:basedOn w:val="719"/>
    <w:next w:val="881"/>
    <w:link w:val="708"/>
    <w:uiPriority w:val="99"/>
    <w:qFormat/>
    <w:pPr>
      <w:spacing w:after="0" w:line="240" w:lineRule="auto"/>
    </w:pPr>
    <w:tblPr/>
  </w:style>
  <w:style w:type="table" w:styleId="882">
    <w:name w:val="Grid Table 7 Colorful - Accent 4"/>
    <w:basedOn w:val="719"/>
    <w:next w:val="882"/>
    <w:link w:val="708"/>
    <w:uiPriority w:val="99"/>
    <w:qFormat/>
    <w:pPr>
      <w:spacing w:after="0" w:line="240" w:lineRule="auto"/>
    </w:pPr>
    <w:tblPr/>
  </w:style>
  <w:style w:type="table" w:styleId="883">
    <w:name w:val="Grid Table 7 Colorful - Accent 5"/>
    <w:basedOn w:val="719"/>
    <w:next w:val="883"/>
    <w:link w:val="708"/>
    <w:uiPriority w:val="99"/>
    <w:qFormat/>
    <w:pPr>
      <w:spacing w:after="0" w:line="240" w:lineRule="auto"/>
    </w:pPr>
    <w:tblPr/>
  </w:style>
  <w:style w:type="table" w:styleId="884">
    <w:name w:val="Grid Table 7 Colorful - Accent 6"/>
    <w:basedOn w:val="719"/>
    <w:next w:val="884"/>
    <w:link w:val="708"/>
    <w:uiPriority w:val="99"/>
    <w:qFormat/>
    <w:pPr>
      <w:spacing w:after="0" w:line="240" w:lineRule="auto"/>
    </w:pPr>
    <w:tblPr/>
  </w:style>
  <w:style w:type="table" w:styleId="885">
    <w:name w:val="List Table 1 Light"/>
    <w:basedOn w:val="719"/>
    <w:next w:val="885"/>
    <w:link w:val="708"/>
    <w:uiPriority w:val="99"/>
    <w:qFormat/>
    <w:pPr>
      <w:spacing w:after="0" w:line="240" w:lineRule="auto"/>
    </w:pPr>
    <w:tblPr/>
  </w:style>
  <w:style w:type="table" w:styleId="886">
    <w:name w:val="List Table 1 Light - Accent 1"/>
    <w:basedOn w:val="719"/>
    <w:next w:val="886"/>
    <w:link w:val="708"/>
    <w:uiPriority w:val="99"/>
    <w:qFormat/>
    <w:pPr>
      <w:spacing w:after="0" w:line="240" w:lineRule="auto"/>
    </w:pPr>
    <w:tblPr/>
  </w:style>
  <w:style w:type="table" w:styleId="887">
    <w:name w:val="List Table 1 Light - Accent 2"/>
    <w:basedOn w:val="719"/>
    <w:next w:val="887"/>
    <w:link w:val="708"/>
    <w:uiPriority w:val="99"/>
    <w:qFormat/>
    <w:pPr>
      <w:spacing w:after="0" w:line="240" w:lineRule="auto"/>
    </w:pPr>
    <w:tblPr/>
  </w:style>
  <w:style w:type="table" w:styleId="888">
    <w:name w:val="List Table 1 Light - Accent 3"/>
    <w:basedOn w:val="719"/>
    <w:next w:val="888"/>
    <w:link w:val="708"/>
    <w:uiPriority w:val="99"/>
    <w:qFormat/>
    <w:pPr>
      <w:spacing w:after="0" w:line="240" w:lineRule="auto"/>
    </w:pPr>
    <w:tblPr/>
  </w:style>
  <w:style w:type="table" w:styleId="889">
    <w:name w:val="List Table 1 Light - Accent 4"/>
    <w:basedOn w:val="719"/>
    <w:next w:val="889"/>
    <w:link w:val="708"/>
    <w:uiPriority w:val="99"/>
    <w:qFormat/>
    <w:pPr>
      <w:spacing w:after="0" w:line="240" w:lineRule="auto"/>
    </w:pPr>
    <w:tblPr/>
  </w:style>
  <w:style w:type="table" w:styleId="890">
    <w:name w:val="List Table 1 Light - Accent 5"/>
    <w:basedOn w:val="719"/>
    <w:next w:val="890"/>
    <w:link w:val="708"/>
    <w:uiPriority w:val="99"/>
    <w:qFormat/>
    <w:pPr>
      <w:spacing w:after="0" w:line="240" w:lineRule="auto"/>
    </w:pPr>
    <w:tblPr/>
  </w:style>
  <w:style w:type="table" w:styleId="891">
    <w:name w:val="List Table 1 Light - Accent 6"/>
    <w:basedOn w:val="719"/>
    <w:next w:val="891"/>
    <w:link w:val="708"/>
    <w:uiPriority w:val="99"/>
    <w:qFormat/>
    <w:pPr>
      <w:spacing w:after="0" w:line="240" w:lineRule="auto"/>
    </w:pPr>
    <w:tblPr/>
  </w:style>
  <w:style w:type="table" w:styleId="892">
    <w:name w:val="List Table 2"/>
    <w:basedOn w:val="719"/>
    <w:next w:val="892"/>
    <w:link w:val="708"/>
    <w:uiPriority w:val="99"/>
    <w:qFormat/>
    <w:pPr>
      <w:spacing w:after="0" w:line="240" w:lineRule="auto"/>
    </w:pPr>
    <w:tblPr/>
  </w:style>
  <w:style w:type="table" w:styleId="893">
    <w:name w:val="List Table 2 - Accent 1"/>
    <w:basedOn w:val="719"/>
    <w:next w:val="893"/>
    <w:link w:val="708"/>
    <w:uiPriority w:val="99"/>
    <w:qFormat/>
    <w:pPr>
      <w:spacing w:after="0" w:line="240" w:lineRule="auto"/>
    </w:pPr>
    <w:tblPr/>
  </w:style>
  <w:style w:type="table" w:styleId="894">
    <w:name w:val="List Table 2 - Accent 2"/>
    <w:basedOn w:val="719"/>
    <w:next w:val="894"/>
    <w:link w:val="708"/>
    <w:uiPriority w:val="99"/>
    <w:qFormat/>
    <w:pPr>
      <w:spacing w:after="0" w:line="240" w:lineRule="auto"/>
    </w:pPr>
    <w:tblPr/>
  </w:style>
  <w:style w:type="table" w:styleId="895">
    <w:name w:val="List Table 2 - Accent 3"/>
    <w:basedOn w:val="719"/>
    <w:next w:val="895"/>
    <w:link w:val="708"/>
    <w:uiPriority w:val="99"/>
    <w:qFormat/>
    <w:pPr>
      <w:spacing w:after="0" w:line="240" w:lineRule="auto"/>
    </w:pPr>
    <w:tblPr/>
  </w:style>
  <w:style w:type="table" w:styleId="896">
    <w:name w:val="List Table 2 - Accent 4"/>
    <w:basedOn w:val="719"/>
    <w:next w:val="896"/>
    <w:link w:val="708"/>
    <w:uiPriority w:val="99"/>
    <w:qFormat/>
    <w:pPr>
      <w:spacing w:after="0" w:line="240" w:lineRule="auto"/>
    </w:pPr>
    <w:tblPr/>
  </w:style>
  <w:style w:type="table" w:styleId="897">
    <w:name w:val="List Table 2 - Accent 5"/>
    <w:basedOn w:val="719"/>
    <w:next w:val="897"/>
    <w:link w:val="708"/>
    <w:uiPriority w:val="99"/>
    <w:qFormat/>
    <w:pPr>
      <w:spacing w:after="0" w:line="240" w:lineRule="auto"/>
    </w:pPr>
    <w:tblPr/>
  </w:style>
  <w:style w:type="table" w:styleId="898">
    <w:name w:val="List Table 2 - Accent 6"/>
    <w:basedOn w:val="719"/>
    <w:next w:val="898"/>
    <w:link w:val="708"/>
    <w:uiPriority w:val="99"/>
    <w:qFormat/>
    <w:pPr>
      <w:spacing w:after="0" w:line="240" w:lineRule="auto"/>
    </w:pPr>
    <w:tblPr/>
  </w:style>
  <w:style w:type="table" w:styleId="899">
    <w:name w:val="List Table 3"/>
    <w:basedOn w:val="719"/>
    <w:next w:val="899"/>
    <w:link w:val="708"/>
    <w:uiPriority w:val="99"/>
    <w:qFormat/>
    <w:pPr>
      <w:spacing w:after="0" w:line="240" w:lineRule="auto"/>
    </w:pPr>
    <w:tblPr/>
  </w:style>
  <w:style w:type="table" w:styleId="900">
    <w:name w:val="List Table 3 - Accent 1"/>
    <w:basedOn w:val="719"/>
    <w:next w:val="900"/>
    <w:link w:val="708"/>
    <w:uiPriority w:val="99"/>
    <w:qFormat/>
    <w:pPr>
      <w:spacing w:after="0" w:line="240" w:lineRule="auto"/>
    </w:pPr>
    <w:tblPr/>
  </w:style>
  <w:style w:type="table" w:styleId="901">
    <w:name w:val="List Table 3 - Accent 2"/>
    <w:basedOn w:val="719"/>
    <w:next w:val="901"/>
    <w:link w:val="708"/>
    <w:uiPriority w:val="99"/>
    <w:qFormat/>
    <w:pPr>
      <w:spacing w:after="0" w:line="240" w:lineRule="auto"/>
    </w:pPr>
    <w:tblPr/>
  </w:style>
  <w:style w:type="table" w:styleId="902">
    <w:name w:val="List Table 3 - Accent 3"/>
    <w:basedOn w:val="719"/>
    <w:next w:val="902"/>
    <w:link w:val="708"/>
    <w:uiPriority w:val="99"/>
    <w:qFormat/>
    <w:pPr>
      <w:spacing w:after="0" w:line="240" w:lineRule="auto"/>
    </w:pPr>
    <w:tblPr/>
  </w:style>
  <w:style w:type="table" w:styleId="903">
    <w:name w:val="List Table 3 - Accent 4"/>
    <w:basedOn w:val="719"/>
    <w:next w:val="903"/>
    <w:link w:val="708"/>
    <w:uiPriority w:val="99"/>
    <w:qFormat/>
    <w:pPr>
      <w:spacing w:after="0" w:line="240" w:lineRule="auto"/>
    </w:pPr>
    <w:tblPr/>
  </w:style>
  <w:style w:type="table" w:styleId="904">
    <w:name w:val="List Table 3 - Accent 5"/>
    <w:basedOn w:val="719"/>
    <w:next w:val="904"/>
    <w:link w:val="708"/>
    <w:uiPriority w:val="99"/>
    <w:qFormat/>
    <w:pPr>
      <w:spacing w:after="0" w:line="240" w:lineRule="auto"/>
    </w:pPr>
    <w:tblPr/>
  </w:style>
  <w:style w:type="table" w:styleId="905">
    <w:name w:val="List Table 3 - Accent 6"/>
    <w:basedOn w:val="719"/>
    <w:next w:val="905"/>
    <w:link w:val="708"/>
    <w:uiPriority w:val="99"/>
    <w:qFormat/>
    <w:pPr>
      <w:spacing w:after="0" w:line="240" w:lineRule="auto"/>
    </w:pPr>
    <w:tblPr/>
  </w:style>
  <w:style w:type="table" w:styleId="906">
    <w:name w:val="List Table 4"/>
    <w:basedOn w:val="719"/>
    <w:next w:val="906"/>
    <w:link w:val="708"/>
    <w:uiPriority w:val="99"/>
    <w:qFormat/>
    <w:pPr>
      <w:spacing w:after="0" w:line="240" w:lineRule="auto"/>
    </w:pPr>
    <w:tblPr/>
  </w:style>
  <w:style w:type="table" w:styleId="907">
    <w:name w:val="List Table 4 - Accent 1"/>
    <w:basedOn w:val="719"/>
    <w:next w:val="907"/>
    <w:link w:val="708"/>
    <w:uiPriority w:val="99"/>
    <w:qFormat/>
    <w:pPr>
      <w:spacing w:after="0" w:line="240" w:lineRule="auto"/>
    </w:pPr>
    <w:tblPr/>
  </w:style>
  <w:style w:type="table" w:styleId="908">
    <w:name w:val="List Table 4 - Accent 2"/>
    <w:basedOn w:val="719"/>
    <w:next w:val="908"/>
    <w:link w:val="708"/>
    <w:uiPriority w:val="99"/>
    <w:qFormat/>
    <w:pPr>
      <w:spacing w:after="0" w:line="240" w:lineRule="auto"/>
    </w:pPr>
    <w:tblPr/>
  </w:style>
  <w:style w:type="table" w:styleId="909">
    <w:name w:val="List Table 4 - Accent 3"/>
    <w:basedOn w:val="719"/>
    <w:next w:val="909"/>
    <w:link w:val="708"/>
    <w:uiPriority w:val="99"/>
    <w:qFormat/>
    <w:pPr>
      <w:spacing w:after="0" w:line="240" w:lineRule="auto"/>
    </w:pPr>
    <w:tblPr/>
  </w:style>
  <w:style w:type="table" w:styleId="910">
    <w:name w:val="List Table 4 - Accent 4"/>
    <w:basedOn w:val="719"/>
    <w:next w:val="910"/>
    <w:link w:val="708"/>
    <w:uiPriority w:val="99"/>
    <w:qFormat/>
    <w:pPr>
      <w:spacing w:after="0" w:line="240" w:lineRule="auto"/>
    </w:pPr>
    <w:tblPr/>
  </w:style>
  <w:style w:type="table" w:styleId="911">
    <w:name w:val="List Table 4 - Accent 5"/>
    <w:basedOn w:val="719"/>
    <w:next w:val="911"/>
    <w:link w:val="708"/>
    <w:uiPriority w:val="99"/>
    <w:qFormat/>
    <w:pPr>
      <w:spacing w:after="0" w:line="240" w:lineRule="auto"/>
    </w:pPr>
    <w:tblPr/>
  </w:style>
  <w:style w:type="table" w:styleId="912">
    <w:name w:val="List Table 4 - Accent 6"/>
    <w:basedOn w:val="719"/>
    <w:next w:val="912"/>
    <w:link w:val="708"/>
    <w:uiPriority w:val="99"/>
    <w:qFormat/>
    <w:pPr>
      <w:spacing w:after="0" w:line="240" w:lineRule="auto"/>
    </w:pPr>
    <w:tblPr/>
  </w:style>
  <w:style w:type="table" w:styleId="913">
    <w:name w:val="List Table 5 Dark"/>
    <w:basedOn w:val="719"/>
    <w:next w:val="913"/>
    <w:link w:val="708"/>
    <w:uiPriority w:val="99"/>
    <w:qFormat/>
    <w:pPr>
      <w:spacing w:after="0" w:line="240" w:lineRule="auto"/>
    </w:pPr>
    <w:tblPr/>
  </w:style>
  <w:style w:type="table" w:styleId="914">
    <w:name w:val="List Table 5 Dark - Accent 1"/>
    <w:basedOn w:val="719"/>
    <w:next w:val="914"/>
    <w:link w:val="708"/>
    <w:uiPriority w:val="99"/>
    <w:qFormat/>
    <w:pPr>
      <w:spacing w:after="0" w:line="240" w:lineRule="auto"/>
    </w:pPr>
    <w:tblPr/>
  </w:style>
  <w:style w:type="table" w:styleId="915">
    <w:name w:val="List Table 5 Dark - Accent 2"/>
    <w:basedOn w:val="719"/>
    <w:next w:val="915"/>
    <w:link w:val="708"/>
    <w:uiPriority w:val="99"/>
    <w:qFormat/>
    <w:pPr>
      <w:spacing w:after="0" w:line="240" w:lineRule="auto"/>
    </w:pPr>
    <w:tblPr/>
  </w:style>
  <w:style w:type="table" w:styleId="916">
    <w:name w:val="List Table 5 Dark - Accent 3"/>
    <w:basedOn w:val="719"/>
    <w:next w:val="916"/>
    <w:link w:val="708"/>
    <w:uiPriority w:val="99"/>
    <w:qFormat/>
    <w:pPr>
      <w:spacing w:after="0" w:line="240" w:lineRule="auto"/>
    </w:pPr>
    <w:tblPr/>
  </w:style>
  <w:style w:type="table" w:styleId="917">
    <w:name w:val="List Table 5 Dark - Accent 4"/>
    <w:basedOn w:val="719"/>
    <w:next w:val="917"/>
    <w:link w:val="708"/>
    <w:uiPriority w:val="99"/>
    <w:qFormat/>
    <w:pPr>
      <w:spacing w:after="0" w:line="240" w:lineRule="auto"/>
    </w:pPr>
    <w:tblPr/>
  </w:style>
  <w:style w:type="table" w:styleId="918">
    <w:name w:val="List Table 5 Dark - Accent 5"/>
    <w:basedOn w:val="719"/>
    <w:next w:val="918"/>
    <w:link w:val="708"/>
    <w:uiPriority w:val="99"/>
    <w:qFormat/>
    <w:pPr>
      <w:spacing w:after="0" w:line="240" w:lineRule="auto"/>
    </w:pPr>
    <w:tblPr/>
  </w:style>
  <w:style w:type="table" w:styleId="919">
    <w:name w:val="List Table 5 Dark - Accent 6"/>
    <w:basedOn w:val="719"/>
    <w:next w:val="919"/>
    <w:link w:val="708"/>
    <w:uiPriority w:val="99"/>
    <w:qFormat/>
    <w:pPr>
      <w:spacing w:after="0" w:line="240" w:lineRule="auto"/>
    </w:pPr>
    <w:tblPr/>
  </w:style>
  <w:style w:type="table" w:styleId="920">
    <w:name w:val="List Table 6 Colorful"/>
    <w:basedOn w:val="719"/>
    <w:next w:val="920"/>
    <w:link w:val="708"/>
    <w:uiPriority w:val="99"/>
    <w:qFormat/>
    <w:pPr>
      <w:spacing w:after="0" w:line="240" w:lineRule="auto"/>
    </w:pPr>
    <w:tblPr/>
  </w:style>
  <w:style w:type="table" w:styleId="921">
    <w:name w:val="List Table 6 Colorful - Accent 1"/>
    <w:basedOn w:val="719"/>
    <w:next w:val="921"/>
    <w:link w:val="708"/>
    <w:uiPriority w:val="99"/>
    <w:qFormat/>
    <w:pPr>
      <w:spacing w:after="0" w:line="240" w:lineRule="auto"/>
    </w:pPr>
    <w:tblPr/>
  </w:style>
  <w:style w:type="table" w:styleId="922">
    <w:name w:val="List Table 6 Colorful - Accent 2"/>
    <w:basedOn w:val="719"/>
    <w:next w:val="922"/>
    <w:link w:val="708"/>
    <w:uiPriority w:val="99"/>
    <w:qFormat/>
    <w:pPr>
      <w:spacing w:after="0" w:line="240" w:lineRule="auto"/>
    </w:pPr>
    <w:tblPr/>
  </w:style>
  <w:style w:type="table" w:styleId="923">
    <w:name w:val="List Table 6 Colorful - Accent 3"/>
    <w:basedOn w:val="719"/>
    <w:next w:val="923"/>
    <w:link w:val="708"/>
    <w:uiPriority w:val="99"/>
    <w:qFormat/>
    <w:pPr>
      <w:spacing w:after="0" w:line="240" w:lineRule="auto"/>
    </w:pPr>
    <w:tblPr/>
  </w:style>
  <w:style w:type="table" w:styleId="924">
    <w:name w:val="List Table 6 Colorful - Accent 4"/>
    <w:basedOn w:val="719"/>
    <w:next w:val="924"/>
    <w:link w:val="708"/>
    <w:uiPriority w:val="99"/>
    <w:qFormat/>
    <w:pPr>
      <w:spacing w:after="0" w:line="240" w:lineRule="auto"/>
    </w:pPr>
    <w:tblPr/>
  </w:style>
  <w:style w:type="table" w:styleId="925">
    <w:name w:val="List Table 6 Colorful - Accent 5"/>
    <w:basedOn w:val="719"/>
    <w:next w:val="925"/>
    <w:link w:val="708"/>
    <w:uiPriority w:val="99"/>
    <w:qFormat/>
    <w:pPr>
      <w:spacing w:after="0" w:line="240" w:lineRule="auto"/>
    </w:pPr>
    <w:tblPr/>
  </w:style>
  <w:style w:type="table" w:styleId="926">
    <w:name w:val="List Table 6 Colorful - Accent 6"/>
    <w:basedOn w:val="719"/>
    <w:next w:val="926"/>
    <w:link w:val="708"/>
    <w:uiPriority w:val="99"/>
    <w:qFormat/>
    <w:pPr>
      <w:spacing w:after="0" w:line="240" w:lineRule="auto"/>
    </w:pPr>
    <w:tblPr/>
  </w:style>
  <w:style w:type="table" w:styleId="927">
    <w:name w:val="List Table 7 Colorful"/>
    <w:basedOn w:val="719"/>
    <w:next w:val="927"/>
    <w:link w:val="708"/>
    <w:uiPriority w:val="99"/>
    <w:qFormat/>
    <w:pPr>
      <w:spacing w:after="0" w:line="240" w:lineRule="auto"/>
    </w:pPr>
    <w:tblPr/>
  </w:style>
  <w:style w:type="table" w:styleId="928">
    <w:name w:val="List Table 7 Colorful - Accent 1"/>
    <w:basedOn w:val="719"/>
    <w:next w:val="928"/>
    <w:link w:val="708"/>
    <w:uiPriority w:val="99"/>
    <w:qFormat/>
    <w:pPr>
      <w:spacing w:after="0" w:line="240" w:lineRule="auto"/>
    </w:pPr>
    <w:tblPr/>
  </w:style>
  <w:style w:type="table" w:styleId="929">
    <w:name w:val="List Table 7 Colorful - Accent 2"/>
    <w:basedOn w:val="719"/>
    <w:next w:val="929"/>
    <w:link w:val="708"/>
    <w:uiPriority w:val="99"/>
    <w:qFormat/>
    <w:pPr>
      <w:spacing w:after="0" w:line="240" w:lineRule="auto"/>
    </w:pPr>
    <w:tblPr/>
  </w:style>
  <w:style w:type="table" w:styleId="930">
    <w:name w:val="List Table 7 Colorful - Accent 3"/>
    <w:basedOn w:val="719"/>
    <w:next w:val="930"/>
    <w:link w:val="708"/>
    <w:uiPriority w:val="99"/>
    <w:qFormat/>
    <w:pPr>
      <w:spacing w:after="0" w:line="240" w:lineRule="auto"/>
    </w:pPr>
    <w:tblPr/>
  </w:style>
  <w:style w:type="table" w:styleId="931">
    <w:name w:val="List Table 7 Colorful - Accent 4"/>
    <w:basedOn w:val="719"/>
    <w:next w:val="931"/>
    <w:link w:val="708"/>
    <w:uiPriority w:val="99"/>
    <w:qFormat/>
    <w:pPr>
      <w:spacing w:after="0" w:line="240" w:lineRule="auto"/>
    </w:pPr>
    <w:tblPr/>
  </w:style>
  <w:style w:type="table" w:styleId="932">
    <w:name w:val="List Table 7 Colorful - Accent 5"/>
    <w:basedOn w:val="719"/>
    <w:next w:val="932"/>
    <w:link w:val="708"/>
    <w:uiPriority w:val="99"/>
    <w:qFormat/>
    <w:pPr>
      <w:spacing w:after="0" w:line="240" w:lineRule="auto"/>
    </w:pPr>
    <w:tblPr/>
  </w:style>
  <w:style w:type="table" w:styleId="933">
    <w:name w:val="List Table 7 Colorful - Accent 6"/>
    <w:basedOn w:val="719"/>
    <w:next w:val="933"/>
    <w:link w:val="708"/>
    <w:uiPriority w:val="99"/>
    <w:qFormat/>
    <w:pPr>
      <w:spacing w:after="0" w:line="240" w:lineRule="auto"/>
    </w:pPr>
    <w:tblPr/>
  </w:style>
  <w:style w:type="table" w:styleId="934">
    <w:name w:val="Lined - Accent"/>
    <w:basedOn w:val="719"/>
    <w:next w:val="934"/>
    <w:link w:val="708"/>
    <w:uiPriority w:val="99"/>
    <w:qFormat/>
    <w:pPr>
      <w:spacing w:after="0" w:line="240" w:lineRule="auto"/>
    </w:pPr>
    <w:rPr>
      <w:color w:val="404040"/>
    </w:rPr>
    <w:tblPr/>
  </w:style>
  <w:style w:type="table" w:styleId="935">
    <w:name w:val="Lined - Accent 1"/>
    <w:basedOn w:val="719"/>
    <w:next w:val="935"/>
    <w:link w:val="708"/>
    <w:uiPriority w:val="99"/>
    <w:qFormat/>
    <w:pPr>
      <w:spacing w:after="0" w:line="240" w:lineRule="auto"/>
    </w:pPr>
    <w:rPr>
      <w:color w:val="404040"/>
    </w:rPr>
    <w:tblPr/>
  </w:style>
  <w:style w:type="table" w:styleId="936">
    <w:name w:val="Lined - Accent 2"/>
    <w:basedOn w:val="719"/>
    <w:next w:val="936"/>
    <w:link w:val="708"/>
    <w:uiPriority w:val="99"/>
    <w:qFormat/>
    <w:pPr>
      <w:spacing w:after="0" w:line="240" w:lineRule="auto"/>
    </w:pPr>
    <w:rPr>
      <w:color w:val="404040"/>
    </w:rPr>
    <w:tblPr/>
  </w:style>
  <w:style w:type="table" w:styleId="937">
    <w:name w:val="Lined - Accent 3"/>
    <w:basedOn w:val="719"/>
    <w:next w:val="937"/>
    <w:link w:val="708"/>
    <w:uiPriority w:val="99"/>
    <w:qFormat/>
    <w:pPr>
      <w:spacing w:after="0" w:line="240" w:lineRule="auto"/>
    </w:pPr>
    <w:rPr>
      <w:color w:val="404040"/>
    </w:rPr>
    <w:tblPr/>
  </w:style>
  <w:style w:type="table" w:styleId="938">
    <w:name w:val="Lined - Accent 4"/>
    <w:basedOn w:val="719"/>
    <w:next w:val="938"/>
    <w:link w:val="708"/>
    <w:uiPriority w:val="99"/>
    <w:qFormat/>
    <w:pPr>
      <w:spacing w:after="0" w:line="240" w:lineRule="auto"/>
    </w:pPr>
    <w:rPr>
      <w:color w:val="404040"/>
    </w:rPr>
    <w:tblPr/>
  </w:style>
  <w:style w:type="table" w:styleId="939">
    <w:name w:val="Lined - Accent 5"/>
    <w:basedOn w:val="719"/>
    <w:next w:val="939"/>
    <w:link w:val="708"/>
    <w:uiPriority w:val="99"/>
    <w:qFormat/>
    <w:pPr>
      <w:spacing w:after="0" w:line="240" w:lineRule="auto"/>
    </w:pPr>
    <w:rPr>
      <w:color w:val="404040"/>
    </w:rPr>
    <w:tblPr/>
  </w:style>
  <w:style w:type="table" w:styleId="940">
    <w:name w:val="Lined - Accent 6"/>
    <w:basedOn w:val="719"/>
    <w:next w:val="940"/>
    <w:link w:val="708"/>
    <w:uiPriority w:val="99"/>
    <w:qFormat/>
    <w:pPr>
      <w:spacing w:after="0" w:line="240" w:lineRule="auto"/>
    </w:pPr>
    <w:rPr>
      <w:color w:val="404040"/>
    </w:rPr>
    <w:tblPr/>
  </w:style>
  <w:style w:type="table" w:styleId="941">
    <w:name w:val="Bordered &amp; Lined - Accent"/>
    <w:basedOn w:val="719"/>
    <w:next w:val="941"/>
    <w:link w:val="708"/>
    <w:uiPriority w:val="99"/>
    <w:qFormat/>
    <w:pPr>
      <w:spacing w:after="0" w:line="240" w:lineRule="auto"/>
    </w:pPr>
    <w:rPr>
      <w:color w:val="404040"/>
    </w:rPr>
    <w:tblPr/>
  </w:style>
  <w:style w:type="table" w:styleId="942">
    <w:name w:val="Bordered &amp; Lined - Accent 1"/>
    <w:basedOn w:val="719"/>
    <w:next w:val="942"/>
    <w:link w:val="708"/>
    <w:uiPriority w:val="99"/>
    <w:qFormat/>
    <w:pPr>
      <w:spacing w:after="0" w:line="240" w:lineRule="auto"/>
    </w:pPr>
    <w:rPr>
      <w:color w:val="404040"/>
    </w:rPr>
    <w:tblPr/>
  </w:style>
  <w:style w:type="table" w:styleId="943">
    <w:name w:val="Bordered &amp; Lined - Accent 2"/>
    <w:basedOn w:val="719"/>
    <w:next w:val="943"/>
    <w:link w:val="708"/>
    <w:uiPriority w:val="99"/>
    <w:qFormat/>
    <w:pPr>
      <w:spacing w:after="0" w:line="240" w:lineRule="auto"/>
    </w:pPr>
    <w:rPr>
      <w:color w:val="404040"/>
    </w:rPr>
    <w:tblPr/>
  </w:style>
  <w:style w:type="table" w:styleId="944">
    <w:name w:val="Bordered &amp; Lined - Accent 3"/>
    <w:basedOn w:val="719"/>
    <w:next w:val="944"/>
    <w:link w:val="708"/>
    <w:uiPriority w:val="99"/>
    <w:qFormat/>
    <w:pPr>
      <w:spacing w:after="0" w:line="240" w:lineRule="auto"/>
    </w:pPr>
    <w:rPr>
      <w:color w:val="404040"/>
    </w:rPr>
    <w:tblPr/>
  </w:style>
  <w:style w:type="table" w:styleId="945">
    <w:name w:val="Bordered &amp; Lined - Accent 4"/>
    <w:basedOn w:val="719"/>
    <w:next w:val="945"/>
    <w:link w:val="708"/>
    <w:uiPriority w:val="99"/>
    <w:qFormat/>
    <w:pPr>
      <w:spacing w:after="0" w:line="240" w:lineRule="auto"/>
    </w:pPr>
    <w:rPr>
      <w:color w:val="404040"/>
    </w:rPr>
    <w:tblPr/>
  </w:style>
  <w:style w:type="table" w:styleId="946">
    <w:name w:val="Bordered &amp; Lined - Accent 5"/>
    <w:basedOn w:val="719"/>
    <w:next w:val="946"/>
    <w:link w:val="708"/>
    <w:uiPriority w:val="99"/>
    <w:qFormat/>
    <w:pPr>
      <w:spacing w:after="0" w:line="240" w:lineRule="auto"/>
    </w:pPr>
    <w:rPr>
      <w:color w:val="404040"/>
    </w:rPr>
    <w:tblPr/>
  </w:style>
  <w:style w:type="table" w:styleId="947">
    <w:name w:val="Bordered &amp; Lined - Accent 6"/>
    <w:basedOn w:val="719"/>
    <w:next w:val="947"/>
    <w:link w:val="708"/>
    <w:uiPriority w:val="99"/>
    <w:qFormat/>
    <w:pPr>
      <w:spacing w:after="0" w:line="240" w:lineRule="auto"/>
    </w:pPr>
    <w:rPr>
      <w:color w:val="404040"/>
    </w:rPr>
    <w:tblPr/>
  </w:style>
  <w:style w:type="table" w:styleId="948">
    <w:name w:val="Bordered"/>
    <w:basedOn w:val="719"/>
    <w:next w:val="948"/>
    <w:link w:val="708"/>
    <w:uiPriority w:val="99"/>
    <w:qFormat/>
    <w:pPr>
      <w:spacing w:after="0" w:line="240" w:lineRule="auto"/>
    </w:pPr>
    <w:tblPr/>
  </w:style>
  <w:style w:type="table" w:styleId="949">
    <w:name w:val="Bordered - Accent 1"/>
    <w:basedOn w:val="719"/>
    <w:next w:val="949"/>
    <w:link w:val="708"/>
    <w:uiPriority w:val="99"/>
    <w:qFormat/>
    <w:pPr>
      <w:spacing w:after="0" w:line="240" w:lineRule="auto"/>
    </w:pPr>
    <w:tblPr/>
  </w:style>
  <w:style w:type="table" w:styleId="950">
    <w:name w:val="Bordered - Accent 2"/>
    <w:basedOn w:val="719"/>
    <w:next w:val="950"/>
    <w:link w:val="708"/>
    <w:uiPriority w:val="99"/>
    <w:qFormat/>
    <w:pPr>
      <w:spacing w:after="0" w:line="240" w:lineRule="auto"/>
    </w:pPr>
    <w:tblPr/>
  </w:style>
  <w:style w:type="table" w:styleId="951">
    <w:name w:val="Bordered - Accent 3"/>
    <w:basedOn w:val="719"/>
    <w:next w:val="951"/>
    <w:link w:val="708"/>
    <w:uiPriority w:val="99"/>
    <w:qFormat/>
    <w:pPr>
      <w:spacing w:after="0" w:line="240" w:lineRule="auto"/>
    </w:pPr>
    <w:tblPr/>
  </w:style>
  <w:style w:type="table" w:styleId="952">
    <w:name w:val="Bordered - Accent 4"/>
    <w:basedOn w:val="719"/>
    <w:next w:val="952"/>
    <w:link w:val="708"/>
    <w:uiPriority w:val="99"/>
    <w:qFormat/>
    <w:pPr>
      <w:spacing w:after="0" w:line="240" w:lineRule="auto"/>
    </w:pPr>
    <w:tblPr/>
  </w:style>
  <w:style w:type="table" w:styleId="953">
    <w:name w:val="Bordered - Accent 5"/>
    <w:basedOn w:val="719"/>
    <w:next w:val="953"/>
    <w:link w:val="708"/>
    <w:uiPriority w:val="99"/>
    <w:qFormat/>
    <w:pPr>
      <w:spacing w:after="0" w:line="240" w:lineRule="auto"/>
    </w:pPr>
    <w:tblPr/>
  </w:style>
  <w:style w:type="table" w:styleId="954">
    <w:name w:val="Bordered - Accent 6"/>
    <w:basedOn w:val="719"/>
    <w:next w:val="954"/>
    <w:link w:val="708"/>
    <w:uiPriority w:val="99"/>
    <w:qFormat/>
    <w:pPr>
      <w:spacing w:after="0" w:line="240" w:lineRule="auto"/>
    </w:pPr>
    <w:tblPr/>
  </w:style>
  <w:style w:type="character" w:styleId="955">
    <w:name w:val="Footnote Text Char"/>
    <w:next w:val="955"/>
    <w:link w:val="708"/>
    <w:uiPriority w:val="99"/>
    <w:qFormat/>
    <w:rPr>
      <w:sz w:val="18"/>
    </w:rPr>
  </w:style>
  <w:style w:type="character" w:styleId="956">
    <w:name w:val="Endnote Text Char"/>
    <w:next w:val="956"/>
    <w:link w:val="708"/>
    <w:uiPriority w:val="99"/>
    <w:qFormat/>
    <w:rPr>
      <w:sz w:val="20"/>
    </w:rPr>
  </w:style>
  <w:style w:type="paragraph" w:styleId="957">
    <w:name w:val="TOC Heading"/>
    <w:next w:val="957"/>
    <w:link w:val="708"/>
    <w:uiPriority w:val="39"/>
    <w:unhideWhenUsed/>
    <w:qFormat/>
    <w:rPr>
      <w:rFonts w:ascii="Times New Roman" w:hAnsi="Times New Roman" w:eastAsia="宋体" w:cs="Times New Roman"/>
    </w:rPr>
  </w:style>
  <w:style w:type="character" w:styleId="958">
    <w:name w:val="标题 1 字符"/>
    <w:next w:val="958"/>
    <w:link w:val="959"/>
    <w:qFormat/>
    <w:rPr>
      <w:b/>
      <w:bCs/>
      <w:sz w:val="32"/>
      <w:szCs w:val="44"/>
    </w:rPr>
  </w:style>
  <w:style w:type="paragraph" w:styleId="959">
    <w:name w:val="标题 11"/>
    <w:basedOn w:val="708"/>
    <w:next w:val="708"/>
    <w:link w:val="958"/>
    <w:qFormat/>
    <w:pPr>
      <w:keepLines/>
      <w:keepNext/>
      <w:spacing w:before="340" w:after="330" w:line="578" w:lineRule="auto"/>
      <w:outlineLvl w:val="0"/>
    </w:pPr>
    <w:rPr>
      <w:b/>
      <w:bCs/>
      <w:sz w:val="32"/>
      <w:szCs w:val="44"/>
    </w:rPr>
  </w:style>
  <w:style w:type="character" w:styleId="960">
    <w:name w:val="111111 Char"/>
    <w:next w:val="960"/>
    <w:link w:val="961"/>
    <w:qFormat/>
    <w:rPr>
      <w:rFonts w:ascii="宋体" w:hAnsi="宋体" w:eastAsia="黑体" w:cs="宋体"/>
      <w:b/>
      <w:bCs/>
      <w:sz w:val="21"/>
      <w:szCs w:val="21"/>
      <w:lang w:val="en-US" w:eastAsia="zh-CN" w:bidi="ar-SA"/>
    </w:rPr>
  </w:style>
  <w:style w:type="paragraph" w:styleId="961">
    <w:name w:val="111111"/>
    <w:basedOn w:val="708"/>
    <w:next w:val="961"/>
    <w:link w:val="960"/>
    <w:qFormat/>
    <w:pPr>
      <w:jc w:val="center"/>
      <w:spacing w:before="120" w:after="120"/>
    </w:pPr>
    <w:rPr>
      <w:rFonts w:ascii="宋体" w:hAnsi="宋体" w:eastAsia="黑体" w:cs="宋体"/>
      <w:b/>
      <w:bCs/>
      <w:szCs w:val="21"/>
    </w:rPr>
  </w:style>
  <w:style w:type="character" w:styleId="962">
    <w:name w:val="样式 非加粗"/>
    <w:next w:val="962"/>
    <w:link w:val="708"/>
    <w:qFormat/>
    <w:rPr>
      <w:rFonts w:eastAsia="宋体"/>
      <w:sz w:val="28"/>
    </w:rPr>
  </w:style>
  <w:style w:type="character" w:styleId="963">
    <w:name w:val="引用 字符"/>
    <w:next w:val="963"/>
    <w:link w:val="964"/>
    <w:qFormat/>
    <w:rPr>
      <w:rFonts w:ascii="Calibri" w:hAnsi="Calibri" w:eastAsia="宋体"/>
      <w:i/>
      <w:iCs/>
      <w:sz w:val="22"/>
      <w:szCs w:val="22"/>
      <w:lang w:val="en-US" w:eastAsia="en-US" w:bidi="en-US"/>
    </w:rPr>
  </w:style>
  <w:style w:type="paragraph" w:styleId="964">
    <w:name w:val="Quote"/>
    <w:basedOn w:val="708"/>
    <w:next w:val="708"/>
    <w:link w:val="963"/>
    <w:qFormat/>
    <w:pPr>
      <w:ind w:left="360" w:right="360"/>
      <w:jc w:val="left"/>
      <w:spacing w:before="200" w:line="276" w:lineRule="auto"/>
      <w:widowControl/>
    </w:pPr>
    <w:rPr>
      <w:rFonts w:ascii="Calibri" w:hAnsi="Calibri"/>
      <w:i/>
      <w:iCs/>
      <w:sz w:val="22"/>
      <w:szCs w:val="22"/>
      <w:lang w:eastAsia="en-US" w:bidi="en-US"/>
    </w:rPr>
  </w:style>
  <w:style w:type="character" w:styleId="965">
    <w:name w:val="case31"/>
    <w:next w:val="965"/>
    <w:link w:val="708"/>
    <w:qFormat/>
    <w:rPr>
      <w:sz w:val="21"/>
      <w:szCs w:val="21"/>
    </w:rPr>
  </w:style>
  <w:style w:type="character" w:styleId="966">
    <w:name w:val="小四 段落 宋体 Char Char Char Char Char Char"/>
    <w:next w:val="966"/>
    <w:link w:val="708"/>
    <w:qFormat/>
    <w:rPr>
      <w:rFonts w:eastAsia="宋体"/>
      <w:sz w:val="24"/>
      <w:szCs w:val="24"/>
      <w:lang w:val="en-US" w:eastAsia="zh-CN" w:bidi="ar-SA"/>
    </w:rPr>
  </w:style>
  <w:style w:type="character" w:styleId="967">
    <w:name w:val="华宇段落1 Char Char"/>
    <w:next w:val="967"/>
    <w:link w:val="708"/>
    <w:qFormat/>
    <w:rPr>
      <w:rFonts w:eastAsia="宋体"/>
      <w:bCs/>
      <w:sz w:val="24"/>
      <w:szCs w:val="24"/>
      <w:lang w:val="en-US" w:eastAsia="zh-CN" w:bidi="ar-SA"/>
    </w:rPr>
  </w:style>
  <w:style w:type="character" w:styleId="968">
    <w:name w:val="Char Char24"/>
    <w:next w:val="968"/>
    <w:link w:val="708"/>
    <w:qFormat/>
    <w:rPr>
      <w:b/>
      <w:bCs/>
      <w:sz w:val="28"/>
      <w:szCs w:val="28"/>
    </w:rPr>
  </w:style>
  <w:style w:type="character" w:styleId="969">
    <w:name w:val="para_small"/>
    <w:basedOn w:val="718"/>
    <w:next w:val="969"/>
    <w:link w:val="708"/>
    <w:qFormat/>
  </w:style>
  <w:style w:type="character" w:styleId="970">
    <w:name w:val="listbenefit"/>
    <w:next w:val="970"/>
    <w:link w:val="708"/>
    <w:qFormat/>
  </w:style>
  <w:style w:type="character" w:styleId="971">
    <w:name w:val="小四 段落 宋体 Char Char Char Char1"/>
    <w:next w:val="971"/>
    <w:link w:val="708"/>
    <w:qFormat/>
    <w:rPr>
      <w:rFonts w:eastAsia="宋体"/>
      <w:sz w:val="24"/>
      <w:szCs w:val="24"/>
      <w:lang w:val="en-US" w:eastAsia="zh-CN" w:bidi="ar-SA"/>
    </w:rPr>
  </w:style>
  <w:style w:type="character" w:styleId="972">
    <w:name w:val="textcontents"/>
    <w:basedOn w:val="718"/>
    <w:next w:val="972"/>
    <w:link w:val="708"/>
    <w:qFormat/>
  </w:style>
  <w:style w:type="character" w:styleId="973">
    <w:name w:val="Char Char25"/>
    <w:next w:val="973"/>
    <w:link w:val="708"/>
    <w:qFormat/>
    <w:rPr>
      <w:rFonts w:ascii="Arial" w:hAnsi="Arial" w:eastAsia="黑体"/>
      <w:b/>
      <w:sz w:val="28"/>
    </w:rPr>
  </w:style>
  <w:style w:type="character" w:styleId="974">
    <w:name w:val="param-value"/>
    <w:basedOn w:val="718"/>
    <w:next w:val="974"/>
    <w:link w:val="708"/>
    <w:qFormat/>
  </w:style>
  <w:style w:type="character" w:styleId="975">
    <w:name w:val="Book Title"/>
    <w:next w:val="975"/>
    <w:link w:val="708"/>
    <w:qFormat/>
    <w:rPr>
      <w:i/>
      <w:iCs/>
      <w:smallCaps/>
      <w:spacing w:val="5"/>
    </w:rPr>
  </w:style>
  <w:style w:type="character" w:styleId="976">
    <w:name w:val="已访问的超链接1"/>
    <w:next w:val="976"/>
    <w:link w:val="708"/>
    <w:qFormat/>
    <w:rPr>
      <w:color w:val="000000"/>
      <w:u w:val="none"/>
    </w:rPr>
  </w:style>
  <w:style w:type="character" w:styleId="977">
    <w:name w:val="Subtle Reference"/>
    <w:next w:val="977"/>
    <w:link w:val="708"/>
    <w:qFormat/>
    <w:rPr>
      <w:smallCaps/>
    </w:rPr>
  </w:style>
  <w:style w:type="character" w:styleId="978">
    <w:name w:val="华宇段落1 Char Char Char"/>
    <w:next w:val="978"/>
    <w:link w:val="708"/>
    <w:qFormat/>
    <w:rPr>
      <w:rFonts w:eastAsia="宋体"/>
      <w:bCs/>
      <w:sz w:val="24"/>
      <w:szCs w:val="24"/>
      <w:lang w:val="en-US" w:eastAsia="zh-CN" w:bidi="ar-SA"/>
    </w:rPr>
  </w:style>
  <w:style w:type="character" w:styleId="979">
    <w:name w:val="标题 3 Char"/>
    <w:next w:val="979"/>
    <w:link w:val="708"/>
    <w:qFormat/>
    <w:rPr>
      <w:rFonts w:ascii="宋体" w:hAnsi="宋体" w:eastAsia="宋体"/>
      <w:b/>
      <w:bCs/>
      <w:sz w:val="24"/>
      <w:szCs w:val="32"/>
      <w:lang w:val="en-US" w:eastAsia="zh-CN" w:bidi="ar-SA"/>
    </w:rPr>
  </w:style>
  <w:style w:type="character" w:styleId="980">
    <w:name w:val="style13"/>
    <w:next w:val="980"/>
    <w:link w:val="708"/>
    <w:qFormat/>
    <w:rPr>
      <w:sz w:val="18"/>
      <w:szCs w:val="18"/>
    </w:rPr>
  </w:style>
  <w:style w:type="character" w:styleId="981">
    <w:name w:val="Char Char27"/>
    <w:next w:val="981"/>
    <w:link w:val="708"/>
    <w:qFormat/>
    <w:rPr>
      <w:b/>
      <w:bCs/>
      <w:sz w:val="44"/>
      <w:szCs w:val="44"/>
    </w:rPr>
  </w:style>
  <w:style w:type="character" w:styleId="982">
    <w:name w:val="Char Char28"/>
    <w:next w:val="982"/>
    <w:link w:val="708"/>
    <w:qFormat/>
    <w:rPr>
      <w:rFonts w:ascii="Arial" w:hAnsi="Arial" w:eastAsia="黑体" w:cs="Arial"/>
      <w:b/>
      <w:bCs/>
      <w:sz w:val="32"/>
      <w:szCs w:val="32"/>
    </w:rPr>
  </w:style>
  <w:style w:type="character" w:styleId="983">
    <w:name w:val="style131"/>
    <w:next w:val="983"/>
    <w:link w:val="708"/>
    <w:qFormat/>
    <w:rPr>
      <w:rFonts w:cs="Times New Roman"/>
      <w:sz w:val="18"/>
      <w:szCs w:val="18"/>
    </w:rPr>
  </w:style>
  <w:style w:type="character" w:styleId="984">
    <w:name w:val="concon"/>
    <w:next w:val="984"/>
    <w:link w:val="708"/>
    <w:qFormat/>
  </w:style>
  <w:style w:type="character" w:styleId="985">
    <w:name w:val="subtitle1"/>
    <w:next w:val="985"/>
    <w:link w:val="708"/>
    <w:qFormat/>
    <w:rPr>
      <w:rFonts w:ascii="Georgia" w:hAnsi="Georgia"/>
      <w:b/>
      <w:bCs/>
      <w:color w:val="666666"/>
      <w:sz w:val="18"/>
      <w:szCs w:val="18"/>
    </w:rPr>
  </w:style>
  <w:style w:type="character" w:styleId="98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86"/>
    <w:link w:val="708"/>
    <w:qFormat/>
    <w:rPr>
      <w:rFonts w:eastAsia="宋体"/>
      <w:b/>
      <w:bCs/>
      <w:sz w:val="32"/>
      <w:szCs w:val="32"/>
      <w:lang w:val="en-US" w:eastAsia="zh-CN" w:bidi="ar-SA"/>
    </w:rPr>
  </w:style>
  <w:style w:type="character" w:styleId="987">
    <w:name w:val="纯文本 Char1"/>
    <w:next w:val="987"/>
    <w:link w:val="708"/>
    <w:qFormat/>
    <w:rPr>
      <w:rFonts w:ascii="宋体" w:hAnsi="Courier New" w:cs="Courier New"/>
      <w:sz w:val="21"/>
      <w:szCs w:val="21"/>
    </w:rPr>
  </w:style>
  <w:style w:type="character" w:styleId="988">
    <w:name w:val="小四 段落 宋体 Char Char Char Char Char"/>
    <w:next w:val="988"/>
    <w:link w:val="708"/>
    <w:qFormat/>
    <w:rPr>
      <w:rFonts w:eastAsia="宋体"/>
      <w:sz w:val="24"/>
      <w:szCs w:val="24"/>
      <w:lang w:val="en-US" w:eastAsia="zh-CN" w:bidi="ar-SA"/>
    </w:rPr>
  </w:style>
  <w:style w:type="character" w:styleId="989">
    <w:name w:val="明显引用 字符"/>
    <w:next w:val="989"/>
    <w:link w:val="990"/>
    <w:qFormat/>
    <w:rPr>
      <w:rFonts w:ascii="Calibri" w:hAnsi="Calibri" w:eastAsia="宋体"/>
      <w:b/>
      <w:bCs/>
      <w:i/>
      <w:iCs/>
      <w:sz w:val="22"/>
      <w:szCs w:val="22"/>
      <w:lang w:val="en-US" w:eastAsia="en-US" w:bidi="en-US"/>
    </w:rPr>
  </w:style>
  <w:style w:type="paragraph" w:styleId="990">
    <w:name w:val="Intense Quote"/>
    <w:basedOn w:val="708"/>
    <w:next w:val="708"/>
    <w:link w:val="98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91">
    <w:name w:val="t1"/>
    <w:next w:val="991"/>
    <w:link w:val="708"/>
    <w:qFormat/>
  </w:style>
  <w:style w:type="character" w:styleId="992">
    <w:name w:val="Title1 Char"/>
    <w:next w:val="992"/>
    <w:link w:val="708"/>
    <w:qFormat/>
    <w:rPr>
      <w:rFonts w:eastAsia="宋体"/>
      <w:b/>
      <w:bCs/>
      <w:sz w:val="44"/>
      <w:szCs w:val="44"/>
      <w:lang w:val="en-US" w:eastAsia="zh-CN" w:bidi="ar-SA"/>
    </w:rPr>
  </w:style>
  <w:style w:type="character" w:styleId="993">
    <w:name w:val="2nd level Char"/>
    <w:next w:val="993"/>
    <w:link w:val="708"/>
    <w:qFormat/>
    <w:rPr>
      <w:rFonts w:ascii="Arial" w:hAnsi="Arial" w:eastAsia="黑体"/>
      <w:b/>
      <w:bCs/>
      <w:sz w:val="32"/>
      <w:szCs w:val="32"/>
      <w:lang w:val="en-US" w:eastAsia="zh-CN" w:bidi="ar-SA"/>
    </w:rPr>
  </w:style>
  <w:style w:type="character" w:styleId="994">
    <w:name w:val="彩色列表 - 强调文字颜色 1 Char"/>
    <w:next w:val="994"/>
    <w:link w:val="995"/>
    <w:qFormat/>
    <w:rPr>
      <w:rFonts w:ascii="Calibri" w:hAnsi="Calibri"/>
      <w:sz w:val="21"/>
      <w:szCs w:val="22"/>
    </w:rPr>
  </w:style>
  <w:style w:type="paragraph" w:styleId="995">
    <w:name w:val="彩色列表 - 强调文字颜色 11"/>
    <w:basedOn w:val="708"/>
    <w:next w:val="995"/>
    <w:link w:val="994"/>
    <w:qFormat/>
    <w:pPr>
      <w:ind w:firstLine="420"/>
    </w:pPr>
    <w:rPr>
      <w:rFonts w:ascii="Calibri" w:hAnsi="Calibri"/>
      <w:szCs w:val="22"/>
    </w:rPr>
  </w:style>
  <w:style w:type="character" w:styleId="996">
    <w:name w:val="ih151"/>
    <w:next w:val="996"/>
    <w:link w:val="708"/>
    <w:qFormat/>
    <w:rPr>
      <w:color w:val="666666"/>
      <w:sz w:val="18"/>
      <w:szCs w:val="18"/>
      <w:u w:val="none"/>
    </w:rPr>
  </w:style>
  <w:style w:type="character" w:styleId="997">
    <w:name w:val="Char Char26"/>
    <w:next w:val="997"/>
    <w:link w:val="708"/>
    <w:qFormat/>
    <w:rPr>
      <w:b/>
      <w:bCs/>
      <w:sz w:val="32"/>
      <w:szCs w:val="32"/>
    </w:rPr>
  </w:style>
  <w:style w:type="character" w:styleId="998">
    <w:name w:val="标题 Char1"/>
    <w:next w:val="998"/>
    <w:link w:val="708"/>
    <w:qFormat/>
    <w:rPr>
      <w:rFonts w:ascii="Cambria" w:eastAsia="宋体" w:cs="Times New Roman"/>
      <w:b/>
      <w:bCs/>
      <w:sz w:val="32"/>
      <w:szCs w:val="32"/>
    </w:rPr>
  </w:style>
  <w:style w:type="character" w:styleId="999">
    <w:name w:val="纯文本 Char Char"/>
    <w:next w:val="999"/>
    <w:link w:val="708"/>
    <w:qFormat/>
    <w:rPr>
      <w:rFonts w:ascii="宋体" w:hAnsi="Courier New" w:eastAsia="宋体"/>
      <w:sz w:val="21"/>
      <w:szCs w:val="21"/>
      <w:lang w:val="en-US" w:eastAsia="zh-CN" w:bidi="ar-SA"/>
    </w:rPr>
  </w:style>
  <w:style w:type="character" w:styleId="1000">
    <w:name w:val="Char Char2"/>
    <w:next w:val="1000"/>
    <w:link w:val="708"/>
    <w:qFormat/>
    <w:rPr>
      <w:rFonts w:ascii="宋体" w:hAnsi="Courier New" w:eastAsia="宋体"/>
      <w:sz w:val="21"/>
      <w:szCs w:val="21"/>
      <w:lang w:val="en-US" w:eastAsia="zh-CN" w:bidi="ar-SA"/>
    </w:rPr>
  </w:style>
  <w:style w:type="character" w:styleId="1001">
    <w:name w:val="Char Char23"/>
    <w:next w:val="1001"/>
    <w:link w:val="708"/>
    <w:qFormat/>
    <w:rPr>
      <w:rFonts w:ascii="Arial" w:hAnsi="Arial" w:eastAsia="黑体"/>
      <w:b/>
      <w:bCs/>
      <w:sz w:val="24"/>
      <w:szCs w:val="24"/>
    </w:rPr>
  </w:style>
  <w:style w:type="character" w:styleId="1002">
    <w:name w:val="表格抬头 Char"/>
    <w:next w:val="1002"/>
    <w:link w:val="1003"/>
    <w:qFormat/>
    <w:rPr>
      <w:rFonts w:ascii="黑体" w:eastAsia="黑体"/>
      <w:b/>
      <w:sz w:val="21"/>
      <w:lang w:bidi="ar-SA"/>
    </w:rPr>
  </w:style>
  <w:style w:type="paragraph" w:styleId="1003">
    <w:name w:val="表格抬头"/>
    <w:basedOn w:val="708"/>
    <w:next w:val="1003"/>
    <w:link w:val="1002"/>
    <w:qFormat/>
    <w:pPr>
      <w:jc w:val="center"/>
    </w:pPr>
    <w:rPr>
      <w:rFonts w:ascii="黑体" w:eastAsia="黑体"/>
      <w:b/>
    </w:rPr>
  </w:style>
  <w:style w:type="character" w:styleId="1004">
    <w:name w:val="样式 首行缩进:  2 字符 Char Char"/>
    <w:next w:val="1004"/>
    <w:link w:val="1005"/>
    <w:qFormat/>
    <w:rPr>
      <w:rFonts w:eastAsia="宋体" w:cs="宋体"/>
      <w:sz w:val="24"/>
      <w:lang w:val="en-US" w:eastAsia="zh-CN" w:bidi="ar-SA"/>
    </w:rPr>
  </w:style>
  <w:style w:type="paragraph" w:styleId="1005">
    <w:name w:val="样式 首行缩进:  2 字符"/>
    <w:basedOn w:val="708"/>
    <w:next w:val="1005"/>
    <w:link w:val="1004"/>
    <w:qFormat/>
    <w:pPr>
      <w:ind w:firstLine="480"/>
      <w:spacing w:line="360" w:lineRule="auto"/>
    </w:pPr>
    <w:rPr>
      <w:rFonts w:cs="宋体"/>
      <w:sz w:val="24"/>
    </w:rPr>
  </w:style>
  <w:style w:type="character" w:styleId="1006">
    <w:name w:val="apple-converted-space"/>
    <w:basedOn w:val="718"/>
    <w:next w:val="1006"/>
    <w:link w:val="708"/>
    <w:qFormat/>
  </w:style>
  <w:style w:type="character" w:styleId="1007">
    <w:name w:val="A2"/>
    <w:next w:val="1007"/>
    <w:link w:val="708"/>
    <w:qFormat/>
    <w:rPr>
      <w:rFonts w:cs="Helvetica LT Pro"/>
      <w:color w:val="000000"/>
      <w:sz w:val="18"/>
      <w:szCs w:val="18"/>
    </w:rPr>
  </w:style>
  <w:style w:type="character" w:styleId="1008">
    <w:name w:val="h Char Char"/>
    <w:next w:val="1008"/>
    <w:link w:val="708"/>
    <w:qFormat/>
    <w:rPr>
      <w:rFonts w:eastAsia="宋体"/>
      <w:sz w:val="18"/>
      <w:szCs w:val="18"/>
      <w:lang w:val="en-US" w:eastAsia="zh-CN" w:bidi="ar-SA"/>
    </w:rPr>
  </w:style>
  <w:style w:type="character" w:styleId="1009">
    <w:name w:val="小四 段落 宋体 Char Char Char1"/>
    <w:next w:val="1009"/>
    <w:link w:val="708"/>
    <w:qFormat/>
    <w:rPr>
      <w:rFonts w:ascii="宋体" w:hAnsi="宋体" w:eastAsia="宋体"/>
      <w:sz w:val="24"/>
      <w:szCs w:val="24"/>
      <w:lang w:val="en-US" w:eastAsia="zh-CN" w:bidi="ar-SA"/>
    </w:rPr>
  </w:style>
  <w:style w:type="character" w:styleId="1010">
    <w:name w:val="标准小四 Char Char"/>
    <w:next w:val="1010"/>
    <w:link w:val="708"/>
    <w:qFormat/>
    <w:rPr>
      <w:rFonts w:ascii="Arial" w:hAnsi="Arial" w:eastAsia="宋体"/>
      <w:sz w:val="24"/>
      <w:szCs w:val="21"/>
      <w:lang w:val="en-US" w:eastAsia="zh-CN" w:bidi="ar-SA"/>
    </w:rPr>
  </w:style>
  <w:style w:type="character" w:styleId="1011">
    <w:name w:val="标准小四 Char"/>
    <w:next w:val="1011"/>
    <w:link w:val="708"/>
    <w:qFormat/>
    <w:rPr>
      <w:rFonts w:ascii="Arial" w:hAnsi="Arial" w:eastAsia="宋体"/>
      <w:sz w:val="24"/>
      <w:szCs w:val="21"/>
      <w:lang w:val="en-US" w:eastAsia="zh-CN" w:bidi="ar-SA"/>
    </w:rPr>
  </w:style>
  <w:style w:type="character" w:styleId="1012">
    <w:name w:val="point_normal1"/>
    <w:next w:val="1012"/>
    <w:link w:val="708"/>
    <w:qFormat/>
    <w:rPr>
      <w:rFonts w:ascii="Arial" w:hAnsi="Arial" w:cs="Arial"/>
      <w:sz w:val="18"/>
      <w:szCs w:val="18"/>
    </w:rPr>
  </w:style>
  <w:style w:type="character" w:styleId="1013">
    <w:name w:val="Char Char21"/>
    <w:next w:val="1013"/>
    <w:link w:val="708"/>
    <w:qFormat/>
    <w:rPr>
      <w:rFonts w:ascii="Arial" w:hAnsi="Arial" w:eastAsia="黑体"/>
      <w:sz w:val="24"/>
      <w:szCs w:val="24"/>
    </w:rPr>
  </w:style>
  <w:style w:type="character" w:styleId="1014">
    <w:name w:val="content_lineheight1"/>
    <w:basedOn w:val="718"/>
    <w:next w:val="1014"/>
    <w:link w:val="708"/>
    <w:qFormat/>
  </w:style>
  <w:style w:type="character" w:styleId="1015">
    <w:name w:val="content"/>
    <w:basedOn w:val="718"/>
    <w:next w:val="1015"/>
    <w:link w:val="708"/>
    <w:qFormat/>
  </w:style>
  <w:style w:type="character" w:styleId="1016">
    <w:name w:val="小四 段落 宋体 Char1"/>
    <w:next w:val="1016"/>
    <w:link w:val="708"/>
    <w:qFormat/>
    <w:rPr>
      <w:rFonts w:eastAsia="宋体"/>
      <w:sz w:val="24"/>
      <w:szCs w:val="24"/>
      <w:lang w:val="en-US" w:eastAsia="zh-CN" w:bidi="ar-SA"/>
    </w:rPr>
  </w:style>
  <w:style w:type="character" w:styleId="1017">
    <w:name w:val="标准文本 Char Char"/>
    <w:next w:val="1017"/>
    <w:link w:val="708"/>
    <w:qFormat/>
    <w:rPr>
      <w:rFonts w:eastAsia="宋体" w:cs="宋体"/>
      <w:sz w:val="24"/>
      <w:szCs w:val="24"/>
      <w:lang w:val="en-US" w:eastAsia="zh-CN" w:bidi="ar-SA"/>
    </w:rPr>
  </w:style>
  <w:style w:type="character" w:styleId="1018">
    <w:name w:val="3zw"/>
    <w:basedOn w:val="718"/>
    <w:next w:val="1018"/>
    <w:link w:val="708"/>
    <w:qFormat/>
  </w:style>
  <w:style w:type="character" w:styleId="1019">
    <w:name w:val="正文缩进 Char1"/>
    <w:next w:val="1019"/>
    <w:link w:val="1020"/>
    <w:qFormat/>
    <w:rPr>
      <w:rFonts w:eastAsia="宋体"/>
      <w:lang w:bidi="ar-SA"/>
    </w:rPr>
  </w:style>
  <w:style w:type="paragraph" w:styleId="1020">
    <w:name w:val="Normal Indent0"/>
    <w:basedOn w:val="708"/>
    <w:next w:val="1020"/>
    <w:link w:val="1019"/>
    <w:qFormat/>
    <w:pPr>
      <w:ind w:firstLine="420"/>
    </w:pPr>
    <w:rPr>
      <w:sz w:val="20"/>
    </w:rPr>
  </w:style>
  <w:style w:type="character" w:styleId="1021">
    <w:name w:val="纯文本 Char Char Char1"/>
    <w:next w:val="1021"/>
    <w:link w:val="708"/>
    <w:qFormat/>
    <w:rPr>
      <w:rFonts w:ascii="宋体" w:hAnsi="Courier New" w:eastAsia="宋体"/>
      <w:sz w:val="21"/>
      <w:szCs w:val="21"/>
      <w:lang w:val="en-US" w:eastAsia="zh-CN" w:bidi="ar-SA"/>
    </w:rPr>
  </w:style>
  <w:style w:type="character" w:styleId="1022">
    <w:name w:val="Char Char20"/>
    <w:next w:val="1022"/>
    <w:link w:val="708"/>
    <w:qFormat/>
    <w:rPr>
      <w:rFonts w:ascii="Arial" w:hAnsi="Arial" w:eastAsia="黑体"/>
      <w:sz w:val="21"/>
      <w:szCs w:val="21"/>
    </w:rPr>
  </w:style>
  <w:style w:type="character" w:styleId="1023">
    <w:name w:val="Subtle Emphasis"/>
    <w:next w:val="1023"/>
    <w:link w:val="708"/>
    <w:qFormat/>
    <w:rPr>
      <w:i/>
      <w:iCs/>
    </w:rPr>
  </w:style>
  <w:style w:type="character" w:styleId="1024">
    <w:name w:val="小四 段落 宋体 Char Char Char Char Char Char Char Char"/>
    <w:next w:val="1024"/>
    <w:link w:val="708"/>
    <w:qFormat/>
    <w:rPr>
      <w:rFonts w:eastAsia="宋体"/>
      <w:sz w:val="24"/>
      <w:szCs w:val="24"/>
      <w:lang w:val="en-US" w:eastAsia="zh-CN" w:bidi="ar-SA"/>
    </w:rPr>
  </w:style>
  <w:style w:type="character" w:styleId="1025">
    <w:name w:val="Intense Emphasis"/>
    <w:next w:val="1025"/>
    <w:link w:val="708"/>
    <w:qFormat/>
    <w:rPr>
      <w:b/>
      <w:bCs/>
    </w:rPr>
  </w:style>
  <w:style w:type="character" w:styleId="1026">
    <w:name w:val="Intense Reference"/>
    <w:next w:val="1026"/>
    <w:link w:val="708"/>
    <w:qFormat/>
    <w:rPr>
      <w:smallCaps/>
      <w:spacing w:val="5"/>
      <w:u w:val="single"/>
    </w:rPr>
  </w:style>
  <w:style w:type="character" w:styleId="1027">
    <w:name w:val="标准文本 Char"/>
    <w:next w:val="1027"/>
    <w:link w:val="708"/>
    <w:qFormat/>
    <w:rPr>
      <w:rFonts w:eastAsia="宋体" w:cs="宋体"/>
      <w:sz w:val="24"/>
      <w:szCs w:val="24"/>
      <w:lang w:val="en-US" w:eastAsia="zh-CN" w:bidi="ar-SA"/>
    </w:rPr>
  </w:style>
  <w:style w:type="character" w:styleId="1028">
    <w:name w:val="标题 3 Char Char"/>
    <w:next w:val="1028"/>
    <w:link w:val="708"/>
    <w:qFormat/>
    <w:rPr>
      <w:rFonts w:eastAsia="方正仿宋_GB2312"/>
      <w:b/>
      <w:bCs/>
      <w:sz w:val="28"/>
      <w:szCs w:val="32"/>
      <w:lang w:val="en-US" w:eastAsia="zh-CN" w:bidi="ar-SA"/>
    </w:rPr>
  </w:style>
  <w:style w:type="character" w:styleId="1029">
    <w:name w:val="Char Char22"/>
    <w:next w:val="1029"/>
    <w:link w:val="708"/>
    <w:qFormat/>
    <w:rPr>
      <w:b/>
      <w:bCs/>
      <w:sz w:val="24"/>
      <w:szCs w:val="24"/>
    </w:rPr>
  </w:style>
  <w:style w:type="character" w:styleId="1030">
    <w:name w:val="Char Char17"/>
    <w:next w:val="1030"/>
    <w:link w:val="708"/>
    <w:qFormat/>
    <w:rPr>
      <w:rFonts w:ascii="宋体" w:hAnsi="Courier New"/>
      <w:sz w:val="21"/>
      <w:szCs w:val="21"/>
    </w:rPr>
  </w:style>
  <w:style w:type="character" w:styleId="1031">
    <w:name w:val="样式 宋体 小四"/>
    <w:next w:val="1031"/>
    <w:link w:val="708"/>
    <w:qFormat/>
    <w:rPr>
      <w:rFonts w:ascii="宋体" w:hAnsi="宋体"/>
      <w:sz w:val="24"/>
    </w:rPr>
  </w:style>
  <w:style w:type="character" w:styleId="1032">
    <w:name w:val="Char Char29"/>
    <w:next w:val="1032"/>
    <w:link w:val="708"/>
    <w:qFormat/>
    <w:rPr>
      <w:rFonts w:ascii="Times New Roman" w:hAnsi="Times New Roman" w:eastAsia="宋体" w:cs="Times New Roman"/>
      <w:b/>
      <w:bCs/>
      <w:sz w:val="44"/>
      <w:szCs w:val="44"/>
    </w:rPr>
  </w:style>
  <w:style w:type="character" w:styleId="1033">
    <w:name w:val="normalfont1"/>
    <w:next w:val="1033"/>
    <w:link w:val="708"/>
    <w:qFormat/>
    <w:rPr>
      <w:rFonts w:ascii="DejaVu Math TeX Gyre" w:hAnsi="DejaVu Math TeX Gyre"/>
      <w:sz w:val="18"/>
      <w:szCs w:val="18"/>
      <w:u w:val="none"/>
    </w:rPr>
  </w:style>
  <w:style w:type="character" w:styleId="1034">
    <w:name w:val="title_emph1"/>
    <w:next w:val="1034"/>
    <w:link w:val="708"/>
    <w:qFormat/>
    <w:rPr>
      <w:rFonts w:ascii="Arial" w:cs="Arial"/>
      <w:b/>
      <w:bCs/>
      <w:sz w:val="18"/>
      <w:szCs w:val="18"/>
    </w:rPr>
  </w:style>
  <w:style w:type="character" w:styleId="1035">
    <w:name w:val="正文 + 宋体 Char"/>
    <w:next w:val="1035"/>
    <w:link w:val="708"/>
    <w:qFormat/>
    <w:rPr>
      <w:rFonts w:eastAsia="宋体"/>
      <w:sz w:val="21"/>
      <w:szCs w:val="24"/>
      <w:lang w:val="en-US" w:eastAsia="zh-CN" w:bidi="ar-SA"/>
    </w:rPr>
  </w:style>
  <w:style w:type="character" w:styleId="1036">
    <w:name w:val="普通文字1 Char"/>
    <w:next w:val="1036"/>
    <w:link w:val="708"/>
    <w:qFormat/>
    <w:rPr>
      <w:rFonts w:ascii="宋体" w:eastAsia="宋体"/>
      <w:sz w:val="21"/>
      <w:szCs w:val="21"/>
      <w:lang w:val="en-US" w:eastAsia="zh-CN" w:bidi="ar-SA"/>
    </w:rPr>
  </w:style>
  <w:style w:type="character" w:styleId="1037">
    <w:name w:val="无间隔 字符"/>
    <w:next w:val="1037"/>
    <w:link w:val="1038"/>
    <w:qFormat/>
    <w:rPr>
      <w:rFonts w:eastAsia="微软雅黑"/>
      <w:sz w:val="24"/>
      <w:szCs w:val="22"/>
      <w:lang w:val="en-US" w:eastAsia="zh-CN" w:bidi="ar-SA"/>
    </w:rPr>
  </w:style>
  <w:style w:type="paragraph" w:styleId="1038">
    <w:name w:val="No Spacing"/>
    <w:next w:val="1038"/>
    <w:link w:val="1037"/>
    <w:qFormat/>
    <w:pPr>
      <w:jc w:val="both"/>
      <w:widowControl w:val="off"/>
    </w:pPr>
    <w:rPr>
      <w:rFonts w:ascii="Times New Roman" w:hAnsi="Times New Roman" w:eastAsia="微软雅黑" w:cs="Times New Roman"/>
      <w:sz w:val="24"/>
      <w:szCs w:val="22"/>
      <w:lang w:val="en-US" w:eastAsia="zh-CN" w:bidi="ar-SA"/>
    </w:rPr>
  </w:style>
  <w:style w:type="character" w:styleId="1039">
    <w:name w:val="新图表正文 Char Char"/>
    <w:next w:val="1039"/>
    <w:link w:val="1040"/>
    <w:qFormat/>
    <w:rPr>
      <w:rFonts w:ascii="宋体" w:hAnsi="宋体"/>
      <w:sz w:val="18"/>
      <w:szCs w:val="21"/>
      <w:lang w:val="en-US" w:eastAsia="zh-CN" w:bidi="ar-SA"/>
    </w:rPr>
  </w:style>
  <w:style w:type="paragraph" w:styleId="1040">
    <w:name w:val="新图表正文"/>
    <w:next w:val="1040"/>
    <w:link w:val="1039"/>
    <w:qFormat/>
    <w:pPr>
      <w:jc w:val="both"/>
    </w:pPr>
    <w:rPr>
      <w:rFonts w:ascii="宋体" w:hAnsi="宋体" w:eastAsia="宋体" w:cs="Times New Roman"/>
      <w:sz w:val="18"/>
      <w:szCs w:val="21"/>
      <w:lang w:val="en-US" w:eastAsia="zh-CN" w:bidi="ar-SA"/>
    </w:rPr>
  </w:style>
  <w:style w:type="character" w:styleId="1041">
    <w:name w:val="样式 首行缩进:  2 字符 Char"/>
    <w:next w:val="1041"/>
    <w:link w:val="708"/>
    <w:qFormat/>
    <w:rPr>
      <w:rFonts w:eastAsia="宋体" w:cs="宋体"/>
      <w:sz w:val="24"/>
      <w:lang w:val="en-US" w:eastAsia="zh-CN" w:bidi="ar-SA"/>
    </w:rPr>
  </w:style>
  <w:style w:type="character" w:styleId="1042">
    <w:name w:val="纯文本 Char Char Char"/>
    <w:next w:val="1042"/>
    <w:link w:val="708"/>
    <w:qFormat/>
    <w:rPr>
      <w:rFonts w:ascii="宋体" w:hAnsi="Courier New" w:eastAsia="宋体"/>
      <w:sz w:val="21"/>
      <w:szCs w:val="21"/>
      <w:lang w:val="en-US" w:eastAsia="zh-CN" w:bidi="ar-SA"/>
    </w:rPr>
  </w:style>
  <w:style w:type="character" w:styleId="1043">
    <w:name w:val="特点 Char1"/>
    <w:next w:val="1043"/>
    <w:link w:val="708"/>
    <w:qFormat/>
    <w:rPr>
      <w:rFonts w:eastAsia="宋体"/>
      <w:sz w:val="21"/>
      <w:lang w:val="en-US" w:eastAsia="zh-CN" w:bidi="ar-SA"/>
    </w:rPr>
  </w:style>
  <w:style w:type="paragraph" w:styleId="1044">
    <w:name w:val="Char"/>
    <w:basedOn w:val="708"/>
    <w:next w:val="1044"/>
    <w:link w:val="708"/>
    <w:qFormat/>
    <w:pPr>
      <w:spacing w:after="156" w:line="360" w:lineRule="auto"/>
    </w:pPr>
    <w:rPr>
      <w:rFonts w:ascii="Tahoma" w:hAnsi="Tahoma"/>
      <w:sz w:val="24"/>
    </w:rPr>
  </w:style>
  <w:style w:type="paragraph" w:styleId="1045">
    <w:name w:val="Item List Char Char"/>
    <w:next w:val="1045"/>
    <w:link w:val="708"/>
    <w:qFormat/>
    <w:pPr>
      <w:jc w:val="both"/>
      <w:spacing w:line="288" w:lineRule="auto"/>
    </w:pPr>
    <w:rPr>
      <w:rFonts w:ascii="Arial" w:hAnsi="Arial" w:eastAsia="宋体" w:cs="Arial"/>
      <w:b/>
      <w:bCs/>
      <w:sz w:val="21"/>
      <w:szCs w:val="28"/>
      <w:lang w:val="en-US" w:eastAsia="zh-CN" w:bidi="ar-SA"/>
    </w:rPr>
  </w:style>
  <w:style w:type="paragraph" w:styleId="1046">
    <w:name w:val="样式 样式 标题 3H3sect1.2.3BOD 0Heading 3 - oldh3l3CTLevel 3 Head... +..."/>
    <w:basedOn w:val="708"/>
    <w:next w:val="1046"/>
    <w:link w:val="708"/>
    <w:qFormat/>
    <w:pPr>
      <w:jc w:val="left"/>
      <w:keepLines/>
      <w:keepNext/>
      <w:spacing w:before="156" w:after="156"/>
      <w:outlineLvl w:val="2"/>
    </w:pPr>
    <w:rPr>
      <w:rFonts w:cs="宋体"/>
      <w:b/>
      <w:bCs/>
      <w:sz w:val="24"/>
    </w:rPr>
  </w:style>
  <w:style w:type="paragraph" w:styleId="1047">
    <w:name w:val="Body Text 20"/>
    <w:basedOn w:val="708"/>
    <w:next w:val="1047"/>
    <w:link w:val="708"/>
    <w:qFormat/>
    <w:pPr>
      <w:ind w:left="720" w:hanging="720"/>
      <w:widowControl/>
    </w:pPr>
    <w:rPr>
      <w:sz w:val="24"/>
      <w:lang w:val="en-GB"/>
    </w:rPr>
  </w:style>
  <w:style w:type="paragraph" w:styleId="1048">
    <w:name w:val="默认段落字体 Para Char Char Char Char Char Char Char Char Char1 Char Char Char Char Char Char Char"/>
    <w:basedOn w:val="736"/>
    <w:next w:val="1048"/>
    <w:link w:val="708"/>
    <w:qFormat/>
  </w:style>
  <w:style w:type="paragraph" w:styleId="1049">
    <w:name w:val="Normal1"/>
    <w:basedOn w:val="708"/>
    <w:next w:val="1049"/>
    <w:link w:val="708"/>
    <w:qFormat/>
    <w:rPr>
      <w:rFonts w:ascii="Calibri" w:hAnsi="Calibri" w:eastAsia="Calibri" w:cs="宋体"/>
      <w:lang w:val="zh-CN"/>
    </w:rPr>
  </w:style>
  <w:style w:type="paragraph" w:styleId="1050">
    <w:name w:val="xl46"/>
    <w:basedOn w:val="708"/>
    <w:next w:val="1050"/>
    <w:link w:val="708"/>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51">
    <w:name w:val="Char Char Char Char Char Char Char Char Char Char Char Char Char Char Char Char Char Char Char Char Char Char Char"/>
    <w:basedOn w:val="708"/>
    <w:next w:val="1051"/>
    <w:link w:val="708"/>
    <w:qFormat/>
    <w:rPr>
      <w:rFonts w:ascii="Tahoma" w:hAnsi="Tahoma"/>
      <w:sz w:val="24"/>
    </w:rPr>
  </w:style>
  <w:style w:type="paragraph" w:styleId="1052">
    <w:name w:val="马刚标题1"/>
    <w:basedOn w:val="709"/>
    <w:next w:val="708"/>
    <w:link w:val="708"/>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53">
    <w:name w:val="7"/>
    <w:basedOn w:val="708"/>
    <w:next w:val="783"/>
    <w:link w:val="708"/>
    <w:qFormat/>
    <w:pPr>
      <w:jc w:val="left"/>
      <w:spacing w:before="100" w:beforeAutospacing="1" w:after="100" w:afterAutospacing="1"/>
      <w:widowControl/>
    </w:pPr>
    <w:rPr>
      <w:rFonts w:ascii="宋体" w:hAnsi="宋体"/>
      <w:sz w:val="24"/>
    </w:rPr>
  </w:style>
  <w:style w:type="paragraph" w:styleId="1054">
    <w:name w:val="样式 样式 首行缩进:  2 字符 + 行距: 1.5 倍行距"/>
    <w:basedOn w:val="708"/>
    <w:next w:val="1054"/>
    <w:link w:val="708"/>
    <w:qFormat/>
    <w:pPr>
      <w:ind w:firstLine="470"/>
      <w:spacing w:line="360" w:lineRule="auto"/>
    </w:pPr>
    <w:rPr>
      <w:sz w:val="24"/>
    </w:rPr>
  </w:style>
  <w:style w:type="paragraph" w:styleId="1055">
    <w:name w:val="xl44"/>
    <w:basedOn w:val="708"/>
    <w:next w:val="1055"/>
    <w:link w:val="7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56">
    <w:name w:val="中等深浅网格 1 - 强调文字颜色 21"/>
    <w:basedOn w:val="708"/>
    <w:next w:val="1056"/>
    <w:link w:val="708"/>
    <w:qFormat/>
    <w:pPr>
      <w:ind w:firstLine="420"/>
    </w:pPr>
    <w:rPr>
      <w:rFonts w:ascii="Calibri" w:hAnsi="Calibri"/>
      <w:szCs w:val="22"/>
    </w:rPr>
  </w:style>
  <w:style w:type="paragraph" w:styleId="1057">
    <w:name w:val="greytypebeni"/>
    <w:basedOn w:val="708"/>
    <w:next w:val="1057"/>
    <w:link w:val="708"/>
    <w:qFormat/>
    <w:pPr>
      <w:jc w:val="left"/>
      <w:widowControl/>
    </w:pPr>
    <w:rPr>
      <w:rFonts w:ascii="宋体" w:hAnsi="宋体" w:cs="宋体"/>
      <w:sz w:val="24"/>
      <w:szCs w:val="24"/>
    </w:rPr>
  </w:style>
  <w:style w:type="paragraph" w:styleId="1058">
    <w:name w:val="font14"/>
    <w:basedOn w:val="708"/>
    <w:next w:val="1058"/>
    <w:link w:val="708"/>
    <w:qFormat/>
    <w:pPr>
      <w:jc w:val="left"/>
      <w:spacing w:before="100" w:beforeAutospacing="1" w:after="100" w:afterAutospacing="1"/>
      <w:widowControl/>
    </w:pPr>
    <w:rPr>
      <w:sz w:val="36"/>
      <w:szCs w:val="36"/>
    </w:rPr>
  </w:style>
  <w:style w:type="paragraph" w:styleId="1059">
    <w:name w:val="xl36"/>
    <w:basedOn w:val="708"/>
    <w:next w:val="1059"/>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0">
    <w:name w:val="Char Char Char Char Char Char Char Char Char Char Char Char Char Char"/>
    <w:basedOn w:val="708"/>
    <w:next w:val="1060"/>
    <w:link w:val="708"/>
    <w:qFormat/>
    <w:rPr>
      <w:rFonts w:ascii="Tahoma" w:hAnsi="Tahoma"/>
      <w:sz w:val="24"/>
    </w:rPr>
  </w:style>
  <w:style w:type="paragraph" w:styleId="1061">
    <w:name w:val="标准小四"/>
    <w:basedOn w:val="708"/>
    <w:next w:val="1061"/>
    <w:link w:val="708"/>
    <w:qFormat/>
    <w:pPr>
      <w:ind w:firstLine="480"/>
      <w:spacing w:line="360" w:lineRule="auto"/>
    </w:pPr>
    <w:rPr>
      <w:rFonts w:ascii="Arial" w:hAnsi="Arial"/>
      <w:sz w:val="24"/>
      <w:szCs w:val="21"/>
    </w:rPr>
  </w:style>
  <w:style w:type="paragraph" w:styleId="1062">
    <w:name w:val="样式 段后: 0.25 行"/>
    <w:basedOn w:val="708"/>
    <w:next w:val="1062"/>
    <w:link w:val="708"/>
    <w:qFormat/>
    <w:pPr>
      <w:ind w:firstLine="420"/>
      <w:jc w:val="left"/>
      <w:spacing w:after="78" w:line="300" w:lineRule="auto"/>
      <w:widowControl/>
    </w:pPr>
    <w:rPr>
      <w:rFonts w:ascii="Arial" w:hAnsi="Arial" w:cs="宋体"/>
      <w:sz w:val="22"/>
      <w:lang w:eastAsia="en-US" w:bidi="en-US"/>
    </w:rPr>
  </w:style>
  <w:style w:type="paragraph" w:styleId="1063">
    <w:name w:val="Char Char1"/>
    <w:basedOn w:val="708"/>
    <w:next w:val="1063"/>
    <w:link w:val="708"/>
    <w:qFormat/>
    <w:rPr>
      <w:rFonts w:ascii="Tahoma" w:hAnsi="Tahoma"/>
      <w:sz w:val="24"/>
    </w:rPr>
  </w:style>
  <w:style w:type="paragraph" w:styleId="1064">
    <w:name w:val="样式3"/>
    <w:basedOn w:val="708"/>
    <w:next w:val="708"/>
    <w:link w:val="708"/>
    <w:qFormat/>
    <w:pPr>
      <w:spacing w:line="360" w:lineRule="auto"/>
    </w:pPr>
  </w:style>
  <w:style w:type="paragraph" w:styleId="1065">
    <w:name w:val="_Style 42"/>
    <w:basedOn w:val="708"/>
    <w:next w:val="743"/>
    <w:link w:val="708"/>
    <w:qFormat/>
    <w:rPr>
      <w:rFonts w:ascii="方正楷体_GB2312" w:hAnsi="Arial" w:eastAsia="方正楷体_GB2312"/>
      <w:sz w:val="28"/>
    </w:rPr>
  </w:style>
  <w:style w:type="paragraph" w:styleId="1066">
    <w:name w:val="Char1 Char Char Char"/>
    <w:basedOn w:val="708"/>
    <w:next w:val="1066"/>
    <w:link w:val="708"/>
    <w:qFormat/>
    <w:rPr>
      <w:rFonts w:ascii="Tahoma" w:hAnsi="Tahoma" w:cs="Tahoma"/>
      <w:sz w:val="24"/>
    </w:rPr>
  </w:style>
  <w:style w:type="paragraph" w:styleId="1067">
    <w:name w:val="正文 A"/>
    <w:next w:val="1067"/>
    <w:link w:val="708"/>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68">
    <w:name w:val="Char Char1 Char Char Char Char"/>
    <w:basedOn w:val="736"/>
    <w:next w:val="1068"/>
    <w:link w:val="708"/>
    <w:qFormat/>
    <w:pPr>
      <w:ind w:left="357"/>
      <w:jc w:val="left"/>
      <w:spacing w:line="436" w:lineRule="exact"/>
      <w:outlineLvl w:val="3"/>
    </w:pPr>
    <w:rPr>
      <w:rFonts w:ascii="Tahoma" w:hAnsi="Tahoma" w:cs="Tahoma"/>
      <w:b/>
      <w:sz w:val="24"/>
      <w:szCs w:val="24"/>
    </w:rPr>
  </w:style>
  <w:style w:type="paragraph" w:styleId="1069">
    <w:name w:val="标题 4宋体"/>
    <w:basedOn w:val="712"/>
    <w:next w:val="1069"/>
    <w:link w:val="708"/>
    <w:qFormat/>
    <w:pPr>
      <w:jc w:val="left"/>
      <w:keepLines w:val="0"/>
      <w:spacing w:before="0" w:after="0" w:line="360" w:lineRule="auto"/>
    </w:pPr>
    <w:rPr>
      <w:rFonts w:ascii="宋体" w:hAnsi="宋体" w:eastAsia="宋体"/>
      <w:bCs/>
      <w:color w:val="000000"/>
      <w:sz w:val="24"/>
    </w:rPr>
  </w:style>
  <w:style w:type="paragraph" w:styleId="1070">
    <w:name w:val="xl57"/>
    <w:basedOn w:val="708"/>
    <w:next w:val="1070"/>
    <w:link w:val="70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71">
    <w:name w:val="Char Char Char Char Char Char Char Char Char Char Char Char Char Char Char Char Char Char Char Char Char"/>
    <w:basedOn w:val="708"/>
    <w:next w:val="1071"/>
    <w:link w:val="708"/>
    <w:qFormat/>
    <w:rPr>
      <w:rFonts w:ascii="Tahoma" w:hAnsi="Tahoma" w:cs="Tahoma"/>
      <w:sz w:val="24"/>
    </w:rPr>
  </w:style>
  <w:style w:type="paragraph" w:styleId="1072">
    <w:name w:val="xl45"/>
    <w:basedOn w:val="708"/>
    <w:next w:val="1072"/>
    <w:link w:val="708"/>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73">
    <w:name w:val="xl25"/>
    <w:basedOn w:val="708"/>
    <w:next w:val="1073"/>
    <w:link w:val="708"/>
    <w:qFormat/>
    <w:pPr>
      <w:jc w:val="center"/>
      <w:spacing w:before="100" w:beforeAutospacing="1" w:after="100" w:afterAutospacing="1"/>
      <w:widowControl/>
      <w:pBdr>
        <w:right w:val="single" w:color="000000" w:sz="4" w:space="0"/>
      </w:pBdr>
    </w:pPr>
    <w:rPr>
      <w:szCs w:val="21"/>
    </w:rPr>
  </w:style>
  <w:style w:type="paragraph" w:styleId="1074">
    <w:name w:val="丁华正文"/>
    <w:basedOn w:val="772"/>
    <w:next w:val="1074"/>
    <w:link w:val="708"/>
    <w:qFormat/>
    <w:pPr>
      <w:ind w:left="0" w:firstLine="510"/>
      <w:spacing w:line="360" w:lineRule="auto"/>
    </w:pPr>
    <w:rPr>
      <w:rFonts w:ascii="Times New Roman" w:hAnsi="Times New Roman" w:eastAsia="宋体"/>
      <w:color w:val="000000"/>
      <w:sz w:val="24"/>
      <w:szCs w:val="16"/>
    </w:rPr>
  </w:style>
  <w:style w:type="paragraph" w:styleId="1075">
    <w:name w:val="小四 段落 宋体 Char Char"/>
    <w:basedOn w:val="708"/>
    <w:next w:val="1075"/>
    <w:link w:val="708"/>
    <w:qFormat/>
    <w:pPr>
      <w:ind w:firstLine="480"/>
      <w:spacing w:line="360" w:lineRule="auto"/>
    </w:pPr>
    <w:rPr>
      <w:rFonts w:ascii="宋体" w:hAnsi="宋体"/>
      <w:sz w:val="24"/>
      <w:szCs w:val="24"/>
    </w:rPr>
  </w:style>
  <w:style w:type="paragraph" w:styleId="1076">
    <w:name w:val="样式 标题 2第一章 标题 2Heading 2 HiddenHeading 2 CCBSheading 2H2h2..."/>
    <w:basedOn w:val="710"/>
    <w:next w:val="1076"/>
    <w:link w:val="708"/>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77">
    <w:name w:val="段落"/>
    <w:basedOn w:val="708"/>
    <w:next w:val="1077"/>
    <w:link w:val="708"/>
    <w:qFormat/>
    <w:pPr>
      <w:ind w:firstLine="480"/>
      <w:spacing w:line="460" w:lineRule="exact"/>
    </w:pPr>
    <w:rPr>
      <w:sz w:val="24"/>
    </w:rPr>
  </w:style>
  <w:style w:type="paragraph" w:styleId="1078">
    <w:name w:val="Char Char Char Char Char Char Char Char Char Char Char Char Char Char1"/>
    <w:basedOn w:val="708"/>
    <w:next w:val="1078"/>
    <w:link w:val="708"/>
    <w:qFormat/>
    <w:rPr>
      <w:rFonts w:ascii="Tahoma" w:hAnsi="Tahoma" w:cs="Tahoma"/>
      <w:sz w:val="24"/>
    </w:rPr>
  </w:style>
  <w:style w:type="paragraph" w:styleId="1079">
    <w:name w:val="默认段落字体 Para Char Char Char Char Char Char Char"/>
    <w:basedOn w:val="708"/>
    <w:next w:val="1079"/>
    <w:link w:val="708"/>
    <w:qFormat/>
  </w:style>
  <w:style w:type="paragraph" w:styleId="1080">
    <w:name w:val="af17cgridlangnp1033langf"/>
    <w:next w:val="1080"/>
    <w:link w:val="708"/>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81">
    <w:name w:val="正文 + Arial Char"/>
    <w:basedOn w:val="708"/>
    <w:next w:val="1081"/>
    <w:link w:val="708"/>
    <w:qFormat/>
    <w:pPr>
      <w:ind w:left="315" w:hanging="315"/>
      <w:spacing w:line="300" w:lineRule="auto"/>
      <w:widowControl/>
      <w:tabs>
        <w:tab w:val="left" w:pos="315" w:leader="none"/>
      </w:tabs>
    </w:pPr>
    <w:rPr>
      <w:rFonts w:ascii="Arial" w:hAnsi="Arial" w:cs="Arial"/>
      <w:b/>
      <w:color w:val="000000"/>
    </w:rPr>
  </w:style>
  <w:style w:type="paragraph" w:styleId="1082">
    <w:name w:val="Char1"/>
    <w:basedOn w:val="708"/>
    <w:next w:val="1082"/>
    <w:link w:val="708"/>
    <w:qFormat/>
    <w:pPr>
      <w:jc w:val="left"/>
      <w:spacing w:after="160" w:line="240" w:lineRule="exact"/>
      <w:widowControl/>
    </w:pPr>
    <w:rPr>
      <w:rFonts w:ascii="Verdana" w:hAnsi="Verdana" w:eastAsia="方正仿宋_GB2312"/>
      <w:sz w:val="24"/>
      <w:lang w:eastAsia="en-US"/>
    </w:rPr>
  </w:style>
  <w:style w:type="paragraph" w:styleId="1083">
    <w:name w:val="Pa6"/>
    <w:basedOn w:val="708"/>
    <w:next w:val="708"/>
    <w:link w:val="708"/>
    <w:qFormat/>
    <w:pPr>
      <w:jc w:val="left"/>
      <w:spacing w:line="241" w:lineRule="atLeast"/>
    </w:pPr>
    <w:rPr>
      <w:rFonts w:ascii="DejaVu Math TeX Gyre" w:eastAsia="DejaVu Math TeX Gyre"/>
      <w:sz w:val="24"/>
      <w:szCs w:val="24"/>
    </w:rPr>
  </w:style>
  <w:style w:type="paragraph" w:styleId="1084">
    <w:name w:val="马刚标题3"/>
    <w:basedOn w:val="708"/>
    <w:next w:val="708"/>
    <w:link w:val="7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85">
    <w:name w:val="content_lineheight"/>
    <w:basedOn w:val="708"/>
    <w:next w:val="1085"/>
    <w:link w:val="708"/>
    <w:qFormat/>
    <w:pPr>
      <w:jc w:val="left"/>
      <w:spacing w:before="100" w:beforeAutospacing="1" w:after="100" w:afterAutospacing="1"/>
      <w:widowControl/>
    </w:pPr>
    <w:rPr>
      <w:rFonts w:ascii="宋体" w:hAnsi="宋体"/>
      <w:sz w:val="24"/>
      <w:szCs w:val="24"/>
    </w:rPr>
  </w:style>
  <w:style w:type="paragraph" w:styleId="1086">
    <w:name w:val="默认段落字体 Para Char"/>
    <w:basedOn w:val="708"/>
    <w:next w:val="1086"/>
    <w:link w:val="708"/>
    <w:qFormat/>
    <w:rPr>
      <w:sz w:val="24"/>
      <w:szCs w:val="24"/>
    </w:rPr>
  </w:style>
  <w:style w:type="paragraph" w:styleId="1087">
    <w:name w:val="表格"/>
    <w:basedOn w:val="708"/>
    <w:next w:val="1087"/>
    <w:link w:val="708"/>
    <w:qFormat/>
    <w:pPr>
      <w:ind w:firstLine="21"/>
    </w:pPr>
    <w:rPr>
      <w:rFonts w:ascii="宋体" w:hAnsi="宋体" w:cs="宋体"/>
      <w:sz w:val="20"/>
    </w:rPr>
  </w:style>
  <w:style w:type="paragraph" w:styleId="1088">
    <w:name w:val="Char Char Char Char Char Char Char Char Char Char Char"/>
    <w:basedOn w:val="708"/>
    <w:next w:val="1088"/>
    <w:link w:val="708"/>
    <w:qFormat/>
    <w:rPr>
      <w:rFonts w:ascii="Tahoma" w:hAnsi="Tahoma" w:cs="Tahoma"/>
      <w:sz w:val="24"/>
    </w:rPr>
  </w:style>
  <w:style w:type="paragraph" w:styleId="1089">
    <w:name w:val="丁华标题1"/>
    <w:basedOn w:val="709"/>
    <w:next w:val="1074"/>
    <w:link w:val="708"/>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90">
    <w:name w:val="List Paragraph"/>
    <w:basedOn w:val="708"/>
    <w:next w:val="1090"/>
    <w:link w:val="708"/>
    <w:uiPriority w:val="34"/>
    <w:qFormat/>
    <w:pPr>
      <w:ind w:firstLine="420"/>
    </w:pPr>
    <w:rPr>
      <w:szCs w:val="24"/>
    </w:rPr>
  </w:style>
  <w:style w:type="paragraph" w:styleId="1091">
    <w:name w:val="正文表标题"/>
    <w:next w:val="1092"/>
    <w:link w:val="708"/>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92">
    <w:name w:val="段"/>
    <w:next w:val="708"/>
    <w:link w:val="708"/>
    <w:qFormat/>
    <w:pPr>
      <w:ind w:firstLine="200"/>
      <w:jc w:val="both"/>
    </w:pPr>
    <w:rPr>
      <w:rFonts w:ascii="宋体" w:hAnsi="Times New Roman" w:eastAsia="宋体" w:cs="Times New Roman"/>
      <w:sz w:val="21"/>
      <w:lang w:val="en-US" w:eastAsia="zh-CN" w:bidi="ar-SA"/>
    </w:rPr>
  </w:style>
  <w:style w:type="paragraph" w:styleId="1093">
    <w:name w:val="样式"/>
    <w:basedOn w:val="708"/>
    <w:next w:val="1093"/>
    <w:link w:val="708"/>
    <w:qFormat/>
    <w:pPr>
      <w:spacing w:before="120" w:after="120" w:line="360" w:lineRule="auto"/>
    </w:pPr>
    <w:rPr>
      <w:rFonts w:ascii="宋体"/>
      <w:sz w:val="24"/>
    </w:rPr>
  </w:style>
  <w:style w:type="paragraph" w:styleId="1094">
    <w:name w:val="Char2"/>
    <w:basedOn w:val="708"/>
    <w:next w:val="1094"/>
    <w:link w:val="708"/>
    <w:semiHidden/>
    <w:qFormat/>
    <w:rPr>
      <w:rFonts w:ascii="Tahoma" w:hAnsi="Tahoma" w:cs="方正仿宋_GB2312"/>
      <w:sz w:val="24"/>
      <w:szCs w:val="28"/>
    </w:rPr>
  </w:style>
  <w:style w:type="paragraph" w:styleId="1095">
    <w:name w:val="xl43"/>
    <w:basedOn w:val="708"/>
    <w:next w:val="1095"/>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96">
    <w:name w:val="font13"/>
    <w:basedOn w:val="708"/>
    <w:next w:val="1096"/>
    <w:link w:val="708"/>
    <w:qFormat/>
    <w:pPr>
      <w:jc w:val="left"/>
      <w:spacing w:before="100" w:beforeAutospacing="1" w:after="100" w:afterAutospacing="1"/>
      <w:widowControl/>
    </w:pPr>
    <w:rPr>
      <w:i/>
      <w:iCs/>
      <w:sz w:val="36"/>
      <w:szCs w:val="36"/>
    </w:rPr>
  </w:style>
  <w:style w:type="paragraph" w:styleId="1097">
    <w:name w:val="a0"/>
    <w:basedOn w:val="708"/>
    <w:next w:val="1097"/>
    <w:link w:val="708"/>
    <w:qFormat/>
    <w:pPr>
      <w:spacing w:before="100" w:beforeAutospacing="1" w:after="100" w:afterAutospacing="1"/>
      <w:widowControl/>
    </w:pPr>
    <w:rPr>
      <w:rFonts w:ascii="宋体" w:hAnsi="宋体" w:cs="宋体"/>
      <w:sz w:val="24"/>
      <w:szCs w:val="24"/>
    </w:rPr>
  </w:style>
  <w:style w:type="paragraph" w:styleId="1098">
    <w:name w:val="项目符号，一级"/>
    <w:basedOn w:val="1099"/>
    <w:next w:val="1099"/>
    <w:link w:val="708"/>
    <w:qFormat/>
    <w:pPr>
      <w:ind w:left="376" w:firstLine="0"/>
      <w:spacing w:line="240" w:lineRule="atLeast"/>
      <w:tabs>
        <w:tab w:val="left" w:pos="1320" w:leader="none"/>
      </w:tabs>
    </w:pPr>
    <w:rPr>
      <w:bCs w:val="0"/>
      <w:color w:val="000000"/>
      <w:szCs w:val="24"/>
    </w:rPr>
  </w:style>
  <w:style w:type="paragraph" w:styleId="1099">
    <w:name w:val="正文格式"/>
    <w:basedOn w:val="708"/>
    <w:next w:val="1099"/>
    <w:link w:val="708"/>
    <w:qFormat/>
    <w:pPr>
      <w:ind w:left="178" w:right="44" w:hanging="178"/>
      <w:jc w:val="left"/>
      <w:spacing w:before="78" w:line="360" w:lineRule="auto"/>
      <w:widowControl/>
    </w:pPr>
    <w:rPr>
      <w:rFonts w:ascii="宋体" w:hAnsi="宋体"/>
      <w:bCs/>
      <w:szCs w:val="21"/>
    </w:rPr>
  </w:style>
  <w:style w:type="paragraph" w:styleId="1100">
    <w:name w:val="Char Char Char Char Char Char Char"/>
    <w:basedOn w:val="708"/>
    <w:next w:val="1100"/>
    <w:link w:val="708"/>
    <w:qFormat/>
    <w:rPr>
      <w:rFonts w:ascii="Tahoma" w:hAnsi="Tahoma"/>
      <w:sz w:val="24"/>
    </w:rPr>
  </w:style>
  <w:style w:type="paragraph" w:styleId="1101">
    <w:name w:val="xl63"/>
    <w:basedOn w:val="708"/>
    <w:next w:val="1101"/>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02">
    <w:name w:val="Char Char11"/>
    <w:basedOn w:val="708"/>
    <w:next w:val="1102"/>
    <w:link w:val="708"/>
    <w:qFormat/>
    <w:rPr>
      <w:rFonts w:ascii="Tahoma" w:hAnsi="Tahoma" w:cs="Tahoma"/>
      <w:sz w:val="24"/>
    </w:rPr>
  </w:style>
  <w:style w:type="paragraph" w:styleId="1103">
    <w:name w:val="Char Char Char Char Char"/>
    <w:basedOn w:val="708"/>
    <w:next w:val="1103"/>
    <w:link w:val="708"/>
    <w:qFormat/>
    <w:rPr>
      <w:rFonts w:ascii="Tahoma" w:hAnsi="Tahoma"/>
      <w:sz w:val="24"/>
    </w:rPr>
  </w:style>
  <w:style w:type="paragraph" w:styleId="1104">
    <w:name w:val="正文lzq"/>
    <w:basedOn w:val="708"/>
    <w:next w:val="1104"/>
    <w:link w:val="708"/>
    <w:qFormat/>
    <w:pPr>
      <w:ind w:firstLine="480"/>
      <w:spacing w:line="360" w:lineRule="auto"/>
    </w:pPr>
    <w:rPr>
      <w:sz w:val="24"/>
    </w:rPr>
  </w:style>
  <w:style w:type="paragraph" w:styleId="1105">
    <w:name w:val="xl52"/>
    <w:basedOn w:val="708"/>
    <w:next w:val="1105"/>
    <w:link w:val="70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06">
    <w:name w:val="xl56"/>
    <w:basedOn w:val="708"/>
    <w:next w:val="1106"/>
    <w:link w:val="7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07">
    <w:name w:val="xl62"/>
    <w:basedOn w:val="708"/>
    <w:next w:val="1107"/>
    <w:link w:val="7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08">
    <w:name w:val="列表内容"/>
    <w:basedOn w:val="708"/>
    <w:next w:val="708"/>
    <w:link w:val="708"/>
    <w:qFormat/>
    <w:pPr>
      <w:ind w:left="840" w:hanging="420"/>
      <w:jc w:val="left"/>
      <w:widowControl/>
      <w:tabs>
        <w:tab w:val="left" w:pos="840" w:leader="none"/>
      </w:tabs>
    </w:pPr>
    <w:rPr>
      <w:sz w:val="18"/>
      <w:szCs w:val="24"/>
    </w:rPr>
  </w:style>
  <w:style w:type="paragraph" w:styleId="1109">
    <w:name w:val="xl47"/>
    <w:basedOn w:val="708"/>
    <w:next w:val="1109"/>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10">
    <w:name w:val="xl42"/>
    <w:basedOn w:val="708"/>
    <w:next w:val="1110"/>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1">
    <w:name w:val="xl53"/>
    <w:basedOn w:val="708"/>
    <w:next w:val="1111"/>
    <w:link w:val="7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12">
    <w:name w:val="Default"/>
    <w:next w:val="1112"/>
    <w:link w:val="708"/>
    <w:qFormat/>
    <w:pPr>
      <w:widowControl w:val="off"/>
    </w:pPr>
    <w:rPr>
      <w:rFonts w:ascii="宋体" w:hAnsi="Times New Roman" w:eastAsia="宋体" w:cs="宋体"/>
      <w:color w:val="000000"/>
      <w:sz w:val="24"/>
      <w:szCs w:val="24"/>
      <w:lang w:val="en-US" w:eastAsia="zh-CN" w:bidi="ar-SA"/>
    </w:rPr>
  </w:style>
  <w:style w:type="paragraph" w:styleId="1113">
    <w:name w:val="Char Char Char Char Char Char Char Char Char"/>
    <w:basedOn w:val="708"/>
    <w:next w:val="1113"/>
    <w:link w:val="708"/>
    <w:qFormat/>
    <w:pPr>
      <w:ind w:left="200" w:hanging="200"/>
      <w:tabs>
        <w:tab w:val="left" w:pos="360" w:leader="none"/>
      </w:tabs>
    </w:pPr>
    <w:rPr>
      <w:sz w:val="24"/>
      <w:szCs w:val="24"/>
    </w:rPr>
  </w:style>
  <w:style w:type="paragraph" w:styleId="1114">
    <w:name w:val="font9"/>
    <w:basedOn w:val="708"/>
    <w:next w:val="1114"/>
    <w:link w:val="708"/>
    <w:qFormat/>
    <w:pPr>
      <w:jc w:val="left"/>
      <w:spacing w:before="100" w:beforeAutospacing="1" w:after="100" w:afterAutospacing="1"/>
      <w:widowControl/>
    </w:pPr>
    <w:rPr>
      <w:b/>
      <w:bCs/>
      <w:sz w:val="20"/>
    </w:rPr>
  </w:style>
  <w:style w:type="paragraph" w:styleId="1115">
    <w:name w:val="华宇段落1 Char"/>
    <w:basedOn w:val="708"/>
    <w:next w:val="1115"/>
    <w:link w:val="708"/>
    <w:qFormat/>
    <w:pPr>
      <w:ind w:firstLine="200"/>
      <w:spacing w:line="360" w:lineRule="auto"/>
    </w:pPr>
    <w:rPr>
      <w:bCs/>
      <w:sz w:val="24"/>
      <w:szCs w:val="24"/>
    </w:rPr>
  </w:style>
  <w:style w:type="paragraph" w:styleId="1116">
    <w:name w:val="段 Char"/>
    <w:next w:val="1116"/>
    <w:link w:val="708"/>
    <w:qFormat/>
    <w:pPr>
      <w:ind w:firstLine="200"/>
      <w:jc w:val="both"/>
    </w:pPr>
    <w:rPr>
      <w:rFonts w:ascii="宋体" w:hAnsi="Times New Roman" w:eastAsia="宋体" w:cs="Times New Roman"/>
      <w:sz w:val="21"/>
      <w:lang w:val="en-US" w:eastAsia="zh-CN" w:bidi="ar-SA"/>
    </w:rPr>
  </w:style>
  <w:style w:type="paragraph" w:styleId="1117">
    <w:name w:val="xl35"/>
    <w:basedOn w:val="708"/>
    <w:next w:val="1117"/>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18">
    <w:name w:val="表头_5"/>
    <w:basedOn w:val="708"/>
    <w:next w:val="1118"/>
    <w:link w:val="708"/>
    <w:qFormat/>
    <w:pPr>
      <w:spacing w:line="360" w:lineRule="auto"/>
    </w:pPr>
    <w:rPr>
      <w:b/>
      <w:bCs/>
      <w:sz w:val="28"/>
      <w:szCs w:val="21"/>
    </w:rPr>
  </w:style>
  <w:style w:type="paragraph" w:styleId="1119">
    <w:name w:val="xl39"/>
    <w:basedOn w:val="708"/>
    <w:next w:val="1119"/>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0">
    <w:name w:val="样式 样式 首行缩进:  0.74 厘米 行距: 1.5 倍行距 + 段后: 0.5 行"/>
    <w:basedOn w:val="708"/>
    <w:next w:val="1120"/>
    <w:link w:val="708"/>
    <w:qFormat/>
    <w:pPr>
      <w:ind w:firstLine="420"/>
      <w:spacing w:line="360" w:lineRule="auto"/>
    </w:pPr>
    <w:rPr>
      <w:rFonts w:ascii="方正楷体_GB2312" w:eastAsia="方正楷体_GB2312"/>
      <w:bCs/>
      <w:sz w:val="24"/>
    </w:rPr>
  </w:style>
  <w:style w:type="paragraph" w:styleId="1121">
    <w:name w:val="小四 段落 宋体 Char"/>
    <w:basedOn w:val="733"/>
    <w:next w:val="1121"/>
    <w:link w:val="708"/>
    <w:qFormat/>
    <w:pPr>
      <w:ind w:left="0" w:right="-33" w:firstLine="600"/>
      <w:jc w:val="left"/>
      <w:tabs>
        <w:tab w:val="clear" w:pos="2952" w:leader="none"/>
      </w:tabs>
    </w:pPr>
    <w:rPr>
      <w:rFonts w:ascii="方正仿宋_GB2312" w:eastAsia="方正仿宋_GB2312"/>
      <w:sz w:val="30"/>
      <w:szCs w:val="30"/>
    </w:rPr>
  </w:style>
  <w:style w:type="paragraph" w:styleId="1122">
    <w:name w:val="Char Char Char"/>
    <w:basedOn w:val="708"/>
    <w:next w:val="1122"/>
    <w:link w:val="708"/>
    <w:qFormat/>
    <w:rPr>
      <w:rFonts w:ascii="Tahoma" w:hAnsi="Tahoma"/>
      <w:sz w:val="24"/>
    </w:rPr>
  </w:style>
  <w:style w:type="paragraph" w:styleId="1123">
    <w:name w:val="No Spacing0"/>
    <w:next w:val="1123"/>
    <w:link w:val="708"/>
    <w:qFormat/>
    <w:pPr>
      <w:jc w:val="both"/>
      <w:widowControl w:val="off"/>
    </w:pPr>
    <w:rPr>
      <w:rFonts w:ascii="Times New Roman" w:hAnsi="Times New Roman" w:eastAsia="微软雅黑" w:cs="Times New Roman"/>
      <w:sz w:val="24"/>
      <w:szCs w:val="22"/>
      <w:lang w:val="en-US" w:eastAsia="zh-CN" w:bidi="ar-SA"/>
    </w:rPr>
  </w:style>
  <w:style w:type="paragraph" w:styleId="1124">
    <w:name w:val="纯文本1"/>
    <w:basedOn w:val="708"/>
    <w:next w:val="1124"/>
    <w:link w:val="708"/>
    <w:qFormat/>
    <w:rPr>
      <w:rFonts w:ascii="宋体" w:hAnsi="宋体" w:eastAsia="方正楷体_GB2312" w:cs="宋体"/>
      <w:sz w:val="28"/>
    </w:rPr>
  </w:style>
  <w:style w:type="paragraph" w:styleId="1125">
    <w:name w:val="Char Char Char Char"/>
    <w:basedOn w:val="736"/>
    <w:next w:val="1125"/>
    <w:link w:val="708"/>
    <w:qFormat/>
    <w:pPr>
      <w:spacing w:line="360" w:lineRule="auto"/>
    </w:pPr>
    <w:rPr>
      <w:rFonts w:ascii="Tahoma" w:hAnsi="Tahoma"/>
      <w:sz w:val="24"/>
      <w:szCs w:val="24"/>
    </w:rPr>
  </w:style>
  <w:style w:type="paragraph" w:styleId="1126">
    <w:name w:val="符号与编号 Char Char"/>
    <w:basedOn w:val="708"/>
    <w:next w:val="1126"/>
    <w:link w:val="708"/>
    <w:qFormat/>
    <w:pPr>
      <w:ind w:left="839" w:hanging="419"/>
      <w:spacing w:after="156" w:line="400" w:lineRule="atLeast"/>
      <w:tabs>
        <w:tab w:val="left" w:pos="840" w:leader="none"/>
      </w:tabs>
    </w:pPr>
    <w:rPr>
      <w:sz w:val="24"/>
      <w:szCs w:val="24"/>
    </w:rPr>
  </w:style>
  <w:style w:type="paragraph" w:styleId="1127">
    <w:name w:val="Pa5"/>
    <w:basedOn w:val="708"/>
    <w:next w:val="708"/>
    <w:link w:val="708"/>
    <w:qFormat/>
    <w:pPr>
      <w:jc w:val="left"/>
      <w:spacing w:line="241" w:lineRule="atLeast"/>
    </w:pPr>
    <w:rPr>
      <w:rFonts w:ascii="DejaVu Math TeX Gyre" w:eastAsia="DejaVu Math TeX Gyre"/>
      <w:sz w:val="24"/>
      <w:szCs w:val="24"/>
    </w:rPr>
  </w:style>
  <w:style w:type="paragraph" w:styleId="1128">
    <w:name w:val="Table Paragraph"/>
    <w:basedOn w:val="708"/>
    <w:next w:val="1128"/>
    <w:link w:val="708"/>
    <w:uiPriority w:val="1"/>
    <w:qFormat/>
    <w:rPr>
      <w:rFonts w:ascii="宋体" w:hAnsi="宋体" w:cs="宋体"/>
      <w:lang w:val="zh-CN" w:bidi="zh-CN"/>
    </w:rPr>
  </w:style>
  <w:style w:type="paragraph" w:styleId="1129">
    <w:name w:val="列出段落1"/>
    <w:basedOn w:val="708"/>
    <w:next w:val="1129"/>
    <w:link w:val="708"/>
    <w:qFormat/>
    <w:pPr>
      <w:contextualSpacing/>
      <w:ind w:left="720"/>
      <w:jc w:val="left"/>
      <w:widowControl/>
    </w:pPr>
    <w:rPr>
      <w:rFonts w:ascii="Arial" w:hAnsi="Arial" w:eastAsia="黑体"/>
      <w:sz w:val="24"/>
      <w:szCs w:val="24"/>
      <w:lang w:eastAsia="en-US"/>
    </w:rPr>
  </w:style>
  <w:style w:type="paragraph" w:styleId="1130">
    <w:name w:val="xl37"/>
    <w:basedOn w:val="708"/>
    <w:next w:val="1130"/>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1">
    <w:name w:val="Bullets L1"/>
    <w:basedOn w:val="708"/>
    <w:next w:val="1131"/>
    <w:link w:val="708"/>
    <w:qFormat/>
    <w:pPr>
      <w:numPr>
        <w:ilvl w:val="0"/>
        <w:numId w:val="2"/>
      </w:numPr>
      <w:jc w:val="left"/>
      <w:spacing w:before="60" w:after="60"/>
      <w:widowControl/>
      <w:tabs>
        <w:tab w:val="left" w:pos="360" w:leader="none"/>
      </w:tabs>
    </w:pPr>
    <w:rPr>
      <w:rFonts w:ascii="Arial" w:hAnsi="Arial"/>
      <w:sz w:val="20"/>
    </w:rPr>
  </w:style>
  <w:style w:type="paragraph" w:styleId="1132">
    <w:name w:val="xl38"/>
    <w:basedOn w:val="708"/>
    <w:next w:val="1132"/>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3">
    <w:name w:val="表格1"/>
    <w:basedOn w:val="708"/>
    <w:next w:val="1133"/>
    <w:link w:val="708"/>
    <w:qFormat/>
    <w:rPr>
      <w:rFonts w:ascii="宋体"/>
      <w:szCs w:val="21"/>
    </w:rPr>
  </w:style>
  <w:style w:type="paragraph" w:styleId="1134">
    <w:name w:val="标题3"/>
    <w:basedOn w:val="711"/>
    <w:next w:val="1134"/>
    <w:link w:val="708"/>
    <w:qFormat/>
    <w:pPr>
      <w:keepLines w:val="0"/>
      <w:keepNext w:val="0"/>
      <w:spacing w:line="360" w:lineRule="auto"/>
    </w:pPr>
    <w:rPr>
      <w:rFonts w:eastAsia="方正仿宋_GB2312"/>
      <w:b w:val="0"/>
      <w:bCs/>
      <w:sz w:val="30"/>
      <w:szCs w:val="32"/>
    </w:rPr>
  </w:style>
  <w:style w:type="paragraph" w:styleId="1135">
    <w:name w:val="xl49"/>
    <w:basedOn w:val="708"/>
    <w:next w:val="1135"/>
    <w:link w:val="708"/>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36">
    <w:name w:val="正文 首行缩进:  2 字符 Char"/>
    <w:basedOn w:val="708"/>
    <w:next w:val="1136"/>
    <w:link w:val="708"/>
    <w:qFormat/>
    <w:pPr>
      <w:ind w:firstLine="480"/>
      <w:spacing w:line="360" w:lineRule="auto"/>
    </w:pPr>
    <w:rPr>
      <w:rFonts w:cs="宋体"/>
      <w:sz w:val="24"/>
    </w:rPr>
  </w:style>
  <w:style w:type="paragraph" w:styleId="1137">
    <w:name w:val="Char Char Char Char Char Char Char1 Char"/>
    <w:basedOn w:val="708"/>
    <w:next w:val="1137"/>
    <w:link w:val="708"/>
    <w:qFormat/>
    <w:rPr>
      <w:rFonts w:ascii="Tahoma" w:hAnsi="Tahoma" w:cs="Tahoma"/>
      <w:sz w:val="24"/>
    </w:rPr>
  </w:style>
  <w:style w:type="paragraph" w:styleId="1138">
    <w:name w:val="标题3，章节第三层"/>
    <w:basedOn w:val="708"/>
    <w:next w:val="1099"/>
    <w:link w:val="708"/>
    <w:qFormat/>
    <w:pPr>
      <w:spacing w:before="78" w:line="300" w:lineRule="auto"/>
      <w:outlineLvl w:val="2"/>
    </w:pPr>
    <w:rPr>
      <w:rFonts w:ascii="Arial" w:hAnsi="Arial" w:eastAsia="华文细黑"/>
      <w:sz w:val="30"/>
      <w:szCs w:val="24"/>
    </w:rPr>
  </w:style>
  <w:style w:type="paragraph" w:styleId="1139">
    <w:name w:val="font6"/>
    <w:basedOn w:val="708"/>
    <w:next w:val="1139"/>
    <w:link w:val="708"/>
    <w:qFormat/>
    <w:pPr>
      <w:jc w:val="left"/>
      <w:spacing w:before="100" w:beforeAutospacing="1" w:after="100" w:afterAutospacing="1"/>
      <w:widowControl/>
    </w:pPr>
    <w:rPr>
      <w:rFonts w:ascii="宋体" w:hAnsi="宋体" w:cs="宋体"/>
      <w:b/>
      <w:bCs/>
      <w:sz w:val="20"/>
    </w:rPr>
  </w:style>
  <w:style w:type="paragraph" w:styleId="1140">
    <w:name w:val="Item Step in Table"/>
    <w:next w:val="1140"/>
    <w:link w:val="708"/>
    <w:qFormat/>
    <w:pPr>
      <w:numPr>
        <w:ilvl w:val="0"/>
        <w:numId w:val="3"/>
      </w:numPr>
      <w:jc w:val="both"/>
      <w:spacing w:before="40" w:after="40"/>
      <w:tabs>
        <w:tab w:val="left" w:pos="397" w:leader="none"/>
      </w:tabs>
    </w:pPr>
    <w:rPr>
      <w:rFonts w:ascii="Arial" w:hAnsi="Arial" w:eastAsia="宋体" w:cs="Arial"/>
      <w:sz w:val="18"/>
      <w:szCs w:val="18"/>
      <w:lang w:val="en-US" w:eastAsia="zh-CN" w:bidi="ar-SA"/>
    </w:rPr>
  </w:style>
  <w:style w:type="paragraph" w:styleId="1141">
    <w:name w:val="Char Char Char Char Char Char Char Char Char Char Char Char Char"/>
    <w:basedOn w:val="708"/>
    <w:next w:val="1141"/>
    <w:link w:val="708"/>
    <w:qFormat/>
    <w:pPr>
      <w:jc w:val="left"/>
      <w:spacing w:after="160" w:line="240" w:lineRule="exact"/>
      <w:widowControl/>
    </w:pPr>
    <w:rPr>
      <w:szCs w:val="24"/>
    </w:rPr>
  </w:style>
  <w:style w:type="paragraph" w:styleId="1142">
    <w:name w:val="Char Char Char Char Char Char Char Char Char1"/>
    <w:basedOn w:val="708"/>
    <w:next w:val="1142"/>
    <w:link w:val="708"/>
    <w:qFormat/>
    <w:pPr>
      <w:ind w:left="360" w:hanging="360"/>
      <w:tabs>
        <w:tab w:val="left" w:pos="360" w:leader="none"/>
      </w:tabs>
    </w:pPr>
    <w:rPr>
      <w:sz w:val="24"/>
      <w:szCs w:val="24"/>
    </w:rPr>
  </w:style>
  <w:style w:type="paragraph" w:styleId="1143">
    <w:name w:val="列出段落2"/>
    <w:basedOn w:val="708"/>
    <w:next w:val="1143"/>
    <w:link w:val="708"/>
    <w:qFormat/>
    <w:pPr>
      <w:ind w:left="720"/>
      <w:jc w:val="left"/>
      <w:widowControl/>
    </w:pPr>
    <w:rPr>
      <w:rFonts w:ascii="Arial" w:hAnsi="Arial" w:eastAsia="黑体" w:cs="Arial"/>
      <w:sz w:val="24"/>
      <w:szCs w:val="24"/>
      <w:lang w:eastAsia="en-US"/>
    </w:rPr>
  </w:style>
  <w:style w:type="paragraph" w:styleId="1144">
    <w:name w:val="font5"/>
    <w:basedOn w:val="708"/>
    <w:next w:val="1144"/>
    <w:link w:val="708"/>
    <w:qFormat/>
    <w:pPr>
      <w:jc w:val="left"/>
      <w:spacing w:before="100" w:beforeAutospacing="1" w:after="100" w:afterAutospacing="1"/>
      <w:widowControl/>
    </w:pPr>
    <w:rPr>
      <w:rFonts w:ascii="宋体" w:hAnsi="宋体" w:cs="宋体"/>
      <w:sz w:val="18"/>
      <w:szCs w:val="18"/>
    </w:rPr>
  </w:style>
  <w:style w:type="paragraph" w:styleId="1145">
    <w:name w:val="xl59"/>
    <w:basedOn w:val="708"/>
    <w:next w:val="1145"/>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46">
    <w:name w:val="Char Char"/>
    <w:basedOn w:val="708"/>
    <w:next w:val="1146"/>
    <w:link w:val="708"/>
    <w:qFormat/>
    <w:rPr>
      <w:rFonts w:ascii="Tahoma" w:hAnsi="Tahoma" w:cs="Tahoma"/>
      <w:sz w:val="24"/>
    </w:rPr>
  </w:style>
  <w:style w:type="paragraph" w:styleId="1147">
    <w:name w:val="样式2"/>
    <w:basedOn w:val="708"/>
    <w:next w:val="1147"/>
    <w:link w:val="708"/>
    <w:qFormat/>
    <w:pPr>
      <w:ind w:left="200"/>
      <w:spacing w:line="360" w:lineRule="auto"/>
    </w:pPr>
    <w:rPr>
      <w:rFonts w:ascii="宋体" w:hAnsi="宋体"/>
      <w:b/>
      <w:sz w:val="24"/>
      <w:szCs w:val="24"/>
    </w:rPr>
  </w:style>
  <w:style w:type="paragraph" w:styleId="1148">
    <w:name w:val="正文 居中"/>
    <w:basedOn w:val="708"/>
    <w:next w:val="1148"/>
    <w:link w:val="708"/>
    <w:qFormat/>
    <w:pPr>
      <w:jc w:val="center"/>
      <w:spacing w:line="360" w:lineRule="auto"/>
    </w:pPr>
    <w:rPr>
      <w:sz w:val="24"/>
    </w:rPr>
  </w:style>
  <w:style w:type="paragraph" w:styleId="1149">
    <w:name w:val="xl33"/>
    <w:basedOn w:val="708"/>
    <w:next w:val="1149"/>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0">
    <w:name w:val="Char Char Char Char Char Char Char Char"/>
    <w:basedOn w:val="708"/>
    <w:next w:val="1150"/>
    <w:link w:val="708"/>
    <w:qFormat/>
    <w:rPr>
      <w:rFonts w:ascii="Tahoma" w:hAnsi="Tahoma" w:cs="Tahoma"/>
      <w:sz w:val="24"/>
    </w:rPr>
  </w:style>
  <w:style w:type="paragraph" w:styleId="1151">
    <w:name w:val="丁华标题2"/>
    <w:basedOn w:val="710"/>
    <w:next w:val="1074"/>
    <w:link w:val="708"/>
    <w:qFormat/>
    <w:pPr>
      <w:numPr>
        <w:ilvl w:val="1"/>
        <w:numId w:val="1"/>
      </w:numPr>
      <w:spacing w:line="415" w:lineRule="auto"/>
      <w:tabs>
        <w:tab w:val="left" w:pos="1004" w:leader="none"/>
      </w:tabs>
    </w:pPr>
    <w:rPr>
      <w:rFonts w:ascii="Arial" w:hAnsi="Arial" w:eastAsia="黑体"/>
      <w:b w:val="0"/>
      <w:sz w:val="28"/>
      <w:szCs w:val="20"/>
    </w:rPr>
  </w:style>
  <w:style w:type="paragraph" w:styleId="1152">
    <w:name w:val="flName"/>
    <w:basedOn w:val="1153"/>
    <w:next w:val="1152"/>
    <w:link w:val="708"/>
    <w:qFormat/>
    <w:pPr>
      <w:spacing w:before="0" w:line="113" w:lineRule="atLeast"/>
    </w:pPr>
  </w:style>
  <w:style w:type="paragraph" w:styleId="1153">
    <w:name w:val="flNote"/>
    <w:basedOn w:val="708"/>
    <w:next w:val="1153"/>
    <w:link w:val="708"/>
    <w:qFormat/>
    <w:pPr>
      <w:jc w:val="center"/>
      <w:spacing w:before="567" w:line="360" w:lineRule="atLeast"/>
    </w:pPr>
    <w:rPr>
      <w:rFonts w:eastAsia="黑体"/>
      <w:b/>
      <w:sz w:val="24"/>
    </w:rPr>
  </w:style>
  <w:style w:type="paragraph" w:styleId="1154">
    <w:name w:val="font7"/>
    <w:basedOn w:val="708"/>
    <w:next w:val="1154"/>
    <w:link w:val="708"/>
    <w:qFormat/>
    <w:pPr>
      <w:jc w:val="left"/>
      <w:spacing w:before="100" w:beforeAutospacing="1" w:after="100" w:afterAutospacing="1"/>
      <w:widowControl/>
    </w:pPr>
    <w:rPr>
      <w:rFonts w:hint="eastAsia" w:ascii="宋体" w:hAnsi="宋体"/>
      <w:b/>
      <w:bCs/>
      <w:sz w:val="24"/>
      <w:szCs w:val="24"/>
    </w:rPr>
  </w:style>
  <w:style w:type="paragraph" w:styleId="1155">
    <w:name w:val="xl48"/>
    <w:basedOn w:val="708"/>
    <w:next w:val="1155"/>
    <w:link w:val="70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56">
    <w:name w:val="Char Char Char Char Char Char Char Char Char Char Char1"/>
    <w:basedOn w:val="708"/>
    <w:next w:val="1156"/>
    <w:link w:val="708"/>
    <w:qFormat/>
    <w:rPr>
      <w:rFonts w:ascii="Tahoma" w:hAnsi="Tahoma"/>
      <w:sz w:val="24"/>
    </w:rPr>
  </w:style>
  <w:style w:type="paragraph" w:styleId="1157">
    <w:name w:val="xl61"/>
    <w:basedOn w:val="708"/>
    <w:next w:val="1157"/>
    <w:link w:val="70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58">
    <w:name w:val="Test2"/>
    <w:basedOn w:val="710"/>
    <w:next w:val="1158"/>
    <w:link w:val="708"/>
    <w:qFormat/>
    <w:pPr>
      <w:jc w:val="center"/>
      <w:spacing w:before="156" w:after="156" w:line="480" w:lineRule="exact"/>
      <w:widowControl/>
    </w:pPr>
    <w:rPr>
      <w:rFonts w:ascii="黑体" w:hAnsi="Arial" w:eastAsia="黑体"/>
      <w:bCs/>
      <w:sz w:val="24"/>
    </w:rPr>
  </w:style>
  <w:style w:type="paragraph" w:styleId="1159">
    <w:name w:val="插图"/>
    <w:basedOn w:val="708"/>
    <w:next w:val="1159"/>
    <w:link w:val="708"/>
    <w:qFormat/>
    <w:pPr>
      <w:jc w:val="center"/>
      <w:tabs>
        <w:tab w:val="left" w:pos="1620" w:leader="none"/>
      </w:tabs>
    </w:pPr>
    <w:rPr>
      <w:bCs/>
      <w:color w:val="000000"/>
      <w:szCs w:val="22"/>
    </w:rPr>
  </w:style>
  <w:style w:type="paragraph" w:styleId="1160">
    <w:name w:val="tableau"/>
    <w:basedOn w:val="708"/>
    <w:next w:val="1160"/>
    <w:link w:val="708"/>
    <w:qFormat/>
    <w:pPr>
      <w:jc w:val="center"/>
      <w:spacing w:before="20" w:after="20"/>
      <w:widowControl/>
    </w:pPr>
    <w:rPr>
      <w:rFonts w:ascii="Arial" w:hAnsi="Arial"/>
      <w:sz w:val="16"/>
      <w:lang w:val="en-GB" w:eastAsia="en-US"/>
    </w:rPr>
  </w:style>
  <w:style w:type="paragraph" w:styleId="1161">
    <w:name w:val="正文 首行缩进:  2 字符 Char Char"/>
    <w:basedOn w:val="708"/>
    <w:next w:val="1161"/>
    <w:link w:val="708"/>
    <w:qFormat/>
    <w:pPr>
      <w:ind w:firstLine="480"/>
      <w:spacing w:line="360" w:lineRule="auto"/>
    </w:pPr>
    <w:rPr>
      <w:rFonts w:ascii="方正楷体_GB2312" w:eastAsia="方正楷体_GB2312"/>
      <w:bCs/>
      <w:sz w:val="24"/>
      <w:szCs w:val="24"/>
    </w:rPr>
  </w:style>
  <w:style w:type="paragraph" w:styleId="1162">
    <w:name w:val="标题2，章节第二层"/>
    <w:basedOn w:val="708"/>
    <w:next w:val="1099"/>
    <w:link w:val="708"/>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63">
    <w:name w:val="Char Char Char Char Char Char Char Char Char Char Char Char Char1"/>
    <w:basedOn w:val="736"/>
    <w:next w:val="1163"/>
    <w:link w:val="708"/>
    <w:qFormat/>
    <w:rPr>
      <w:rFonts w:ascii="Tahoma" w:hAnsi="Tahoma"/>
      <w:sz w:val="24"/>
      <w:szCs w:val="24"/>
    </w:rPr>
  </w:style>
  <w:style w:type="paragraph" w:styleId="1164">
    <w:name w:val="二级条标题"/>
    <w:basedOn w:val="708"/>
    <w:next w:val="1092"/>
    <w:link w:val="708"/>
    <w:qFormat/>
    <w:pPr>
      <w:ind w:hanging="420"/>
      <w:widowControl/>
      <w:tabs>
        <w:tab w:val="left" w:pos="2240" w:leader="none"/>
      </w:tabs>
      <w:outlineLvl w:val="3"/>
    </w:pPr>
    <w:rPr>
      <w:rFonts w:eastAsia="黑体"/>
    </w:rPr>
  </w:style>
  <w:style w:type="paragraph" w:styleId="1165">
    <w:name w:val="样式 加点正文 + 段前: 0.5 行 段后: 0.5 行1"/>
    <w:basedOn w:val="708"/>
    <w:next w:val="1165"/>
    <w:link w:val="708"/>
    <w:qFormat/>
    <w:pPr>
      <w:numPr>
        <w:ilvl w:val="0"/>
        <w:numId w:val="4"/>
      </w:numPr>
      <w:ind w:left="1268"/>
      <w:spacing w:before="156" w:after="156" w:line="300" w:lineRule="auto"/>
      <w:tabs>
        <w:tab w:val="left" w:pos="420" w:leader="none"/>
        <w:tab w:val="left" w:pos="1268" w:leader="none"/>
      </w:tabs>
    </w:pPr>
    <w:rPr>
      <w:sz w:val="24"/>
    </w:rPr>
  </w:style>
  <w:style w:type="paragraph" w:styleId="1166">
    <w:name w:val="Char Char Char Char Char Char"/>
    <w:basedOn w:val="708"/>
    <w:next w:val="1166"/>
    <w:link w:val="708"/>
    <w:qFormat/>
    <w:rPr>
      <w:rFonts w:ascii="Tahoma" w:hAnsi="Tahoma" w:cs="Tahoma"/>
      <w:sz w:val="24"/>
    </w:rPr>
  </w:style>
  <w:style w:type="paragraph" w:styleId="1167">
    <w:name w:val="Char Char1 Char Char Char Char Char Char Char"/>
    <w:basedOn w:val="708"/>
    <w:next w:val="1167"/>
    <w:link w:val="708"/>
    <w:qFormat/>
    <w:rPr>
      <w:rFonts w:ascii="Tahoma" w:hAnsi="Tahoma" w:cs="Tahoma"/>
      <w:sz w:val="24"/>
    </w:rPr>
  </w:style>
  <w:style w:type="paragraph" w:styleId="1168">
    <w:name w:val="xl30"/>
    <w:basedOn w:val="708"/>
    <w:next w:val="1168"/>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9">
    <w:name w:val="部分1"/>
    <w:basedOn w:val="708"/>
    <w:next w:val="1169"/>
    <w:link w:val="708"/>
    <w:qFormat/>
    <w:pPr>
      <w:jc w:val="center"/>
      <w:keepNext/>
      <w:pageBreakBefore/>
      <w:spacing w:line="360" w:lineRule="auto"/>
      <w:tabs>
        <w:tab w:val="left" w:pos="360" w:leader="none"/>
      </w:tabs>
      <w:outlineLvl w:val="0"/>
    </w:pPr>
    <w:rPr>
      <w:rFonts w:eastAsia="黑体"/>
      <w:b/>
      <w:sz w:val="36"/>
    </w:rPr>
  </w:style>
  <w:style w:type="paragraph" w:styleId="1170">
    <w:name w:val="font12"/>
    <w:basedOn w:val="708"/>
    <w:next w:val="1170"/>
    <w:link w:val="708"/>
    <w:qFormat/>
    <w:pPr>
      <w:jc w:val="left"/>
      <w:spacing w:before="100" w:beforeAutospacing="1" w:after="100" w:afterAutospacing="1"/>
      <w:widowControl/>
    </w:pPr>
    <w:rPr>
      <w:rFonts w:ascii="宋体" w:hAnsi="宋体" w:cs="宋体"/>
      <w:sz w:val="36"/>
      <w:szCs w:val="36"/>
    </w:rPr>
  </w:style>
  <w:style w:type="paragraph" w:styleId="1171">
    <w:name w:val="List Paragraph0"/>
    <w:basedOn w:val="708"/>
    <w:next w:val="1171"/>
    <w:link w:val="708"/>
    <w:qFormat/>
    <w:pPr>
      <w:contextualSpacing/>
      <w:ind w:left="720"/>
      <w:jc w:val="left"/>
      <w:widowControl/>
    </w:pPr>
    <w:rPr>
      <w:rFonts w:ascii="Arial" w:hAnsi="Arial" w:eastAsia="黑体"/>
      <w:sz w:val="24"/>
      <w:szCs w:val="24"/>
      <w:lang w:eastAsia="en-US"/>
    </w:rPr>
  </w:style>
  <w:style w:type="paragraph" w:styleId="1172">
    <w:name w:val="xl40"/>
    <w:basedOn w:val="708"/>
    <w:next w:val="1172"/>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3">
    <w:name w:val="Default Text"/>
    <w:basedOn w:val="708"/>
    <w:next w:val="1173"/>
    <w:link w:val="708"/>
    <w:qFormat/>
    <w:pPr>
      <w:jc w:val="left"/>
      <w:widowControl/>
    </w:pPr>
    <w:rPr>
      <w:sz w:val="24"/>
      <w:lang w:eastAsia="en-US"/>
    </w:rPr>
  </w:style>
  <w:style w:type="paragraph" w:styleId="1174">
    <w:name w:val="Char1 Char Char Char1"/>
    <w:basedOn w:val="708"/>
    <w:next w:val="1174"/>
    <w:link w:val="708"/>
    <w:qFormat/>
    <w:rPr>
      <w:rFonts w:ascii="Tahoma" w:hAnsi="Tahoma"/>
      <w:sz w:val="24"/>
    </w:rPr>
  </w:style>
  <w:style w:type="paragraph" w:styleId="1175">
    <w:name w:val="retrait3"/>
    <w:basedOn w:val="708"/>
    <w:next w:val="1175"/>
    <w:link w:val="708"/>
    <w:qFormat/>
    <w:pPr>
      <w:ind w:left="851"/>
      <w:jc w:val="left"/>
      <w:spacing w:before="20" w:after="20"/>
      <w:widowControl/>
    </w:pPr>
    <w:rPr>
      <w:rFonts w:ascii="Arial" w:hAnsi="Arial"/>
      <w:sz w:val="24"/>
      <w:lang w:val="en-GB"/>
    </w:rPr>
  </w:style>
  <w:style w:type="paragraph" w:styleId="1176">
    <w:name w:val="一级标题"/>
    <w:basedOn w:val="708"/>
    <w:next w:val="1176"/>
    <w:link w:val="708"/>
    <w:qFormat/>
    <w:pPr>
      <w:ind w:left="900" w:hanging="420"/>
      <w:spacing w:line="360" w:lineRule="auto"/>
      <w:tabs>
        <w:tab w:val="left" w:pos="903" w:leader="none"/>
      </w:tabs>
    </w:pPr>
    <w:rPr>
      <w:rFonts w:ascii="Arial" w:hAnsi="Arial" w:cs="Arial"/>
      <w:sz w:val="24"/>
    </w:rPr>
  </w:style>
  <w:style w:type="paragraph" w:styleId="1177">
    <w:name w:val="正文缩进2字符"/>
    <w:basedOn w:val="708"/>
    <w:next w:val="1177"/>
    <w:link w:val="708"/>
    <w:qFormat/>
    <w:pPr>
      <w:ind w:firstLine="200"/>
      <w:spacing w:line="300" w:lineRule="auto"/>
    </w:pPr>
    <w:rPr>
      <w:rFonts w:ascii="方正仿宋_GB2312" w:eastAsia="方正仿宋_GB2312"/>
      <w:sz w:val="32"/>
      <w:szCs w:val="32"/>
    </w:rPr>
  </w:style>
  <w:style w:type="paragraph" w:styleId="1178">
    <w:name w:val="xl60"/>
    <w:basedOn w:val="708"/>
    <w:next w:val="1178"/>
    <w:link w:val="7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9">
    <w:name w:val="xl27"/>
    <w:basedOn w:val="708"/>
    <w:next w:val="1179"/>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0">
    <w:name w:val="表蕊"/>
    <w:basedOn w:val="708"/>
    <w:next w:val="1180"/>
    <w:link w:val="708"/>
    <w:qFormat/>
    <w:pPr>
      <w:jc w:val="left"/>
      <w:spacing w:line="320" w:lineRule="atLeast"/>
    </w:pPr>
    <w:rPr>
      <w:rFonts w:eastAsia="方正楷体_GB2312"/>
      <w:spacing w:val="-10"/>
    </w:rPr>
  </w:style>
  <w:style w:type="paragraph" w:styleId="1181">
    <w:name w:val="样式 段后: 0.5 行 左  0.75 字符"/>
    <w:basedOn w:val="708"/>
    <w:next w:val="1181"/>
    <w:link w:val="708"/>
    <w:qFormat/>
    <w:pPr>
      <w:ind w:firstLine="420"/>
      <w:spacing w:line="360" w:lineRule="auto"/>
      <w:widowControl/>
    </w:pPr>
    <w:rPr>
      <w:rFonts w:hAnsi="Arial" w:cs="Arial"/>
      <w:szCs w:val="21"/>
    </w:rPr>
  </w:style>
  <w:style w:type="paragraph" w:styleId="1182">
    <w:name w:val="符号与编号 Char"/>
    <w:basedOn w:val="708"/>
    <w:next w:val="1182"/>
    <w:link w:val="708"/>
    <w:qFormat/>
    <w:pPr>
      <w:ind w:left="720"/>
      <w:spacing w:after="156" w:line="400" w:lineRule="atLeast"/>
      <w:tabs>
        <w:tab w:val="left" w:pos="720" w:leader="none"/>
      </w:tabs>
    </w:pPr>
    <w:rPr>
      <w:sz w:val="24"/>
      <w:szCs w:val="24"/>
    </w:rPr>
  </w:style>
  <w:style w:type="paragraph" w:styleId="1183">
    <w:name w:val="xl34"/>
    <w:basedOn w:val="708"/>
    <w:next w:val="1183"/>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4">
    <w:name w:val="文档正文"/>
    <w:basedOn w:val="708"/>
    <w:next w:val="1184"/>
    <w:link w:val="708"/>
    <w:qFormat/>
    <w:pPr>
      <w:spacing w:line="360" w:lineRule="auto"/>
    </w:pPr>
    <w:rPr>
      <w:rFonts w:ascii="宋体" w:hAnsi="宋体"/>
      <w:b/>
      <w:bCs/>
      <w:szCs w:val="24"/>
    </w:rPr>
  </w:style>
  <w:style w:type="paragraph" w:styleId="1185">
    <w:name w:val="丁华标题3"/>
    <w:basedOn w:val="1151"/>
    <w:next w:val="1074"/>
    <w:link w:val="708"/>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86">
    <w:name w:val="我的正文"/>
    <w:basedOn w:val="708"/>
    <w:next w:val="1186"/>
    <w:link w:val="708"/>
    <w:qFormat/>
    <w:pPr>
      <w:ind w:firstLine="420"/>
      <w:jc w:val="left"/>
      <w:spacing w:line="360" w:lineRule="auto"/>
      <w:widowControl/>
    </w:pPr>
    <w:rPr>
      <w:rFonts w:ascii="宋体" w:hAnsi="宋体" w:cs="宋体"/>
      <w:szCs w:val="21"/>
    </w:rPr>
  </w:style>
  <w:style w:type="paragraph" w:styleId="1187">
    <w:name w:val="公文标题 2"/>
    <w:basedOn w:val="708"/>
    <w:next w:val="1188"/>
    <w:link w:val="708"/>
    <w:qFormat/>
    <w:pPr>
      <w:outlineLvl w:val="1"/>
    </w:pPr>
    <w:rPr>
      <w:rFonts w:ascii="方正仿宋_GB2312" w:hAnsi="宋体" w:eastAsia="方正仿宋_GB2312"/>
      <w:sz w:val="28"/>
      <w:szCs w:val="24"/>
    </w:rPr>
  </w:style>
  <w:style w:type="paragraph" w:styleId="1188">
    <w:name w:val="公文正文"/>
    <w:basedOn w:val="744"/>
    <w:next w:val="1188"/>
    <w:link w:val="708"/>
    <w:qFormat/>
    <w:pPr>
      <w:ind w:firstLine="200"/>
    </w:pPr>
    <w:rPr>
      <w:rFonts w:ascii="方正仿宋_GB2312" w:hAnsi="宋体" w:eastAsia="方正仿宋_GB2312"/>
      <w:sz w:val="28"/>
      <w:szCs w:val="24"/>
    </w:rPr>
  </w:style>
  <w:style w:type="paragraph" w:styleId="1189">
    <w:name w:val="Char Char1 Char"/>
    <w:basedOn w:val="708"/>
    <w:next w:val="1189"/>
    <w:link w:val="708"/>
    <w:qFormat/>
    <w:pPr>
      <w:jc w:val="left"/>
      <w:spacing w:after="160" w:line="240" w:lineRule="exact"/>
      <w:widowControl/>
    </w:pPr>
    <w:rPr>
      <w:rFonts w:ascii="Verdana" w:hAnsi="Verdana"/>
      <w:sz w:val="20"/>
      <w:lang w:eastAsia="en-US"/>
    </w:rPr>
  </w:style>
  <w:style w:type="paragraph" w:styleId="1190">
    <w:name w:val="xl50"/>
    <w:basedOn w:val="708"/>
    <w:next w:val="1190"/>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91">
    <w:name w:val="zw"/>
    <w:basedOn w:val="708"/>
    <w:next w:val="1191"/>
    <w:link w:val="708"/>
    <w:qFormat/>
    <w:pPr>
      <w:ind w:firstLine="480"/>
      <w:jc w:val="left"/>
      <w:spacing w:line="360" w:lineRule="auto"/>
      <w:widowControl/>
    </w:pPr>
    <w:rPr>
      <w:rFonts w:ascii="宋体" w:hAnsi="宋体"/>
      <w:bCs/>
      <w:sz w:val="24"/>
    </w:rPr>
  </w:style>
  <w:style w:type="paragraph" w:styleId="1192">
    <w:name w:val="xl29"/>
    <w:basedOn w:val="708"/>
    <w:next w:val="1192"/>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3">
    <w:name w:val="马刚标题4"/>
    <w:basedOn w:val="1084"/>
    <w:next w:val="708"/>
    <w:link w:val="708"/>
    <w:qFormat/>
    <w:pPr>
      <w:spacing w:before="100" w:after="40"/>
      <w:tabs>
        <w:tab w:val="left" w:pos="1050" w:leader="none"/>
      </w:tabs>
      <w:outlineLvl w:val="3"/>
    </w:pPr>
    <w:rPr>
      <w:b w:val="0"/>
    </w:rPr>
  </w:style>
  <w:style w:type="paragraph" w:styleId="1194">
    <w:name w:val="标准文本"/>
    <w:basedOn w:val="708"/>
    <w:next w:val="1194"/>
    <w:link w:val="708"/>
    <w:qFormat/>
    <w:pPr>
      <w:ind w:firstLine="480"/>
      <w:spacing w:line="360" w:lineRule="auto"/>
    </w:pPr>
    <w:rPr>
      <w:rFonts w:cs="宋体"/>
      <w:sz w:val="24"/>
      <w:szCs w:val="24"/>
    </w:rPr>
  </w:style>
  <w:style w:type="paragraph" w:styleId="1195">
    <w:name w:val="正文2"/>
    <w:basedOn w:val="708"/>
    <w:next w:val="1195"/>
    <w:link w:val="708"/>
    <w:qFormat/>
    <w:pPr>
      <w:ind w:firstLine="510"/>
      <w:spacing w:before="156" w:line="360" w:lineRule="auto"/>
    </w:pPr>
    <w:rPr>
      <w:sz w:val="24"/>
    </w:rPr>
  </w:style>
  <w:style w:type="paragraph" w:styleId="1196">
    <w:name w:val="样式1"/>
    <w:basedOn w:val="708"/>
    <w:next w:val="1196"/>
    <w:link w:val="708"/>
    <w:qFormat/>
    <w:pPr>
      <w:ind w:firstLine="480"/>
      <w:spacing w:line="300" w:lineRule="auto"/>
    </w:pPr>
    <w:rPr>
      <w:sz w:val="24"/>
      <w:szCs w:val="24"/>
    </w:rPr>
  </w:style>
  <w:style w:type="paragraph" w:styleId="1197">
    <w:name w:val="大标题"/>
    <w:basedOn w:val="708"/>
    <w:next w:val="708"/>
    <w:link w:val="708"/>
    <w:qFormat/>
    <w:pPr>
      <w:ind w:hanging="420"/>
      <w:pageBreakBefore/>
      <w:spacing w:line="360" w:lineRule="auto"/>
      <w:tabs>
        <w:tab w:val="left" w:pos="420" w:leader="none"/>
      </w:tabs>
      <w:outlineLvl w:val="0"/>
    </w:pPr>
    <w:rPr>
      <w:b/>
      <w:iCs/>
      <w:sz w:val="44"/>
      <w:szCs w:val="24"/>
    </w:rPr>
  </w:style>
  <w:style w:type="paragraph" w:styleId="1198">
    <w:name w:val="Char Char Char Char Char Char Char Char1"/>
    <w:basedOn w:val="708"/>
    <w:next w:val="1198"/>
    <w:link w:val="708"/>
    <w:qFormat/>
    <w:rPr>
      <w:rFonts w:ascii="Tahoma" w:hAnsi="Tahoma"/>
      <w:sz w:val="24"/>
    </w:rPr>
  </w:style>
  <w:style w:type="paragraph" w:styleId="1199">
    <w:name w:val="1"/>
    <w:basedOn w:val="708"/>
    <w:next w:val="779"/>
    <w:link w:val="708"/>
    <w:qFormat/>
    <w:pPr>
      <w:spacing w:line="360" w:lineRule="auto"/>
    </w:pPr>
    <w:rPr>
      <w:rFonts w:eastAsia="方正仿宋_GB2312"/>
      <w:sz w:val="24"/>
      <w:szCs w:val="24"/>
    </w:rPr>
  </w:style>
  <w:style w:type="paragraph" w:styleId="1200">
    <w:name w:val="标题6"/>
    <w:basedOn w:val="713"/>
    <w:next w:val="1200"/>
    <w:link w:val="708"/>
    <w:qFormat/>
    <w:pPr>
      <w:ind w:left="420" w:hanging="420"/>
      <w:keepLines/>
      <w:tabs>
        <w:tab w:val="left" w:pos="420" w:leader="none"/>
      </w:tabs>
    </w:pPr>
    <w:rPr>
      <w:rFonts w:ascii="Times New Roman"/>
      <w:b w:val="0"/>
      <w:bCs/>
      <w:color w:val="000000"/>
      <w:sz w:val="24"/>
      <w:szCs w:val="28"/>
    </w:rPr>
  </w:style>
  <w:style w:type="paragraph" w:styleId="1201">
    <w:name w:val="Char Char Char Char1"/>
    <w:basedOn w:val="708"/>
    <w:next w:val="1201"/>
    <w:link w:val="708"/>
    <w:qFormat/>
    <w:pPr>
      <w:jc w:val="center"/>
      <w:spacing w:after="160" w:line="240" w:lineRule="exact"/>
      <w:widowControl/>
    </w:pPr>
    <w:rPr>
      <w:rFonts w:ascii="黑体" w:hAnsi="Verdana" w:eastAsia="黑体"/>
      <w:sz w:val="32"/>
      <w:szCs w:val="32"/>
      <w:lang w:eastAsia="en-US"/>
    </w:rPr>
  </w:style>
  <w:style w:type="paragraph" w:styleId="1202">
    <w:name w:val="qw"/>
    <w:next w:val="1202"/>
    <w:link w:val="708"/>
    <w:qFormat/>
    <w:pPr>
      <w:jc w:val="both"/>
      <w:spacing w:line="312" w:lineRule="atLeast"/>
      <w:widowControl w:val="off"/>
    </w:pPr>
    <w:rPr>
      <w:rFonts w:ascii="宋体" w:hAnsi="Times New Roman" w:eastAsia="宋体" w:cs="Times New Roman"/>
      <w:sz w:val="24"/>
      <w:lang w:val="en-US" w:eastAsia="zh-CN" w:bidi="ar-SA"/>
    </w:rPr>
  </w:style>
  <w:style w:type="paragraph" w:styleId="1203">
    <w:name w:val="正文文本 21"/>
    <w:basedOn w:val="708"/>
    <w:next w:val="1203"/>
    <w:link w:val="708"/>
    <w:qFormat/>
    <w:pPr>
      <w:ind w:left="720" w:hanging="720"/>
      <w:widowControl/>
    </w:pPr>
    <w:rPr>
      <w:sz w:val="24"/>
      <w:lang w:val="en-GB"/>
    </w:rPr>
  </w:style>
  <w:style w:type="paragraph" w:styleId="1204">
    <w:name w:val="xl41"/>
    <w:basedOn w:val="708"/>
    <w:next w:val="1204"/>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5">
    <w:name w:val="标题1，章节第一层"/>
    <w:basedOn w:val="1099"/>
    <w:next w:val="1099"/>
    <w:link w:val="708"/>
    <w:qFormat/>
    <w:pPr>
      <w:ind w:left="482"/>
      <w:spacing w:before="0"/>
      <w:tabs>
        <w:tab w:val="left" w:pos="693" w:leader="none"/>
      </w:tabs>
      <w:outlineLvl w:val="0"/>
    </w:pPr>
    <w:rPr>
      <w:color w:val="000000"/>
      <w:sz w:val="24"/>
      <w:szCs w:val="24"/>
    </w:rPr>
  </w:style>
  <w:style w:type="paragraph" w:styleId="1206">
    <w:name w:val="小四 段落 宋体 Char Char Char Char"/>
    <w:basedOn w:val="708"/>
    <w:next w:val="1206"/>
    <w:link w:val="708"/>
    <w:qFormat/>
    <w:pPr>
      <w:ind w:right="-33" w:firstLine="480"/>
      <w:jc w:val="left"/>
      <w:spacing w:line="360" w:lineRule="auto"/>
    </w:pPr>
    <w:rPr>
      <w:sz w:val="24"/>
      <w:szCs w:val="24"/>
    </w:rPr>
  </w:style>
  <w:style w:type="paragraph" w:styleId="1207">
    <w:name w:val="Char2 Char Char Char Char Char Char1"/>
    <w:basedOn w:val="708"/>
    <w:next w:val="1207"/>
    <w:link w:val="708"/>
    <w:qFormat/>
    <w:pPr>
      <w:ind w:hanging="425"/>
      <w:keepNext/>
      <w:spacing w:before="80" w:after="80"/>
      <w:widowControl/>
      <w:tabs>
        <w:tab w:val="left" w:pos="425" w:leader="none"/>
      </w:tabs>
    </w:pPr>
    <w:rPr>
      <w:rFonts w:ascii="Arial" w:hAnsi="Arial" w:cs="Arial"/>
      <w:sz w:val="20"/>
    </w:rPr>
  </w:style>
  <w:style w:type="paragraph" w:styleId="1208">
    <w:name w:val="小四 段落 宋体"/>
    <w:basedOn w:val="733"/>
    <w:next w:val="1208"/>
    <w:link w:val="708"/>
    <w:qFormat/>
    <w:pPr>
      <w:ind w:left="113" w:right="113" w:firstLine="425"/>
      <w:jc w:val="left"/>
      <w:spacing w:line="360" w:lineRule="auto"/>
      <w:tabs>
        <w:tab w:val="clear" w:pos="2952" w:leader="none"/>
      </w:tabs>
    </w:pPr>
    <w:rPr>
      <w:sz w:val="24"/>
    </w:rPr>
  </w:style>
  <w:style w:type="paragraph" w:styleId="1209">
    <w:name w:val="Char Char1 Char Char Char Char1 Char Char Char Char Char Char"/>
    <w:basedOn w:val="708"/>
    <w:next w:val="1209"/>
    <w:link w:val="708"/>
    <w:qFormat/>
    <w:rPr>
      <w:rFonts w:ascii="Tahoma" w:hAnsi="Tahoma"/>
      <w:sz w:val="24"/>
    </w:rPr>
  </w:style>
  <w:style w:type="paragraph" w:styleId="1210">
    <w:name w:val="font8"/>
    <w:basedOn w:val="708"/>
    <w:next w:val="1210"/>
    <w:link w:val="708"/>
    <w:qFormat/>
    <w:pPr>
      <w:jc w:val="left"/>
      <w:spacing w:before="100" w:beforeAutospacing="1" w:after="100" w:afterAutospacing="1"/>
      <w:widowControl/>
    </w:pPr>
    <w:rPr>
      <w:rFonts w:ascii="宋体" w:hAnsi="宋体" w:cs="宋体"/>
      <w:b/>
      <w:bCs/>
      <w:i/>
      <w:iCs/>
      <w:sz w:val="20"/>
    </w:rPr>
  </w:style>
  <w:style w:type="paragraph" w:styleId="1211">
    <w:name w:val="表格内文字"/>
    <w:basedOn w:val="708"/>
    <w:next w:val="1211"/>
    <w:link w:val="708"/>
    <w:qFormat/>
    <w:pPr>
      <w:spacing w:line="300" w:lineRule="atLeast"/>
    </w:pPr>
    <w:rPr>
      <w:sz w:val="18"/>
      <w:szCs w:val="24"/>
    </w:rPr>
  </w:style>
  <w:style w:type="paragraph" w:styleId="1212">
    <w:name w:val="_Style 1"/>
    <w:basedOn w:val="744"/>
    <w:next w:val="790"/>
    <w:link w:val="708"/>
    <w:qFormat/>
    <w:pPr>
      <w:ind w:firstLine="420"/>
      <w:spacing w:line="360" w:lineRule="auto"/>
    </w:pPr>
    <w:rPr>
      <w:rFonts w:ascii="Calibri" w:hAnsi="Calibri" w:eastAsia="宋体"/>
      <w:sz w:val="24"/>
    </w:rPr>
  </w:style>
  <w:style w:type="paragraph" w:styleId="1213">
    <w:name w:val="xl31"/>
    <w:basedOn w:val="708"/>
    <w:next w:val="1213"/>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14">
    <w:name w:val="标题4，章节第四层"/>
    <w:basedOn w:val="708"/>
    <w:next w:val="708"/>
    <w:link w:val="708"/>
    <w:qFormat/>
    <w:pPr>
      <w:spacing w:line="360" w:lineRule="auto"/>
      <w:tabs>
        <w:tab w:val="left" w:pos="0" w:leader="none"/>
      </w:tabs>
      <w:outlineLvl w:val="3"/>
    </w:pPr>
    <w:rPr>
      <w:rFonts w:ascii="宋体" w:hAnsi="宋体"/>
      <w:b/>
      <w:sz w:val="24"/>
      <w:szCs w:val="24"/>
    </w:rPr>
  </w:style>
  <w:style w:type="paragraph" w:styleId="1215">
    <w:name w:val="xl54"/>
    <w:basedOn w:val="708"/>
    <w:next w:val="1215"/>
    <w:link w:val="7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16">
    <w:name w:val="正文 + 宋体"/>
    <w:basedOn w:val="708"/>
    <w:next w:val="1216"/>
    <w:link w:val="708"/>
    <w:qFormat/>
    <w:pPr>
      <w:ind w:firstLine="420"/>
      <w:spacing w:line="360" w:lineRule="auto"/>
    </w:pPr>
    <w:rPr>
      <w:szCs w:val="24"/>
    </w:rPr>
  </w:style>
  <w:style w:type="paragraph" w:styleId="1217">
    <w:name w:val="Char Char Char Char Char Char Char Char Char Char Char1 Char Char Char1"/>
    <w:basedOn w:val="708"/>
    <w:next w:val="1217"/>
    <w:link w:val="708"/>
    <w:semiHidden/>
    <w:qFormat/>
    <w:pPr>
      <w:ind w:firstLine="200"/>
      <w:jc w:val="left"/>
    </w:pPr>
    <w:rPr>
      <w:rFonts w:ascii="Tahoma" w:hAnsi="Tahoma"/>
      <w:sz w:val="24"/>
      <w:szCs w:val="24"/>
    </w:rPr>
  </w:style>
  <w:style w:type="paragraph" w:styleId="1218">
    <w:name w:val="flType"/>
    <w:basedOn w:val="1152"/>
    <w:next w:val="1218"/>
    <w:link w:val="708"/>
    <w:qFormat/>
    <w:pPr>
      <w:spacing w:after="284"/>
    </w:pPr>
    <w:rPr>
      <w:rFonts w:eastAsia="宋体"/>
      <w:b w:val="0"/>
    </w:rPr>
  </w:style>
  <w:style w:type="paragraph" w:styleId="1219">
    <w:name w:val="正文--表格内正文"/>
    <w:basedOn w:val="708"/>
    <w:next w:val="1219"/>
    <w:link w:val="708"/>
    <w:qFormat/>
    <w:pPr>
      <w:jc w:val="center"/>
      <w:spacing w:before="156" w:line="0" w:lineRule="atLeast"/>
    </w:pPr>
    <w:rPr>
      <w:rFonts w:ascii="宋体" w:hAnsi="宋体"/>
      <w:color w:val="000000"/>
      <w:sz w:val="24"/>
      <w:szCs w:val="24"/>
    </w:rPr>
  </w:style>
  <w:style w:type="paragraph" w:styleId="1220">
    <w:name w:val="小四 段落 宋体 Char Char Char"/>
    <w:basedOn w:val="733"/>
    <w:next w:val="1220"/>
    <w:link w:val="708"/>
    <w:qFormat/>
    <w:pPr>
      <w:ind w:left="0" w:right="-33" w:firstLine="545"/>
      <w:jc w:val="left"/>
      <w:spacing w:line="360" w:lineRule="auto"/>
      <w:tabs>
        <w:tab w:val="clear" w:pos="2952" w:leader="none"/>
      </w:tabs>
    </w:pPr>
    <w:rPr>
      <w:sz w:val="24"/>
    </w:rPr>
  </w:style>
  <w:style w:type="paragraph" w:styleId="1221">
    <w:name w:val="a"/>
    <w:basedOn w:val="708"/>
    <w:next w:val="1221"/>
    <w:link w:val="708"/>
    <w:qFormat/>
    <w:pPr>
      <w:spacing w:before="100" w:beforeAutospacing="1" w:after="100" w:afterAutospacing="1"/>
      <w:widowControl/>
    </w:pPr>
    <w:rPr>
      <w:rFonts w:ascii="宋体" w:hAnsi="宋体" w:cs="宋体"/>
      <w:sz w:val="24"/>
      <w:szCs w:val="24"/>
    </w:rPr>
  </w:style>
  <w:style w:type="paragraph" w:styleId="1222">
    <w:name w:val="font10"/>
    <w:basedOn w:val="708"/>
    <w:next w:val="1222"/>
    <w:link w:val="708"/>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23">
    <w:name w:val="Char Char Char Char Char Char Char Char Char Char Char Char Char Char Char Char Char Char Char Char Char Char Char1"/>
    <w:basedOn w:val="708"/>
    <w:next w:val="1223"/>
    <w:link w:val="708"/>
    <w:qFormat/>
    <w:rPr>
      <w:rFonts w:ascii="Tahoma" w:hAnsi="Tahoma" w:cs="Tahoma"/>
      <w:sz w:val="24"/>
    </w:rPr>
  </w:style>
  <w:style w:type="paragraph" w:styleId="1224">
    <w:name w:val="样式 标题 3H3sect1.2.3BOD 0Heading 3 - oldh3l3CTLevel 3 Head..."/>
    <w:basedOn w:val="711"/>
    <w:next w:val="1224"/>
    <w:link w:val="708"/>
    <w:qFormat/>
    <w:pPr>
      <w:jc w:val="left"/>
      <w:spacing w:before="156" w:after="156"/>
    </w:pPr>
    <w:rPr>
      <w:rFonts w:cs="宋体"/>
      <w:bCs/>
      <w:sz w:val="30"/>
    </w:rPr>
  </w:style>
  <w:style w:type="paragraph" w:styleId="1225">
    <w:name w:val="正文文本 New New"/>
    <w:basedOn w:val="708"/>
    <w:next w:val="1225"/>
    <w:link w:val="708"/>
    <w:qFormat/>
    <w:pPr>
      <w:ind w:firstLine="200"/>
      <w:spacing w:before="60" w:after="60" w:line="360" w:lineRule="auto"/>
      <w:widowControl/>
    </w:pPr>
    <w:rPr>
      <w:rFonts w:eastAsia="华文楷体"/>
      <w:sz w:val="24"/>
      <w:szCs w:val="24"/>
    </w:rPr>
  </w:style>
  <w:style w:type="paragraph" w:styleId="1226">
    <w:name w:val="xl51"/>
    <w:basedOn w:val="708"/>
    <w:next w:val="1226"/>
    <w:link w:val="7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27">
    <w:name w:val="p0"/>
    <w:basedOn w:val="708"/>
    <w:next w:val="1227"/>
    <w:link w:val="708"/>
    <w:qFormat/>
    <w:pPr>
      <w:jc w:val="left"/>
      <w:spacing w:before="100" w:beforeAutospacing="1" w:after="100" w:afterAutospacing="1"/>
      <w:widowControl/>
    </w:pPr>
    <w:rPr>
      <w:rFonts w:ascii="宋体" w:hAnsi="宋体" w:cs="宋体"/>
      <w:sz w:val="24"/>
      <w:szCs w:val="24"/>
    </w:rPr>
  </w:style>
  <w:style w:type="paragraph" w:styleId="1228">
    <w:name w:val="正文文本缩进1"/>
    <w:basedOn w:val="708"/>
    <w:next w:val="1229"/>
    <w:link w:val="708"/>
    <w:qFormat/>
    <w:pPr>
      <w:ind w:left="420"/>
      <w:spacing w:after="120"/>
    </w:pPr>
    <w:rPr>
      <w:szCs w:val="24"/>
    </w:rPr>
  </w:style>
  <w:style w:type="paragraph" w:styleId="1229">
    <w:name w:val="正文首行缩进 21"/>
    <w:basedOn w:val="808"/>
    <w:next w:val="1229"/>
    <w:link w:val="708"/>
    <w:qFormat/>
    <w:pPr>
      <w:ind w:firstLine="420"/>
      <w:spacing w:line="360" w:lineRule="auto"/>
    </w:pPr>
  </w:style>
  <w:style w:type="paragraph" w:styleId="1230">
    <w:name w:val="标题5，章节第五层"/>
    <w:basedOn w:val="708"/>
    <w:next w:val="708"/>
    <w:link w:val="708"/>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31">
    <w:name w:val="表格文字"/>
    <w:basedOn w:val="708"/>
    <w:next w:val="1231"/>
    <w:link w:val="708"/>
    <w:qFormat/>
    <w:pPr>
      <w:ind w:firstLine="200"/>
      <w:jc w:val="left"/>
      <w:spacing w:line="360" w:lineRule="auto"/>
    </w:pPr>
    <w:rPr>
      <w:rFonts w:ascii="Arial" w:hAnsi="Arial"/>
      <w:sz w:val="24"/>
    </w:rPr>
  </w:style>
  <w:style w:type="paragraph" w:styleId="1232">
    <w:name w:val="项目符号：一级"/>
    <w:basedOn w:val="1099"/>
    <w:next w:val="1099"/>
    <w:link w:val="708"/>
    <w:qFormat/>
    <w:pPr>
      <w:ind w:right="-134"/>
    </w:pPr>
    <w:rPr>
      <w:bCs w:val="0"/>
    </w:rPr>
  </w:style>
  <w:style w:type="paragraph" w:styleId="1233">
    <w:name w:val="Char Char Char Char Char1"/>
    <w:basedOn w:val="708"/>
    <w:next w:val="1233"/>
    <w:link w:val="708"/>
    <w:qFormat/>
    <w:rPr>
      <w:rFonts w:ascii="Tahoma" w:hAnsi="Tahoma" w:cs="Tahoma"/>
      <w:sz w:val="24"/>
    </w:rPr>
  </w:style>
  <w:style w:type="paragraph" w:styleId="1234">
    <w:name w:val="符号与编号"/>
    <w:basedOn w:val="708"/>
    <w:next w:val="1234"/>
    <w:link w:val="708"/>
    <w:qFormat/>
    <w:pPr>
      <w:ind w:left="900" w:hanging="420"/>
      <w:spacing w:after="156" w:line="400" w:lineRule="atLeast"/>
      <w:tabs>
        <w:tab w:val="left" w:pos="900" w:leader="none"/>
      </w:tabs>
    </w:pPr>
    <w:rPr>
      <w:sz w:val="24"/>
      <w:szCs w:val="24"/>
    </w:rPr>
  </w:style>
  <w:style w:type="paragraph" w:styleId="1235">
    <w:name w:val="font11"/>
    <w:basedOn w:val="708"/>
    <w:next w:val="1235"/>
    <w:link w:val="708"/>
    <w:qFormat/>
    <w:pPr>
      <w:jc w:val="left"/>
      <w:spacing w:before="100" w:beforeAutospacing="1" w:after="100" w:afterAutospacing="1"/>
      <w:widowControl/>
    </w:pPr>
    <w:rPr>
      <w:b/>
      <w:bCs/>
      <w:sz w:val="18"/>
      <w:szCs w:val="18"/>
    </w:rPr>
  </w:style>
  <w:style w:type="paragraph" w:styleId="1236">
    <w:name w:val="普通文字"/>
    <w:basedOn w:val="708"/>
    <w:next w:val="708"/>
    <w:link w:val="708"/>
    <w:qFormat/>
    <w:rPr>
      <w:rFonts w:ascii="宋体" w:hAnsi="宋体" w:cs="宋体"/>
      <w:sz w:val="24"/>
    </w:rPr>
  </w:style>
  <w:style w:type="paragraph" w:styleId="1237">
    <w:name w:val="论文正文"/>
    <w:basedOn w:val="756"/>
    <w:next w:val="1237"/>
    <w:link w:val="708"/>
    <w:qFormat/>
    <w:pPr>
      <w:ind w:left="0" w:firstLine="200"/>
      <w:jc w:val="left"/>
      <w:spacing w:line="360" w:lineRule="auto"/>
    </w:pPr>
    <w:rPr>
      <w:rFonts w:ascii="Times New Roman" w:hAnsi="Times New Roman"/>
      <w:sz w:val="28"/>
      <w:szCs w:val="24"/>
    </w:rPr>
  </w:style>
  <w:style w:type="paragraph" w:styleId="1238">
    <w:name w:val="Revision"/>
    <w:next w:val="1238"/>
    <w:link w:val="708"/>
    <w:semiHidden/>
    <w:qFormat/>
    <w:rPr>
      <w:rFonts w:ascii="Times New Roman" w:hAnsi="Times New Roman" w:eastAsia="宋体" w:cs="Times New Roman"/>
      <w:sz w:val="21"/>
      <w:szCs w:val="24"/>
      <w:lang w:val="en-US" w:eastAsia="zh-CN" w:bidi="ar-SA"/>
    </w:rPr>
  </w:style>
  <w:style w:type="paragraph" w:styleId="1239">
    <w:name w:val="Char Char Char Char Char Char Char Char Char Char Char Char Char Char Char Char Char Char Char Char Char1"/>
    <w:basedOn w:val="708"/>
    <w:next w:val="1239"/>
    <w:link w:val="708"/>
    <w:qFormat/>
    <w:rPr>
      <w:rFonts w:ascii="Tahoma" w:hAnsi="Tahoma"/>
      <w:sz w:val="24"/>
    </w:rPr>
  </w:style>
  <w:style w:type="paragraph" w:styleId="1240">
    <w:name w:val="Table Text Char"/>
    <w:next w:val="1240"/>
    <w:link w:val="708"/>
    <w:qFormat/>
    <w:pPr>
      <w:spacing w:before="80" w:after="80"/>
    </w:pPr>
    <w:rPr>
      <w:rFonts w:ascii="Arial" w:hAnsi="Arial" w:eastAsia="宋体" w:cs="Arial"/>
      <w:sz w:val="18"/>
      <w:szCs w:val="28"/>
      <w:lang w:val="en-US" w:eastAsia="zh-CN" w:bidi="ar-SA"/>
    </w:rPr>
  </w:style>
  <w:style w:type="paragraph" w:styleId="1241">
    <w:name w:val="Char Char1 Char1"/>
    <w:basedOn w:val="708"/>
    <w:next w:val="1241"/>
    <w:link w:val="708"/>
    <w:qFormat/>
    <w:pPr>
      <w:jc w:val="left"/>
      <w:spacing w:after="160" w:line="240" w:lineRule="exact"/>
      <w:widowControl/>
    </w:pPr>
    <w:rPr>
      <w:rFonts w:ascii="Verdana" w:hAnsi="Verdana"/>
      <w:sz w:val="20"/>
      <w:lang w:eastAsia="en-US"/>
    </w:rPr>
  </w:style>
  <w:style w:type="paragraph" w:styleId="1242">
    <w:name w:val="条1"/>
    <w:basedOn w:val="708"/>
    <w:next w:val="1242"/>
    <w:link w:val="708"/>
    <w:qFormat/>
    <w:pPr>
      <w:ind w:left="780" w:hanging="360"/>
      <w:spacing w:before="156" w:line="360" w:lineRule="auto"/>
      <w:tabs>
        <w:tab w:val="left" w:pos="780" w:leader="none"/>
      </w:tabs>
    </w:pPr>
    <w:rPr>
      <w:rFonts w:eastAsia="黑体"/>
      <w:sz w:val="24"/>
    </w:rPr>
  </w:style>
  <w:style w:type="paragraph" w:styleId="1243">
    <w:name w:val="Char Char Char Char Char Char Char1"/>
    <w:basedOn w:val="708"/>
    <w:next w:val="1243"/>
    <w:link w:val="708"/>
    <w:qFormat/>
    <w:pPr>
      <w:jc w:val="left"/>
    </w:pPr>
    <w:rPr>
      <w:rFonts w:ascii="Tahoma" w:hAnsi="Tahoma"/>
      <w:sz w:val="24"/>
    </w:rPr>
  </w:style>
  <w:style w:type="paragraph" w:styleId="1244">
    <w:name w:val="正文 New New New New New New New New New New New New New New"/>
    <w:next w:val="1244"/>
    <w:link w:val="708"/>
    <w:qFormat/>
    <w:pPr>
      <w:jc w:val="both"/>
      <w:widowControl w:val="off"/>
    </w:pPr>
    <w:rPr>
      <w:rFonts w:hint="eastAsia" w:ascii="Times New Roman" w:hAnsi="Times New Roman" w:eastAsia="宋体" w:cs="Times New Roman"/>
      <w:sz w:val="21"/>
      <w:lang w:val="en-US" w:eastAsia="zh-CN" w:bidi="ar-SA"/>
    </w:rPr>
  </w:style>
  <w:style w:type="paragraph" w:styleId="1245">
    <w:name w:val="方案正文"/>
    <w:basedOn w:val="708"/>
    <w:next w:val="1245"/>
    <w:link w:val="708"/>
    <w:qFormat/>
    <w:pPr>
      <w:ind w:firstLine="359"/>
      <w:jc w:val="left"/>
      <w:spacing w:before="156" w:line="360" w:lineRule="auto"/>
    </w:pPr>
    <w:rPr>
      <w:rFonts w:ascii="Arial" w:hAnsi="Arial" w:cs="宋体"/>
      <w:sz w:val="24"/>
      <w:szCs w:val="21"/>
    </w:rPr>
  </w:style>
  <w:style w:type="paragraph" w:styleId="1246">
    <w:name w:val="章标题"/>
    <w:next w:val="1092"/>
    <w:link w:val="708"/>
    <w:qFormat/>
    <w:pPr>
      <w:jc w:val="both"/>
      <w:spacing w:before="156" w:after="156"/>
      <w:outlineLvl w:val="1"/>
    </w:pPr>
    <w:rPr>
      <w:rFonts w:ascii="Times New Roman" w:hAnsi="Times New Roman" w:eastAsia="黑体" w:cs="Times New Roman"/>
      <w:sz w:val="21"/>
      <w:lang w:val="en-US" w:eastAsia="zh-CN" w:bidi="ar-SA"/>
    </w:rPr>
  </w:style>
  <w:style w:type="paragraph" w:styleId="1247">
    <w:name w:val="xl32"/>
    <w:basedOn w:val="708"/>
    <w:next w:val="1247"/>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8">
    <w:name w:val="项目符号，二级"/>
    <w:basedOn w:val="1099"/>
    <w:next w:val="1099"/>
    <w:link w:val="708"/>
    <w:qFormat/>
    <w:pPr>
      <w:ind w:left="1337" w:right="-27" w:firstLine="480"/>
      <w:tabs>
        <w:tab w:val="left" w:pos="567" w:leader="none"/>
        <w:tab w:val="left" w:pos="1211" w:leader="none"/>
        <w:tab w:val="left" w:pos="1337" w:leader="none"/>
      </w:tabs>
    </w:pPr>
    <w:rPr>
      <w:bCs w:val="0"/>
      <w:color w:val="000000"/>
      <w:sz w:val="24"/>
      <w:szCs w:val="24"/>
    </w:rPr>
  </w:style>
  <w:style w:type="paragraph" w:styleId="1249">
    <w:name w:val="xl55"/>
    <w:basedOn w:val="708"/>
    <w:next w:val="1249"/>
    <w:link w:val="708"/>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50">
    <w:name w:val="Normal0"/>
    <w:basedOn w:val="708"/>
    <w:next w:val="1250"/>
    <w:link w:val="708"/>
    <w:qFormat/>
    <w:rPr>
      <w:rFonts w:ascii="Calibri" w:hAnsi="Calibri" w:eastAsia="Calibri" w:cs="宋体"/>
      <w:lang w:val="zh-CN"/>
    </w:rPr>
  </w:style>
  <w:style w:type="paragraph" w:styleId="1251">
    <w:name w:val="正文（文本）"/>
    <w:next w:val="1251"/>
    <w:link w:val="708"/>
    <w:qFormat/>
    <w:pPr>
      <w:jc w:val="center"/>
      <w:spacing w:line="360" w:lineRule="auto"/>
      <w:widowControl w:val="off"/>
    </w:pPr>
    <w:rPr>
      <w:rFonts w:ascii="Times New Roman" w:hAnsi="宋体" w:eastAsia="宋体" w:cs="Times New Roman"/>
      <w:sz w:val="28"/>
      <w:szCs w:val="28"/>
      <w:lang w:val="en-US" w:eastAsia="zh-CN" w:bidi="ar-SA"/>
    </w:rPr>
  </w:style>
  <w:style w:type="paragraph" w:styleId="1252">
    <w:name w:val="xl28"/>
    <w:basedOn w:val="708"/>
    <w:next w:val="1252"/>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3">
    <w:name w:val="样式4 Char"/>
    <w:basedOn w:val="708"/>
    <w:next w:val="1253"/>
    <w:link w:val="708"/>
    <w:qFormat/>
    <w:pPr>
      <w:ind w:firstLine="480"/>
      <w:jc w:val="left"/>
      <w:spacing w:line="360" w:lineRule="auto"/>
      <w:widowControl/>
    </w:pPr>
    <w:rPr>
      <w:rFonts w:cs="宋体"/>
      <w:color w:val="000000"/>
      <w:sz w:val="24"/>
      <w:szCs w:val="24"/>
    </w:rPr>
  </w:style>
  <w:style w:type="paragraph" w:styleId="1254">
    <w:name w:val="Char11"/>
    <w:basedOn w:val="708"/>
    <w:next w:val="1254"/>
    <w:link w:val="708"/>
    <w:qFormat/>
    <w:rPr>
      <w:rFonts w:ascii="方正仿宋_GB2312" w:hAnsi="宋体" w:eastAsia="方正仿宋_GB2312" w:cs="宋体"/>
      <w:b/>
      <w:sz w:val="32"/>
      <w:szCs w:val="32"/>
    </w:rPr>
  </w:style>
  <w:style w:type="paragraph" w:styleId="1255">
    <w:name w:val="表格内容"/>
    <w:basedOn w:val="708"/>
    <w:next w:val="1255"/>
    <w:link w:val="708"/>
    <w:qFormat/>
    <w:pPr>
      <w:jc w:val="center"/>
      <w:spacing w:before="60" w:line="300" w:lineRule="auto"/>
      <w:widowControl/>
    </w:pPr>
  </w:style>
  <w:style w:type="paragraph" w:styleId="1256">
    <w:name w:val="xl26"/>
    <w:basedOn w:val="708"/>
    <w:next w:val="1256"/>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7">
    <w:name w:val="Char Char Char1"/>
    <w:basedOn w:val="736"/>
    <w:next w:val="1257"/>
    <w:link w:val="708"/>
    <w:qFormat/>
    <w:pPr>
      <w:spacing w:line="436" w:lineRule="exact"/>
    </w:pPr>
    <w:rPr>
      <w:szCs w:val="24"/>
    </w:rPr>
  </w:style>
  <w:style w:type="paragraph" w:styleId="1258">
    <w:name w:val="xl58"/>
    <w:basedOn w:val="708"/>
    <w:next w:val="1258"/>
    <w:link w:val="708"/>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59">
    <w:name w:val="Body Text 21"/>
    <w:basedOn w:val="708"/>
    <w:next w:val="1259"/>
    <w:link w:val="708"/>
    <w:qFormat/>
    <w:pPr>
      <w:ind w:left="720" w:hanging="720"/>
      <w:widowControl/>
    </w:pPr>
    <w:rPr>
      <w:sz w:val="24"/>
      <w:lang w:val="en-GB"/>
    </w:rPr>
  </w:style>
  <w:style w:type="paragraph" w:styleId="1260">
    <w:name w:val="Char Char3"/>
    <w:basedOn w:val="708"/>
    <w:next w:val="1260"/>
    <w:link w:val="708"/>
    <w:qFormat/>
    <w:rPr>
      <w:rFonts w:ascii="Tahoma" w:hAnsi="Tahoma"/>
      <w:sz w:val="24"/>
    </w:rPr>
  </w:style>
  <w:style w:type="paragraph" w:styleId="1261">
    <w:name w:val="reader-word-layer"/>
    <w:basedOn w:val="708"/>
    <w:next w:val="1261"/>
    <w:link w:val="708"/>
    <w:uiPriority w:val="99"/>
    <w:qFormat/>
    <w:pPr>
      <w:jc w:val="left"/>
      <w:spacing w:before="100" w:beforeAutospacing="1" w:after="100" w:afterAutospacing="1"/>
      <w:widowControl/>
    </w:pPr>
    <w:rPr>
      <w:rFonts w:ascii="宋体" w:hAnsi="宋体" w:cs="宋体"/>
      <w:sz w:val="24"/>
      <w:szCs w:val="24"/>
    </w:rPr>
  </w:style>
  <w:style w:type="paragraph" w:styleId="1262">
    <w:name w:val="xl24"/>
    <w:basedOn w:val="708"/>
    <w:next w:val="1262"/>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63">
    <w:name w:val="font31"/>
    <w:basedOn w:val="718"/>
    <w:next w:val="1263"/>
    <w:link w:val="708"/>
    <w:qFormat/>
    <w:rPr>
      <w:rFonts w:ascii="等线" w:hAnsi="等线" w:eastAsia="等线" w:cs="等线"/>
      <w:color w:val="000000"/>
      <w:sz w:val="21"/>
      <w:szCs w:val="21"/>
      <w:u w:val="none"/>
    </w:rPr>
  </w:style>
  <w:style w:type="character" w:styleId="1264">
    <w:name w:val="NormalCharacter1"/>
    <w:next w:val="1264"/>
    <w:link w:val="708"/>
    <w:semiHidden/>
    <w:qFormat/>
  </w:style>
  <w:style w:type="character" w:styleId="1265">
    <w:name w:val="font51"/>
    <w:basedOn w:val="718"/>
    <w:next w:val="1265"/>
    <w:link w:val="708"/>
    <w:qFormat/>
    <w:rPr>
      <w:rFonts w:hint="eastAsia" w:ascii="宋体" w:hAnsi="宋体" w:eastAsia="宋体" w:cs="宋体"/>
      <w:color w:val="ff0000"/>
      <w:sz w:val="22"/>
      <w:szCs w:val="22"/>
      <w:u w:val="none"/>
    </w:rPr>
  </w:style>
  <w:style w:type="table" w:styleId="1266">
    <w:name w:val="Normal Table0"/>
    <w:next w:val="1266"/>
    <w:link w:val="708"/>
    <w:uiPriority w:val="2"/>
    <w:unhideWhenUsed/>
    <w:qFormat/>
    <w:pPr>
      <w:widowControl w:val="off"/>
    </w:pPr>
    <w:rPr>
      <w:sz w:val="22"/>
      <w:szCs w:val="22"/>
      <w:lang w:eastAsia="en-US"/>
    </w:rPr>
    <w:tblPr/>
  </w:style>
  <w:style w:type="paragraph" w:styleId="1267">
    <w:name w:val="二级标题"/>
    <w:next w:val="708"/>
    <w:link w:val="708"/>
    <w:qFormat/>
    <w:pPr>
      <w:numPr>
        <w:ilvl w:val="1"/>
        <w:numId w:val="5"/>
      </w:numPr>
      <w:spacing w:line="360" w:lineRule="auto"/>
      <w:outlineLvl w:val="1"/>
    </w:pPr>
    <w:rPr>
      <w:rFonts w:ascii="宋体" w:hAnsi="宋体" w:eastAsia="宋体" w:cs="宋体"/>
      <w:b/>
      <w:bCs/>
      <w:sz w:val="28"/>
      <w:szCs w:val="30"/>
      <w:lang w:val="en-US" w:eastAsia="zh-CN" w:bidi="ar-SA"/>
    </w:rPr>
  </w:style>
  <w:style w:type="paragraph" w:styleId="1268">
    <w:name w:val="三级标题"/>
    <w:next w:val="708"/>
    <w:link w:val="708"/>
    <w:qFormat/>
    <w:pPr>
      <w:numPr>
        <w:ilvl w:val="2"/>
        <w:numId w:val="5"/>
      </w:numPr>
      <w:spacing w:line="360" w:lineRule="auto"/>
      <w:outlineLvl w:val="2"/>
    </w:pPr>
    <w:rPr>
      <w:rFonts w:ascii="宋体" w:hAnsi="宋体" w:eastAsia="宋体" w:cs="宋体"/>
      <w:bCs/>
      <w:sz w:val="21"/>
      <w:szCs w:val="30"/>
      <w:lang w:val="en-US" w:eastAsia="zh-CN" w:bidi="ar-SA"/>
    </w:rPr>
  </w:style>
  <w:style w:type="paragraph" w:styleId="1269">
    <w:name w:val="四级标题"/>
    <w:next w:val="708"/>
    <w:link w:val="708"/>
    <w:qFormat/>
    <w:pPr>
      <w:numPr>
        <w:ilvl w:val="3"/>
        <w:numId w:val="5"/>
      </w:numPr>
      <w:spacing w:line="360" w:lineRule="auto"/>
      <w:outlineLvl w:val="3"/>
    </w:pPr>
    <w:rPr>
      <w:rFonts w:ascii="宋体" w:hAnsi="宋体" w:eastAsia="宋体" w:cs="宋体"/>
      <w:bCs/>
      <w:sz w:val="21"/>
      <w:szCs w:val="30"/>
      <w:lang w:val="en-US" w:eastAsia="zh-CN" w:bidi="ar-SA"/>
    </w:rPr>
  </w:style>
  <w:style w:type="paragraph" w:styleId="1270">
    <w:name w:val="msonormal"/>
    <w:basedOn w:val="708"/>
    <w:next w:val="1270"/>
    <w:link w:val="708"/>
    <w:qFormat/>
    <w:pPr>
      <w:jc w:val="left"/>
      <w:spacing w:before="100" w:beforeAutospacing="1" w:after="100" w:afterAutospacing="1"/>
      <w:widowControl/>
    </w:pPr>
    <w:rPr>
      <w:rFonts w:ascii="宋体" w:hAnsi="宋体" w:cs="宋体"/>
      <w:sz w:val="24"/>
      <w:szCs w:val="24"/>
    </w:rPr>
  </w:style>
  <w:style w:type="paragraph" w:styleId="1271">
    <w:name w:val="xl71"/>
    <w:basedOn w:val="708"/>
    <w:next w:val="1271"/>
    <w:link w:val="708"/>
    <w:qFormat/>
    <w:pPr>
      <w:jc w:val="left"/>
      <w:spacing w:before="100" w:beforeAutospacing="1" w:after="100" w:afterAutospacing="1"/>
      <w:widowControl/>
    </w:pPr>
    <w:rPr>
      <w:rFonts w:ascii="宋体" w:hAnsi="宋体" w:cs="宋体"/>
      <w:sz w:val="24"/>
      <w:szCs w:val="24"/>
    </w:rPr>
  </w:style>
  <w:style w:type="paragraph" w:styleId="1272">
    <w:name w:val="xl72"/>
    <w:basedOn w:val="708"/>
    <w:next w:val="1272"/>
    <w:link w:val="708"/>
    <w:qFormat/>
    <w:pPr>
      <w:jc w:val="center"/>
      <w:spacing w:before="100" w:beforeAutospacing="1" w:after="100" w:afterAutospacing="1"/>
      <w:widowControl/>
    </w:pPr>
    <w:rPr>
      <w:rFonts w:ascii="宋体" w:hAnsi="宋体" w:cs="宋体"/>
      <w:sz w:val="24"/>
      <w:szCs w:val="24"/>
    </w:rPr>
  </w:style>
  <w:style w:type="paragraph" w:styleId="1273">
    <w:name w:val="xl73"/>
    <w:basedOn w:val="708"/>
    <w:next w:val="1273"/>
    <w:link w:val="708"/>
    <w:qFormat/>
    <w:pPr>
      <w:jc w:val="center"/>
      <w:spacing w:before="100" w:beforeAutospacing="1" w:after="100" w:afterAutospacing="1"/>
      <w:widowControl/>
    </w:pPr>
    <w:rPr>
      <w:rFonts w:ascii="宋体" w:hAnsi="宋体" w:cs="宋体"/>
      <w:sz w:val="24"/>
      <w:szCs w:val="24"/>
    </w:rPr>
  </w:style>
  <w:style w:type="paragraph" w:styleId="1274">
    <w:name w:val="xl74"/>
    <w:basedOn w:val="708"/>
    <w:next w:val="1274"/>
    <w:link w:val="708"/>
    <w:qFormat/>
    <w:pPr>
      <w:jc w:val="center"/>
      <w:spacing w:before="100" w:beforeAutospacing="1" w:after="100" w:afterAutospacing="1"/>
      <w:widowControl/>
    </w:pPr>
    <w:rPr>
      <w:rFonts w:ascii="宋体" w:hAnsi="宋体" w:cs="宋体"/>
      <w:sz w:val="20"/>
    </w:rPr>
  </w:style>
  <w:style w:type="paragraph" w:styleId="1275">
    <w:name w:val="xl75"/>
    <w:basedOn w:val="708"/>
    <w:next w:val="1275"/>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6">
    <w:name w:val="xl76"/>
    <w:basedOn w:val="708"/>
    <w:next w:val="1276"/>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7">
    <w:name w:val="xl77"/>
    <w:basedOn w:val="708"/>
    <w:next w:val="1277"/>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8">
    <w:name w:val="xl78"/>
    <w:basedOn w:val="708"/>
    <w:next w:val="1278"/>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9">
    <w:name w:val="xl79"/>
    <w:basedOn w:val="708"/>
    <w:next w:val="1279"/>
    <w:link w:val="708"/>
    <w:qFormat/>
    <w:pPr>
      <w:jc w:val="center"/>
      <w:spacing w:before="100" w:beforeAutospacing="1" w:after="100" w:afterAutospacing="1"/>
      <w:shd w:val="clear" w:color="000000" w:fill="ffffff"/>
      <w:widowControl/>
    </w:pPr>
    <w:rPr>
      <w:rFonts w:ascii="宋体" w:hAnsi="宋体" w:cs="宋体"/>
      <w:sz w:val="20"/>
    </w:rPr>
  </w:style>
  <w:style w:type="paragraph" w:styleId="1280">
    <w:name w:val="xl80"/>
    <w:basedOn w:val="708"/>
    <w:next w:val="1280"/>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1">
    <w:name w:val="xl81"/>
    <w:basedOn w:val="708"/>
    <w:next w:val="1281"/>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2">
    <w:name w:val="xl82"/>
    <w:basedOn w:val="708"/>
    <w:next w:val="1282"/>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3">
    <w:name w:val="xl83"/>
    <w:basedOn w:val="708"/>
    <w:next w:val="1283"/>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4">
    <w:name w:val="xl84"/>
    <w:basedOn w:val="708"/>
    <w:next w:val="1284"/>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5">
    <w:name w:val="xl85"/>
    <w:basedOn w:val="708"/>
    <w:next w:val="1285"/>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6">
    <w:name w:val="纯文本11"/>
    <w:basedOn w:val="708"/>
    <w:next w:val="1286"/>
    <w:link w:val="708"/>
    <w:qFormat/>
    <w:rPr>
      <w:rFonts w:ascii="宋体" w:hAnsi="Courier New"/>
    </w:rPr>
  </w:style>
  <w:style w:type="paragraph" w:styleId="1287">
    <w:name w:val="_Style 78"/>
    <w:basedOn w:val="708"/>
    <w:next w:val="708"/>
    <w:link w:val="708"/>
    <w:uiPriority w:val="39"/>
    <w:qFormat/>
    <w:pPr>
      <w:ind w:left="1470"/>
      <w:jc w:val="left"/>
    </w:pPr>
    <w:rPr>
      <w:szCs w:val="21"/>
    </w:rPr>
  </w:style>
  <w:style w:type="paragraph" w:styleId="1288">
    <w:name w:val="页脚1"/>
    <w:basedOn w:val="708"/>
    <w:next w:val="1288"/>
    <w:link w:val="708"/>
    <w:qFormat/>
    <w:pPr>
      <w:jc w:val="left"/>
      <w:tabs>
        <w:tab w:val="center" w:pos="4153" w:leader="none"/>
        <w:tab w:val="right" w:pos="8306" w:leader="none"/>
      </w:tabs>
    </w:pPr>
    <w:rPr>
      <w:sz w:val="18"/>
      <w:szCs w:val="18"/>
    </w:rPr>
  </w:style>
  <w:style w:type="character" w:styleId="1289">
    <w:name w:val="默认段落字体11"/>
    <w:next w:val="1289"/>
    <w:link w:val="708"/>
    <w:uiPriority w:val="1"/>
    <w:unhideWhenUsed/>
    <w:qFormat/>
    <w:rPr>
      <w:rFonts w:ascii="Times New Roman" w:hAnsi="Times New Roman" w:eastAsia="宋体" w:cs="Times New Roman"/>
      <w:sz w:val="21"/>
      <w:lang w:val="en-US" w:eastAsia="zh-CN" w:bidi="ar-SA"/>
    </w:rPr>
  </w:style>
  <w:style w:type="paragraph" w:styleId="1290">
    <w:name w:val="索引 41"/>
    <w:basedOn w:val="708"/>
    <w:next w:val="708"/>
    <w:link w:val="708"/>
    <w:semiHidden/>
    <w:qFormat/>
    <w:pPr>
      <w:ind w:left="1260"/>
    </w:pPr>
    <w:rPr>
      <w:rFonts w:ascii="Calibri" w:hAnsi="Calibri" w:eastAsia="Calibri" w:cs="宋体"/>
      <w:sz w:val="20"/>
      <w:lang w:val="zh-CN"/>
    </w:rPr>
  </w:style>
  <w:style w:type="character" w:styleId="1291">
    <w:name w:val="font01"/>
    <w:basedOn w:val="806"/>
    <w:next w:val="1291"/>
    <w:link w:val="708"/>
    <w:qFormat/>
    <w:rPr>
      <w:rFonts w:hint="eastAsia" w:ascii="宋体" w:hAnsi="宋体" w:eastAsia="宋体" w:cs="宋体"/>
      <w:color w:val="000000"/>
      <w:sz w:val="22"/>
      <w:szCs w:val="22"/>
      <w:u w:val="none"/>
    </w:rPr>
  </w:style>
  <w:style w:type="paragraph" w:styleId="1292">
    <w:name w:val="普通(网站)1"/>
    <w:basedOn w:val="708"/>
    <w:next w:val="1292"/>
    <w:link w:val="708"/>
    <w:uiPriority w:val="99"/>
    <w:qFormat/>
    <w:pPr>
      <w:jc w:val="left"/>
      <w:spacing w:before="100" w:beforeAutospacing="1" w:after="100" w:afterAutospacing="1"/>
      <w:widowControl/>
    </w:pPr>
    <w:rPr>
      <w:rFonts w:ascii="宋体" w:hAnsi="宋体" w:eastAsia="宋体" w:cs="宋体"/>
      <w:sz w:val="24"/>
      <w:szCs w:val="24"/>
    </w:rPr>
  </w:style>
  <w:style w:type="character" w:styleId="1293">
    <w:name w:val="font21"/>
    <w:basedOn w:val="718"/>
    <w:next w:val="1293"/>
    <w:link w:val="708"/>
    <w:qFormat/>
    <w:rPr>
      <w:rFonts w:ascii="Times New Roman" w:hAnsi="Times New Roman" w:cs="Times New Roman"/>
      <w:color w:val="000000"/>
      <w:sz w:val="22"/>
      <w:szCs w:val="22"/>
      <w:u w:val="none"/>
    </w:rPr>
  </w:style>
  <w:style w:type="table" w:styleId="1294">
    <w:name w:val="Table Normal"/>
    <w:next w:val="1294"/>
    <w:link w:val="708"/>
    <w:qFormat/>
    <w:tblPr/>
  </w:style>
  <w:style w:type="character" w:styleId="1295">
    <w:name w:val="font151"/>
    <w:basedOn w:val="718"/>
    <w:next w:val="1295"/>
    <w:link w:val="708"/>
    <w:qFormat/>
    <w:rPr>
      <w:rFonts w:ascii="宋体" w:hAnsi="宋体" w:eastAsia="宋体" w:cs="宋体"/>
      <w:color w:val="000000"/>
      <w:sz w:val="20"/>
      <w:szCs w:val="20"/>
      <w:u w:val="none"/>
    </w:rPr>
  </w:style>
  <w:style w:type="character" w:styleId="1296">
    <w:name w:val="font131"/>
    <w:basedOn w:val="718"/>
    <w:next w:val="1296"/>
    <w:link w:val="708"/>
    <w:qFormat/>
    <w:rPr>
      <w:rFonts w:hint="eastAsia" w:ascii="宋体" w:hAnsi="宋体" w:eastAsia="宋体" w:cs="宋体"/>
      <w:color w:val="ff0000"/>
      <w:sz w:val="20"/>
      <w:szCs w:val="20"/>
      <w:u w:val="none"/>
    </w:rPr>
  </w:style>
  <w:style w:type="character" w:styleId="158246" w:default="1">
    <w:name w:val="Default Paragraph Font"/>
    <w:uiPriority w:val="1"/>
    <w:semiHidden/>
    <w:unhideWhenUsed/>
  </w:style>
  <w:style w:type="numbering" w:styleId="158247" w:default="1">
    <w:name w:val="No List"/>
    <w:uiPriority w:val="99"/>
    <w:semiHidden/>
    <w:unhideWhenUsed/>
  </w:style>
  <w:style w:type="table" w:styleId="1582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金芸</cp:lastModifiedBy>
  <cp:revision>4</cp:revision>
  <dcterms:created xsi:type="dcterms:W3CDTF">2024-01-04T17:07:00Z</dcterms:created>
  <dcterms:modified xsi:type="dcterms:W3CDTF">2026-07-01T07:24:57Z</dcterms:modified>
</cp:coreProperties>
</file>