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057CA20F">
      <w:pPr>
        <w:pStyle w:val="69"/>
      </w:pPr>
    </w:p>
    <w:p w14:paraId="1961C8F5">
      <w:pPr>
        <w:pStyle w:val="69"/>
        <w:jc w:val="center"/>
        <w:rPr>
          <w:rFonts w:hint="eastAsia" w:eastAsia="黑体"/>
          <w:sz w:val="24"/>
          <w:szCs w:val="28"/>
          <w:lang w:eastAsia="zh-CN"/>
        </w:rPr>
      </w:pPr>
      <w:r>
        <w:rPr>
          <w:rFonts w:hint="eastAsia" w:ascii="Arial" w:hAnsi="Arial" w:eastAsia="黑体" w:cs="Arial"/>
          <w:b/>
          <w:bCs/>
          <w:sz w:val="60"/>
          <w:szCs w:val="60"/>
          <w:lang w:eastAsia="zh-CN"/>
        </w:rPr>
        <w:t>江苏省人民医院雨花院区2026年门诊导医服务外包项目</w:t>
      </w:r>
    </w:p>
    <w:p w14:paraId="5767189F">
      <w:pPr>
        <w:widowControl/>
        <w:spacing w:line="360" w:lineRule="auto"/>
        <w:jc w:val="center"/>
        <w:rPr>
          <w:rFonts w:hint="eastAsia" w:ascii="Arial" w:hAnsi="宋体" w:cs="Arial"/>
          <w:b/>
          <w:kern w:val="0"/>
          <w:sz w:val="72"/>
          <w:szCs w:val="72"/>
        </w:rPr>
      </w:pPr>
    </w:p>
    <w:p w14:paraId="29287FC1">
      <w:pPr>
        <w:pStyle w:val="33"/>
        <w:ind w:left="1260"/>
      </w:pPr>
    </w:p>
    <w:p w14:paraId="11B9C97C">
      <w:pPr>
        <w:pStyle w:val="33"/>
        <w:ind w:left="1260"/>
      </w:pPr>
    </w:p>
    <w:p w14:paraId="1F7360A2"/>
    <w:p w14:paraId="284EDE60">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4B5D333">
      <w:pPr>
        <w:widowControl/>
        <w:spacing w:line="360" w:lineRule="auto"/>
        <w:jc w:val="center"/>
        <w:rPr>
          <w:rFonts w:ascii="Arial" w:hAnsi="Arial" w:cs="Arial"/>
          <w:b/>
          <w:kern w:val="0"/>
          <w:sz w:val="36"/>
          <w:szCs w:val="36"/>
        </w:rPr>
      </w:pPr>
    </w:p>
    <w:p w14:paraId="5E48FA9D">
      <w:pPr>
        <w:ind w:firstLine="1606" w:firstLineChars="500"/>
        <w:rPr>
          <w:rFonts w:hint="eastAsia" w:ascii="Arial" w:hAnsi="Arial" w:eastAsia="宋体"/>
          <w:b/>
          <w:bCs/>
          <w:color w:val="000000"/>
          <w:sz w:val="32"/>
          <w:szCs w:val="24"/>
          <w:lang w:eastAsia="zh-CN"/>
        </w:rPr>
      </w:pPr>
      <w:r>
        <w:rPr>
          <w:rFonts w:hint="eastAsia"/>
          <w:b/>
          <w:bCs/>
          <w:color w:val="000000"/>
          <w:sz w:val="32"/>
        </w:rPr>
        <w:t>采购编号：</w:t>
      </w:r>
      <w:r>
        <w:rPr>
          <w:rFonts w:hint="eastAsia" w:ascii="Arial" w:hAnsi="Arial"/>
          <w:b/>
          <w:bCs/>
          <w:color w:val="000000"/>
          <w:sz w:val="32"/>
          <w:szCs w:val="24"/>
          <w:lang w:eastAsia="zh-CN"/>
        </w:rPr>
        <w:t>JSZC-320000-JCEC-G2026-0214</w:t>
      </w:r>
    </w:p>
    <w:p w14:paraId="5B51D289">
      <w:pPr>
        <w:widowControl/>
        <w:spacing w:line="360" w:lineRule="auto"/>
        <w:jc w:val="center"/>
        <w:rPr>
          <w:rFonts w:hint="eastAsia" w:ascii="Arial" w:hAnsi="宋体" w:eastAsia="宋体" w:cs="Arial"/>
          <w:b/>
          <w:kern w:val="0"/>
          <w:sz w:val="36"/>
          <w:szCs w:val="36"/>
          <w:lang w:eastAsia="zh-CN"/>
        </w:rPr>
      </w:pPr>
      <w:r>
        <w:rPr>
          <w:rFonts w:hint="eastAsia" w:ascii="Arial" w:hAnsi="Arial"/>
          <w:b/>
          <w:bCs/>
          <w:color w:val="000000"/>
          <w:sz w:val="32"/>
          <w:szCs w:val="24"/>
        </w:rPr>
        <w:t>代理机构编号：</w:t>
      </w:r>
      <w:r>
        <w:rPr>
          <w:rFonts w:hint="eastAsia" w:ascii="Arial" w:hAnsi="Arial"/>
          <w:b/>
          <w:bCs/>
          <w:color w:val="000000"/>
          <w:sz w:val="32"/>
          <w:szCs w:val="24"/>
          <w:lang w:eastAsia="zh-CN"/>
        </w:rPr>
        <w:t>ZJ066026K0ZC01479</w:t>
      </w:r>
    </w:p>
    <w:p w14:paraId="119F9B3B">
      <w:pPr>
        <w:widowControl/>
        <w:spacing w:line="360" w:lineRule="auto"/>
        <w:jc w:val="center"/>
        <w:rPr>
          <w:rFonts w:hint="eastAsia" w:ascii="Arial" w:hAnsi="宋体" w:eastAsia="宋体" w:cs="Arial"/>
          <w:b/>
          <w:kern w:val="0"/>
          <w:sz w:val="40"/>
          <w:szCs w:val="40"/>
          <w:lang w:eastAsia="zh-CN"/>
        </w:rPr>
      </w:pPr>
    </w:p>
    <w:p w14:paraId="4F9E0A44">
      <w:pPr>
        <w:widowControl/>
        <w:spacing w:line="360" w:lineRule="auto"/>
        <w:jc w:val="center"/>
        <w:rPr>
          <w:rFonts w:hint="eastAsia" w:ascii="Arial" w:hAnsi="宋体" w:cs="Arial"/>
          <w:b/>
          <w:kern w:val="0"/>
          <w:sz w:val="36"/>
          <w:szCs w:val="36"/>
        </w:rPr>
      </w:pPr>
    </w:p>
    <w:p w14:paraId="7CFCA725">
      <w:pPr>
        <w:widowControl/>
        <w:spacing w:line="360" w:lineRule="auto"/>
        <w:jc w:val="center"/>
        <w:rPr>
          <w:rFonts w:ascii="Arial" w:hAnsi="Arial" w:cs="Arial"/>
          <w:b/>
          <w:kern w:val="0"/>
          <w:sz w:val="28"/>
          <w:szCs w:val="28"/>
        </w:rPr>
      </w:pPr>
    </w:p>
    <w:p w14:paraId="03A52B7C">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7281DD08">
      <w:pPr>
        <w:pStyle w:val="33"/>
        <w:ind w:left="1260"/>
        <w:rPr>
          <w:rFonts w:ascii="Arial" w:hAnsi="Arial" w:cs="Arial"/>
          <w:kern w:val="0"/>
          <w:sz w:val="32"/>
          <w:szCs w:val="32"/>
        </w:rPr>
      </w:pPr>
    </w:p>
    <w:p w14:paraId="7B096374">
      <w:pPr>
        <w:pStyle w:val="33"/>
        <w:ind w:left="1260"/>
      </w:pPr>
    </w:p>
    <w:p w14:paraId="32395A8B">
      <w:pPr>
        <w:widowControl/>
        <w:spacing w:line="360" w:lineRule="auto"/>
        <w:jc w:val="center"/>
        <w:rPr>
          <w:rFonts w:ascii="Arial" w:hAnsi="Arial" w:cs="Arial"/>
          <w:b/>
          <w:kern w:val="0"/>
          <w:sz w:val="36"/>
          <w:szCs w:val="36"/>
        </w:rPr>
      </w:pPr>
    </w:p>
    <w:p w14:paraId="5D5354A5">
      <w:pPr>
        <w:widowControl/>
        <w:spacing w:line="360" w:lineRule="auto"/>
        <w:jc w:val="center"/>
        <w:rPr>
          <w:rFonts w:hint="eastAsia" w:ascii="Arial" w:hAnsi="Arial" w:eastAsia="宋体" w:cs="Arial"/>
          <w:b/>
          <w:kern w:val="0"/>
          <w:sz w:val="32"/>
          <w:szCs w:val="32"/>
          <w:lang w:eastAsia="zh-CN"/>
        </w:rPr>
      </w:pPr>
      <w:r>
        <w:rPr>
          <w:rFonts w:hint="eastAsia" w:ascii="Arial" w:hAnsi="Arial" w:cs="Arial"/>
          <w:b/>
          <w:kern w:val="0"/>
          <w:sz w:val="32"/>
          <w:szCs w:val="32"/>
        </w:rPr>
        <w:t>采购人：</w:t>
      </w:r>
      <w:r>
        <w:rPr>
          <w:rFonts w:hint="eastAsia" w:ascii="Arial" w:hAnsi="Arial" w:cs="Arial"/>
          <w:b/>
          <w:kern w:val="0"/>
          <w:sz w:val="32"/>
          <w:szCs w:val="32"/>
          <w:lang w:eastAsia="zh-CN"/>
        </w:rPr>
        <w:t>江苏省人民医院</w:t>
      </w:r>
    </w:p>
    <w:p w14:paraId="60E32916">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05AC2775">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2026年</w:t>
      </w:r>
      <w:r>
        <w:rPr>
          <w:rFonts w:hint="eastAsia" w:ascii="宋体" w:hAnsi="宋体" w:cs="宋体"/>
          <w:b/>
          <w:kern w:val="0"/>
          <w:sz w:val="32"/>
          <w:szCs w:val="32"/>
          <w:lang w:val="en-US" w:eastAsia="zh-CN"/>
        </w:rPr>
        <w:t>6</w:t>
      </w:r>
      <w:r>
        <w:rPr>
          <w:rFonts w:hint="eastAsia" w:ascii="宋体" w:hAnsi="宋体" w:cs="宋体"/>
          <w:b/>
          <w:kern w:val="0"/>
          <w:sz w:val="32"/>
          <w:szCs w:val="32"/>
        </w:rPr>
        <w:t>月</w:t>
      </w:r>
    </w:p>
    <w:p w14:paraId="306E8738">
      <w:pPr>
        <w:pStyle w:val="172"/>
        <w:jc w:val="center"/>
        <w:rPr>
          <w:rFonts w:ascii="Arial" w:hAnsi="Arial" w:cs="Arial"/>
          <w:color w:val="auto"/>
          <w:sz w:val="36"/>
          <w:szCs w:val="36"/>
        </w:rPr>
      </w:pPr>
      <w:r>
        <w:rPr>
          <w:rFonts w:ascii="Arial" w:hAnsi="宋体" w:cs="Arial"/>
          <w:color w:val="auto"/>
          <w:sz w:val="36"/>
          <w:szCs w:val="36"/>
          <w:lang w:val="zh-CN"/>
        </w:rPr>
        <w:t>目录</w:t>
      </w:r>
    </w:p>
    <w:p w14:paraId="1B46388D">
      <w:pPr>
        <w:pStyle w:val="44"/>
        <w:tabs>
          <w:tab w:val="right" w:leader="dot" w:pos="8296"/>
        </w:tabs>
        <w:rPr>
          <w:rFonts w:ascii="Arial" w:hAnsi="Arial" w:cs="Arial"/>
          <w:sz w:val="28"/>
          <w:szCs w:val="28"/>
        </w:rPr>
      </w:pPr>
    </w:p>
    <w:p w14:paraId="6FF43E74">
      <w:pPr>
        <w:pStyle w:val="44"/>
        <w:tabs>
          <w:tab w:val="right" w:leader="dot" w:pos="8299"/>
        </w:tabs>
        <w:spacing w:line="48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080CE20D">
      <w:pPr>
        <w:pStyle w:val="44"/>
        <w:tabs>
          <w:tab w:val="right" w:leader="dot" w:pos="8299"/>
        </w:tabs>
        <w:spacing w:line="480" w:lineRule="auto"/>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14:paraId="7148D494">
      <w:pPr>
        <w:pStyle w:val="44"/>
        <w:tabs>
          <w:tab w:val="right" w:leader="dot" w:pos="8299"/>
        </w:tabs>
        <w:spacing w:line="480" w:lineRule="auto"/>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12101307">
      <w:pPr>
        <w:pStyle w:val="44"/>
        <w:tabs>
          <w:tab w:val="right" w:leader="dot" w:pos="8299"/>
        </w:tabs>
        <w:spacing w:line="480" w:lineRule="auto"/>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22</w:t>
      </w:r>
      <w:r>
        <w:rPr>
          <w:rFonts w:hint="eastAsia" w:ascii="宋体" w:hAnsi="宋体" w:cs="宋体"/>
          <w:sz w:val="28"/>
          <w:szCs w:val="28"/>
        </w:rPr>
        <w:fldChar w:fldCharType="end"/>
      </w:r>
      <w:r>
        <w:rPr>
          <w:rFonts w:hint="eastAsia" w:ascii="宋体" w:hAnsi="宋体" w:cs="宋体"/>
          <w:sz w:val="28"/>
          <w:szCs w:val="28"/>
        </w:rPr>
        <w:fldChar w:fldCharType="end"/>
      </w:r>
    </w:p>
    <w:p w14:paraId="0DB69E55">
      <w:pPr>
        <w:pStyle w:val="44"/>
        <w:tabs>
          <w:tab w:val="right" w:leader="dot" w:pos="8299"/>
        </w:tabs>
        <w:spacing w:line="480" w:lineRule="auto"/>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sz w:val="28"/>
          <w:szCs w:val="28"/>
        </w:rPr>
        <w:fldChar w:fldCharType="end"/>
      </w:r>
    </w:p>
    <w:p w14:paraId="31E4CB7E">
      <w:pPr>
        <w:pStyle w:val="44"/>
        <w:tabs>
          <w:tab w:val="right" w:leader="dot" w:pos="8299"/>
        </w:tabs>
        <w:spacing w:line="480" w:lineRule="auto"/>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sz w:val="28"/>
          <w:szCs w:val="28"/>
        </w:rPr>
        <w:fldChar w:fldCharType="end"/>
      </w:r>
    </w:p>
    <w:p w14:paraId="315F657C">
      <w:pPr>
        <w:spacing w:line="480" w:lineRule="auto"/>
        <w:rPr>
          <w:rFonts w:ascii="Arial" w:hAnsi="Arial" w:cs="Arial"/>
          <w:sz w:val="52"/>
          <w:szCs w:val="52"/>
        </w:rPr>
      </w:pPr>
      <w:r>
        <w:rPr>
          <w:rFonts w:hint="eastAsia" w:ascii="宋体" w:hAnsi="宋体" w:cs="宋体"/>
          <w:sz w:val="28"/>
          <w:szCs w:val="28"/>
        </w:rPr>
        <w:fldChar w:fldCharType="end"/>
      </w:r>
    </w:p>
    <w:p w14:paraId="33C50F2E">
      <w:pPr>
        <w:widowControl/>
        <w:shd w:val="clear" w:color="auto" w:fill="FFFFFF"/>
        <w:spacing w:line="360" w:lineRule="auto"/>
        <w:jc w:val="center"/>
        <w:rPr>
          <w:rFonts w:ascii="Arial" w:hAnsi="Arial" w:cs="Arial"/>
          <w:b/>
          <w:kern w:val="0"/>
          <w:sz w:val="36"/>
          <w:szCs w:val="36"/>
        </w:rPr>
      </w:pPr>
    </w:p>
    <w:p w14:paraId="29E415FA">
      <w:pPr>
        <w:pStyle w:val="13"/>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13"/>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7"/>
      <w:bookmarkStart w:id="6" w:name="OLE_LINK1"/>
      <w:bookmarkStart w:id="7" w:name="OLE_LINK6"/>
      <w:bookmarkStart w:id="8" w:name="OLE_LINK5"/>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2"/>
      <w:bookmarkStart w:id="11" w:name="OLE_LINK4"/>
      <w:bookmarkStart w:id="12" w:name="OLE_LINK3"/>
      <w:bookmarkStart w:id="13" w:name="_Hlk74841176"/>
      <w:r>
        <w:rPr>
          <w:rFonts w:hint="eastAsia" w:ascii="Arial" w:hAnsi="Arial" w:cs="Arial"/>
          <w:spacing w:val="8"/>
          <w:kern w:val="0"/>
          <w:szCs w:val="21"/>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lang w:eastAsia="zh-CN"/>
        </w:rPr>
        <w:t>江苏省人民医院雨花院区2026年门诊导医服务外包项目</w:t>
      </w:r>
      <w:r>
        <w:rPr>
          <w:rFonts w:hint="eastAsia" w:ascii="宋体" w:hAnsi="宋体" w:cs="Arial"/>
          <w:kern w:val="0"/>
          <w:szCs w:val="21"/>
          <w:u w:val="single"/>
        </w:rPr>
        <w:t xml:space="preserve">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lang w:val="en-US" w:eastAsia="zh-CN"/>
        </w:rPr>
        <w:t>7</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16</w:t>
      </w:r>
      <w:r>
        <w:rPr>
          <w:rFonts w:ascii="宋体" w:hAnsi="宋体" w:cs="Arial"/>
          <w:color w:val="auto"/>
          <w:kern w:val="0"/>
          <w:szCs w:val="21"/>
          <w:u w:val="single"/>
        </w:rPr>
        <w:t>日</w:t>
      </w:r>
      <w:r>
        <w:rPr>
          <w:rFonts w:hint="eastAsia" w:ascii="宋体" w:hAnsi="宋体" w:cs="Arial"/>
          <w:color w:val="auto"/>
          <w:kern w:val="0"/>
          <w:szCs w:val="21"/>
          <w:u w:val="single"/>
          <w:lang w:val="en-US" w:eastAsia="zh-CN"/>
        </w:rPr>
        <w:t>14</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ascii="Arial" w:hAnsi="Arial" w:cs="Arial"/>
          <w:spacing w:val="8"/>
          <w:kern w:val="0"/>
          <w:szCs w:val="21"/>
        </w:rPr>
        <w:t>（北京时间）前递交投标文件。</w:t>
      </w:r>
    </w:p>
    <w:p w14:paraId="4C7AE605">
      <w:pPr>
        <w:pStyle w:val="72"/>
      </w:pPr>
    </w:p>
    <w:p w14:paraId="21D732F9"/>
    <w:p w14:paraId="57CB362C">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29EA2D46">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JSZC-320000-JCEC-G2026-0214</w:t>
      </w:r>
    </w:p>
    <w:p w14:paraId="17D79080">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1.2项目名称：</w:t>
      </w:r>
      <w:r>
        <w:rPr>
          <w:rFonts w:hint="eastAsia" w:ascii="Arial" w:hAnsi="Arial" w:cs="Arial"/>
          <w:spacing w:val="8"/>
          <w:kern w:val="0"/>
          <w:szCs w:val="21"/>
          <w:lang w:eastAsia="zh-CN"/>
        </w:rPr>
        <w:t>江苏省人民医院雨花院区2026年门诊导医服务外包项目</w:t>
      </w:r>
    </w:p>
    <w:p w14:paraId="43CF4F93">
      <w:pPr>
        <w:widowControl/>
        <w:shd w:val="clear" w:color="auto" w:fill="FFFFFF" w:themeFill="background1"/>
        <w:spacing w:line="360" w:lineRule="auto"/>
        <w:ind w:firstLine="452" w:firstLineChars="200"/>
        <w:rPr>
          <w:rFonts w:hint="default" w:ascii="Arial" w:hAnsi="Arial" w:eastAsia="宋体" w:cs="Arial"/>
          <w:spacing w:val="8"/>
          <w:kern w:val="0"/>
          <w:szCs w:val="21"/>
          <w:lang w:val="en-US" w:eastAsia="zh-CN"/>
        </w:rPr>
      </w:pPr>
      <w:r>
        <w:rPr>
          <w:rFonts w:ascii="Arial" w:hAnsi="Arial" w:cs="Arial"/>
          <w:spacing w:val="8"/>
          <w:kern w:val="0"/>
          <w:szCs w:val="21"/>
        </w:rPr>
        <w:t>1.3预算金额</w:t>
      </w:r>
      <w:r>
        <w:rPr>
          <w:rFonts w:hint="eastAsia" w:ascii="Arial" w:hAnsi="Arial" w:cs="Arial"/>
          <w:spacing w:val="8"/>
          <w:kern w:val="0"/>
          <w:szCs w:val="21"/>
        </w:rPr>
        <w:t>：人民币250万元</w:t>
      </w:r>
    </w:p>
    <w:p w14:paraId="032C826A">
      <w:pPr>
        <w:widowControl/>
        <w:shd w:val="clear" w:color="auto" w:fill="FFFFFF" w:themeFill="background1"/>
        <w:spacing w:line="360" w:lineRule="auto"/>
        <w:ind w:firstLine="452" w:firstLineChars="200"/>
        <w:rPr>
          <w:rFonts w:hint="default" w:ascii="Arial" w:hAnsi="Arial" w:eastAsia="宋体" w:cs="Arial"/>
          <w:spacing w:val="8"/>
          <w:kern w:val="0"/>
          <w:szCs w:val="21"/>
          <w:lang w:val="en-US" w:eastAsia="zh-CN"/>
        </w:rPr>
      </w:pPr>
      <w:r>
        <w:rPr>
          <w:rFonts w:ascii="Arial" w:hAnsi="Arial" w:cs="Arial"/>
          <w:spacing w:val="8"/>
          <w:kern w:val="0"/>
          <w:szCs w:val="21"/>
        </w:rPr>
        <w:t>1.4最高限价：</w:t>
      </w:r>
      <w:r>
        <w:rPr>
          <w:rFonts w:hint="eastAsia" w:ascii="Arial" w:hAnsi="Arial" w:cs="Arial"/>
          <w:spacing w:val="8"/>
          <w:kern w:val="0"/>
          <w:szCs w:val="21"/>
        </w:rPr>
        <w:t>人民币</w:t>
      </w:r>
      <w:r>
        <w:rPr>
          <w:rFonts w:hint="eastAsia" w:ascii="Arial" w:hAnsi="Arial" w:cs="Arial"/>
          <w:spacing w:val="8"/>
          <w:kern w:val="0"/>
          <w:szCs w:val="21"/>
          <w:lang w:val="en-US" w:eastAsia="zh-CN"/>
        </w:rPr>
        <w:t>250</w:t>
      </w:r>
      <w:r>
        <w:rPr>
          <w:rFonts w:hint="eastAsia" w:ascii="Arial" w:hAnsi="Arial" w:cs="Arial"/>
          <w:spacing w:val="8"/>
          <w:kern w:val="0"/>
          <w:szCs w:val="21"/>
        </w:rPr>
        <w:t>万元</w:t>
      </w:r>
      <w:r>
        <w:rPr>
          <w:rFonts w:hint="eastAsia" w:ascii="Arial" w:hAnsi="Arial" w:cs="Arial"/>
          <w:spacing w:val="8"/>
          <w:kern w:val="0"/>
          <w:szCs w:val="21"/>
          <w:lang w:eastAsia="zh-CN"/>
        </w:rPr>
        <w:t>/</w:t>
      </w:r>
      <w:r>
        <w:rPr>
          <w:rFonts w:hint="eastAsia" w:ascii="Arial" w:hAnsi="Arial" w:cs="Arial"/>
          <w:spacing w:val="8"/>
          <w:kern w:val="0"/>
          <w:szCs w:val="21"/>
          <w:lang w:val="en-US" w:eastAsia="zh-CN"/>
        </w:rPr>
        <w:t>年</w:t>
      </w:r>
    </w:p>
    <w:p w14:paraId="5D93BEF9">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lang w:eastAsia="zh-CN"/>
        </w:rPr>
        <w:t>江苏省人民医院雨花院区2026年门诊导医服务外包项目</w:t>
      </w:r>
      <w:r>
        <w:rPr>
          <w:rFonts w:hint="eastAsia" w:ascii="Arial" w:hAnsi="Arial" w:cs="Arial"/>
          <w:spacing w:val="8"/>
          <w:kern w:val="0"/>
          <w:szCs w:val="21"/>
        </w:rPr>
        <w:t>。具体服务需求详见采购文件 第四章 采购需求。</w:t>
      </w:r>
    </w:p>
    <w:p w14:paraId="08124595">
      <w:pPr>
        <w:pStyle w:val="36"/>
        <w:spacing w:line="360" w:lineRule="auto"/>
        <w:ind w:firstLine="452" w:firstLineChars="200"/>
        <w:rPr>
          <w:rFonts w:hint="eastAsia" w:ascii="宋体" w:hAnsi="宋体" w:cs="宋体"/>
          <w:color w:val="000000" w:themeColor="text1"/>
          <w:szCs w:val="21"/>
          <w:highlight w:val="none"/>
          <w14:textFill>
            <w14:solidFill>
              <w14:schemeClr w14:val="tx1"/>
            </w14:solidFill>
          </w14:textFill>
        </w:rPr>
      </w:pPr>
      <w:r>
        <w:rPr>
          <w:rFonts w:ascii="Arial" w:hAnsi="Arial" w:cs="Arial"/>
          <w:spacing w:val="8"/>
          <w:kern w:val="0"/>
          <w:szCs w:val="21"/>
          <w:highlight w:val="none"/>
        </w:rPr>
        <w:t>1.6</w:t>
      </w:r>
      <w:r>
        <w:rPr>
          <w:rFonts w:hint="eastAsia" w:ascii="Arial" w:hAnsi="Arial" w:cs="Arial"/>
          <w:spacing w:val="8"/>
          <w:kern w:val="0"/>
          <w:szCs w:val="21"/>
          <w:highlight w:val="none"/>
        </w:rPr>
        <w:t>合同履行期限：招标有效期三年，合同一年一签。合同服务期满前根据招标人对中标人的当年考评结果决定下一年度是否续签。</w:t>
      </w:r>
    </w:p>
    <w:p w14:paraId="4004178E">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w:t>
      </w:r>
      <w:r>
        <w:rPr>
          <w:rFonts w:hint="eastAsia" w:ascii="Arial" w:hAnsi="Arial" w:cs="Arial"/>
          <w:spacing w:val="8"/>
          <w:kern w:val="0"/>
          <w:szCs w:val="21"/>
          <w:lang w:eastAsia="zh-CN"/>
        </w:rPr>
        <w:t>其他未列明行业</w:t>
      </w:r>
      <w:r>
        <w:rPr>
          <w:rFonts w:hint="eastAsia" w:ascii="Arial" w:hAnsi="Arial" w:cs="Arial"/>
          <w:spacing w:val="8"/>
          <w:kern w:val="0"/>
          <w:szCs w:val="21"/>
        </w:rPr>
        <w:t>。</w:t>
      </w:r>
    </w:p>
    <w:p w14:paraId="780885CA">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7A01831A">
      <w:pPr>
        <w:widowControl/>
        <w:shd w:val="clear" w:color="auto" w:fill="FFFFFF"/>
        <w:spacing w:line="360" w:lineRule="auto"/>
        <w:ind w:firstLine="452" w:firstLineChars="200"/>
        <w:rPr>
          <w:rFonts w:ascii="Arial" w:hAnsi="Arial" w:cs="Arial"/>
          <w:spacing w:val="8"/>
          <w:kern w:val="0"/>
          <w:szCs w:val="21"/>
          <w:highlight w:val="none"/>
        </w:rPr>
      </w:pPr>
      <w:r>
        <w:rPr>
          <w:rFonts w:hint="eastAsia" w:ascii="Arial" w:hAnsi="Arial" w:cs="Arial"/>
          <w:spacing w:val="8"/>
          <w:kern w:val="0"/>
          <w:szCs w:val="21"/>
          <w:highlight w:val="none"/>
        </w:rPr>
        <w:t>1.9本项目</w:t>
      </w:r>
      <w:r>
        <w:rPr>
          <w:rFonts w:hint="eastAsia" w:ascii="Arial" w:hAnsi="Arial" w:cs="Arial"/>
          <w:b/>
          <w:bCs/>
          <w:spacing w:val="8"/>
          <w:kern w:val="0"/>
          <w:szCs w:val="21"/>
          <w:highlight w:val="none"/>
          <w:lang w:val="en-US" w:eastAsia="zh-CN"/>
        </w:rPr>
        <w:t>不</w:t>
      </w:r>
      <w:r>
        <w:rPr>
          <w:rFonts w:hint="eastAsia" w:ascii="Arial" w:hAnsi="Arial" w:cs="Arial"/>
          <w:b/>
          <w:bCs/>
          <w:spacing w:val="8"/>
          <w:kern w:val="0"/>
          <w:szCs w:val="21"/>
          <w:highlight w:val="none"/>
        </w:rPr>
        <w:t>接受</w:t>
      </w:r>
      <w:r>
        <w:rPr>
          <w:rFonts w:hint="eastAsia" w:ascii="Arial" w:hAnsi="Arial" w:cs="Arial"/>
          <w:spacing w:val="8"/>
          <w:kern w:val="0"/>
          <w:szCs w:val="21"/>
          <w:highlight w:val="none"/>
        </w:rPr>
        <w:t>进口产品。</w:t>
      </w:r>
    </w:p>
    <w:p w14:paraId="270F6BDE">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15A9DB06">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30443193">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432E9750">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6D6FB9C4">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72368F02">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21934D7">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0C0CF25A">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67BA1CCB">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69EF7721">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3985878E">
      <w:pPr>
        <w:numPr>
          <w:ilvl w:val="0"/>
          <w:numId w:val="0"/>
        </w:numPr>
        <w:spacing w:line="400" w:lineRule="exact"/>
        <w:ind w:firstLine="454" w:firstLineChars="200"/>
        <w:jc w:val="left"/>
        <w:rPr>
          <w:rFonts w:hint="eastAsia" w:ascii="宋体" w:hAnsi="宋体"/>
        </w:rPr>
      </w:pPr>
      <w:r>
        <w:rPr>
          <w:rFonts w:ascii="Arial" w:hAnsi="Arial" w:cs="Arial"/>
          <w:b/>
          <w:spacing w:val="8"/>
          <w:kern w:val="0"/>
          <w:szCs w:val="21"/>
          <w:highlight w:val="none"/>
        </w:rPr>
        <w:t>2.3采购人根据采购项目的特殊要求规定的特定条件，并提供符合特殊要求的证明材料或者情况说明：</w:t>
      </w:r>
    </w:p>
    <w:p w14:paraId="1EEA9B19">
      <w:pPr>
        <w:spacing w:line="360" w:lineRule="auto"/>
        <w:ind w:firstLine="424" w:firstLineChars="202"/>
        <w:rPr>
          <w:rFonts w:hint="eastAsia" w:ascii="Arial" w:hAnsi="Arial" w:eastAsia="宋体" w:cs="Arial"/>
          <w:bCs/>
          <w:szCs w:val="21"/>
        </w:rPr>
      </w:pPr>
      <w:r>
        <w:rPr>
          <w:rFonts w:hint="eastAsia" w:ascii="Arial" w:hAnsi="Arial" w:eastAsia="宋体" w:cs="Arial"/>
          <w:bCs/>
          <w:szCs w:val="21"/>
          <w:lang w:eastAsia="zh-CN"/>
        </w:rPr>
        <w:t>（</w:t>
      </w:r>
      <w:r>
        <w:rPr>
          <w:rFonts w:hint="eastAsia" w:ascii="Arial" w:hAnsi="Arial" w:eastAsia="宋体" w:cs="Arial"/>
          <w:bCs/>
          <w:szCs w:val="21"/>
          <w:lang w:val="en-US" w:eastAsia="zh-CN"/>
        </w:rPr>
        <w:t>1</w:t>
      </w:r>
      <w:r>
        <w:rPr>
          <w:rFonts w:hint="eastAsia" w:ascii="Arial" w:hAnsi="Arial" w:eastAsia="宋体" w:cs="Arial"/>
          <w:bCs/>
          <w:szCs w:val="21"/>
          <w:lang w:eastAsia="zh-CN"/>
        </w:rPr>
        <w:t>）</w:t>
      </w:r>
      <w:r>
        <w:rPr>
          <w:rFonts w:hint="eastAsia" w:ascii="Arial" w:hAnsi="Arial" w:eastAsia="宋体" w:cs="Arial"/>
          <w:bCs/>
          <w:szCs w:val="21"/>
        </w:rPr>
        <w:t>单位负责人为同一人或者存在直接控股、管理关系的不同供应商，不得同时参加本项目同一包的投标。（提供声明或承诺书，正本中应为原件）</w:t>
      </w:r>
    </w:p>
    <w:p w14:paraId="469F7C8D">
      <w:pPr>
        <w:spacing w:line="360" w:lineRule="auto"/>
        <w:ind w:firstLine="424" w:firstLineChars="202"/>
        <w:rPr>
          <w:rFonts w:hint="eastAsia" w:ascii="Arial" w:hAnsi="Arial" w:eastAsia="宋体" w:cs="Arial"/>
          <w:bCs/>
          <w:szCs w:val="21"/>
        </w:rPr>
      </w:pPr>
      <w:r>
        <w:rPr>
          <w:rFonts w:hint="eastAsia" w:ascii="Arial" w:hAnsi="Arial" w:eastAsia="宋体" w:cs="Arial"/>
          <w:bCs/>
          <w:szCs w:val="21"/>
        </w:rPr>
        <w:t>（</w:t>
      </w:r>
      <w:r>
        <w:rPr>
          <w:rFonts w:hint="eastAsia" w:ascii="Arial" w:hAnsi="Arial" w:eastAsia="宋体" w:cs="Arial"/>
          <w:bCs/>
          <w:szCs w:val="21"/>
          <w:lang w:val="en-US" w:eastAsia="zh-CN"/>
        </w:rPr>
        <w:t>2</w:t>
      </w:r>
      <w:r>
        <w:rPr>
          <w:rFonts w:hint="eastAsia" w:ascii="Arial" w:hAnsi="Arial" w:eastAsia="宋体" w:cs="Arial"/>
          <w:bCs/>
          <w:szCs w:val="21"/>
        </w:rPr>
        <w:t>）拒绝列入失信被执行人、</w:t>
      </w:r>
      <w:r>
        <w:rPr>
          <w:rFonts w:hint="eastAsia" w:ascii="Arial" w:hAnsi="Arial" w:cs="Arial"/>
          <w:bCs/>
          <w:szCs w:val="21"/>
          <w:lang w:eastAsia="zh-CN"/>
        </w:rPr>
        <w:t>重大税收违法失信主体名单</w:t>
      </w:r>
      <w:r>
        <w:rPr>
          <w:rFonts w:hint="eastAsia" w:ascii="Arial" w:hAnsi="Arial" w:eastAsia="宋体" w:cs="Arial"/>
          <w:bCs/>
          <w:szCs w:val="21"/>
        </w:rPr>
        <w:t>、政府采购严重违法失信行为记录名单及其他不符合《中华人民共和国政府采购法》第二十二条规定条件的供应商参与政府采购活动。</w:t>
      </w:r>
    </w:p>
    <w:p w14:paraId="223FFD10">
      <w:pPr>
        <w:spacing w:line="360" w:lineRule="auto"/>
        <w:ind w:firstLine="424" w:firstLineChars="202"/>
        <w:rPr>
          <w:rFonts w:hint="eastAsia" w:ascii="Arial" w:hAnsi="Arial" w:eastAsia="宋体" w:cs="Arial"/>
          <w:bCs/>
          <w:szCs w:val="21"/>
        </w:rPr>
      </w:pPr>
      <w:r>
        <w:rPr>
          <w:rFonts w:hint="eastAsia" w:ascii="Arial" w:hAnsi="Arial" w:eastAsia="宋体" w:cs="Arial"/>
          <w:bCs/>
          <w:szCs w:val="21"/>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909757">
      <w:pPr>
        <w:spacing w:line="360" w:lineRule="auto"/>
        <w:ind w:firstLine="842" w:firstLineChars="401"/>
        <w:rPr>
          <w:rFonts w:hint="eastAsia" w:ascii="Arial" w:hAnsi="Arial" w:eastAsia="宋体" w:cs="Arial"/>
          <w:bCs/>
          <w:szCs w:val="21"/>
          <w:lang w:val="en-US" w:eastAsia="zh-CN"/>
        </w:rPr>
      </w:pPr>
      <w:r>
        <w:rPr>
          <w:rFonts w:hint="eastAsia" w:ascii="Arial" w:hAnsi="Arial" w:eastAsia="宋体" w:cs="Arial"/>
          <w:bCs/>
          <w:szCs w:val="21"/>
        </w:rPr>
        <w:t>（</w:t>
      </w:r>
      <w:r>
        <w:rPr>
          <w:rFonts w:hint="eastAsia" w:ascii="Arial" w:hAnsi="Arial" w:cs="Arial"/>
          <w:bCs/>
          <w:szCs w:val="21"/>
          <w:lang w:val="en-US" w:eastAsia="zh-CN"/>
        </w:rPr>
        <w:t>2</w:t>
      </w:r>
      <w:r>
        <w:rPr>
          <w:rFonts w:hint="eastAsia" w:ascii="Arial" w:hAnsi="Arial" w:eastAsia="宋体" w:cs="Arial"/>
          <w:bCs/>
          <w:szCs w:val="21"/>
        </w:rPr>
        <w:t>）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348D28A">
      <w:pPr>
        <w:spacing w:line="360" w:lineRule="auto"/>
        <w:ind w:firstLine="424" w:firstLineChars="202"/>
        <w:rPr>
          <w:rFonts w:ascii="Arial" w:hAnsi="Arial" w:cs="Arial"/>
          <w:bCs/>
          <w:szCs w:val="21"/>
        </w:rPr>
      </w:pPr>
      <w:r>
        <w:rPr>
          <w:rFonts w:ascii="Arial" w:hAnsi="Arial" w:cs="Arial"/>
          <w:bCs/>
          <w:szCs w:val="21"/>
        </w:rPr>
        <w:t>2.</w:t>
      </w:r>
      <w:r>
        <w:rPr>
          <w:rFonts w:hint="eastAsia" w:ascii="Arial" w:hAnsi="Arial" w:cs="Arial"/>
          <w:bCs/>
          <w:szCs w:val="21"/>
          <w:lang w:val="en-US" w:eastAsia="zh-CN"/>
        </w:rPr>
        <w:t>4</w:t>
      </w:r>
      <w:r>
        <w:rPr>
          <w:rFonts w:ascii="Arial" w:hAnsi="Arial" w:cs="Arial"/>
          <w:bCs/>
          <w:szCs w:val="21"/>
        </w:rPr>
        <w:t xml:space="preserve"> 供应商在参加政府采购活动前3年内因违法经营被禁止在一定期限内参加政府采购活动，期限届满的，可以参加政府采购活动。</w:t>
      </w:r>
    </w:p>
    <w:p w14:paraId="7229C51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w:t>
      </w:r>
      <w:r>
        <w:rPr>
          <w:rFonts w:hint="eastAsia" w:ascii="宋体" w:hAnsi="宋体" w:cs="宋体"/>
          <w:b w:val="0"/>
          <w:bCs/>
          <w:color w:val="auto"/>
          <w:szCs w:val="21"/>
        </w:rPr>
        <w:t>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7CAB8C4A">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w:t>
      </w:r>
      <w:r>
        <w:rPr>
          <w:rFonts w:hint="eastAsia" w:ascii="宋体" w:hAnsi="宋体" w:cs="宋体"/>
          <w:spacing w:val="8"/>
          <w:kern w:val="0"/>
          <w:szCs w:val="21"/>
          <w:lang w:eastAsia="zh-CN"/>
        </w:rPr>
        <w:t>：</w:t>
      </w:r>
      <w:r>
        <w:rPr>
          <w:rFonts w:hint="eastAsia" w:ascii="宋体" w:hAnsi="宋体" w:cs="宋体"/>
          <w:spacing w:val="8"/>
          <w:kern w:val="0"/>
          <w:szCs w:val="21"/>
        </w:rPr>
        <w:t>0.00元</w:t>
      </w:r>
    </w:p>
    <w:p w14:paraId="5C31EE9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w:t>
      </w:r>
      <w:r>
        <w:rPr>
          <w:rFonts w:hint="eastAsia" w:ascii="宋体" w:hAnsi="宋体" w:cs="宋体"/>
          <w:b/>
          <w:spacing w:val="8"/>
          <w:kern w:val="0"/>
          <w:sz w:val="24"/>
        </w:rPr>
        <w:t>提交投标文件截止时间、开标时间和地点</w:t>
      </w:r>
    </w:p>
    <w:p w14:paraId="07189309">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bookmarkStart w:id="51" w:name="_GoBack"/>
      <w:bookmarkEnd w:id="51"/>
      <w:r>
        <w:rPr>
          <w:rFonts w:hint="eastAsia" w:ascii="宋体" w:hAnsi="宋体" w:cs="Arial"/>
          <w:color w:val="auto"/>
          <w:kern w:val="0"/>
          <w:szCs w:val="21"/>
          <w:u w:val="single"/>
          <w:lang w:eastAsia="zh-CN"/>
        </w:rPr>
        <w:t>2026年7月16日</w:t>
      </w:r>
      <w:r>
        <w:rPr>
          <w:rFonts w:hint="eastAsia" w:ascii="宋体" w:hAnsi="宋体" w:cs="Arial"/>
          <w:color w:val="auto"/>
          <w:kern w:val="0"/>
          <w:szCs w:val="21"/>
          <w:u w:val="single"/>
          <w:lang w:val="en-US" w:eastAsia="zh-CN"/>
        </w:rPr>
        <w:t>14</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hint="eastAsia" w:ascii="宋体" w:hAnsi="宋体" w:cs="宋体"/>
          <w:spacing w:val="8"/>
          <w:kern w:val="0"/>
          <w:szCs w:val="21"/>
        </w:rPr>
        <w:t>（北京时间）</w:t>
      </w:r>
    </w:p>
    <w:p w14:paraId="54CD8042">
      <w:pPr>
        <w:pStyle w:val="52"/>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71438AB6">
      <w:pPr>
        <w:spacing w:line="360" w:lineRule="auto"/>
        <w:ind w:firstLine="484" w:firstLineChars="202"/>
        <w:rPr>
          <w:rFonts w:ascii="Arial" w:hAnsi="Arial" w:cs="Arial"/>
          <w:bCs/>
          <w:szCs w:val="21"/>
        </w:rPr>
      </w:pPr>
      <w:r>
        <w:rPr>
          <w:rFonts w:hint="eastAsia"/>
          <w:spacing w:val="15"/>
          <w:sz w:val="21"/>
          <w:szCs w:val="21"/>
          <w:shd w:val="clear" w:color="auto" w:fill="FFFFFF"/>
        </w:rPr>
        <w:t>4.3开标地点：“苏采云”网上开标大厅。</w:t>
      </w:r>
    </w:p>
    <w:p w14:paraId="472D6DA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34D56A54">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7A5CE23E">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7B664341">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2F6CE80F">
      <w:pPr>
        <w:spacing w:line="360" w:lineRule="auto"/>
        <w:ind w:firstLine="424" w:firstLineChars="202"/>
        <w:rPr>
          <w:rFonts w:hint="eastAsia" w:ascii="Arial" w:hAnsi="Arial" w:cs="Arial"/>
          <w:bCs/>
          <w:szCs w:val="21"/>
        </w:rPr>
      </w:pPr>
      <w:r>
        <w:rPr>
          <w:rFonts w:hint="eastAsia" w:ascii="Arial" w:hAnsi="Arial" w:cs="Arial"/>
          <w:bCs/>
          <w:szCs w:val="21"/>
        </w:rPr>
        <w:t>6.2勘察现场或答疑地点：无。</w:t>
      </w:r>
    </w:p>
    <w:p w14:paraId="1769EC01">
      <w:pPr>
        <w:numPr>
          <w:ilvl w:val="0"/>
          <w:numId w:val="0"/>
        </w:numPr>
        <w:spacing w:line="360" w:lineRule="auto"/>
        <w:ind w:firstLine="424" w:firstLineChars="202"/>
        <w:rPr>
          <w:rFonts w:hint="eastAsia" w:ascii="Arial" w:hAnsi="Arial" w:cs="Arial"/>
          <w:bCs/>
          <w:szCs w:val="21"/>
          <w:lang w:val="en-US" w:eastAsia="zh-CN"/>
        </w:rPr>
      </w:pPr>
      <w:r>
        <w:rPr>
          <w:rFonts w:hint="eastAsia" w:ascii="Arial" w:hAnsi="Arial" w:cs="Arial"/>
          <w:bCs/>
          <w:szCs w:val="21"/>
        </w:rPr>
        <w:t>6.3</w:t>
      </w:r>
      <w:r>
        <w:rPr>
          <w:rFonts w:hint="eastAsia" w:ascii="Arial" w:hAnsi="Arial" w:cs="Arial"/>
          <w:bCs/>
          <w:szCs w:val="21"/>
          <w:lang w:val="en-US" w:eastAsia="zh-CN"/>
        </w:rPr>
        <w:t>获取招标文件方式补充：本项目采用网上注册登记方式。</w:t>
      </w:r>
    </w:p>
    <w:p w14:paraId="47447B94">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③“CA数字证书”的获取：</w:t>
      </w:r>
    </w:p>
    <w:p w14:paraId="331139FA">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⑥请潜在供应商提前安装相应的控件（详见《江苏省政府采购管理交易系统（苏采云）供应商操作手册》）并使用谷歌浏览器登录“苏采云”系统参与不见面开评标。</w:t>
      </w:r>
    </w:p>
    <w:p w14:paraId="174193A8">
      <w:pPr>
        <w:spacing w:line="360" w:lineRule="auto"/>
        <w:ind w:firstLine="424" w:firstLineChars="202"/>
        <w:rPr>
          <w:rFonts w:ascii="Arial" w:hAnsi="Arial" w:cs="Arial"/>
          <w:bCs/>
          <w:szCs w:val="21"/>
        </w:rPr>
      </w:pPr>
      <w:r>
        <w:rPr>
          <w:rFonts w:hint="eastAsia" w:ascii="Arial" w:hAnsi="Arial" w:cs="Arial"/>
          <w:bCs/>
          <w:szCs w:val="21"/>
          <w:lang w:val="en-US" w:eastAsia="zh-CN"/>
        </w:rPr>
        <w:t>注：如潜在供应商未按上述要求操作，将自行承担所产生的风险。</w:t>
      </w:r>
    </w:p>
    <w:p w14:paraId="49CA518C">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71A74691">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394B194B">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称：江苏省人民医院</w:t>
      </w:r>
    </w:p>
    <w:p w14:paraId="11162C63">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地址：南京市鼓楼区广州路300号</w:t>
      </w:r>
    </w:p>
    <w:p w14:paraId="1AB19926">
      <w:pPr>
        <w:spacing w:line="360" w:lineRule="auto"/>
        <w:ind w:firstLine="424" w:firstLineChars="202"/>
        <w:rPr>
          <w:rFonts w:hint="default" w:ascii="Arial" w:hAnsi="Arial" w:eastAsia="宋体" w:cs="Arial"/>
          <w:bCs/>
          <w:szCs w:val="21"/>
          <w:lang w:val="en-US" w:eastAsia="zh-CN"/>
        </w:rPr>
      </w:pPr>
      <w:r>
        <w:rPr>
          <w:rFonts w:hint="eastAsia" w:ascii="Arial" w:hAnsi="Arial" w:cs="Arial"/>
          <w:bCs/>
          <w:szCs w:val="21"/>
          <w:lang w:val="zh-CN"/>
        </w:rPr>
        <w:t>联系方式：</w:t>
      </w:r>
      <w:r>
        <w:rPr>
          <w:rFonts w:hint="eastAsia" w:ascii="Arial" w:hAnsi="Arial" w:cs="Arial"/>
          <w:bCs/>
          <w:szCs w:val="21"/>
          <w:lang w:val="en-US" w:eastAsia="zh-CN"/>
        </w:rPr>
        <w:t>金老师 025-68303993</w:t>
      </w:r>
    </w:p>
    <w:p w14:paraId="2A4D0FB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696088D7">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376E8423">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lang w:val="en-US" w:eastAsia="zh-CN"/>
        </w:rPr>
        <w:t>4</w:t>
      </w:r>
      <w:r>
        <w:rPr>
          <w:rFonts w:hint="eastAsia" w:ascii="Arial" w:hAnsi="Arial" w:cs="Arial"/>
          <w:bCs/>
          <w:szCs w:val="21"/>
          <w:lang w:val="zh-CN"/>
        </w:rPr>
        <w:t>室</w:t>
      </w:r>
    </w:p>
    <w:p w14:paraId="25CFF900">
      <w:pPr>
        <w:spacing w:line="360" w:lineRule="auto"/>
        <w:ind w:firstLine="424" w:firstLineChars="202"/>
        <w:rPr>
          <w:rFonts w:hint="default" w:ascii="Arial" w:hAnsi="Arial" w:eastAsia="宋体" w:cs="Arial"/>
          <w:bCs/>
          <w:szCs w:val="21"/>
          <w:lang w:val="en-US" w:eastAsia="zh-CN"/>
        </w:rPr>
      </w:pPr>
      <w:r>
        <w:rPr>
          <w:rFonts w:hint="eastAsia" w:ascii="Arial" w:hAnsi="Arial" w:cs="Arial"/>
          <w:bCs/>
          <w:szCs w:val="21"/>
          <w:lang w:val="zh-CN"/>
        </w:rPr>
        <w:t>联系方式：</w:t>
      </w:r>
      <w:r>
        <w:rPr>
          <w:rFonts w:hint="eastAsia" w:ascii="Arial" w:hAnsi="Arial" w:cs="Arial"/>
          <w:bCs/>
          <w:szCs w:val="21"/>
          <w:lang w:val="en-US" w:eastAsia="zh-CN"/>
        </w:rPr>
        <w:t>汪惠子</w:t>
      </w:r>
      <w:r>
        <w:rPr>
          <w:rFonts w:hint="eastAsia" w:ascii="Arial" w:hAnsi="Arial" w:cs="Arial"/>
          <w:bCs/>
          <w:szCs w:val="21"/>
          <w:lang w:val="zh-CN"/>
        </w:rPr>
        <w:t xml:space="preserve"> </w:t>
      </w:r>
      <w:r>
        <w:rPr>
          <w:rFonts w:hint="eastAsia" w:ascii="Arial" w:hAnsi="Arial" w:cs="Arial"/>
          <w:bCs/>
          <w:szCs w:val="21"/>
          <w:lang w:val="en-US" w:eastAsia="zh-CN"/>
        </w:rPr>
        <w:t>13655172889</w:t>
      </w:r>
    </w:p>
    <w:p w14:paraId="36903703">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559B48E7">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lang w:val="en-US" w:eastAsia="zh-CN"/>
        </w:rPr>
        <w:t>汪惠子</w:t>
      </w:r>
    </w:p>
    <w:p w14:paraId="4148A574">
      <w:pPr>
        <w:spacing w:line="360" w:lineRule="auto"/>
        <w:ind w:firstLine="424" w:firstLineChars="202"/>
        <w:rPr>
          <w:rFonts w:ascii="Arial" w:hAnsi="Arial" w:cs="Arial"/>
          <w:bCs/>
          <w:szCs w:val="21"/>
        </w:rPr>
      </w:pPr>
      <w:r>
        <w:rPr>
          <w:rFonts w:hint="eastAsia" w:ascii="Arial" w:hAnsi="Arial" w:cs="Arial"/>
          <w:bCs/>
          <w:szCs w:val="21"/>
          <w:lang w:val="zh-CN"/>
        </w:rPr>
        <w:t xml:space="preserve">电　话： </w:t>
      </w:r>
      <w:r>
        <w:rPr>
          <w:rFonts w:hint="eastAsia" w:ascii="Arial" w:hAnsi="Arial" w:cs="Arial"/>
          <w:bCs/>
          <w:szCs w:val="21"/>
          <w:lang w:val="en-US" w:eastAsia="zh-CN"/>
        </w:rPr>
        <w:t>13655172889</w:t>
      </w:r>
    </w:p>
    <w:p w14:paraId="6E71A5E2">
      <w:pPr>
        <w:spacing w:line="360" w:lineRule="auto"/>
        <w:ind w:firstLine="424" w:firstLineChars="202"/>
        <w:rPr>
          <w:rFonts w:ascii="Arial" w:hAnsi="Arial" w:cs="Arial"/>
          <w:szCs w:val="21"/>
        </w:rPr>
      </w:pPr>
      <w:r>
        <w:rPr>
          <w:rFonts w:hint="eastAsia" w:ascii="Arial" w:hAnsi="Arial" w:cs="Arial"/>
          <w:bCs/>
          <w:szCs w:val="21"/>
        </w:rPr>
        <w:t>邮箱：</w:t>
      </w:r>
      <w:r>
        <w:rPr>
          <w:rFonts w:hint="eastAsia" w:ascii="Arial" w:hAnsi="Arial" w:cs="Arial"/>
          <w:bCs/>
          <w:szCs w:val="21"/>
          <w:lang w:val="en-US" w:eastAsia="zh-CN"/>
        </w:rPr>
        <w:t>2277893572@qq.com</w:t>
      </w:r>
      <w:bookmarkEnd w:id="4"/>
      <w:bookmarkEnd w:id="9"/>
      <w:bookmarkEnd w:id="13"/>
      <w:r>
        <w:rPr>
          <w:rFonts w:ascii="Arial" w:hAnsi="Arial" w:cs="Arial"/>
          <w:szCs w:val="21"/>
        </w:rPr>
        <w:br w:type="page"/>
      </w:r>
    </w:p>
    <w:p w14:paraId="18F5B9CD">
      <w:pPr>
        <w:pStyle w:val="13"/>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205BD9B8">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7A4C9CB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4666FE95">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024548C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21D58695">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410B96C6">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6A15E435">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CB8DAAF">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582567D9">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2A2B585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6840A97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A7F5C9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4E2A32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DAD9FB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0EE26F6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70F2DDA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05ECB6C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0425DB1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545E788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4308DE2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7491E296">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7B46C00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76897114">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31AD89A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307CEFDA">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4C1DEA70">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lang w:val="en-US" w:eastAsia="zh-CN"/>
        </w:rPr>
        <w:t>包</w:t>
      </w:r>
      <w:r>
        <w:rPr>
          <w:rFonts w:ascii="Arial" w:hAnsi="宋体" w:cs="Arial"/>
          <w:kern w:val="0"/>
          <w:szCs w:val="21"/>
        </w:rPr>
        <w:t>。招标货物数量及技术要求中未分</w:t>
      </w:r>
      <w:r>
        <w:rPr>
          <w:rFonts w:hint="eastAsia" w:ascii="Arial" w:hAnsi="宋体" w:cs="Arial"/>
          <w:kern w:val="0"/>
          <w:szCs w:val="21"/>
          <w:lang w:val="en-US" w:eastAsia="zh-CN"/>
        </w:rPr>
        <w:t>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lang w:val="en-US" w:eastAsia="zh-CN"/>
        </w:rPr>
        <w:t>包</w:t>
      </w:r>
      <w:r>
        <w:rPr>
          <w:rFonts w:ascii="Arial" w:hAnsi="宋体" w:cs="Arial"/>
          <w:kern w:val="0"/>
          <w:szCs w:val="21"/>
        </w:rPr>
        <w:t>的，可以以</w:t>
      </w:r>
      <w:r>
        <w:rPr>
          <w:rFonts w:hint="eastAsia" w:ascii="Arial" w:hAnsi="宋体" w:cs="Arial"/>
          <w:kern w:val="0"/>
          <w:szCs w:val="21"/>
          <w:lang w:val="en-US" w:eastAsia="zh-CN"/>
        </w:rPr>
        <w:t>包</w:t>
      </w:r>
      <w:r>
        <w:rPr>
          <w:rFonts w:ascii="Arial" w:hAnsi="宋体" w:cs="Arial"/>
          <w:kern w:val="0"/>
          <w:szCs w:val="21"/>
        </w:rPr>
        <w:t>为单位投标。</w:t>
      </w:r>
    </w:p>
    <w:p w14:paraId="5A969CAD">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656B28D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13650A5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3353D81C">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61E62EA">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3EB6A05B">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7F13425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3EBDA130">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694FA122">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6A1C05E">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12CB055C">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28194DED">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lang w:val="en-US" w:eastAsia="zh-CN"/>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591DF35B">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0C7CA85E">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746A4269">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3E56937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7E93F1E9">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14B3680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553983E6">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p>
    <w:p w14:paraId="0231F8CC">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44C44C4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6D155E62">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lang w:val="en-US" w:eastAsia="zh-CN"/>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563600AE">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8BF0754">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3FE582CF">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73CD0573">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344C9E0A">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7D164D4">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31F24A2A">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49293B68">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1201650E">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424369D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30E26EA6">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26315EB6">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180088F5">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4D0CE182">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528702DA">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31AE19E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22225E62">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CB0632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7A2AEEE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1684F6AF">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lang w:val="en-US" w:eastAsia="zh-CN"/>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68F636E9">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4429DF6F">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43BF6A94">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0048A886">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11.6本项目预算为：详见第一章。</w:t>
      </w:r>
    </w:p>
    <w:p w14:paraId="498321C0">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A78EB4F">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5E8C7BA8">
      <w:pPr>
        <w:widowControl/>
        <w:shd w:val="clear"/>
        <w:autoSpaceDE w:val="0"/>
        <w:autoSpaceDN w:val="0"/>
        <w:spacing w:line="360" w:lineRule="auto"/>
        <w:ind w:firstLine="420"/>
        <w:rPr>
          <w:rFonts w:ascii="Arial" w:hAnsi="宋体" w:cs="Arial"/>
          <w:kern w:val="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lang w:val="en-US" w:eastAsia="zh-CN"/>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采购</w:t>
      </w:r>
      <w:r>
        <w:rPr>
          <w:rFonts w:hint="eastAsia" w:ascii="Arial" w:hAnsi="Arial"/>
          <w:color w:val="000000"/>
          <w:szCs w:val="21"/>
          <w:lang w:val="zh-CN"/>
        </w:rPr>
        <w:t>文件为准。</w:t>
      </w:r>
    </w:p>
    <w:p w14:paraId="27D2072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0163EA7D">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5EDA6D71">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4D35CCC4">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6293B9F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33F9A675">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09BA094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2C5DEA1">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002CDEB3">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607F8ACE">
      <w:pPr>
        <w:widowControl/>
        <w:shd w:val="clear" w:color="auto" w:fill="FFFFFF"/>
        <w:spacing w:line="360" w:lineRule="auto"/>
        <w:ind w:firstLine="420" w:firstLineChars="200"/>
        <w:rPr>
          <w:rFonts w:hint="eastAsia"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w:t>
      </w:r>
      <w:r>
        <w:rPr>
          <w:rFonts w:hint="eastAsia" w:ascii="Arial" w:hAnsi="宋体" w:cs="Arial"/>
          <w:kern w:val="0"/>
          <w:szCs w:val="21"/>
          <w:lang w:val="en-US" w:eastAsia="zh-CN"/>
        </w:rPr>
        <w:t>8</w:t>
      </w:r>
      <w:r>
        <w:rPr>
          <w:rFonts w:hint="eastAsia" w:ascii="Arial" w:hAnsi="宋体" w:cs="Arial"/>
          <w:kern w:val="0"/>
          <w:szCs w:val="21"/>
        </w:rPr>
        <w:t>%计算。本项费用无需在投标报价表中单列。本项目预算包含代理服务费，采购人不额外支付，供应商投标报价需包含该费用。</w:t>
      </w:r>
    </w:p>
    <w:p w14:paraId="660CEF41">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75EF461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17、投标文件的递交</w:t>
      </w:r>
    </w:p>
    <w:p w14:paraId="6F59071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17.1 投标人应当按照《操作手册》规定，在招标公告规定的投标截止时间前制作并上传电子投标文件。招标代理机构拒绝接收提交投标文件截止时间后上传的任何电子投标文件。</w:t>
      </w:r>
    </w:p>
    <w:p w14:paraId="0EB5DEB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18、投标文件的解密</w:t>
      </w:r>
    </w:p>
    <w:p w14:paraId="3222BA6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18.1 投标人应当按照《操作手册》规定，在“苏采云”系统规定的时间内对投标文件进行解密。</w:t>
      </w:r>
    </w:p>
    <w:p w14:paraId="33C3D4E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18.</w:t>
      </w:r>
      <w:r>
        <w:rPr>
          <w:rFonts w:hint="eastAsia" w:ascii="Arial" w:hAnsi="Arial" w:cs="Arial"/>
          <w:b w:val="0"/>
          <w:bCs w:val="0"/>
          <w:kern w:val="0"/>
          <w:szCs w:val="21"/>
          <w:lang w:val="en-US" w:eastAsia="zh-CN"/>
        </w:rPr>
        <w:t>2</w:t>
      </w:r>
      <w:r>
        <w:rPr>
          <w:rFonts w:hint="eastAsia" w:ascii="Arial" w:hAnsi="Arial" w:cs="Arial"/>
          <w:b w:val="0"/>
          <w:bCs w:val="0"/>
          <w:kern w:val="0"/>
          <w:szCs w:val="21"/>
        </w:rPr>
        <w:t>投标人应充分考虑网络环境、网络带宽等因素可能对投标产生的影响，如因投标人自身原因造成的电子投标文件解密不成功的，做无效投标处理。</w:t>
      </w:r>
    </w:p>
    <w:p w14:paraId="0FA292D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19、投标文件的修改和撤回</w:t>
      </w:r>
    </w:p>
    <w:p w14:paraId="0DD1C49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8D44970">
      <w:pPr>
        <w:widowControl/>
        <w:shd w:val="clear" w:color="auto" w:fill="FFFFFF"/>
        <w:spacing w:line="360" w:lineRule="auto"/>
        <w:ind w:firstLine="420"/>
        <w:rPr>
          <w:rFonts w:ascii="Arial" w:hAnsi="Arial" w:cs="Arial"/>
          <w:kern w:val="0"/>
          <w:szCs w:val="21"/>
        </w:rPr>
      </w:pPr>
      <w:r>
        <w:rPr>
          <w:rFonts w:hint="eastAsia" w:ascii="Arial" w:hAnsi="Arial" w:cs="Arial"/>
          <w:b w:val="0"/>
          <w:bCs w:val="0"/>
          <w:kern w:val="0"/>
          <w:szCs w:val="21"/>
        </w:rPr>
        <w:t>19.2 投标截止时间之后，投标文件不得撤回；如撤回，投标保证金不予退还。</w:t>
      </w:r>
    </w:p>
    <w:p w14:paraId="20203B2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74195BBB">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558394A0">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60CD02B1">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015C8A3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0B3FBE01">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804FF7A">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6EC6D401">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5FE27C9E">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24002FEA">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43DCAEBE">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4DD5982A">
      <w:pPr>
        <w:widowControl/>
        <w:shd w:val="clear"/>
        <w:spacing w:line="360" w:lineRule="auto"/>
        <w:ind w:firstLine="420" w:firstLineChars="200"/>
        <w:rPr>
          <w:rFonts w:hint="eastAsia"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523145A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22、评标</w:t>
      </w:r>
    </w:p>
    <w:p w14:paraId="4CAC87B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22.1 评标委员会</w:t>
      </w:r>
    </w:p>
    <w:p w14:paraId="32F6F202">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22.1.1评标委员会负责具体评标事务，并独立履行下列职责：</w:t>
      </w:r>
    </w:p>
    <w:p w14:paraId="657AEBC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（一）审查、评价投标文件是否符合招标文件的商务、技术等实质性要求；</w:t>
      </w:r>
    </w:p>
    <w:p w14:paraId="1B941A3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（二）要求投标人对投标文件有关事项作出澄清或者说明；</w:t>
      </w:r>
    </w:p>
    <w:p w14:paraId="0A38F8F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（三）对投标文件进行比较和评价；</w:t>
      </w:r>
    </w:p>
    <w:p w14:paraId="1686E4CB">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（四）确定中标候选人名单，以及根据采购人委托直接确定中标人；</w:t>
      </w:r>
    </w:p>
    <w:p w14:paraId="6F212B29">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（五）向采购人、采购代理机构或者有关部门报告评标中发现的违法行为。</w:t>
      </w:r>
    </w:p>
    <w:p w14:paraId="71597B1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22.1.2 评标委员会由采购人代表和有关技术、经济等方面的专家组成，独立开展评审工作。</w:t>
      </w:r>
    </w:p>
    <w:p w14:paraId="5DA3077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  评标程序</w:t>
      </w:r>
    </w:p>
    <w:p w14:paraId="50E2497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22.2.1 投标文件的资格性检查。公开招标采购项目开标结束后，采购人或者采购代理机构应当依法对投标人的资格进行审查。合格投标人不足3家的，不得评标。</w:t>
      </w:r>
    </w:p>
    <w:p w14:paraId="211661A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15FF96E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（1）同一投标人提交两个（含两个）以上不同的投标报价的；</w:t>
      </w:r>
    </w:p>
    <w:p w14:paraId="40193205">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（2）投标文件未按照招标文件要求加盖电子公章的；</w:t>
      </w:r>
    </w:p>
    <w:p w14:paraId="65BE520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（3）报价超过招标文件中规定的预算金额或者最高限价的；</w:t>
      </w:r>
    </w:p>
    <w:p w14:paraId="69AF769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（4）投标文件含有采购人不能接受的附加条件的；</w:t>
      </w:r>
    </w:p>
    <w:p w14:paraId="4AAC255B">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（5）投标文件内容不全或不符合招标文件中规定的其他实质性要求的；</w:t>
      </w:r>
    </w:p>
    <w:p w14:paraId="4DC8B764">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（6）现行法律、法规、规章和招标文件规定的其他无效情形。</w:t>
      </w:r>
    </w:p>
    <w:p w14:paraId="16E7211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22.2.2.1 实质性要求是指本招标文件中用带星号（“</w:t>
      </w:r>
      <w:r>
        <w:rPr>
          <w:rFonts w:hint="eastAsia" w:ascii="宋体" w:hAnsi="宋体" w:cs="宋体"/>
          <w:b w:val="0"/>
          <w:bCs w:val="0"/>
          <w:szCs w:val="21"/>
        </w:rPr>
        <w:t>★</w:t>
      </w:r>
      <w:r>
        <w:rPr>
          <w:rFonts w:hint="eastAsia" w:ascii="Arial" w:hAnsi="Arial" w:cs="Arial"/>
          <w:b w:val="0"/>
          <w:bCs w:val="0"/>
          <w:kern w:val="0"/>
          <w:szCs w:val="21"/>
        </w:rPr>
        <w:t>”）、“必须”或“应（应当）”等其他文字说明的商务和技术要求。</w:t>
      </w:r>
    </w:p>
    <w:p w14:paraId="3FA7BA6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22.2.2.2未通过资格审查或符合性审查的投标人，代理机构将通过“苏采云”系统告知其具体原因，评标结束后不再接受有关询问。</w:t>
      </w:r>
    </w:p>
    <w:p w14:paraId="4E1A451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22.2.2.3有下列情形之一的予以废标：</w:t>
      </w:r>
    </w:p>
    <w:p w14:paraId="7F0532C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（1）符合专业条件的投标人或者对招标文件作实质性响应的投标人不足三家的；</w:t>
      </w:r>
    </w:p>
    <w:p w14:paraId="682CFDBD">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（2）出现影响采购公正的违法、违规行为的；</w:t>
      </w:r>
    </w:p>
    <w:p w14:paraId="0B55B149">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（3）投标人的报价均超过了采购预算，采购人不能支付的；</w:t>
      </w:r>
    </w:p>
    <w:p w14:paraId="419B9F0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（4）因苏采云系统故障造成开标不成功的；</w:t>
      </w:r>
    </w:p>
    <w:p w14:paraId="7CA3EC2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（5）因重大变故，采购任务取消的。</w:t>
      </w:r>
    </w:p>
    <w:p w14:paraId="2DD8E2C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（6）投标人以明显低于其他通过符合性审查投标人的报价，有可能影响产品质量或者不能诚信履约的，且不能证明其报价合理性的。</w:t>
      </w:r>
    </w:p>
    <w:p w14:paraId="317B752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22.2.3澄清有关问题。</w:t>
      </w:r>
    </w:p>
    <w:p w14:paraId="088B793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22.2.3.1 评标期间，评委会对投标文件中含义不明确、同类问题表述不一致或者有明显文字和计算错误的内容，有权要求投标人作出必要的澄清、说明或者补正。</w:t>
      </w:r>
    </w:p>
    <w:p w14:paraId="43FDD13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投标人的澄清、说明或者补正不得超出投标文件的范围或者改变投标文件的实质性内容。</w:t>
      </w:r>
    </w:p>
    <w:p w14:paraId="464FFC34">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评委会并非对每个投标人都做澄清要求。</w:t>
      </w:r>
    </w:p>
    <w:p w14:paraId="52C4AAB2">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CDA82C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22.2.3.3 接到评委会澄清、说明和补正要求的，投标人如未按规定作出澄清、说明和补正，其风险由投标人自行承担。</w:t>
      </w:r>
    </w:p>
    <w:p w14:paraId="30ED7C3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22.2.3.4投标文件报价出现前后不一致的，除招标文件另有规定外，按照下列规定修正：</w:t>
      </w:r>
    </w:p>
    <w:p w14:paraId="0119CFB5">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（1）投标文件中开标一览表（报价表）内容与投标文件中相应内容不一致的，以开标一览表（报价表）为准；</w:t>
      </w:r>
    </w:p>
    <w:p w14:paraId="692CA03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（2）大写金额和小写金额不一致的，以大写金额为准；</w:t>
      </w:r>
    </w:p>
    <w:p w14:paraId="528C79E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（3）单价金额小数点或者百分比有明显错位的，以开标一览表的总价为准，并修改单价；</w:t>
      </w:r>
    </w:p>
    <w:p w14:paraId="62D3D3F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（4）总价金额与按单价汇总金额不一致的，以单价金额计算结果为准。</w:t>
      </w:r>
    </w:p>
    <w:p w14:paraId="4B06222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61478F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2.2.3.5投标人在开、评标全过程中应保持通讯畅通，及时登录苏采云系统查阅、答复相关信息，并安排专人与代理机构及评委会联系。</w:t>
      </w:r>
    </w:p>
    <w:p w14:paraId="5B01714C">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B27C31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22.2.4比较与评价。评标委员会应当按照招标文件中规定的评标方法和标准，对符合性审查合格的投标文件进行商务和技术评估，综合比较与评价。</w:t>
      </w:r>
    </w:p>
    <w:p w14:paraId="46643E9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 评标方法和标准</w:t>
      </w:r>
    </w:p>
    <w:p w14:paraId="72B1A42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22.3.1评标方法分为最低评标价法和综合评分法。本次招标的评标方法和标准，详见本招标文件第三章。</w:t>
      </w:r>
    </w:p>
    <w:p w14:paraId="6464FD9B">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22.3.2最低评标价法，是指投标文件满足招标文件全部实质性要求，且投标报价最低的投标人为中标候选人的评标方法。</w:t>
      </w:r>
    </w:p>
    <w:p w14:paraId="7552C81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采用最低评标价法评标时，除了算术修正和落实政府采购政策需进行的价格扣除外，不对投标人的投标价格进行任何调整。</w:t>
      </w:r>
    </w:p>
    <w:p w14:paraId="660F06C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22.3.3综合评分法，是指投标文件满足招标文件全部实质性要求，且按照评审因素的量化指标评审得分最高的投标人为中标候选人的评标方法。</w:t>
      </w:r>
    </w:p>
    <w:p w14:paraId="38E68AA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评审因素，包括价格、技术、商务等。</w:t>
      </w:r>
    </w:p>
    <w:p w14:paraId="5B400B9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评标时，评标委员会各成员应当独立对每个投标人的投标文件进行评价，并汇总每个投标人的得分。</w:t>
      </w:r>
    </w:p>
    <w:p w14:paraId="69130E2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价格分采用低价优先法计算，即满足招标文件要求且投标价格最低的投标报价为评标基准价，其价格分为满分。</w:t>
      </w:r>
    </w:p>
    <w:p w14:paraId="73749CC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评标总得分＝F1×A1＋F2×A2＋……＋Fn×An</w:t>
      </w:r>
    </w:p>
    <w:p w14:paraId="121F2A7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F1、F2……Fn分别为各项评审因素的得分；</w:t>
      </w:r>
    </w:p>
    <w:p w14:paraId="05967DA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A1、A2、……An 分别为各项评审因素所占的权重(A1＋A2＋……＋An＝1)。</w:t>
      </w:r>
    </w:p>
    <w:p w14:paraId="5304AAA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因落实政府采购政策进行价格调整的，以调整后的价格计算评标基准价和投标报价。</w:t>
      </w:r>
    </w:p>
    <w:p w14:paraId="152C6A9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22.4 评标委员会启动异常低价投标审查的情形和具体要求</w:t>
      </w:r>
    </w:p>
    <w:p w14:paraId="6F02230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 xml:space="preserve">22.4.1评标过程中出现下列情形之一的，评标委员会应当启动异常低价投标审查程序： </w:t>
      </w:r>
    </w:p>
    <w:p w14:paraId="3A66150D">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（1）投标报价低于全部通过符合性审查投标人投标报价平均值50%的，即投标报价&lt;全部通过符合性审查投标人投标报价平均值×50%；</w:t>
      </w:r>
    </w:p>
    <w:p w14:paraId="2D711FC5">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（2）投标报价低于通过符合性审查的次低报价投标人投标报价50%的，即投标报价&lt;通过符合性审查的次低报价投标人投标报价×50%；</w:t>
      </w:r>
    </w:p>
    <w:p w14:paraId="4AFF3DD4">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（3）投标报价低于本项目最高限价45%的，即投标报价&lt;本项目最高限价×45%；</w:t>
      </w:r>
    </w:p>
    <w:p w14:paraId="1ED05D7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（4）评标委员会基于专业判断，认为投标人报价过低，有可能影响产品质量或者不能诚信履约的其他情形。</w:t>
      </w:r>
    </w:p>
    <w:p w14:paraId="0C0F41A9">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22D0146C">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3FA594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异常低价投标审查的启动原因、审查意见和审查结果应当在评标报告中记录，并随投标人提供的相关书面说明及证明材料，以及评标委员会有关互联网浏览、查询历史一并归档。</w:t>
      </w:r>
    </w:p>
    <w:p w14:paraId="367FDD8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23、确定中标人</w:t>
      </w:r>
    </w:p>
    <w:p w14:paraId="340459B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883D9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2646B9">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54392A2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因系统存储空间有限，中标结果公告届满之日起三十日后，苏采云系统不再保证提供下载《中标通知书》服务，因未及时下载而造成的不利后果由中标人自行承担。</w:t>
      </w:r>
    </w:p>
    <w:p w14:paraId="0F48F07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23.4 中标通知书对采购人和中标人具有同等法律效力。中标通知书发出后，采购人不得违法改变中标结果，中标人无正当理由不得放弃中标。</w:t>
      </w:r>
    </w:p>
    <w:p w14:paraId="36366F2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23.5 所有投标文件不论中标与否，均不退回。</w:t>
      </w:r>
    </w:p>
    <w:p w14:paraId="3890BE3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24、编写评标报告</w:t>
      </w:r>
    </w:p>
    <w:p w14:paraId="304C566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24.1评标委员会根据全体评标成员签字的原始评标记录和评标结果编写评标报告。</w:t>
      </w:r>
    </w:p>
    <w:p w14:paraId="024478F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25、评标过程的保密性</w:t>
      </w:r>
    </w:p>
    <w:p w14:paraId="4BC93E8D">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25.1 采购人和采购代理机构将采取必要措施，保证评标在严格保密的情况下进行。</w:t>
      </w:r>
    </w:p>
    <w:p w14:paraId="1A81ADF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25.2 任何单位和个人不得非法干预、影响评标办法的确定，以及评标过程和结果。</w:t>
      </w:r>
    </w:p>
    <w:p w14:paraId="099F667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25.3 凡是与审查、澄清、评价和比较投标的有关资料等，均不向投标人及与评标无关的其他人员透露。</w:t>
      </w:r>
    </w:p>
    <w:p w14:paraId="48C3D5E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六、签订合同</w:t>
      </w:r>
    </w:p>
    <w:p w14:paraId="241D320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26、签订合同</w:t>
      </w:r>
    </w:p>
    <w:p w14:paraId="5478E64C">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6952644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451A00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26.3采购人不得向中标人提出任何不合理的要求作为签订合同的条件。</w:t>
      </w:r>
    </w:p>
    <w:p w14:paraId="4DDFE535">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26.4中标人拒绝与采购人签订合同的，采购人可以按照评审报告推荐的中标或者成交候选人名单排序，确定下一候选人为中标或者成交供应商，也可以重新开展政府采购活动。</w:t>
      </w:r>
    </w:p>
    <w:p w14:paraId="7DBE0D59">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04E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val="0"/>
          <w:bCs w:val="0"/>
          <w:kern w:val="0"/>
          <w:szCs w:val="21"/>
        </w:rPr>
        <w:t>26.6 采购人与中标人应当根据合同的约定依法履行合同义务。</w:t>
      </w:r>
    </w:p>
    <w:p w14:paraId="439C3BCC">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七、质疑和投诉</w:t>
      </w:r>
    </w:p>
    <w:p w14:paraId="1E3518C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27、质疑</w:t>
      </w:r>
    </w:p>
    <w:p w14:paraId="0288348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27.1供应商对招标活动事项有疑问的，可以向采购代理机构提出询问，采购代理机构将依法作出答复，但答复的内容不涉及商业秘密。</w:t>
      </w:r>
    </w:p>
    <w:p w14:paraId="356CB13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27.2提出质疑的供应商应当是参与所质疑项目采购活动的供应商。潜在供应商已依法获取其可质疑的采购文件的，可以对该文件提出质疑。</w:t>
      </w:r>
    </w:p>
    <w:p w14:paraId="35B57D53">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6739176B">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267ABE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供应商必须在法定质疑期内一次性提出针对同一采购程序环节的质疑。</w:t>
      </w:r>
    </w:p>
    <w:p w14:paraId="523DC90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27.4 供应商提出质疑应当提交质疑函和必要的证明材料。质疑函应当包括下列内容：</w:t>
      </w:r>
    </w:p>
    <w:p w14:paraId="1116194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（一）供应商的姓名或者名称、地址、邮编、联系人及联系电话；</w:t>
      </w:r>
    </w:p>
    <w:p w14:paraId="59F4E64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（二）质疑项目的名称、编号；</w:t>
      </w:r>
    </w:p>
    <w:p w14:paraId="606CB9C2">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（三）具体、明确的质疑事项和与质疑事项相关的请求（具体条款）；</w:t>
      </w:r>
    </w:p>
    <w:p w14:paraId="49957674">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（四）事实依据（具体条款）；</w:t>
      </w:r>
    </w:p>
    <w:p w14:paraId="0F99C21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（五）必要的法律依据（具体条款）；</w:t>
      </w:r>
    </w:p>
    <w:p w14:paraId="1D3EF16F">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（六）提出质疑的日期。</w:t>
      </w:r>
    </w:p>
    <w:p w14:paraId="3668DC9C">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F9C7DE1">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质疑函应当使用中文。相关当事人提供外文书证或者外国语视听资料的，应当附有中文译本，由翻译机构盖章或者翻译人员签名。</w:t>
      </w:r>
    </w:p>
    <w:p w14:paraId="14BFED2C">
      <w:pPr>
        <w:widowControl/>
        <w:shd w:val="clear" w:color="auto" w:fill="FFFFFF"/>
        <w:spacing w:line="360" w:lineRule="auto"/>
        <w:ind w:firstLine="420"/>
        <w:rPr>
          <w:rFonts w:ascii="Arial" w:hAnsi="Arial" w:cs="Arial"/>
        </w:rPr>
      </w:pPr>
      <w:r>
        <w:rPr>
          <w:rFonts w:hint="eastAsia" w:ascii="Arial" w:hAnsi="Arial" w:cs="Arial"/>
          <w:b w:val="0"/>
          <w:bCs w:val="0"/>
          <w:kern w:val="0"/>
          <w:szCs w:val="21"/>
        </w:rPr>
        <w:t xml:space="preserve">27.5 </w:t>
      </w:r>
      <w:r>
        <w:rPr>
          <w:rFonts w:hint="eastAsia" w:ascii="宋体" w:hAnsi="宋体" w:cs="宋体"/>
          <w:kern w:val="0"/>
          <w:szCs w:val="21"/>
        </w:rPr>
        <w:t>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5777298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6</w:t>
      </w:r>
      <w:r>
        <w:rPr>
          <w:rFonts w:hint="eastAsia" w:ascii="宋体" w:hAnsi="宋体" w:cs="宋体"/>
          <w:kern w:val="0"/>
          <w:szCs w:val="21"/>
        </w:rPr>
        <w:t>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5708D04B">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5C6895F5">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3768FD5A">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534DAB0F">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04FF67E8">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1077F9EA">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00E75072">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1263ACCA">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4FB82C4B">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122DAFFE">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10D24F80">
      <w:pPr>
        <w:widowControl/>
        <w:shd w:val="clear" w:color="auto" w:fill="FFFFFF"/>
        <w:spacing w:line="360" w:lineRule="auto"/>
        <w:ind w:firstLine="420"/>
        <w:rPr>
          <w:rFonts w:ascii="Arial" w:hAnsi="Arial" w:cs="Arial"/>
          <w:kern w:val="0"/>
          <w:szCs w:val="21"/>
        </w:rPr>
      </w:pPr>
    </w:p>
    <w:p w14:paraId="21CA6344">
      <w:pPr>
        <w:widowControl/>
        <w:shd w:val="clear" w:color="auto" w:fill="FFFFFF"/>
        <w:spacing w:line="360" w:lineRule="auto"/>
        <w:ind w:firstLine="420"/>
        <w:rPr>
          <w:rFonts w:ascii="Arial" w:hAnsi="Arial" w:cs="Arial"/>
          <w:kern w:val="0"/>
          <w:szCs w:val="21"/>
        </w:rPr>
      </w:pPr>
    </w:p>
    <w:p w14:paraId="3642BF5F">
      <w:pPr>
        <w:rPr>
          <w:rFonts w:ascii="Arial" w:hAnsi="Arial" w:cs="Arial"/>
          <w:kern w:val="0"/>
        </w:rPr>
      </w:pPr>
      <w:r>
        <w:rPr>
          <w:rFonts w:hint="eastAsia" w:ascii="Arial" w:hAnsi="Arial" w:cs="Arial"/>
          <w:kern w:val="0"/>
        </w:rPr>
        <w:br w:type="page"/>
      </w:r>
    </w:p>
    <w:p w14:paraId="39B46139">
      <w:pPr>
        <w:pStyle w:val="13"/>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5802AD02">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85"/>
        <w:gridCol w:w="1943"/>
        <w:gridCol w:w="6091"/>
      </w:tblGrid>
      <w:tr w14:paraId="12CD8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pct"/>
            <w:noWrap w:val="0"/>
            <w:vAlign w:val="center"/>
          </w:tcPr>
          <w:p w14:paraId="4D355331">
            <w:pPr>
              <w:jc w:val="center"/>
              <w:rPr>
                <w:rFonts w:hint="eastAsia" w:ascii="宋体" w:hAnsi="宋体"/>
                <w:color w:val="000000"/>
              </w:rPr>
            </w:pPr>
            <w:r>
              <w:rPr>
                <w:rFonts w:hint="eastAsia" w:ascii="宋体" w:hAnsi="宋体"/>
                <w:color w:val="000000"/>
              </w:rPr>
              <w:t>采购包号</w:t>
            </w:r>
          </w:p>
        </w:tc>
        <w:tc>
          <w:tcPr>
            <w:tcW w:w="1031" w:type="pct"/>
            <w:noWrap w:val="0"/>
            <w:vAlign w:val="center"/>
          </w:tcPr>
          <w:p w14:paraId="1642F3C2">
            <w:pPr>
              <w:jc w:val="center"/>
              <w:rPr>
                <w:rFonts w:hint="eastAsia" w:ascii="宋体" w:hAnsi="宋体"/>
                <w:color w:val="000000"/>
              </w:rPr>
            </w:pPr>
            <w:r>
              <w:rPr>
                <w:rFonts w:hint="eastAsia" w:ascii="宋体" w:hAnsi="宋体"/>
                <w:color w:val="000000"/>
              </w:rPr>
              <w:t>选取</w:t>
            </w:r>
            <w:r>
              <w:rPr>
                <w:rFonts w:ascii="宋体" w:hAnsi="宋体"/>
                <w:color w:val="000000"/>
              </w:rPr>
              <w:t>中标候选人数量</w:t>
            </w:r>
          </w:p>
        </w:tc>
        <w:tc>
          <w:tcPr>
            <w:tcW w:w="3232" w:type="pct"/>
            <w:noWrap w:val="0"/>
            <w:vAlign w:val="center"/>
          </w:tcPr>
          <w:p w14:paraId="798DC6ED">
            <w:pPr>
              <w:rPr>
                <w:rFonts w:hint="eastAsia" w:ascii="宋体" w:hAnsi="宋体"/>
                <w:color w:val="000000"/>
              </w:rPr>
            </w:pPr>
            <w:r>
              <w:rPr>
                <w:rFonts w:hint="eastAsia" w:ascii="宋体" w:hAnsi="宋体"/>
                <w:color w:val="000000"/>
              </w:rPr>
              <w:t>选取</w:t>
            </w:r>
            <w:r>
              <w:rPr>
                <w:rFonts w:ascii="宋体" w:hAnsi="宋体"/>
                <w:color w:val="000000"/>
              </w:rPr>
              <w:t>中标候选人的原则</w:t>
            </w:r>
          </w:p>
        </w:tc>
      </w:tr>
      <w:tr w14:paraId="187B8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pct"/>
            <w:noWrap w:val="0"/>
            <w:vAlign w:val="center"/>
          </w:tcPr>
          <w:p w14:paraId="2134A633">
            <w:pPr>
              <w:jc w:val="center"/>
              <w:rPr>
                <w:rFonts w:ascii="宋体" w:hAnsi="宋体"/>
                <w:color w:val="000000"/>
              </w:rPr>
            </w:pPr>
            <w:r>
              <w:rPr>
                <w:rFonts w:hint="eastAsia" w:ascii="宋体" w:hAnsi="宋体"/>
                <w:color w:val="000000"/>
              </w:rPr>
              <w:t>1</w:t>
            </w:r>
          </w:p>
        </w:tc>
        <w:tc>
          <w:tcPr>
            <w:tcW w:w="1031" w:type="pct"/>
            <w:noWrap w:val="0"/>
            <w:vAlign w:val="center"/>
          </w:tcPr>
          <w:p w14:paraId="546F258D">
            <w:pPr>
              <w:jc w:val="center"/>
              <w:rPr>
                <w:rFonts w:ascii="宋体" w:hAnsi="宋体"/>
                <w:color w:val="000000"/>
              </w:rPr>
            </w:pPr>
            <w:r>
              <w:rPr>
                <w:rFonts w:hint="eastAsia" w:ascii="宋体" w:hAnsi="宋体"/>
                <w:color w:val="000000"/>
              </w:rPr>
              <w:t>1</w:t>
            </w:r>
          </w:p>
        </w:tc>
        <w:tc>
          <w:tcPr>
            <w:tcW w:w="3232" w:type="pct"/>
            <w:noWrap w:val="0"/>
            <w:vAlign w:val="center"/>
          </w:tcPr>
          <w:p w14:paraId="60F0834C">
            <w:pPr>
              <w:rPr>
                <w:rFonts w:hint="eastAsia" w:ascii="宋体" w:hAnsi="宋体"/>
                <w:color w:val="000000"/>
              </w:rPr>
            </w:pPr>
            <w:r>
              <w:rPr>
                <w:rFonts w:hint="eastAsia" w:ascii="宋体" w:hAnsi="宋体"/>
                <w:color w:val="000000"/>
              </w:rPr>
              <w:t>满足招标文件全部实质性要求，且按照评审因素的量化指标评审得分最高的投标人为中标候选人。</w:t>
            </w:r>
          </w:p>
        </w:tc>
      </w:tr>
    </w:tbl>
    <w:p w14:paraId="59542AF2">
      <w:pPr>
        <w:pStyle w:val="197"/>
        <w:spacing w:line="0" w:lineRule="atLeast"/>
        <w:ind w:firstLine="482"/>
        <w:jc w:val="center"/>
        <w:rPr>
          <w:rFonts w:hint="eastAsia" w:ascii="宋体" w:hAnsi="宋体"/>
          <w:b/>
          <w:color w:val="000000"/>
        </w:rPr>
      </w:pPr>
      <w:r>
        <w:rPr>
          <w:rFonts w:hint="eastAsia" w:ascii="宋体" w:hAnsi="宋体"/>
          <w:b/>
          <w:color w:val="000000"/>
        </w:rPr>
        <w:t>评标方法与评标标准</w:t>
      </w:r>
    </w:p>
    <w:tbl>
      <w:tblPr>
        <w:tblStyle w:val="58"/>
        <w:tblW w:w="0" w:type="auto"/>
        <w:jc w:val="center"/>
        <w:tblLayout w:type="fixed"/>
        <w:tblCellMar>
          <w:top w:w="0" w:type="dxa"/>
          <w:left w:w="108" w:type="dxa"/>
          <w:bottom w:w="0" w:type="dxa"/>
          <w:right w:w="108" w:type="dxa"/>
        </w:tblCellMar>
      </w:tblPr>
      <w:tblGrid>
        <w:gridCol w:w="947"/>
        <w:gridCol w:w="7151"/>
        <w:gridCol w:w="977"/>
      </w:tblGrid>
      <w:tr w14:paraId="5BDAFA56">
        <w:tblPrEx>
          <w:tblCellMar>
            <w:top w:w="0" w:type="dxa"/>
            <w:left w:w="108" w:type="dxa"/>
            <w:bottom w:w="0" w:type="dxa"/>
            <w:right w:w="108" w:type="dxa"/>
          </w:tblCellMar>
        </w:tblPrEx>
        <w:trPr>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239CC0A0">
            <w:pPr>
              <w:keepNext w:val="0"/>
              <w:keepLines w:val="0"/>
              <w:widowControl w:val="0"/>
              <w:kinsoku/>
              <w:overflowPunct/>
              <w:autoSpaceDE/>
              <w:bidi w:val="0"/>
              <w:snapToGrid w:val="0"/>
              <w:spacing w:line="240" w:lineRule="auto"/>
              <w:jc w:val="center"/>
              <w:textAlignment w:val="auto"/>
              <w:rPr>
                <w:color w:val="auto"/>
                <w:sz w:val="24"/>
                <w:szCs w:val="24"/>
                <w:highlight w:val="none"/>
              </w:rPr>
            </w:pPr>
            <w:r>
              <w:rPr>
                <w:rFonts w:hint="eastAsia" w:ascii="宋体" w:hAnsi="宋体" w:eastAsia="宋体" w:cs="宋体"/>
                <w:b/>
                <w:bCs/>
                <w:color w:val="auto"/>
                <w:sz w:val="24"/>
                <w:szCs w:val="24"/>
                <w:highlight w:val="none"/>
              </w:rPr>
              <w:t>序号</w:t>
            </w: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5E6DAAD2">
            <w:pPr>
              <w:keepNext w:val="0"/>
              <w:keepLines w:val="0"/>
              <w:widowControl w:val="0"/>
              <w:kinsoku/>
              <w:overflowPunct/>
              <w:autoSpaceDE/>
              <w:bidi w:val="0"/>
              <w:snapToGrid w:val="0"/>
              <w:spacing w:line="240" w:lineRule="auto"/>
              <w:jc w:val="center"/>
              <w:textAlignment w:val="auto"/>
              <w:rPr>
                <w:color w:val="auto"/>
                <w:sz w:val="24"/>
                <w:szCs w:val="24"/>
                <w:highlight w:val="none"/>
              </w:rPr>
            </w:pPr>
            <w:r>
              <w:rPr>
                <w:rFonts w:hint="eastAsia" w:ascii="宋体" w:hAnsi="宋体" w:eastAsia="宋体" w:cs="宋体"/>
                <w:b/>
                <w:bCs/>
                <w:color w:val="auto"/>
                <w:sz w:val="24"/>
                <w:szCs w:val="24"/>
                <w:highlight w:val="none"/>
              </w:rPr>
              <w:t>评审因素</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47FA3577">
            <w:pPr>
              <w:keepNext w:val="0"/>
              <w:keepLines w:val="0"/>
              <w:widowControl w:val="0"/>
              <w:kinsoku/>
              <w:overflowPunct/>
              <w:autoSpaceDE/>
              <w:bidi w:val="0"/>
              <w:snapToGrid w:val="0"/>
              <w:spacing w:line="240" w:lineRule="auto"/>
              <w:jc w:val="center"/>
              <w:textAlignment w:val="auto"/>
              <w:rPr>
                <w:color w:val="auto"/>
                <w:sz w:val="24"/>
                <w:szCs w:val="24"/>
                <w:highlight w:val="none"/>
              </w:rPr>
            </w:pPr>
            <w:r>
              <w:rPr>
                <w:rFonts w:hint="eastAsia" w:ascii="宋体" w:hAnsi="宋体" w:eastAsia="宋体" w:cs="宋体"/>
                <w:b/>
                <w:bCs/>
                <w:color w:val="auto"/>
                <w:sz w:val="24"/>
                <w:szCs w:val="24"/>
                <w:highlight w:val="none"/>
              </w:rPr>
              <w:t>分值</w:t>
            </w:r>
          </w:p>
        </w:tc>
      </w:tr>
      <w:tr w14:paraId="75F3AD28">
        <w:tblPrEx>
          <w:tblCellMar>
            <w:top w:w="0" w:type="dxa"/>
            <w:left w:w="108" w:type="dxa"/>
            <w:bottom w:w="0" w:type="dxa"/>
            <w:right w:w="108" w:type="dxa"/>
          </w:tblCellMar>
        </w:tblPrEx>
        <w:trPr>
          <w:trHeight w:val="1632" w:hRule="atLeast"/>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38E85ACB">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b/>
                <w:bCs/>
                <w:color w:val="auto"/>
                <w:sz w:val="24"/>
                <w:szCs w:val="24"/>
                <w:highlight w:val="none"/>
              </w:rPr>
              <w:t>1、价格分</w:t>
            </w:r>
          </w:p>
          <w:p w14:paraId="776DD7A1">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7734C1F1">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bCs/>
                <w:color w:val="auto"/>
                <w:sz w:val="24"/>
                <w:szCs w:val="24"/>
                <w:highlight w:val="none"/>
                <w:lang w:val="en-US" w:eastAsia="zh-CN"/>
              </w:rPr>
              <w:t>采用低价优先法计算，即满足招标文件要求且投标价格最低的投标报价为评标基准价，其价格分为满分。</w:t>
            </w:r>
          </w:p>
          <w:p w14:paraId="3FC1854A">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bCs/>
                <w:color w:val="auto"/>
                <w:sz w:val="24"/>
                <w:szCs w:val="24"/>
                <w:highlight w:val="none"/>
                <w:lang w:val="en-US" w:eastAsia="zh-CN"/>
              </w:rPr>
              <w:t>其他投标人的价格分统一按照下列公式计算:投标报价得分=(评标基准价/投标报价)×20（小数点保留两位）（计算结果保留2位小数，第三位四舍五入）。</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0EF54A73">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20</w:t>
            </w:r>
            <w:r>
              <w:rPr>
                <w:rFonts w:hint="eastAsia" w:ascii="宋体" w:hAnsi="宋体" w:eastAsia="宋体" w:cs="宋体"/>
                <w:b w:val="0"/>
                <w:bCs/>
                <w:color w:val="auto"/>
                <w:sz w:val="24"/>
                <w:szCs w:val="24"/>
                <w:highlight w:val="none"/>
              </w:rPr>
              <w:t>分</w:t>
            </w:r>
          </w:p>
        </w:tc>
      </w:tr>
      <w:tr w14:paraId="36ABC0C9">
        <w:tblPrEx>
          <w:tblCellMar>
            <w:top w:w="0" w:type="dxa"/>
            <w:left w:w="108" w:type="dxa"/>
            <w:bottom w:w="0" w:type="dxa"/>
            <w:right w:w="108" w:type="dxa"/>
          </w:tblCellMar>
        </w:tblPrEx>
        <w:trPr>
          <w:cantSplit/>
          <w:trHeight w:val="1683" w:hRule="atLeast"/>
          <w:jc w:val="center"/>
        </w:trPr>
        <w:tc>
          <w:tcPr>
            <w:tcW w:w="947" w:type="dxa"/>
            <w:vMerge w:val="restart"/>
            <w:tcBorders>
              <w:top w:val="single" w:color="000000" w:sz="4" w:space="0"/>
              <w:left w:val="single" w:color="000000" w:sz="4" w:space="0"/>
              <w:bottom w:val="single" w:color="000000" w:sz="4" w:space="0"/>
              <w:right w:val="single" w:color="000000" w:sz="4" w:space="0"/>
            </w:tcBorders>
            <w:noWrap w:val="0"/>
            <w:vAlign w:val="center"/>
          </w:tcPr>
          <w:p w14:paraId="4B8FFAB0">
            <w:pPr>
              <w:keepNext w:val="0"/>
              <w:keepLines w:val="0"/>
              <w:widowControl w:val="0"/>
              <w:kinsoku/>
              <w:overflowPunct/>
              <w:autoSpaceDE/>
              <w:bidi w:val="0"/>
              <w:snapToGrid w:val="0"/>
              <w:spacing w:line="240" w:lineRule="auto"/>
              <w:jc w:val="center"/>
              <w:textAlignment w:val="auto"/>
              <w:rPr>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、履约能力</w:t>
            </w: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04E7BC42">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.1</w:t>
            </w:r>
            <w:r>
              <w:rPr>
                <w:rFonts w:hint="eastAsia" w:ascii="宋体" w:hAnsi="宋体" w:eastAsia="宋体" w:cs="宋体"/>
                <w:color w:val="auto"/>
                <w:spacing w:val="-2"/>
                <w:sz w:val="24"/>
                <w:szCs w:val="24"/>
                <w:highlight w:val="none"/>
                <w:lang w:val="en-US" w:eastAsia="zh-CN"/>
              </w:rPr>
              <w:t>投标人提供自 2023年1月1日以来(以合同签订时间为准)类似业绩</w:t>
            </w:r>
            <w:r>
              <w:rPr>
                <w:rFonts w:hint="eastAsia" w:ascii="宋体" w:hAnsi="宋体" w:eastAsia="宋体" w:cs="宋体"/>
                <w:color w:val="auto"/>
                <w:spacing w:val="-2"/>
                <w:sz w:val="24"/>
                <w:szCs w:val="24"/>
                <w:highlight w:val="none"/>
              </w:rPr>
              <w:t>，合同内容</w:t>
            </w:r>
            <w:r>
              <w:rPr>
                <w:rFonts w:hint="eastAsia" w:ascii="宋体" w:hAnsi="宋体" w:eastAsia="宋体" w:cs="宋体"/>
                <w:color w:val="auto"/>
                <w:spacing w:val="-2"/>
                <w:sz w:val="24"/>
                <w:szCs w:val="24"/>
                <w:highlight w:val="none"/>
                <w:lang w:val="en-US" w:eastAsia="zh-CN"/>
              </w:rPr>
              <w:t>须与体现与本项目相关内容</w:t>
            </w:r>
            <w:r>
              <w:rPr>
                <w:rFonts w:hint="eastAsia" w:ascii="宋体" w:hAnsi="宋体" w:eastAsia="宋体" w:cs="宋体"/>
                <w:color w:val="auto"/>
                <w:spacing w:val="-2"/>
                <w:sz w:val="24"/>
                <w:szCs w:val="24"/>
                <w:highlight w:val="none"/>
              </w:rPr>
              <w:t>，每份</w:t>
            </w: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分，最高</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分。注：投标文件中提供业绩合同扫描件或影印件，如合同中无法体现签订时间、服务内容、合同甲方的，须另提供业主证明等相关证明材料，否则不得分。</w:t>
            </w:r>
          </w:p>
          <w:p w14:paraId="57015551">
            <w:pPr>
              <w:pStyle w:val="2"/>
              <w:ind w:left="0" w:leftChars="0" w:firstLine="0" w:firstLineChars="0"/>
              <w:rPr>
                <w:highlight w:val="none"/>
              </w:rPr>
            </w:pPr>
            <w:r>
              <w:rPr>
                <w:rFonts w:hint="eastAsia" w:ascii="宋体" w:hAnsi="宋体" w:eastAsia="宋体" w:cs="宋体"/>
                <w:color w:val="auto"/>
                <w:spacing w:val="-2"/>
                <w:sz w:val="24"/>
                <w:szCs w:val="24"/>
                <w:highlight w:val="none"/>
                <w:lang w:val="en-US" w:eastAsia="zh-CN"/>
              </w:rPr>
              <w:t>注：同一业主单位业绩材料只计取一次，不累计得分。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3AE54AA9">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分</w:t>
            </w:r>
          </w:p>
        </w:tc>
      </w:tr>
      <w:tr w14:paraId="25F0CA15">
        <w:tblPrEx>
          <w:tblCellMar>
            <w:top w:w="0" w:type="dxa"/>
            <w:left w:w="108" w:type="dxa"/>
            <w:bottom w:w="0" w:type="dxa"/>
            <w:right w:w="108" w:type="dxa"/>
          </w:tblCellMar>
        </w:tblPrEx>
        <w:trPr>
          <w:cantSplit/>
          <w:trHeight w:val="90" w:hRule="atLeast"/>
          <w:jc w:val="center"/>
        </w:trPr>
        <w:tc>
          <w:tcPr>
            <w:tcW w:w="9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A8FD41">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55241E02">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.2</w:t>
            </w:r>
            <w:r>
              <w:rPr>
                <w:rFonts w:hint="eastAsia" w:ascii="宋体" w:hAnsi="宋体" w:eastAsia="宋体" w:cs="宋体"/>
                <w:color w:val="auto"/>
                <w:spacing w:val="-2"/>
                <w:sz w:val="24"/>
                <w:szCs w:val="24"/>
                <w:highlight w:val="none"/>
                <w:lang w:val="en-US" w:eastAsia="zh-CN"/>
              </w:rPr>
              <w:t>投标人提供自 2023年1月1日以来(以合同签订时间为准)与本项目性质类似项目获得业主服务满意度好评，业主评价为（好或</w:t>
            </w:r>
            <w:r>
              <w:rPr>
                <w:rFonts w:hint="eastAsia" w:ascii="宋体" w:hAnsi="宋体" w:cs="宋体"/>
                <w:color w:val="auto"/>
                <w:spacing w:val="-2"/>
                <w:sz w:val="24"/>
                <w:szCs w:val="24"/>
                <w:highlight w:val="none"/>
                <w:lang w:val="en-US" w:eastAsia="zh-CN"/>
              </w:rPr>
              <w:t>满意</w:t>
            </w:r>
            <w:r>
              <w:rPr>
                <w:rFonts w:hint="eastAsia" w:ascii="宋体" w:hAnsi="宋体" w:eastAsia="宋体" w:cs="宋体"/>
                <w:color w:val="auto"/>
                <w:spacing w:val="-2"/>
                <w:sz w:val="24"/>
                <w:szCs w:val="24"/>
                <w:highlight w:val="none"/>
                <w:lang w:val="en-US" w:eastAsia="zh-CN"/>
              </w:rPr>
              <w:t>或类似描述），每提供一个得2分，最多得6分。同时提供以下证明材料：1、合同；2、业主对投标人服务评价的书面</w:t>
            </w:r>
            <w:r>
              <w:rPr>
                <w:rFonts w:hint="eastAsia" w:ascii="宋体" w:hAnsi="宋体" w:cs="宋体"/>
                <w:color w:val="auto"/>
                <w:spacing w:val="-2"/>
                <w:sz w:val="24"/>
                <w:szCs w:val="24"/>
                <w:highlight w:val="none"/>
                <w:lang w:val="en-US" w:eastAsia="zh-CN"/>
              </w:rPr>
              <w:t>盖章</w:t>
            </w:r>
            <w:r>
              <w:rPr>
                <w:rFonts w:hint="eastAsia" w:ascii="宋体" w:hAnsi="宋体" w:eastAsia="宋体" w:cs="宋体"/>
                <w:color w:val="auto"/>
                <w:spacing w:val="-2"/>
                <w:sz w:val="24"/>
                <w:szCs w:val="24"/>
                <w:highlight w:val="none"/>
                <w:lang w:val="en-US" w:eastAsia="zh-CN"/>
              </w:rPr>
              <w:t>材料。证明材料未体现与本项目相关内容或缺项或未提供的不得分。</w:t>
            </w:r>
          </w:p>
          <w:p w14:paraId="68576EF3">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注：同一业主单位履约评价材料只计取一次，不累计得分。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4AABC3D5">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分</w:t>
            </w:r>
          </w:p>
        </w:tc>
      </w:tr>
      <w:tr w14:paraId="7DFB6901">
        <w:tblPrEx>
          <w:tblCellMar>
            <w:top w:w="0" w:type="dxa"/>
            <w:left w:w="108" w:type="dxa"/>
            <w:bottom w:w="0" w:type="dxa"/>
            <w:right w:w="108" w:type="dxa"/>
          </w:tblCellMar>
        </w:tblPrEx>
        <w:trPr>
          <w:cantSplit/>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42D70818">
            <w:pPr>
              <w:keepNext w:val="0"/>
              <w:keepLines w:val="0"/>
              <w:widowControl w:val="0"/>
              <w:kinsoku/>
              <w:overflowPunct/>
              <w:autoSpaceDE/>
              <w:bidi w:val="0"/>
              <w:snapToGrid w:val="0"/>
              <w:spacing w:line="24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、门诊一站式服务方案</w:t>
            </w: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615166F1">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根据投标人提供的门诊一站式服务方案进行综合评分。一站式服务方案应结合医院项目特点，考虑全面：</w:t>
            </w:r>
          </w:p>
          <w:p w14:paraId="09FF1BD7">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一站式服务方案科学合理，可行性强的，得5分；</w:t>
            </w:r>
          </w:p>
          <w:p w14:paraId="529DE617">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一站式服务方案基本科学合理，基本可行的，得3分；</w:t>
            </w:r>
          </w:p>
          <w:p w14:paraId="0CD41B8F">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一站式服务方案不科学合理，不可行的，得1分；未提供的不得分。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744DBEEE">
            <w:pPr>
              <w:keepNext w:val="0"/>
              <w:keepLines w:val="0"/>
              <w:widowControl w:val="0"/>
              <w:kinsoku/>
              <w:overflowPunct/>
              <w:autoSpaceDE/>
              <w:bidi w:val="0"/>
              <w:snapToGrid w:val="0"/>
              <w:spacing w:line="240" w:lineRule="auto"/>
              <w:jc w:val="center"/>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14:paraId="659F265B">
        <w:tblPrEx>
          <w:tblCellMar>
            <w:top w:w="0" w:type="dxa"/>
            <w:left w:w="108" w:type="dxa"/>
            <w:bottom w:w="0" w:type="dxa"/>
            <w:right w:w="108" w:type="dxa"/>
          </w:tblCellMar>
        </w:tblPrEx>
        <w:trPr>
          <w:cantSplit/>
          <w:jc w:val="center"/>
        </w:trPr>
        <w:tc>
          <w:tcPr>
            <w:tcW w:w="947" w:type="dxa"/>
            <w:vMerge w:val="restart"/>
            <w:tcBorders>
              <w:top w:val="single" w:color="000000" w:sz="4" w:space="0"/>
              <w:left w:val="single" w:color="000000" w:sz="4" w:space="0"/>
              <w:bottom w:val="single" w:color="000000" w:sz="4" w:space="0"/>
              <w:right w:val="single" w:color="000000" w:sz="4" w:space="0"/>
            </w:tcBorders>
            <w:noWrap w:val="0"/>
            <w:vAlign w:val="center"/>
          </w:tcPr>
          <w:p w14:paraId="6E4A3DAB">
            <w:pPr>
              <w:keepNext w:val="0"/>
              <w:keepLines w:val="0"/>
              <w:widowControl w:val="0"/>
              <w:kinsoku/>
              <w:overflowPunct/>
              <w:autoSpaceDE/>
              <w:bidi w:val="0"/>
              <w:snapToGrid w:val="0"/>
              <w:spacing w:line="240" w:lineRule="auto"/>
              <w:jc w:val="center"/>
              <w:textAlignment w:val="auto"/>
              <w:rPr>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、培训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考核</w:t>
            </w:r>
            <w:r>
              <w:rPr>
                <w:rFonts w:hint="eastAsia" w:ascii="宋体" w:hAnsi="宋体" w:eastAsia="宋体" w:cs="宋体"/>
                <w:b/>
                <w:bCs/>
                <w:color w:val="auto"/>
                <w:sz w:val="24"/>
                <w:szCs w:val="24"/>
                <w:highlight w:val="none"/>
              </w:rPr>
              <w:t>方案</w:t>
            </w: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03813F25">
            <w:pPr>
              <w:keepNext w:val="0"/>
              <w:keepLines w:val="0"/>
              <w:widowControl w:val="0"/>
              <w:kinsoku/>
              <w:overflowPunct/>
              <w:autoSpaceDE/>
              <w:bidi w:val="0"/>
              <w:snapToGrid w:val="0"/>
              <w:spacing w:line="240" w:lineRule="auto"/>
              <w:textAlignment w:val="auto"/>
              <w:rPr>
                <w:rFonts w:hint="eastAsia" w:ascii="宋体" w:hAnsi="宋体" w:eastAsia="宋体" w:cs="宋体"/>
                <w:b/>
                <w:bCs w:val="0"/>
                <w:color w:val="auto"/>
                <w:spacing w:val="-2"/>
                <w:sz w:val="24"/>
                <w:szCs w:val="24"/>
                <w:highlight w:val="none"/>
                <w:lang w:val="en-US" w:eastAsia="zh-CN"/>
              </w:rPr>
            </w:pPr>
            <w:r>
              <w:rPr>
                <w:rFonts w:hint="eastAsia" w:ascii="宋体" w:hAnsi="宋体" w:cs="宋体"/>
                <w:b/>
                <w:bCs/>
                <w:color w:val="auto"/>
                <w:sz w:val="24"/>
                <w:szCs w:val="24"/>
                <w:highlight w:val="none"/>
                <w:lang w:val="en-US" w:eastAsia="zh-CN"/>
              </w:rPr>
              <w:t>4.1</w:t>
            </w:r>
            <w:r>
              <w:rPr>
                <w:rFonts w:hint="eastAsia" w:ascii="宋体" w:hAnsi="宋体" w:eastAsia="宋体" w:cs="宋体"/>
                <w:b/>
                <w:color w:val="auto"/>
                <w:sz w:val="24"/>
                <w:szCs w:val="24"/>
                <w:highlight w:val="none"/>
                <w:lang w:eastAsia="zh-CN"/>
              </w:rPr>
              <w:t>导医</w:t>
            </w:r>
            <w:r>
              <w:rPr>
                <w:rFonts w:hint="eastAsia" w:ascii="宋体" w:hAnsi="宋体" w:eastAsia="宋体" w:cs="宋体"/>
                <w:b/>
                <w:color w:val="auto"/>
                <w:sz w:val="24"/>
                <w:szCs w:val="24"/>
                <w:highlight w:val="none"/>
              </w:rPr>
              <w:t>的培训方案</w:t>
            </w:r>
            <w:r>
              <w:rPr>
                <w:rFonts w:hint="eastAsia" w:ascii="宋体" w:hAnsi="宋体" w:eastAsia="宋体" w:cs="宋体"/>
                <w:b/>
                <w:bCs w:val="0"/>
                <w:color w:val="auto"/>
                <w:sz w:val="24"/>
                <w:szCs w:val="24"/>
                <w:highlight w:val="none"/>
              </w:rPr>
              <w:t>（包</w:t>
            </w:r>
            <w:r>
              <w:rPr>
                <w:rFonts w:hint="eastAsia" w:ascii="宋体" w:hAnsi="宋体" w:eastAsia="宋体" w:cs="宋体"/>
                <w:b/>
                <w:bCs w:val="0"/>
                <w:color w:val="auto"/>
                <w:spacing w:val="-2"/>
                <w:sz w:val="24"/>
                <w:szCs w:val="24"/>
                <w:highlight w:val="none"/>
                <w:lang w:val="en-US" w:eastAsia="zh-CN"/>
              </w:rPr>
              <w:t>括培训方式、课程设置、培训目标、培训时数等）：</w:t>
            </w:r>
          </w:p>
          <w:p w14:paraId="105BC076">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完全满足采购人需求，培训方案合理可行得5分；</w:t>
            </w:r>
          </w:p>
          <w:p w14:paraId="3BE7D6E4">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满足满足采购人需求，培训方案较合理较可行得3分；</w:t>
            </w:r>
          </w:p>
          <w:p w14:paraId="78A8FBD3">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基本满足满足采购人需求，培训方案合理可行性一般得1分；</w:t>
            </w:r>
          </w:p>
          <w:p w14:paraId="137AB30A">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rPr>
              <w:t>未提供的不得分。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07FB089C">
            <w:pPr>
              <w:keepNext w:val="0"/>
              <w:keepLines w:val="0"/>
              <w:widowControl w:val="0"/>
              <w:kinsoku/>
              <w:overflowPunct/>
              <w:autoSpaceDE/>
              <w:bidi w:val="0"/>
              <w:snapToGrid w:val="0"/>
              <w:spacing w:line="240" w:lineRule="auto"/>
              <w:jc w:val="center"/>
              <w:textAlignment w:val="auto"/>
              <w:rPr>
                <w:rFonts w:hint="eastAsia" w:eastAsia="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分</w:t>
            </w:r>
          </w:p>
        </w:tc>
      </w:tr>
      <w:tr w14:paraId="76A23E88">
        <w:tblPrEx>
          <w:tblCellMar>
            <w:top w:w="0" w:type="dxa"/>
            <w:left w:w="108" w:type="dxa"/>
            <w:bottom w:w="0" w:type="dxa"/>
            <w:right w:w="108" w:type="dxa"/>
          </w:tblCellMar>
        </w:tblPrEx>
        <w:trPr>
          <w:cantSplit/>
          <w:trHeight w:val="1280" w:hRule="atLeast"/>
          <w:jc w:val="center"/>
        </w:trPr>
        <w:tc>
          <w:tcPr>
            <w:tcW w:w="9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E2C604">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3F8E9327">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cs="宋体"/>
                <w:b/>
                <w:color w:val="auto"/>
                <w:sz w:val="24"/>
                <w:szCs w:val="24"/>
                <w:highlight w:val="none"/>
                <w:lang w:val="en-US" w:eastAsia="zh-CN"/>
              </w:rPr>
              <w:t>4.2</w:t>
            </w:r>
            <w:r>
              <w:rPr>
                <w:rFonts w:hint="eastAsia" w:ascii="宋体" w:hAnsi="宋体" w:eastAsia="宋体" w:cs="宋体"/>
                <w:b/>
                <w:color w:val="auto"/>
                <w:sz w:val="24"/>
                <w:szCs w:val="24"/>
                <w:highlight w:val="none"/>
                <w:lang w:val="en-US" w:eastAsia="zh-CN"/>
              </w:rPr>
              <w:t>考核管理方案</w:t>
            </w:r>
            <w:r>
              <w:rPr>
                <w:rFonts w:hint="eastAsia" w:ascii="宋体" w:hAnsi="宋体" w:eastAsia="宋体" w:cs="宋体"/>
                <w:b/>
                <w:color w:val="auto"/>
                <w:sz w:val="24"/>
                <w:szCs w:val="24"/>
                <w:highlight w:val="none"/>
              </w:rPr>
              <w:t>：</w:t>
            </w:r>
          </w:p>
          <w:p w14:paraId="144888DD">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评委根据投标人提供的本项目人员考核管理方案(包括考核标准、措施、奖罚淘汰机制等内容)进行评分：</w:t>
            </w:r>
          </w:p>
          <w:p w14:paraId="0DF58A95">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方案科学合理，可行性强的，得5分；</w:t>
            </w:r>
          </w:p>
          <w:p w14:paraId="5B423048">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方案基本科学合理，基本可行的，得3分；</w:t>
            </w:r>
          </w:p>
          <w:p w14:paraId="55E7A9B2">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方案不科学合理，不可行的，得1分；</w:t>
            </w:r>
            <w:r>
              <w:rPr>
                <w:rFonts w:hint="eastAsia" w:ascii="宋体" w:hAnsi="宋体" w:eastAsia="宋体" w:cs="宋体"/>
                <w:color w:val="auto"/>
                <w:spacing w:val="-2"/>
                <w:sz w:val="24"/>
                <w:szCs w:val="24"/>
                <w:highlight w:val="none"/>
              </w:rPr>
              <w:t>未提供的不得分。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0CB8E4B0">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5分</w:t>
            </w:r>
          </w:p>
        </w:tc>
      </w:tr>
      <w:tr w14:paraId="0E48190F">
        <w:tblPrEx>
          <w:tblCellMar>
            <w:top w:w="0" w:type="dxa"/>
            <w:left w:w="108" w:type="dxa"/>
            <w:bottom w:w="0" w:type="dxa"/>
            <w:right w:w="108" w:type="dxa"/>
          </w:tblCellMar>
        </w:tblPrEx>
        <w:trPr>
          <w:cantSplit/>
          <w:trHeight w:val="962" w:hRule="atLeast"/>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5CCDE1C6">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cs="宋体"/>
                <w:b/>
                <w:color w:val="auto"/>
                <w:sz w:val="24"/>
                <w:szCs w:val="24"/>
                <w:highlight w:val="none"/>
                <w:lang w:val="en-US" w:eastAsia="zh-CN"/>
              </w:rPr>
              <w:t>5</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突发事件应急预案</w:t>
            </w:r>
          </w:p>
          <w:p w14:paraId="7107B360">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0980AAA4">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根据投标人提供的应急预案进行综合评分。应急处置预案应结合医院项目特点，考虑全面，有公共卫生（疫情防控等）、人员安全、治安秩序、各类纠纷、消防、工作手册等应急预案。</w:t>
            </w:r>
          </w:p>
          <w:p w14:paraId="42D7424D">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应急预案科学合理，可行性强的，得4分；</w:t>
            </w:r>
          </w:p>
          <w:p w14:paraId="099AFDE5">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应急预案基本科学合理，基本可行的，得2分；</w:t>
            </w:r>
          </w:p>
          <w:p w14:paraId="48139350">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应急预案不科学合理，不可行的，得1分；</w:t>
            </w:r>
            <w:r>
              <w:rPr>
                <w:rFonts w:hint="eastAsia" w:ascii="宋体" w:hAnsi="宋体" w:eastAsia="宋体" w:cs="宋体"/>
                <w:color w:val="auto"/>
                <w:spacing w:val="-2"/>
                <w:sz w:val="24"/>
                <w:szCs w:val="24"/>
                <w:highlight w:val="none"/>
              </w:rPr>
              <w:t>未提供的不得分。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7C6949FD">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4分</w:t>
            </w:r>
          </w:p>
        </w:tc>
      </w:tr>
      <w:tr w14:paraId="48282B90">
        <w:tblPrEx>
          <w:tblCellMar>
            <w:top w:w="0" w:type="dxa"/>
            <w:left w:w="108" w:type="dxa"/>
            <w:bottom w:w="0" w:type="dxa"/>
            <w:right w:w="108" w:type="dxa"/>
          </w:tblCellMar>
        </w:tblPrEx>
        <w:trPr>
          <w:cantSplit/>
          <w:trHeight w:val="1143" w:hRule="atLeast"/>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595CEE92">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lang w:val="en-US" w:eastAsia="zh-CN"/>
              </w:rPr>
              <w:t>、进场方案</w:t>
            </w:r>
          </w:p>
          <w:p w14:paraId="59F20EBA">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7D575BD1">
            <w:pPr>
              <w:pStyle w:val="28"/>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承诺导医导诊人员中标之后15个工作日内必须招聘培训结束随时准备上岗。根据所投项目的进场方案、可执行性进行评分。</w:t>
            </w:r>
          </w:p>
          <w:p w14:paraId="63A69BA8">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提供上述承诺函，且进场方案全面合理有效，具有详细的方案、方案内容适宜，进度合理，具备可执行性，得</w:t>
            </w:r>
            <w:r>
              <w:rPr>
                <w:rFonts w:hint="eastAsia" w:ascii="宋体" w:hAnsi="宋体" w:cs="宋体"/>
                <w:color w:val="auto"/>
                <w:spacing w:val="-2"/>
                <w:sz w:val="24"/>
                <w:szCs w:val="24"/>
                <w:highlight w:val="none"/>
                <w:lang w:val="en-US" w:eastAsia="zh-CN"/>
              </w:rPr>
              <w:t>5</w:t>
            </w:r>
            <w:r>
              <w:rPr>
                <w:rFonts w:hint="eastAsia" w:ascii="宋体" w:hAnsi="宋体" w:eastAsia="宋体" w:cs="宋体"/>
                <w:color w:val="auto"/>
                <w:spacing w:val="-2"/>
                <w:sz w:val="24"/>
                <w:szCs w:val="24"/>
                <w:highlight w:val="none"/>
                <w:lang w:val="en-US" w:eastAsia="zh-CN"/>
              </w:rPr>
              <w:t>分；</w:t>
            </w:r>
          </w:p>
          <w:p w14:paraId="54D0915B">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提供上述承诺函，且进场方案较全面，方案尚可、内容不够详细，进度较为合理，得</w:t>
            </w:r>
            <w:r>
              <w:rPr>
                <w:rFonts w:hint="eastAsia" w:ascii="宋体" w:hAnsi="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lang w:val="en-US" w:eastAsia="zh-CN"/>
              </w:rPr>
              <w:t>分；</w:t>
            </w:r>
          </w:p>
          <w:p w14:paraId="47DB880E">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提供上述承诺函，且进场方案合理性欠佳，内容不够详实，进度不太合理，得1分；</w:t>
            </w:r>
          </w:p>
          <w:p w14:paraId="001339BB">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rPr>
              <w:t>未提供的不得分。</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3316DE3C">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分</w:t>
            </w:r>
          </w:p>
        </w:tc>
      </w:tr>
      <w:tr w14:paraId="7A5A3CC5">
        <w:tblPrEx>
          <w:tblCellMar>
            <w:top w:w="0" w:type="dxa"/>
            <w:left w:w="108" w:type="dxa"/>
            <w:bottom w:w="0" w:type="dxa"/>
            <w:right w:w="108" w:type="dxa"/>
          </w:tblCellMar>
        </w:tblPrEx>
        <w:trPr>
          <w:cantSplit/>
          <w:trHeight w:val="90" w:hRule="atLeast"/>
          <w:jc w:val="center"/>
        </w:trPr>
        <w:tc>
          <w:tcPr>
            <w:tcW w:w="947" w:type="dxa"/>
            <w:tcBorders>
              <w:top w:val="single" w:color="000000" w:sz="4" w:space="0"/>
              <w:left w:val="single" w:color="000000" w:sz="4" w:space="0"/>
              <w:bottom w:val="single" w:color="000000" w:sz="4" w:space="0"/>
              <w:right w:val="single" w:color="000000" w:sz="4" w:space="0"/>
            </w:tcBorders>
            <w:noWrap w:val="0"/>
            <w:vAlign w:val="center"/>
          </w:tcPr>
          <w:p w14:paraId="303663F4">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val="en-US" w:eastAsia="zh-CN"/>
              </w:rPr>
              <w:t>、服务团队能力</w:t>
            </w:r>
          </w:p>
          <w:p w14:paraId="6FB0F093">
            <w:pPr>
              <w:keepNext w:val="0"/>
              <w:keepLines w:val="0"/>
              <w:widowControl w:val="0"/>
              <w:kinsoku/>
              <w:overflowPunct/>
              <w:autoSpaceDE/>
              <w:bidi w:val="0"/>
              <w:snapToGrid w:val="0"/>
              <w:spacing w:line="240" w:lineRule="auto"/>
              <w:jc w:val="center"/>
              <w:textAlignment w:val="auto"/>
              <w:rPr>
                <w:rFonts w:hint="eastAsia" w:ascii="宋体" w:hAnsi="宋体" w:eastAsia="宋体" w:cs="宋体"/>
                <w:b/>
                <w:bCs/>
                <w:color w:val="auto"/>
                <w:sz w:val="24"/>
                <w:szCs w:val="24"/>
                <w:highlight w:val="none"/>
              </w:rPr>
            </w:pPr>
          </w:p>
        </w:tc>
        <w:tc>
          <w:tcPr>
            <w:tcW w:w="7151" w:type="dxa"/>
            <w:tcBorders>
              <w:top w:val="single" w:color="000000" w:sz="4" w:space="0"/>
              <w:left w:val="single" w:color="000000" w:sz="4" w:space="0"/>
              <w:bottom w:val="single" w:color="000000" w:sz="4" w:space="0"/>
              <w:right w:val="single" w:color="000000" w:sz="4" w:space="0"/>
            </w:tcBorders>
            <w:noWrap w:val="0"/>
            <w:vAlign w:val="center"/>
          </w:tcPr>
          <w:p w14:paraId="0679C56E">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项目人员配备及要求：</w:t>
            </w:r>
          </w:p>
          <w:p w14:paraId="2AF2A13D">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项目</w:t>
            </w:r>
            <w:r>
              <w:rPr>
                <w:rFonts w:hint="eastAsia" w:ascii="宋体" w:hAnsi="宋体" w:cs="宋体"/>
                <w:color w:val="auto"/>
                <w:spacing w:val="-2"/>
                <w:sz w:val="24"/>
                <w:szCs w:val="24"/>
                <w:highlight w:val="none"/>
                <w:lang w:val="en-US" w:eastAsia="zh-CN"/>
              </w:rPr>
              <w:t>经理</w:t>
            </w:r>
            <w:r>
              <w:rPr>
                <w:rFonts w:hint="eastAsia" w:ascii="宋体" w:hAnsi="宋体" w:eastAsia="宋体" w:cs="宋体"/>
                <w:color w:val="auto"/>
                <w:spacing w:val="-2"/>
                <w:sz w:val="24"/>
                <w:szCs w:val="24"/>
                <w:highlight w:val="none"/>
                <w:lang w:val="en-US" w:eastAsia="zh-CN"/>
              </w:rPr>
              <w:t>1人：要求年龄</w:t>
            </w:r>
            <w:r>
              <w:rPr>
                <w:rFonts w:hint="eastAsia" w:ascii="宋体" w:hAnsi="宋体" w:cs="宋体"/>
                <w:color w:val="auto"/>
                <w:spacing w:val="-2"/>
                <w:sz w:val="24"/>
                <w:szCs w:val="24"/>
                <w:highlight w:val="none"/>
                <w:lang w:val="en-US" w:eastAsia="zh-CN"/>
              </w:rPr>
              <w:t>40</w:t>
            </w:r>
            <w:r>
              <w:rPr>
                <w:rFonts w:hint="eastAsia" w:ascii="宋体" w:hAnsi="宋体" w:eastAsia="宋体" w:cs="宋体"/>
                <w:color w:val="auto"/>
                <w:spacing w:val="-2"/>
                <w:sz w:val="24"/>
                <w:szCs w:val="24"/>
                <w:highlight w:val="none"/>
                <w:lang w:val="en-US" w:eastAsia="zh-CN"/>
              </w:rPr>
              <w:t>周岁以下，得1分，持有</w:t>
            </w:r>
            <w:r>
              <w:rPr>
                <w:rStyle w:val="61"/>
                <w:rFonts w:ascii="宋体" w:hAnsi="宋体" w:eastAsia="宋体" w:cs="宋体"/>
                <w:color w:val="000000"/>
                <w:sz w:val="24"/>
                <w:szCs w:val="24"/>
                <w:highlight w:val="none"/>
              </w:rPr>
              <w:t>国家行政主管部门依法颁发</w:t>
            </w:r>
            <w:r>
              <w:rPr>
                <w:rFonts w:hint="eastAsia" w:ascii="宋体" w:hAnsi="宋体" w:eastAsia="宋体" w:cs="宋体"/>
                <w:color w:val="auto"/>
                <w:spacing w:val="-2"/>
                <w:sz w:val="24"/>
                <w:szCs w:val="24"/>
                <w:highlight w:val="none"/>
                <w:lang w:val="en-US" w:eastAsia="zh-CN"/>
              </w:rPr>
              <w:t>的中级职称证书得1分，持有</w:t>
            </w:r>
            <w:r>
              <w:rPr>
                <w:rStyle w:val="61"/>
                <w:rFonts w:ascii="宋体" w:hAnsi="宋体" w:eastAsia="宋体" w:cs="宋体"/>
                <w:color w:val="000000"/>
                <w:sz w:val="24"/>
                <w:szCs w:val="24"/>
                <w:highlight w:val="none"/>
              </w:rPr>
              <w:t>人社部门备案机构颁发的劳动关系协调员（中级）及以上职业技能等级证书</w:t>
            </w:r>
            <w:r>
              <w:rPr>
                <w:rStyle w:val="61"/>
                <w:rFonts w:hint="eastAsia" w:ascii="宋体" w:hAnsi="宋体" w:eastAsia="宋体" w:cs="宋体"/>
                <w:color w:val="000000"/>
                <w:sz w:val="24"/>
                <w:szCs w:val="24"/>
                <w:highlight w:val="none"/>
                <w:lang w:val="en-US" w:eastAsia="zh-CN"/>
              </w:rPr>
              <w:t>得1分</w:t>
            </w:r>
            <w:r>
              <w:rPr>
                <w:rFonts w:hint="eastAsia" w:ascii="宋体" w:hAnsi="宋体" w:eastAsia="宋体" w:cs="宋体"/>
                <w:color w:val="auto"/>
                <w:spacing w:val="-2"/>
                <w:sz w:val="24"/>
                <w:szCs w:val="24"/>
                <w:highlight w:val="none"/>
                <w:lang w:val="en-US" w:eastAsia="zh-CN"/>
              </w:rPr>
              <w:t>；</w:t>
            </w:r>
          </w:p>
          <w:p w14:paraId="2A83D8D3">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项目团队人员中持有应急救援员证书且具有5年以上与本项目性质类似管理经历的得2分； </w:t>
            </w:r>
          </w:p>
          <w:p w14:paraId="55B91DC7">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b/>
                <w:bCs/>
                <w:color w:val="auto"/>
                <w:spacing w:val="-2"/>
                <w:sz w:val="24"/>
                <w:szCs w:val="24"/>
                <w:highlight w:val="none"/>
                <w:lang w:val="en-US" w:eastAsia="zh-CN"/>
              </w:rPr>
              <w:t>注：以上人员须按照要求提供相关证明材料（包含身份证扫描件、相关工作经历、年限的业主证明材料、相关证书扫描件等）及所在投标人单位近6个月内任意一个月的社保缴纳证明。</w:t>
            </w:r>
          </w:p>
        </w:tc>
        <w:tc>
          <w:tcPr>
            <w:tcW w:w="977" w:type="dxa"/>
            <w:tcBorders>
              <w:top w:val="single" w:color="000000" w:sz="4" w:space="0"/>
              <w:left w:val="single" w:color="000000" w:sz="4" w:space="0"/>
              <w:bottom w:val="single" w:color="000000" w:sz="4" w:space="0"/>
              <w:right w:val="single" w:color="000000" w:sz="4" w:space="0"/>
            </w:tcBorders>
            <w:noWrap w:val="0"/>
            <w:vAlign w:val="center"/>
          </w:tcPr>
          <w:p w14:paraId="5D27BA64">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5分</w:t>
            </w:r>
          </w:p>
        </w:tc>
      </w:tr>
      <w:tr w14:paraId="56734E97">
        <w:tblPrEx>
          <w:tblCellMar>
            <w:top w:w="0" w:type="dxa"/>
            <w:left w:w="108" w:type="dxa"/>
            <w:bottom w:w="0" w:type="dxa"/>
            <w:right w:w="108" w:type="dxa"/>
          </w:tblCellMar>
        </w:tblPrEx>
        <w:trPr>
          <w:cantSplit/>
          <w:trHeight w:val="2067" w:hRule="atLeast"/>
          <w:jc w:val="center"/>
        </w:trPr>
        <w:tc>
          <w:tcPr>
            <w:tcW w:w="947" w:type="dxa"/>
            <w:tcBorders>
              <w:top w:val="single" w:color="000000" w:sz="4" w:space="0"/>
              <w:left w:val="single" w:color="000000" w:sz="4" w:space="0"/>
              <w:bottom w:val="single" w:color="auto" w:sz="4" w:space="0"/>
              <w:right w:val="single" w:color="000000" w:sz="4" w:space="0"/>
            </w:tcBorders>
            <w:noWrap w:val="0"/>
            <w:vAlign w:val="center"/>
          </w:tcPr>
          <w:p w14:paraId="55869AC8">
            <w:pPr>
              <w:keepNext w:val="0"/>
              <w:keepLines w:val="0"/>
              <w:widowControl w:val="0"/>
              <w:numPr>
                <w:ilvl w:val="0"/>
                <w:numId w:val="0"/>
              </w:numPr>
              <w:kinsoku/>
              <w:overflowPunct/>
              <w:autoSpaceDE/>
              <w:bidi w:val="0"/>
              <w:snapToGrid w:val="0"/>
              <w:spacing w:line="240" w:lineRule="auto"/>
              <w:ind w:left="0" w:right="0" w:firstLine="0"/>
              <w:textAlignment w:val="auto"/>
              <w:rPr>
                <w:color w:val="auto"/>
                <w:sz w:val="24"/>
                <w:szCs w:val="24"/>
                <w:highlight w:val="none"/>
              </w:rPr>
            </w:pPr>
            <w:r>
              <w:rPr>
                <w:rFonts w:hint="eastAsia" w:ascii="宋体" w:hAnsi="宋体" w:cs="宋体"/>
                <w:b/>
                <w:bCs/>
                <w:color w:val="auto"/>
                <w:spacing w:val="-2"/>
                <w:sz w:val="24"/>
                <w:szCs w:val="24"/>
                <w:highlight w:val="none"/>
                <w:lang w:val="en-US" w:eastAsia="zh-CN"/>
              </w:rPr>
              <w:t>8</w:t>
            </w:r>
            <w:r>
              <w:rPr>
                <w:rFonts w:hint="eastAsia" w:ascii="宋体" w:hAnsi="宋体" w:eastAsia="宋体" w:cs="宋体"/>
                <w:b/>
                <w:bCs/>
                <w:color w:val="auto"/>
                <w:spacing w:val="-2"/>
                <w:sz w:val="24"/>
                <w:szCs w:val="24"/>
                <w:highlight w:val="none"/>
                <w:lang w:val="en-US" w:eastAsia="zh-CN"/>
              </w:rPr>
              <w:t>、信息化情况</w:t>
            </w:r>
          </w:p>
        </w:tc>
        <w:tc>
          <w:tcPr>
            <w:tcW w:w="7151" w:type="dxa"/>
            <w:tcBorders>
              <w:top w:val="single" w:color="000000" w:sz="4" w:space="0"/>
              <w:left w:val="single" w:color="000000" w:sz="4" w:space="0"/>
              <w:bottom w:val="single" w:color="auto" w:sz="4" w:space="0"/>
              <w:right w:val="single" w:color="000000" w:sz="4" w:space="0"/>
            </w:tcBorders>
            <w:noWrap w:val="0"/>
            <w:vAlign w:val="center"/>
          </w:tcPr>
          <w:p w14:paraId="1DA53F82">
            <w:pPr>
              <w:keepNext w:val="0"/>
              <w:keepLines w:val="0"/>
              <w:widowControl w:val="0"/>
              <w:kinsoku/>
              <w:overflowPunct/>
              <w:autoSpaceDE/>
              <w:bidi w:val="0"/>
              <w:snapToGrid w:val="0"/>
              <w:spacing w:line="240" w:lineRule="auto"/>
              <w:textAlignment w:val="auto"/>
              <w:rPr>
                <w:color w:val="auto"/>
                <w:sz w:val="24"/>
                <w:szCs w:val="24"/>
                <w:highlight w:val="none"/>
              </w:rPr>
            </w:pPr>
            <w:r>
              <w:rPr>
                <w:rFonts w:hint="eastAsia" w:ascii="宋体" w:hAnsi="宋体" w:eastAsia="宋体" w:cs="宋体"/>
                <w:color w:val="auto"/>
                <w:spacing w:val="-2"/>
                <w:sz w:val="24"/>
                <w:szCs w:val="24"/>
                <w:highlight w:val="none"/>
                <w:lang w:val="en-US" w:eastAsia="zh-CN"/>
              </w:rPr>
              <w:t>导医管理系统：投标人具有支持本项目导医管理系统软件（须具备考核、学习、通知等功能，提供功能截图）且拥有自主知识产权（须提供软件著作权证书）的得5分，投标人从</w:t>
            </w:r>
            <w:r>
              <w:rPr>
                <w:rFonts w:hint="eastAsia" w:ascii="宋体" w:hAnsi="宋体" w:eastAsia="宋体" w:cs="宋体"/>
                <w:spacing w:val="-2"/>
                <w:highlight w:val="none"/>
                <w:lang w:val="en-US" w:eastAsia="zh-CN"/>
              </w:rPr>
              <w:t>第三方获得导医</w:t>
            </w:r>
            <w:r>
              <w:rPr>
                <w:rFonts w:hint="eastAsia" w:ascii="宋体" w:hAnsi="宋体" w:eastAsia="宋体" w:cs="宋体"/>
                <w:color w:val="auto"/>
                <w:spacing w:val="-2"/>
                <w:sz w:val="24"/>
                <w:szCs w:val="24"/>
                <w:highlight w:val="none"/>
                <w:lang w:val="en-US" w:eastAsia="zh-CN"/>
              </w:rPr>
              <w:t>管理系统软件的得2分（</w:t>
            </w:r>
            <w:r>
              <w:rPr>
                <w:rFonts w:hint="eastAsia" w:ascii="宋体" w:hAnsi="宋体" w:eastAsia="宋体" w:cs="宋体"/>
                <w:spacing w:val="-2"/>
                <w:highlight w:val="none"/>
                <w:lang w:val="en-US" w:eastAsia="zh-CN"/>
              </w:rPr>
              <w:t>须提供购买或租用合同的复印件、付款凭证复印件</w:t>
            </w:r>
            <w:r>
              <w:rPr>
                <w:rFonts w:hint="eastAsia" w:ascii="宋体" w:hAnsi="宋体" w:eastAsia="宋体" w:cs="宋体"/>
                <w:color w:val="auto"/>
                <w:spacing w:val="-2"/>
                <w:sz w:val="24"/>
                <w:szCs w:val="24"/>
                <w:highlight w:val="none"/>
                <w:lang w:val="en-US" w:eastAsia="zh-CN"/>
              </w:rPr>
              <w:t>）。不提供不得分。</w:t>
            </w:r>
          </w:p>
          <w:p w14:paraId="202708CE">
            <w:pPr>
              <w:pStyle w:val="291"/>
              <w:keepNext w:val="0"/>
              <w:keepLines w:val="0"/>
              <w:widowControl w:val="0"/>
              <w:kinsoku/>
              <w:overflowPunct/>
              <w:autoSpaceDE/>
              <w:bidi w:val="0"/>
              <w:snapToGrid w:val="0"/>
              <w:spacing w:line="240" w:lineRule="auto"/>
              <w:ind w:left="0" w:right="0" w:firstLine="0"/>
              <w:textAlignment w:val="auto"/>
              <w:rPr>
                <w:color w:val="auto"/>
                <w:sz w:val="24"/>
                <w:szCs w:val="24"/>
                <w:highlight w:val="none"/>
              </w:rPr>
            </w:pPr>
            <w:r>
              <w:rPr>
                <w:rFonts w:hint="eastAsia" w:ascii="宋体" w:hAnsi="宋体" w:eastAsia="宋体" w:cs="宋体"/>
                <w:b/>
                <w:bCs/>
                <w:color w:val="auto"/>
                <w:spacing w:val="-2"/>
                <w:sz w:val="24"/>
                <w:szCs w:val="24"/>
                <w:highlight w:val="none"/>
                <w:lang w:val="en-US" w:eastAsia="zh-CN"/>
              </w:rPr>
              <w:t>注：以上须按照要求提供相关证明材料，证明材料须能体现上述要求，未提供或提供材料未能体现不得分。</w:t>
            </w:r>
          </w:p>
        </w:tc>
        <w:tc>
          <w:tcPr>
            <w:tcW w:w="977" w:type="dxa"/>
            <w:tcBorders>
              <w:top w:val="single" w:color="000000" w:sz="4" w:space="0"/>
              <w:left w:val="single" w:color="000000" w:sz="4" w:space="0"/>
              <w:bottom w:val="single" w:color="auto" w:sz="4" w:space="0"/>
              <w:right w:val="single" w:color="000000" w:sz="4" w:space="0"/>
            </w:tcBorders>
            <w:noWrap w:val="0"/>
            <w:vAlign w:val="center"/>
          </w:tcPr>
          <w:p w14:paraId="29BE6247">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5</w:t>
            </w:r>
            <w:r>
              <w:rPr>
                <w:rFonts w:hint="eastAsia" w:ascii="宋体" w:hAnsi="宋体" w:eastAsia="宋体" w:cs="宋体"/>
                <w:b w:val="0"/>
                <w:bCs/>
                <w:color w:val="auto"/>
                <w:sz w:val="24"/>
                <w:szCs w:val="24"/>
                <w:highlight w:val="none"/>
                <w:lang w:val="en-US" w:eastAsia="zh-CN"/>
              </w:rPr>
              <w:t>分</w:t>
            </w:r>
          </w:p>
        </w:tc>
      </w:tr>
      <w:tr w14:paraId="2764ED0C">
        <w:tblPrEx>
          <w:tblCellMar>
            <w:top w:w="0" w:type="dxa"/>
            <w:left w:w="108" w:type="dxa"/>
            <w:bottom w:w="0" w:type="dxa"/>
            <w:right w:w="108" w:type="dxa"/>
          </w:tblCellMar>
        </w:tblPrEx>
        <w:trPr>
          <w:cantSplit/>
          <w:trHeight w:val="1084" w:hRule="atLeast"/>
          <w:jc w:val="center"/>
        </w:trPr>
        <w:tc>
          <w:tcPr>
            <w:tcW w:w="947" w:type="dxa"/>
            <w:tcBorders>
              <w:top w:val="single" w:color="auto" w:sz="4" w:space="0"/>
              <w:left w:val="single" w:color="auto" w:sz="4" w:space="0"/>
              <w:bottom w:val="single" w:color="auto" w:sz="4" w:space="0"/>
              <w:right w:val="single" w:color="auto" w:sz="4" w:space="0"/>
            </w:tcBorders>
            <w:noWrap w:val="0"/>
            <w:vAlign w:val="center"/>
          </w:tcPr>
          <w:p w14:paraId="64EF325B">
            <w:pPr>
              <w:keepNext w:val="0"/>
              <w:keepLines w:val="0"/>
              <w:widowControl w:val="0"/>
              <w:numPr>
                <w:ilvl w:val="0"/>
                <w:numId w:val="0"/>
              </w:numPr>
              <w:kinsoku/>
              <w:overflowPunct/>
              <w:autoSpaceDE/>
              <w:bidi w:val="0"/>
              <w:snapToGrid w:val="0"/>
              <w:spacing w:line="240" w:lineRule="auto"/>
              <w:ind w:left="0" w:right="0" w:firstLine="0"/>
              <w:textAlignment w:val="auto"/>
              <w:rPr>
                <w:color w:val="auto"/>
                <w:sz w:val="24"/>
                <w:szCs w:val="24"/>
                <w:highlight w:val="none"/>
              </w:rPr>
            </w:pPr>
            <w:r>
              <w:rPr>
                <w:rFonts w:hint="eastAsia" w:ascii="宋体" w:hAnsi="宋体" w:cs="宋体"/>
                <w:b/>
                <w:bCs/>
                <w:color w:val="auto"/>
                <w:spacing w:val="-2"/>
                <w:sz w:val="24"/>
                <w:szCs w:val="24"/>
                <w:highlight w:val="none"/>
                <w:lang w:val="en-US" w:eastAsia="zh-CN"/>
              </w:rPr>
              <w:t>9</w:t>
            </w:r>
            <w:r>
              <w:rPr>
                <w:rFonts w:hint="eastAsia" w:ascii="宋体" w:hAnsi="宋体" w:eastAsia="宋体" w:cs="宋体"/>
                <w:b/>
                <w:bCs/>
                <w:color w:val="auto"/>
                <w:spacing w:val="-2"/>
                <w:sz w:val="24"/>
                <w:szCs w:val="24"/>
                <w:highlight w:val="none"/>
                <w:lang w:val="en-US" w:eastAsia="zh-CN"/>
              </w:rPr>
              <w:t>、增值服务</w:t>
            </w:r>
          </w:p>
        </w:tc>
        <w:tc>
          <w:tcPr>
            <w:tcW w:w="7151" w:type="dxa"/>
            <w:tcBorders>
              <w:top w:val="single" w:color="auto" w:sz="4" w:space="0"/>
              <w:left w:val="single" w:color="auto" w:sz="4" w:space="0"/>
              <w:bottom w:val="single" w:color="auto" w:sz="4" w:space="0"/>
              <w:right w:val="single" w:color="auto" w:sz="4" w:space="0"/>
            </w:tcBorders>
            <w:noWrap w:val="0"/>
            <w:vAlign w:val="center"/>
          </w:tcPr>
          <w:p w14:paraId="55A3A567">
            <w:pPr>
              <w:keepNext w:val="0"/>
              <w:keepLines w:val="0"/>
              <w:widowControl w:val="0"/>
              <w:kinsoku/>
              <w:overflowPunct/>
              <w:autoSpaceDE/>
              <w:bidi w:val="0"/>
              <w:snapToGrid w:val="0"/>
              <w:spacing w:line="240" w:lineRule="auto"/>
              <w:textAlignment w:val="auto"/>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投标人自行编写拟提供给采购人的增值服务，服务内容可行性强，有针对性的得5分；服务内容可行性较强，有一定针对性的得3分；服务内容可行性较差，针对性较差的得1分；</w:t>
            </w:r>
          </w:p>
        </w:tc>
        <w:tc>
          <w:tcPr>
            <w:tcW w:w="977" w:type="dxa"/>
            <w:tcBorders>
              <w:top w:val="single" w:color="auto" w:sz="4" w:space="0"/>
              <w:left w:val="single" w:color="auto" w:sz="4" w:space="0"/>
              <w:bottom w:val="single" w:color="auto" w:sz="4" w:space="0"/>
              <w:right w:val="single" w:color="auto" w:sz="4" w:space="0"/>
            </w:tcBorders>
            <w:noWrap w:val="0"/>
            <w:vAlign w:val="center"/>
          </w:tcPr>
          <w:p w14:paraId="355FD4EA">
            <w:pPr>
              <w:keepNext w:val="0"/>
              <w:keepLines w:val="0"/>
              <w:widowControl w:val="0"/>
              <w:kinsoku/>
              <w:overflowPunct/>
              <w:autoSpaceDE/>
              <w:bidi w:val="0"/>
              <w:snapToGrid w:val="0"/>
              <w:spacing w:line="240" w:lineRule="auto"/>
              <w:jc w:val="center"/>
              <w:textAlignment w:val="auto"/>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5分</w:t>
            </w:r>
          </w:p>
        </w:tc>
      </w:tr>
      <w:tr w14:paraId="6408E338">
        <w:tblPrEx>
          <w:tblCellMar>
            <w:top w:w="0" w:type="dxa"/>
            <w:left w:w="108" w:type="dxa"/>
            <w:bottom w:w="0" w:type="dxa"/>
            <w:right w:w="108" w:type="dxa"/>
          </w:tblCellMar>
        </w:tblPrEx>
        <w:trPr>
          <w:cantSplit/>
          <w:trHeight w:val="5688" w:hRule="atLeast"/>
          <w:jc w:val="center"/>
        </w:trPr>
        <w:tc>
          <w:tcPr>
            <w:tcW w:w="947" w:type="dxa"/>
            <w:tcBorders>
              <w:top w:val="single" w:color="auto" w:sz="4" w:space="0"/>
              <w:left w:val="single" w:color="auto" w:sz="4" w:space="0"/>
              <w:bottom w:val="single" w:color="auto" w:sz="4" w:space="0"/>
              <w:right w:val="single" w:color="auto" w:sz="4" w:space="0"/>
            </w:tcBorders>
            <w:noWrap w:val="0"/>
            <w:vAlign w:val="center"/>
          </w:tcPr>
          <w:p w14:paraId="5FA194A6">
            <w:pPr>
              <w:keepNext w:val="0"/>
              <w:keepLines w:val="0"/>
              <w:widowControl w:val="0"/>
              <w:numPr>
                <w:ilvl w:val="0"/>
                <w:numId w:val="0"/>
              </w:numPr>
              <w:kinsoku/>
              <w:overflowPunct/>
              <w:autoSpaceDE/>
              <w:bidi w:val="0"/>
              <w:snapToGrid w:val="0"/>
              <w:spacing w:line="240" w:lineRule="auto"/>
              <w:ind w:left="0" w:right="0" w:firstLine="0"/>
              <w:textAlignment w:val="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1</w:t>
            </w:r>
            <w:r>
              <w:rPr>
                <w:rFonts w:hint="eastAsia" w:ascii="宋体" w:hAnsi="宋体" w:cs="宋体"/>
                <w:b/>
                <w:bCs/>
                <w:color w:val="auto"/>
                <w:spacing w:val="-2"/>
                <w:sz w:val="24"/>
                <w:szCs w:val="24"/>
                <w:highlight w:val="none"/>
                <w:lang w:val="en-US" w:eastAsia="zh-CN"/>
              </w:rPr>
              <w:t>0</w:t>
            </w:r>
            <w:r>
              <w:rPr>
                <w:rFonts w:hint="eastAsia" w:ascii="宋体" w:hAnsi="宋体" w:eastAsia="宋体" w:cs="宋体"/>
                <w:b/>
                <w:bCs/>
                <w:color w:val="auto"/>
                <w:spacing w:val="-2"/>
                <w:sz w:val="24"/>
                <w:szCs w:val="24"/>
                <w:highlight w:val="none"/>
                <w:lang w:val="en-US" w:eastAsia="zh-CN"/>
              </w:rPr>
              <w:t>、现场答辩及现场演示</w:t>
            </w:r>
          </w:p>
        </w:tc>
        <w:tc>
          <w:tcPr>
            <w:tcW w:w="7151" w:type="dxa"/>
            <w:tcBorders>
              <w:top w:val="single" w:color="auto" w:sz="4" w:space="0"/>
              <w:left w:val="single" w:color="auto" w:sz="4" w:space="0"/>
              <w:bottom w:val="single" w:color="auto" w:sz="4" w:space="0"/>
              <w:right w:val="single" w:color="auto" w:sz="4" w:space="0"/>
            </w:tcBorders>
            <w:noWrap w:val="0"/>
            <w:vAlign w:val="center"/>
          </w:tcPr>
          <w:p w14:paraId="7C3BF920">
            <w:pPr>
              <w:keepNext w:val="0"/>
              <w:keepLines w:val="0"/>
              <w:widowControl w:val="0"/>
              <w:kinsoku/>
              <w:overflowPunct/>
              <w:autoSpaceDE/>
              <w:bidi w:val="0"/>
              <w:snapToGrid w:val="0"/>
              <w:spacing w:line="240" w:lineRule="auto"/>
              <w:textAlignment w:val="auto"/>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评委根据现场答辩情况进行打分。答辩思路清晰、陈述内容对本项目针对性强、对问题的见解全面的得10分；答辩思路清晰、陈述内容对本项目针对性较强、对问题的见解较全面的得7分；答辩思路较清晰、陈述内容对本项目针对性一般、对问题的见解较全面的得4分；答辩思路不清晰、陈述内容对本项目针对性不强、对问题的见解不全面的得1分；不参与答辩的不得分。</w:t>
            </w:r>
          </w:p>
          <w:p w14:paraId="7CE55D89">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（现场答辩由拟派项目</w:t>
            </w:r>
            <w:r>
              <w:rPr>
                <w:rFonts w:hint="eastAsia" w:ascii="宋体" w:hAnsi="宋体" w:cs="宋体"/>
                <w:color w:val="auto"/>
                <w:spacing w:val="-2"/>
                <w:sz w:val="24"/>
                <w:szCs w:val="24"/>
                <w:highlight w:val="none"/>
                <w:lang w:val="en-US" w:eastAsia="zh-CN"/>
              </w:rPr>
              <w:t>经理</w:t>
            </w:r>
            <w:r>
              <w:rPr>
                <w:rFonts w:hint="eastAsia" w:ascii="宋体" w:hAnsi="宋体" w:eastAsia="宋体" w:cs="宋体"/>
                <w:color w:val="auto"/>
                <w:spacing w:val="-2"/>
                <w:sz w:val="24"/>
                <w:szCs w:val="24"/>
                <w:highlight w:val="none"/>
                <w:lang w:val="en-US" w:eastAsia="zh-CN"/>
              </w:rPr>
              <w:t>进行答辩。现场答辩程序为：投标人自我陈述（2分钟以内）、拟派项目经理现场回答评委提出的问题（3分钟以内）。）</w:t>
            </w:r>
          </w:p>
          <w:p w14:paraId="136C3762">
            <w:pPr>
              <w:keepNext w:val="0"/>
              <w:keepLines w:val="0"/>
              <w:widowControl w:val="0"/>
              <w:kinsoku/>
              <w:overflowPunct/>
              <w:autoSpaceDE/>
              <w:bidi w:val="0"/>
              <w:snapToGrid w:val="0"/>
              <w:spacing w:line="240" w:lineRule="auto"/>
              <w:textAlignment w:val="auto"/>
              <w:rPr>
                <w:color w:val="auto"/>
                <w:highlight w:val="none"/>
              </w:rPr>
            </w:pPr>
            <w:r>
              <w:rPr>
                <w:rFonts w:hint="eastAsia" w:ascii="宋体" w:hAnsi="宋体" w:eastAsia="宋体" w:cs="宋体"/>
                <w:color w:val="auto"/>
                <w:spacing w:val="-2"/>
                <w:sz w:val="24"/>
                <w:szCs w:val="24"/>
                <w:highlight w:val="none"/>
                <w:lang w:val="en-US" w:eastAsia="zh-CN"/>
              </w:rPr>
              <w:t>（2）系统软件演示：供应商须调用真实导医管理系统平台或真实应用系统进行现场演示，每个子项功能完整演示得5分，部分演示或演示不通过的该子项不得分。本项满分15分</w:t>
            </w:r>
          </w:p>
          <w:p w14:paraId="4F2491EB">
            <w:pPr>
              <w:pStyle w:val="2"/>
              <w:ind w:left="0" w:leftChars="0" w:firstLine="0" w:firstLineChars="0"/>
              <w:jc w:val="both"/>
              <w:rPr>
                <w:rFonts w:hint="eastAsia" w:ascii="宋体" w:hAnsi="宋体" w:eastAsia="宋体" w:cs="宋体"/>
                <w:color w:val="auto"/>
                <w:spacing w:val="-2"/>
                <w:sz w:val="24"/>
                <w:szCs w:val="24"/>
                <w:highlight w:val="none"/>
                <w:lang w:val="en-US" w:eastAsia="zh-CN"/>
              </w:rPr>
            </w:pPr>
            <w:r>
              <w:rPr>
                <w:rFonts w:hint="eastAsia"/>
                <w:color w:val="auto"/>
                <w:highlight w:val="none"/>
                <w:lang w:val="en-US" w:eastAsia="zh-CN"/>
              </w:rPr>
              <w:t>1、</w:t>
            </w:r>
            <w:r>
              <w:rPr>
                <w:rFonts w:hint="eastAsia" w:ascii="宋体" w:hAnsi="宋体" w:eastAsia="宋体" w:cs="宋体"/>
                <w:color w:val="auto"/>
                <w:spacing w:val="-2"/>
                <w:sz w:val="24"/>
                <w:szCs w:val="24"/>
                <w:highlight w:val="none"/>
                <w:lang w:val="en-US" w:eastAsia="zh-CN"/>
              </w:rPr>
              <w:t>具备有</w:t>
            </w:r>
            <w:r>
              <w:rPr>
                <w:rFonts w:hint="eastAsia" w:cs="宋体"/>
                <w:spacing w:val="-2"/>
                <w:sz w:val="24"/>
                <w:szCs w:val="24"/>
                <w:highlight w:val="none"/>
              </w:rPr>
              <w:t>考核</w:t>
            </w:r>
            <w:r>
              <w:rPr>
                <w:rFonts w:hint="eastAsia" w:ascii="宋体" w:hAnsi="宋体" w:eastAsia="宋体" w:cs="宋体"/>
                <w:spacing w:val="-2"/>
                <w:sz w:val="24"/>
                <w:szCs w:val="24"/>
                <w:highlight w:val="none"/>
                <w:lang w:val="en-US" w:eastAsia="zh-CN"/>
              </w:rPr>
              <w:t>系统</w:t>
            </w:r>
            <w:r>
              <w:rPr>
                <w:rFonts w:hint="eastAsia" w:ascii="宋体" w:hAnsi="宋体" w:eastAsia="宋体" w:cs="宋体"/>
                <w:color w:val="auto"/>
                <w:spacing w:val="-2"/>
                <w:sz w:val="24"/>
                <w:szCs w:val="24"/>
                <w:highlight w:val="none"/>
                <w:lang w:val="en-US" w:eastAsia="zh-CN"/>
              </w:rPr>
              <w:t>模块</w:t>
            </w:r>
          </w:p>
          <w:p w14:paraId="53E9B1EF">
            <w:pPr>
              <w:jc w:val="both"/>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2、具备有学习</w:t>
            </w:r>
            <w:r>
              <w:rPr>
                <w:rFonts w:hint="eastAsia" w:ascii="宋体" w:hAnsi="宋体" w:eastAsia="宋体" w:cs="宋体"/>
                <w:spacing w:val="-2"/>
                <w:sz w:val="24"/>
                <w:szCs w:val="24"/>
                <w:highlight w:val="none"/>
                <w:lang w:val="en-US" w:eastAsia="zh-CN"/>
              </w:rPr>
              <w:t>系统</w:t>
            </w:r>
            <w:r>
              <w:rPr>
                <w:rFonts w:hint="eastAsia" w:ascii="宋体" w:hAnsi="宋体" w:eastAsia="宋体" w:cs="宋体"/>
                <w:color w:val="auto"/>
                <w:spacing w:val="-2"/>
                <w:sz w:val="24"/>
                <w:szCs w:val="24"/>
                <w:highlight w:val="none"/>
                <w:lang w:val="en-US" w:eastAsia="zh-CN"/>
              </w:rPr>
              <w:t>模块</w:t>
            </w:r>
          </w:p>
          <w:p w14:paraId="7AFAD8FD">
            <w:pPr>
              <w:pStyle w:val="2"/>
              <w:ind w:left="0" w:leftChars="0" w:firstLine="0" w:firstLineChars="0"/>
              <w:jc w:val="both"/>
              <w:rPr>
                <w:rFonts w:hint="eastAsia"/>
                <w:color w:val="auto"/>
                <w:highlight w:val="none"/>
                <w:lang w:val="en-US" w:eastAsia="zh-CN"/>
              </w:rPr>
            </w:pPr>
            <w:r>
              <w:rPr>
                <w:rFonts w:hint="eastAsia" w:ascii="宋体" w:hAnsi="宋体" w:eastAsia="宋体" w:cs="宋体"/>
                <w:color w:val="auto"/>
                <w:spacing w:val="-2"/>
                <w:sz w:val="24"/>
                <w:szCs w:val="24"/>
                <w:highlight w:val="none"/>
                <w:lang w:val="en-US" w:eastAsia="zh-CN"/>
              </w:rPr>
              <w:t>3、具备通知系统模块</w:t>
            </w:r>
          </w:p>
          <w:p w14:paraId="1DA804AC">
            <w:pPr>
              <w:keepNext w:val="0"/>
              <w:keepLines w:val="0"/>
              <w:widowControl w:val="0"/>
              <w:kinsoku/>
              <w:overflowPunct/>
              <w:autoSpaceDE/>
              <w:bidi w:val="0"/>
              <w:snapToGrid w:val="0"/>
              <w:spacing w:line="240" w:lineRule="auto"/>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Times New Roman"/>
                <w:b/>
                <w:bCs/>
                <w:color w:val="auto"/>
                <w:sz w:val="24"/>
                <w:highlight w:val="none"/>
                <w:shd w:val="clear" w:color="auto" w:fill="auto"/>
                <w:lang w:val="en-US" w:eastAsia="zh-CN"/>
              </w:rPr>
              <w:t>注:进行答辩的拟派项目</w:t>
            </w:r>
            <w:r>
              <w:rPr>
                <w:rFonts w:hint="eastAsia" w:ascii="宋体" w:hAnsi="宋体" w:cs="Times New Roman"/>
                <w:b/>
                <w:bCs/>
                <w:color w:val="auto"/>
                <w:sz w:val="24"/>
                <w:highlight w:val="none"/>
                <w:shd w:val="clear" w:color="auto" w:fill="auto"/>
                <w:lang w:val="en-US" w:eastAsia="zh-CN"/>
              </w:rPr>
              <w:t>经理</w:t>
            </w:r>
            <w:r>
              <w:rPr>
                <w:rFonts w:hint="eastAsia" w:ascii="宋体" w:hAnsi="宋体" w:eastAsia="宋体" w:cs="Times New Roman"/>
                <w:b/>
                <w:bCs/>
                <w:color w:val="auto"/>
                <w:sz w:val="24"/>
                <w:highlight w:val="none"/>
                <w:shd w:val="clear" w:color="auto" w:fill="auto"/>
                <w:lang w:val="en-US" w:eastAsia="zh-CN"/>
              </w:rPr>
              <w:t>需为投标单位本公司员工，投标文件中需提供拟派答辩的项目</w:t>
            </w:r>
            <w:r>
              <w:rPr>
                <w:rFonts w:hint="eastAsia" w:ascii="宋体" w:hAnsi="宋体" w:cs="Times New Roman"/>
                <w:b/>
                <w:bCs/>
                <w:color w:val="auto"/>
                <w:sz w:val="24"/>
                <w:highlight w:val="none"/>
                <w:shd w:val="clear" w:color="auto" w:fill="auto"/>
                <w:lang w:val="en-US" w:eastAsia="zh-CN"/>
              </w:rPr>
              <w:t>经理</w:t>
            </w:r>
            <w:r>
              <w:rPr>
                <w:rFonts w:hint="eastAsia" w:ascii="宋体" w:hAnsi="宋体" w:eastAsia="宋体" w:cs="Times New Roman"/>
                <w:b/>
                <w:bCs/>
                <w:color w:val="auto"/>
                <w:sz w:val="24"/>
                <w:highlight w:val="none"/>
                <w:shd w:val="clear" w:color="auto" w:fill="auto"/>
                <w:lang w:val="en-US" w:eastAsia="zh-CN"/>
              </w:rPr>
              <w:t>开标截止之日前</w:t>
            </w:r>
            <w:r>
              <w:rPr>
                <w:rFonts w:hint="eastAsia" w:ascii="宋体" w:hAnsi="宋体" w:cs="Times New Roman"/>
                <w:b/>
                <w:bCs/>
                <w:color w:val="auto"/>
                <w:sz w:val="24"/>
                <w:highlight w:val="none"/>
                <w:shd w:val="clear" w:color="auto" w:fill="auto"/>
                <w:lang w:val="en-US" w:eastAsia="zh-CN"/>
              </w:rPr>
              <w:t>6</w:t>
            </w:r>
            <w:r>
              <w:rPr>
                <w:rFonts w:hint="eastAsia" w:ascii="宋体" w:hAnsi="宋体" w:eastAsia="宋体" w:cs="Times New Roman"/>
                <w:b/>
                <w:bCs/>
                <w:color w:val="auto"/>
                <w:sz w:val="24"/>
                <w:highlight w:val="none"/>
                <w:shd w:val="clear" w:color="auto" w:fill="auto"/>
                <w:lang w:val="en-US" w:eastAsia="zh-CN"/>
              </w:rPr>
              <w:t>个月内任意一个月的社保证明及劳动合同，未提供的不得分。</w:t>
            </w:r>
          </w:p>
        </w:tc>
        <w:tc>
          <w:tcPr>
            <w:tcW w:w="977" w:type="dxa"/>
            <w:tcBorders>
              <w:top w:val="single" w:color="auto" w:sz="4" w:space="0"/>
              <w:left w:val="single" w:color="auto" w:sz="4" w:space="0"/>
              <w:bottom w:val="single" w:color="auto" w:sz="4" w:space="0"/>
              <w:right w:val="single" w:color="auto" w:sz="4" w:space="0"/>
            </w:tcBorders>
            <w:noWrap w:val="0"/>
            <w:vAlign w:val="center"/>
          </w:tcPr>
          <w:p w14:paraId="2AD27057">
            <w:pPr>
              <w:keepNext w:val="0"/>
              <w:keepLines w:val="0"/>
              <w:widowControl w:val="0"/>
              <w:kinsoku/>
              <w:overflowPunct/>
              <w:autoSpaceDE/>
              <w:bidi w:val="0"/>
              <w:snapToGrid w:val="0"/>
              <w:spacing w:line="240" w:lineRule="auto"/>
              <w:jc w:val="center"/>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25分</w:t>
            </w:r>
          </w:p>
        </w:tc>
      </w:tr>
    </w:tbl>
    <w:p w14:paraId="4F392347">
      <w:pPr>
        <w:spacing w:line="400" w:lineRule="exact"/>
        <w:ind w:firstLine="482"/>
        <w:rPr>
          <w:rFonts w:hint="default" w:eastAsia="宋体"/>
          <w:lang w:val="en-US" w:eastAsia="zh-CN"/>
        </w:rPr>
      </w:pPr>
      <w:r>
        <w:rPr>
          <w:rFonts w:hint="eastAsia" w:ascii="宋体" w:hAnsi="宋体" w:cs="Times New Roman"/>
          <w:b/>
          <w:bCs/>
          <w:color w:val="000000"/>
          <w:sz w:val="24"/>
          <w:szCs w:val="24"/>
          <w:lang w:val="en-US" w:eastAsia="zh-CN"/>
        </w:rPr>
        <w:t>注：各投标授权答辩人须携带授权委托书和身份证在投标截止前到评标现场等候答辩，现场等候地址为：</w:t>
      </w:r>
      <w:r>
        <w:rPr>
          <w:rFonts w:hint="eastAsia" w:ascii="宋体" w:hAnsi="宋体" w:cs="Times New Roman"/>
          <w:b/>
          <w:bCs/>
          <w:color w:val="000000"/>
          <w:sz w:val="24"/>
          <w:szCs w:val="24"/>
          <w:highlight w:val="none"/>
          <w:lang w:val="en-US" w:eastAsia="zh-CN"/>
        </w:rPr>
        <w:t>南京市清江南路18号鼓楼创新广场D座11楼开标室3。</w:t>
      </w:r>
    </w:p>
    <w:p w14:paraId="7563F03A">
      <w:pPr>
        <w:tabs>
          <w:tab w:val="left" w:pos="960"/>
        </w:tabs>
        <w:adjustRightInd w:val="0"/>
        <w:snapToGrid w:val="0"/>
        <w:spacing w:line="360" w:lineRule="auto"/>
        <w:ind w:left="420" w:firstLine="420" w:firstLineChars="200"/>
        <w:rPr>
          <w:rFonts w:ascii="Arial" w:hAnsi="Arial" w:cs="Arial"/>
        </w:rPr>
      </w:pPr>
    </w:p>
    <w:p w14:paraId="59CB73A0">
      <w:pPr>
        <w:ind w:firstLine="422" w:firstLineChars="200"/>
        <w:rPr>
          <w:rFonts w:hint="eastAsia" w:ascii="宋体" w:hAnsi="宋体" w:cs="宋体"/>
          <w:b/>
          <w:szCs w:val="21"/>
        </w:rPr>
      </w:pPr>
      <w:r>
        <w:rPr>
          <w:rFonts w:hint="eastAsia" w:ascii="宋体" w:hAnsi="宋体" w:cs="宋体"/>
          <w:b/>
          <w:szCs w:val="21"/>
        </w:rPr>
        <w:t>说明：1.所有认证、证明和业绩均以有效清晰的证明文件的复印件为依据，原件备查。</w:t>
      </w:r>
    </w:p>
    <w:p w14:paraId="6D1FB08A">
      <w:pPr>
        <w:spacing w:line="360" w:lineRule="auto"/>
        <w:ind w:firstLine="422" w:firstLineChars="200"/>
        <w:rPr>
          <w:rFonts w:hint="eastAsia" w:ascii="宋体" w:hAnsi="宋体" w:cs="宋体"/>
          <w:b/>
          <w:szCs w:val="21"/>
        </w:rPr>
      </w:pPr>
      <w:r>
        <w:rPr>
          <w:rFonts w:hint="eastAsia" w:ascii="宋体" w:hAnsi="宋体" w:cs="宋体"/>
          <w:b/>
          <w:szCs w:val="21"/>
        </w:rPr>
        <w:t>2.小微企业价格扣除</w:t>
      </w:r>
    </w:p>
    <w:p w14:paraId="73C4A227">
      <w:pPr>
        <w:spacing w:line="360" w:lineRule="auto"/>
        <w:ind w:firstLine="422" w:firstLineChars="200"/>
        <w:rPr>
          <w:rFonts w:hint="eastAsia"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598DB478">
      <w:pPr>
        <w:spacing w:line="360" w:lineRule="auto"/>
        <w:ind w:firstLine="422" w:firstLineChars="200"/>
        <w:rPr>
          <w:rFonts w:hint="eastAsia"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spacing w:line="360" w:lineRule="auto"/>
        <w:ind w:firstLine="422" w:firstLineChars="200"/>
        <w:rPr>
          <w:rFonts w:hint="eastAsia" w:ascii="宋体" w:hAnsi="宋体" w:cs="宋体"/>
          <w:b/>
          <w:szCs w:val="21"/>
        </w:rPr>
      </w:pPr>
      <w:r>
        <w:rPr>
          <w:rFonts w:hint="eastAsia" w:ascii="宋体" w:hAnsi="宋体" w:cs="宋体"/>
          <w:b/>
          <w:szCs w:val="21"/>
        </w:rPr>
        <w:t>3.监狱和戒毒企业的价格扣除</w:t>
      </w:r>
    </w:p>
    <w:p w14:paraId="425D3146">
      <w:pPr>
        <w:spacing w:line="360" w:lineRule="auto"/>
        <w:ind w:firstLine="422" w:firstLineChars="200"/>
        <w:rPr>
          <w:rFonts w:hint="eastAsia" w:ascii="宋体" w:hAnsi="宋体" w:cs="宋体"/>
          <w:b/>
          <w:szCs w:val="21"/>
        </w:rPr>
      </w:pPr>
      <w:r>
        <w:rPr>
          <w:rFonts w:hint="eastAsia" w:ascii="宋体" w:hAnsi="宋体" w:cs="宋体"/>
          <w:b/>
          <w:szCs w:val="21"/>
        </w:rPr>
        <w:t>3.1 本项目对监狱和戒毒企业，给予10%的价格扣除，用扣除后的价格参与评审。</w:t>
      </w:r>
    </w:p>
    <w:p w14:paraId="0C381F07">
      <w:pPr>
        <w:spacing w:line="360" w:lineRule="auto"/>
        <w:ind w:firstLine="422" w:firstLineChars="200"/>
        <w:rPr>
          <w:rFonts w:hint="eastAsia"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600B05CA">
      <w:pPr>
        <w:spacing w:line="360" w:lineRule="auto"/>
        <w:ind w:firstLine="422" w:firstLineChars="200"/>
        <w:rPr>
          <w:rFonts w:hint="eastAsia"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21EA03B5">
      <w:pPr>
        <w:spacing w:line="360" w:lineRule="auto"/>
        <w:ind w:firstLine="422" w:firstLineChars="200"/>
        <w:rPr>
          <w:rFonts w:hint="eastAsia" w:ascii="宋体" w:hAnsi="宋体" w:cs="宋体"/>
          <w:b/>
          <w:szCs w:val="21"/>
        </w:rPr>
      </w:pPr>
      <w:r>
        <w:rPr>
          <w:rFonts w:hint="eastAsia" w:ascii="宋体" w:hAnsi="宋体" w:cs="宋体"/>
          <w:b/>
          <w:szCs w:val="21"/>
        </w:rPr>
        <w:t>4.残疾人福利性单位的价格扣除</w:t>
      </w:r>
    </w:p>
    <w:p w14:paraId="299CEAC1">
      <w:pPr>
        <w:spacing w:line="360" w:lineRule="auto"/>
        <w:ind w:firstLine="422" w:firstLineChars="200"/>
        <w:rPr>
          <w:rFonts w:hint="eastAsia" w:ascii="宋体" w:hAnsi="宋体" w:cs="宋体"/>
          <w:b/>
          <w:szCs w:val="21"/>
        </w:rPr>
      </w:pPr>
      <w:r>
        <w:rPr>
          <w:rFonts w:hint="eastAsia" w:ascii="宋体" w:hAnsi="宋体" w:cs="宋体"/>
          <w:b/>
          <w:szCs w:val="21"/>
        </w:rPr>
        <w:t>4.1 本项目对残疾人福利性单位，给予10%的价格扣除，用扣除后的价格参与评审。</w:t>
      </w:r>
    </w:p>
    <w:p w14:paraId="03E6CA34">
      <w:pPr>
        <w:spacing w:line="360" w:lineRule="auto"/>
        <w:ind w:firstLine="422" w:firstLineChars="200"/>
        <w:rPr>
          <w:rFonts w:hint="eastAsia" w:ascii="宋体" w:hAnsi="宋体" w:cs="宋体"/>
          <w:b/>
          <w:szCs w:val="21"/>
        </w:rPr>
      </w:pPr>
      <w:r>
        <w:rPr>
          <w:rFonts w:hint="eastAsia" w:ascii="宋体" w:hAnsi="宋体" w:cs="宋体"/>
          <w:b/>
          <w:szCs w:val="21"/>
        </w:rPr>
        <w:t>4.2 残疾人福利性单位需提供《残疾人福利性单位声明函》</w:t>
      </w:r>
    </w:p>
    <w:p w14:paraId="47E7E96F">
      <w:pPr>
        <w:spacing w:line="360" w:lineRule="auto"/>
        <w:ind w:firstLine="422" w:firstLineChars="200"/>
        <w:rPr>
          <w:rFonts w:hint="eastAsia"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26F3182C">
      <w:pPr>
        <w:spacing w:line="360" w:lineRule="auto"/>
        <w:ind w:firstLine="422" w:firstLineChars="200"/>
        <w:rPr>
          <w:rFonts w:hint="eastAsia" w:ascii="宋体" w:hAnsi="宋体" w:cs="宋体"/>
          <w:b/>
          <w:szCs w:val="21"/>
        </w:rPr>
      </w:pPr>
      <w:r>
        <w:rPr>
          <w:rFonts w:hint="eastAsia" w:ascii="宋体" w:hAnsi="宋体" w:cs="宋体"/>
          <w:b/>
          <w:szCs w:val="21"/>
        </w:rPr>
        <w:t>5. 监狱企业、残疾人福利性单位属于小型、微型企业的，不重复享受政策。</w:t>
      </w:r>
    </w:p>
    <w:p w14:paraId="56F32973">
      <w:pPr>
        <w:spacing w:line="360" w:lineRule="auto"/>
        <w:ind w:firstLine="422" w:firstLineChars="200"/>
        <w:rPr>
          <w:rFonts w:hint="eastAsia" w:ascii="宋体" w:hAnsi="宋体" w:cs="宋体"/>
          <w:b/>
          <w:szCs w:val="21"/>
        </w:rPr>
      </w:pPr>
      <w:r>
        <w:rPr>
          <w:rFonts w:hint="eastAsia" w:ascii="宋体" w:hAnsi="宋体" w:cs="宋体"/>
          <w:b/>
          <w:szCs w:val="21"/>
        </w:rPr>
        <w:t>6.本国产品的价格扣除</w:t>
      </w:r>
    </w:p>
    <w:p w14:paraId="4989F5F8">
      <w:pPr>
        <w:spacing w:line="360" w:lineRule="auto"/>
        <w:ind w:firstLine="422" w:firstLineChars="200"/>
        <w:rPr>
          <w:rFonts w:hint="eastAsia"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4CAE1917">
      <w:pPr>
        <w:spacing w:line="360" w:lineRule="auto"/>
        <w:ind w:firstLine="422" w:firstLineChars="200"/>
        <w:rPr>
          <w:rFonts w:hint="eastAsia"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4E0553B5">
      <w:pPr>
        <w:spacing w:line="360" w:lineRule="auto"/>
        <w:ind w:firstLine="422" w:firstLineChars="200"/>
        <w:rPr>
          <w:rFonts w:hint="eastAsia"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ECE022">
      <w:pPr>
        <w:rPr>
          <w:rFonts w:ascii="Arial" w:hAnsi="Arial" w:cs="Arial"/>
          <w:kern w:val="0"/>
        </w:rPr>
      </w:pPr>
      <w:bookmarkStart w:id="19" w:name="_Toc26668"/>
      <w:r>
        <w:rPr>
          <w:rFonts w:ascii="Arial" w:hAnsi="Arial" w:cs="Arial"/>
          <w:kern w:val="0"/>
        </w:rPr>
        <w:br w:type="page"/>
      </w:r>
    </w:p>
    <w:p w14:paraId="3D69241D">
      <w:pPr>
        <w:pStyle w:val="13"/>
        <w:numPr>
          <w:ilvl w:val="0"/>
          <w:numId w:val="6"/>
        </w:numPr>
        <w:rPr>
          <w:rFonts w:ascii="Arial" w:hAnsi="Arial" w:cs="Arial"/>
          <w:kern w:val="0"/>
        </w:rPr>
      </w:pPr>
      <w:r>
        <w:rPr>
          <w:rFonts w:ascii="Arial" w:hAnsi="Arial" w:cs="Arial"/>
          <w:kern w:val="0"/>
        </w:rPr>
        <w:t>采购需求</w:t>
      </w:r>
      <w:bookmarkEnd w:id="19"/>
    </w:p>
    <w:p w14:paraId="520D1284">
      <w:pPr>
        <w:keepNext w:val="0"/>
        <w:keepLines w:val="0"/>
        <w:pageBreakBefore w:val="0"/>
        <w:widowControl/>
        <w:numPr>
          <w:ilvl w:val="0"/>
          <w:numId w:val="0"/>
        </w:numPr>
        <w:kinsoku/>
        <w:wordWrap/>
        <w:overflowPunct/>
        <w:topLinePunct w:val="0"/>
        <w:autoSpaceDN/>
        <w:bidi w:val="0"/>
        <w:adjustRightInd/>
        <w:spacing w:line="360" w:lineRule="auto"/>
        <w:ind w:leftChars="200" w:right="0" w:rightChars="0"/>
        <w:jc w:val="center"/>
        <w:textAlignment w:val="auto"/>
        <w:outlineLvl w:val="1"/>
        <w:rPr>
          <w:rFonts w:hint="eastAsia" w:ascii="宋体" w:hAnsi="宋体" w:cs="宋体"/>
          <w:b/>
          <w:bCs/>
          <w:kern w:val="0"/>
          <w:sz w:val="20"/>
          <w:szCs w:val="20"/>
          <w:highlight w:val="none"/>
        </w:rPr>
      </w:pPr>
      <w:r>
        <w:rPr>
          <w:rFonts w:hint="eastAsia" w:ascii="宋体" w:hAnsi="宋体" w:cs="宋体"/>
          <w:b/>
          <w:bCs/>
          <w:kern w:val="0"/>
          <w:sz w:val="20"/>
          <w:szCs w:val="20"/>
          <w:highlight w:val="none"/>
        </w:rPr>
        <w:t>“★”内容为实质性要求，不允许负偏离；否则按无效投标处理。</w:t>
      </w:r>
    </w:p>
    <w:p w14:paraId="1C411C0B">
      <w:pPr>
        <w:keepNext w:val="0"/>
        <w:keepLines w:val="0"/>
        <w:pageBreakBefore w:val="0"/>
        <w:widowControl/>
        <w:numPr>
          <w:ilvl w:val="0"/>
          <w:numId w:val="0"/>
        </w:numPr>
        <w:kinsoku/>
        <w:wordWrap/>
        <w:overflowPunct/>
        <w:topLinePunct w:val="0"/>
        <w:autoSpaceDN/>
        <w:bidi w:val="0"/>
        <w:adjustRightInd/>
        <w:spacing w:line="360" w:lineRule="auto"/>
        <w:ind w:leftChars="200" w:right="0" w:rightChars="0"/>
        <w:jc w:val="both"/>
        <w:textAlignment w:val="auto"/>
        <w:outlineLvl w:val="1"/>
        <w:rPr>
          <w:rFonts w:hint="eastAsia" w:ascii="宋体" w:hAnsi="宋体" w:eastAsia="宋体" w:cs="宋体"/>
          <w:b/>
          <w:bCs/>
          <w:color w:val="auto"/>
          <w:sz w:val="24"/>
          <w:szCs w:val="24"/>
          <w:highlight w:val="none"/>
        </w:rPr>
      </w:pPr>
      <w:r>
        <w:rPr>
          <w:rFonts w:hint="eastAsia" w:ascii="宋体" w:hAnsi="宋体" w:cs="宋体"/>
          <w:b/>
          <w:bCs/>
          <w:kern w:val="0"/>
          <w:sz w:val="20"/>
          <w:szCs w:val="20"/>
          <w:highlight w:val="none"/>
          <w:lang w:val="en-US" w:eastAsia="zh-CN"/>
        </w:rPr>
        <w:t>一、</w:t>
      </w:r>
      <w:r>
        <w:rPr>
          <w:rFonts w:hint="eastAsia" w:ascii="宋体" w:hAnsi="宋体" w:eastAsia="宋体" w:cs="宋体"/>
          <w:b/>
          <w:bCs/>
          <w:color w:val="auto"/>
          <w:sz w:val="24"/>
          <w:szCs w:val="24"/>
          <w:highlight w:val="none"/>
          <w:lang w:val="en-US" w:eastAsia="zh-CN"/>
        </w:rPr>
        <w:t>项目概况</w:t>
      </w:r>
    </w:p>
    <w:tbl>
      <w:tblPr>
        <w:tblStyle w:val="5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3"/>
        <w:gridCol w:w="1880"/>
        <w:gridCol w:w="2909"/>
        <w:gridCol w:w="2949"/>
      </w:tblGrid>
      <w:tr w14:paraId="7C94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93" w:type="pct"/>
            <w:noWrap w:val="0"/>
            <w:vAlign w:val="center"/>
          </w:tcPr>
          <w:p w14:paraId="2F2C6B60">
            <w:pPr>
              <w:spacing w:line="300" w:lineRule="auto"/>
              <w:rPr>
                <w:rFonts w:hint="eastAsia" w:ascii="宋体" w:hAnsi="宋体" w:cs="仿宋"/>
                <w:b/>
                <w:bCs/>
                <w:sz w:val="22"/>
                <w:szCs w:val="22"/>
              </w:rPr>
            </w:pPr>
            <w:r>
              <w:rPr>
                <w:rFonts w:hint="eastAsia" w:ascii="宋体" w:hAnsi="宋体" w:cs="仿宋"/>
                <w:b/>
                <w:bCs/>
                <w:sz w:val="22"/>
                <w:szCs w:val="22"/>
              </w:rPr>
              <w:t>岗位</w:t>
            </w:r>
          </w:p>
        </w:tc>
        <w:tc>
          <w:tcPr>
            <w:tcW w:w="997" w:type="pct"/>
            <w:noWrap w:val="0"/>
            <w:vAlign w:val="center"/>
          </w:tcPr>
          <w:p w14:paraId="5B24D870">
            <w:pPr>
              <w:spacing w:line="300" w:lineRule="auto"/>
              <w:jc w:val="left"/>
              <w:rPr>
                <w:rFonts w:hint="eastAsia" w:ascii="宋体" w:hAnsi="宋体" w:cs="仿宋"/>
                <w:b/>
                <w:bCs/>
                <w:sz w:val="22"/>
                <w:szCs w:val="22"/>
              </w:rPr>
            </w:pPr>
            <w:r>
              <w:rPr>
                <w:rFonts w:hint="eastAsia" w:ascii="宋体" w:hAnsi="宋体" w:cs="仿宋"/>
                <w:b/>
                <w:bCs/>
                <w:sz w:val="22"/>
                <w:szCs w:val="22"/>
                <w:lang w:val="en-US" w:eastAsia="zh-CN"/>
              </w:rPr>
              <w:t>服务</w:t>
            </w:r>
            <w:r>
              <w:rPr>
                <w:rFonts w:hint="eastAsia" w:ascii="宋体" w:hAnsi="宋体" w:cs="仿宋"/>
                <w:b/>
                <w:bCs/>
                <w:sz w:val="22"/>
                <w:szCs w:val="22"/>
              </w:rPr>
              <w:t>区域</w:t>
            </w:r>
          </w:p>
        </w:tc>
        <w:tc>
          <w:tcPr>
            <w:tcW w:w="1543" w:type="pct"/>
            <w:noWrap w:val="0"/>
            <w:vAlign w:val="center"/>
          </w:tcPr>
          <w:p w14:paraId="6C5917B7">
            <w:pPr>
              <w:spacing w:line="300" w:lineRule="auto"/>
              <w:jc w:val="center"/>
              <w:rPr>
                <w:rFonts w:hint="default" w:ascii="宋体" w:hAnsi="宋体" w:eastAsia="宋体" w:cs="仿宋"/>
                <w:b/>
                <w:bCs/>
                <w:sz w:val="22"/>
                <w:szCs w:val="22"/>
                <w:lang w:val="en-US" w:eastAsia="zh-CN"/>
              </w:rPr>
            </w:pPr>
            <w:r>
              <w:rPr>
                <w:rFonts w:hint="eastAsia" w:ascii="宋体" w:hAnsi="宋体" w:cs="仿宋"/>
                <w:b/>
                <w:bCs/>
                <w:sz w:val="22"/>
                <w:szCs w:val="22"/>
                <w:lang w:val="en-US" w:eastAsia="zh-CN"/>
              </w:rPr>
              <w:t>岗位数</w:t>
            </w:r>
          </w:p>
        </w:tc>
        <w:tc>
          <w:tcPr>
            <w:tcW w:w="1564" w:type="pct"/>
            <w:noWrap w:val="0"/>
            <w:vAlign w:val="center"/>
          </w:tcPr>
          <w:p w14:paraId="7C9D4E0D">
            <w:pPr>
              <w:spacing w:line="300" w:lineRule="auto"/>
              <w:ind w:firstLine="442" w:firstLineChars="200"/>
              <w:jc w:val="left"/>
              <w:rPr>
                <w:rFonts w:hint="eastAsia" w:ascii="宋体" w:hAnsi="宋体" w:cs="仿宋"/>
                <w:b/>
                <w:bCs/>
                <w:sz w:val="22"/>
                <w:szCs w:val="22"/>
              </w:rPr>
            </w:pPr>
            <w:r>
              <w:rPr>
                <w:rFonts w:hint="eastAsia" w:ascii="宋体" w:hAnsi="宋体" w:cs="仿宋"/>
                <w:b/>
                <w:bCs/>
                <w:sz w:val="22"/>
                <w:szCs w:val="22"/>
              </w:rPr>
              <w:t>备注</w:t>
            </w:r>
          </w:p>
        </w:tc>
      </w:tr>
      <w:tr w14:paraId="76776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893" w:type="pct"/>
            <w:noWrap w:val="0"/>
            <w:vAlign w:val="center"/>
          </w:tcPr>
          <w:p w14:paraId="3481AC7A">
            <w:pPr>
              <w:spacing w:line="300" w:lineRule="auto"/>
              <w:jc w:val="left"/>
              <w:rPr>
                <w:rFonts w:hint="default" w:ascii="宋体" w:hAnsi="宋体" w:eastAsia="宋体" w:cs="仿宋"/>
                <w:bCs/>
                <w:sz w:val="22"/>
                <w:szCs w:val="22"/>
                <w:lang w:val="en-US" w:eastAsia="zh-CN"/>
              </w:rPr>
            </w:pPr>
            <w:r>
              <w:rPr>
                <w:rFonts w:hint="eastAsia" w:ascii="宋体" w:hAnsi="宋体" w:cs="仿宋"/>
                <w:bCs/>
                <w:sz w:val="22"/>
                <w:szCs w:val="22"/>
                <w:lang w:val="en-US" w:eastAsia="zh-CN"/>
              </w:rPr>
              <w:t>岗位1</w:t>
            </w:r>
          </w:p>
        </w:tc>
        <w:tc>
          <w:tcPr>
            <w:tcW w:w="997" w:type="pct"/>
            <w:noWrap w:val="0"/>
            <w:vAlign w:val="center"/>
          </w:tcPr>
          <w:p w14:paraId="0057EE49">
            <w:pPr>
              <w:spacing w:line="300" w:lineRule="auto"/>
              <w:rPr>
                <w:rFonts w:hint="eastAsia" w:ascii="宋体" w:hAnsi="宋体" w:eastAsia="宋体" w:cs="仿宋"/>
                <w:bCs/>
                <w:sz w:val="22"/>
                <w:szCs w:val="22"/>
                <w:lang w:val="en-US" w:eastAsia="zh-CN"/>
              </w:rPr>
            </w:pPr>
            <w:r>
              <w:rPr>
                <w:rFonts w:hint="eastAsia" w:ascii="宋体" w:hAnsi="宋体" w:cs="仿宋"/>
                <w:bCs/>
                <w:sz w:val="22"/>
                <w:szCs w:val="22"/>
                <w:lang w:val="en-US" w:eastAsia="zh-CN"/>
              </w:rPr>
              <w:t>一楼</w:t>
            </w:r>
          </w:p>
        </w:tc>
        <w:tc>
          <w:tcPr>
            <w:tcW w:w="1543" w:type="pct"/>
            <w:noWrap w:val="0"/>
            <w:vAlign w:val="center"/>
          </w:tcPr>
          <w:p w14:paraId="31CDD0E4">
            <w:pPr>
              <w:spacing w:line="300" w:lineRule="auto"/>
              <w:jc w:val="center"/>
              <w:rPr>
                <w:rFonts w:hint="default" w:ascii="宋体" w:hAnsi="宋体" w:eastAsia="宋体" w:cs="仿宋"/>
                <w:bCs/>
                <w:sz w:val="22"/>
                <w:szCs w:val="22"/>
                <w:lang w:val="en-US" w:eastAsia="zh-CN"/>
              </w:rPr>
            </w:pPr>
            <w:r>
              <w:rPr>
                <w:rFonts w:hint="eastAsia" w:ascii="宋体" w:hAnsi="宋体" w:cs="仿宋"/>
                <w:bCs/>
                <w:sz w:val="22"/>
                <w:szCs w:val="22"/>
                <w:lang w:val="en-US" w:eastAsia="zh-CN"/>
              </w:rPr>
              <w:t>13（其中</w:t>
            </w:r>
            <w:r>
              <w:rPr>
                <w:rFonts w:hint="eastAsia" w:ascii="宋体" w:hAnsi="宋体" w:eastAsia="宋体" w:cs="宋体"/>
                <w:color w:val="auto"/>
                <w:sz w:val="22"/>
                <w:szCs w:val="22"/>
                <w:highlight w:val="none"/>
                <w:lang w:val="en-US" w:eastAsia="zh-CN"/>
              </w:rPr>
              <w:t>护理专业至少1人</w:t>
            </w:r>
            <w:r>
              <w:rPr>
                <w:rFonts w:hint="eastAsia" w:ascii="宋体" w:hAnsi="宋体" w:cs="仿宋"/>
                <w:bCs/>
                <w:sz w:val="22"/>
                <w:szCs w:val="22"/>
                <w:lang w:val="en-US" w:eastAsia="zh-CN"/>
              </w:rPr>
              <w:t>）</w:t>
            </w:r>
          </w:p>
        </w:tc>
        <w:tc>
          <w:tcPr>
            <w:tcW w:w="1564" w:type="pct"/>
            <w:noWrap w:val="0"/>
            <w:vAlign w:val="center"/>
          </w:tcPr>
          <w:p w14:paraId="46D9E7E6">
            <w:pPr>
              <w:spacing w:line="320" w:lineRule="exact"/>
              <w:jc w:val="left"/>
              <w:rPr>
                <w:rFonts w:hint="default" w:ascii="宋体" w:hAnsi="宋体" w:eastAsia="宋体" w:cs="仿宋"/>
                <w:bCs/>
                <w:sz w:val="22"/>
                <w:szCs w:val="22"/>
                <w:lang w:val="en-US" w:eastAsia="zh-CN"/>
              </w:rPr>
            </w:pPr>
            <w:r>
              <w:rPr>
                <w:rFonts w:hint="eastAsia" w:ascii="宋体" w:hAnsi="宋体" w:cs="仿宋"/>
                <w:bCs/>
                <w:sz w:val="22"/>
                <w:szCs w:val="22"/>
                <w:lang w:val="en-US" w:eastAsia="zh-CN"/>
              </w:rPr>
              <w:t>最终工作时间以医院工作量为准</w:t>
            </w:r>
          </w:p>
        </w:tc>
      </w:tr>
      <w:tr w14:paraId="4B1B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93" w:type="pct"/>
            <w:noWrap w:val="0"/>
            <w:vAlign w:val="center"/>
          </w:tcPr>
          <w:p w14:paraId="1F5B930A">
            <w:pPr>
              <w:spacing w:line="300" w:lineRule="auto"/>
              <w:jc w:val="left"/>
              <w:rPr>
                <w:rFonts w:hint="eastAsia" w:ascii="宋体" w:hAnsi="宋体" w:cs="仿宋"/>
                <w:bCs/>
                <w:sz w:val="22"/>
                <w:szCs w:val="22"/>
              </w:rPr>
            </w:pPr>
            <w:r>
              <w:rPr>
                <w:rFonts w:hint="eastAsia" w:ascii="宋体" w:hAnsi="宋体" w:cs="仿宋"/>
                <w:bCs/>
                <w:sz w:val="22"/>
                <w:szCs w:val="22"/>
                <w:lang w:val="en-US" w:eastAsia="zh-CN"/>
              </w:rPr>
              <w:t>岗位2</w:t>
            </w:r>
          </w:p>
        </w:tc>
        <w:tc>
          <w:tcPr>
            <w:tcW w:w="997" w:type="pct"/>
            <w:noWrap w:val="0"/>
            <w:vAlign w:val="center"/>
          </w:tcPr>
          <w:p w14:paraId="40B3A92F">
            <w:pPr>
              <w:spacing w:line="300" w:lineRule="auto"/>
              <w:jc w:val="left"/>
              <w:rPr>
                <w:rFonts w:hint="default" w:ascii="宋体" w:hAnsi="宋体" w:eastAsia="宋体" w:cs="仿宋"/>
                <w:bCs/>
                <w:sz w:val="22"/>
                <w:szCs w:val="22"/>
                <w:lang w:val="en-US" w:eastAsia="zh-CN"/>
              </w:rPr>
            </w:pPr>
            <w:r>
              <w:rPr>
                <w:rFonts w:hint="eastAsia" w:ascii="宋体" w:hAnsi="宋体" w:cs="仿宋"/>
                <w:bCs/>
                <w:sz w:val="22"/>
                <w:szCs w:val="22"/>
                <w:lang w:val="en-US" w:eastAsia="zh-CN"/>
              </w:rPr>
              <w:t>二楼、三楼</w:t>
            </w:r>
          </w:p>
        </w:tc>
        <w:tc>
          <w:tcPr>
            <w:tcW w:w="1543" w:type="pct"/>
            <w:noWrap w:val="0"/>
            <w:vAlign w:val="center"/>
          </w:tcPr>
          <w:p w14:paraId="1998F8D2">
            <w:pPr>
              <w:spacing w:line="300" w:lineRule="auto"/>
              <w:jc w:val="center"/>
              <w:rPr>
                <w:rFonts w:hint="default" w:ascii="宋体" w:hAnsi="宋体" w:eastAsia="宋体" w:cs="仿宋"/>
                <w:bCs/>
                <w:sz w:val="22"/>
                <w:szCs w:val="22"/>
                <w:lang w:val="en-US" w:eastAsia="zh-CN"/>
              </w:rPr>
            </w:pPr>
            <w:r>
              <w:rPr>
                <w:rFonts w:hint="eastAsia" w:ascii="宋体" w:hAnsi="宋体" w:cs="仿宋"/>
                <w:bCs/>
                <w:sz w:val="22"/>
                <w:szCs w:val="22"/>
                <w:lang w:val="en-US" w:eastAsia="zh-CN"/>
              </w:rPr>
              <w:t>9</w:t>
            </w:r>
          </w:p>
        </w:tc>
        <w:tc>
          <w:tcPr>
            <w:tcW w:w="1564" w:type="pct"/>
            <w:noWrap w:val="0"/>
            <w:vAlign w:val="center"/>
          </w:tcPr>
          <w:p w14:paraId="0D51EDB7">
            <w:pPr>
              <w:spacing w:line="320" w:lineRule="exact"/>
              <w:jc w:val="left"/>
              <w:rPr>
                <w:rFonts w:hint="eastAsia" w:ascii="宋体" w:hAnsi="宋体" w:cs="仿宋"/>
                <w:bCs/>
                <w:sz w:val="22"/>
                <w:szCs w:val="22"/>
              </w:rPr>
            </w:pPr>
            <w:r>
              <w:rPr>
                <w:rFonts w:hint="eastAsia" w:ascii="宋体" w:hAnsi="宋体" w:cs="仿宋"/>
                <w:bCs/>
                <w:sz w:val="22"/>
                <w:szCs w:val="22"/>
                <w:lang w:val="en-US" w:eastAsia="zh-CN"/>
              </w:rPr>
              <w:t>最终工作时间以医院工作量为准</w:t>
            </w:r>
          </w:p>
        </w:tc>
      </w:tr>
      <w:tr w14:paraId="1C9A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93" w:type="pct"/>
            <w:noWrap w:val="0"/>
            <w:vAlign w:val="center"/>
          </w:tcPr>
          <w:p w14:paraId="5493A7A8">
            <w:pPr>
              <w:spacing w:line="300" w:lineRule="auto"/>
              <w:jc w:val="left"/>
              <w:rPr>
                <w:rFonts w:hint="default" w:ascii="宋体" w:hAnsi="宋体" w:eastAsia="宋体" w:cs="仿宋"/>
                <w:bCs/>
                <w:sz w:val="22"/>
                <w:szCs w:val="22"/>
                <w:lang w:val="en-US" w:eastAsia="zh-CN"/>
              </w:rPr>
            </w:pPr>
            <w:r>
              <w:rPr>
                <w:rFonts w:hint="eastAsia" w:ascii="宋体" w:hAnsi="宋体" w:cs="仿宋"/>
                <w:bCs/>
                <w:sz w:val="22"/>
                <w:szCs w:val="22"/>
                <w:lang w:val="en-US" w:eastAsia="zh-CN"/>
              </w:rPr>
              <w:t>岗位3</w:t>
            </w:r>
          </w:p>
        </w:tc>
        <w:tc>
          <w:tcPr>
            <w:tcW w:w="997" w:type="pct"/>
            <w:noWrap w:val="0"/>
            <w:vAlign w:val="center"/>
          </w:tcPr>
          <w:p w14:paraId="7CB0D32D">
            <w:pPr>
              <w:spacing w:line="300" w:lineRule="auto"/>
              <w:jc w:val="left"/>
              <w:rPr>
                <w:rFonts w:hint="eastAsia" w:ascii="宋体" w:hAnsi="宋体" w:cs="仿宋"/>
                <w:bCs/>
                <w:sz w:val="22"/>
                <w:szCs w:val="22"/>
              </w:rPr>
            </w:pPr>
            <w:r>
              <w:rPr>
                <w:rFonts w:hint="eastAsia" w:ascii="宋体" w:hAnsi="宋体" w:cs="仿宋"/>
                <w:bCs/>
                <w:sz w:val="22"/>
                <w:szCs w:val="22"/>
                <w:lang w:val="en-US" w:eastAsia="zh-CN"/>
              </w:rPr>
              <w:t>二楼、三楼</w:t>
            </w:r>
          </w:p>
        </w:tc>
        <w:tc>
          <w:tcPr>
            <w:tcW w:w="1543" w:type="pct"/>
            <w:noWrap w:val="0"/>
            <w:vAlign w:val="center"/>
          </w:tcPr>
          <w:p w14:paraId="6BD837F4">
            <w:pPr>
              <w:spacing w:line="300" w:lineRule="auto"/>
              <w:jc w:val="center"/>
              <w:rPr>
                <w:rFonts w:hint="eastAsia" w:ascii="宋体" w:hAnsi="宋体" w:cs="仿宋"/>
                <w:bCs/>
                <w:sz w:val="22"/>
                <w:szCs w:val="22"/>
              </w:rPr>
            </w:pPr>
            <w:r>
              <w:rPr>
                <w:rFonts w:hint="eastAsia" w:ascii="宋体" w:hAnsi="宋体" w:cs="仿宋"/>
                <w:bCs/>
                <w:sz w:val="22"/>
                <w:szCs w:val="22"/>
                <w:lang w:val="en-US" w:eastAsia="zh-CN"/>
              </w:rPr>
              <w:t>9</w:t>
            </w:r>
          </w:p>
        </w:tc>
        <w:tc>
          <w:tcPr>
            <w:tcW w:w="1564" w:type="pct"/>
            <w:noWrap w:val="0"/>
            <w:vAlign w:val="center"/>
          </w:tcPr>
          <w:p w14:paraId="30759892">
            <w:pPr>
              <w:spacing w:line="320" w:lineRule="exact"/>
              <w:jc w:val="left"/>
              <w:rPr>
                <w:rFonts w:hint="eastAsia" w:ascii="宋体" w:hAnsi="宋体" w:cs="仿宋"/>
                <w:bCs/>
                <w:sz w:val="22"/>
                <w:szCs w:val="22"/>
              </w:rPr>
            </w:pPr>
            <w:r>
              <w:rPr>
                <w:rFonts w:hint="eastAsia" w:ascii="宋体" w:hAnsi="宋体" w:cs="仿宋"/>
                <w:bCs/>
                <w:sz w:val="22"/>
                <w:szCs w:val="22"/>
                <w:lang w:val="en-US" w:eastAsia="zh-CN"/>
              </w:rPr>
              <w:t>最终工作时间以医院工作量为准</w:t>
            </w:r>
          </w:p>
        </w:tc>
      </w:tr>
      <w:tr w14:paraId="14A5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93" w:type="pct"/>
            <w:noWrap w:val="0"/>
            <w:vAlign w:val="center"/>
          </w:tcPr>
          <w:p w14:paraId="787DC7E7">
            <w:pPr>
              <w:spacing w:line="300" w:lineRule="auto"/>
              <w:jc w:val="left"/>
              <w:rPr>
                <w:rFonts w:hint="default" w:ascii="宋体" w:hAnsi="宋体" w:cs="仿宋"/>
                <w:bCs/>
                <w:sz w:val="22"/>
                <w:szCs w:val="22"/>
                <w:lang w:val="en-US" w:eastAsia="zh-CN"/>
              </w:rPr>
            </w:pPr>
            <w:r>
              <w:rPr>
                <w:rFonts w:hint="eastAsia" w:ascii="宋体" w:hAnsi="宋体" w:cs="仿宋"/>
                <w:bCs/>
                <w:sz w:val="22"/>
                <w:szCs w:val="22"/>
                <w:lang w:val="en-US" w:eastAsia="zh-CN"/>
              </w:rPr>
              <w:t>岗位</w:t>
            </w:r>
            <w:r>
              <w:rPr>
                <w:rFonts w:hint="eastAsia" w:ascii="宋体" w:hAnsi="宋体" w:cs="仿宋"/>
                <w:bCs/>
                <w:color w:val="auto"/>
                <w:sz w:val="22"/>
                <w:szCs w:val="22"/>
                <w:highlight w:val="none"/>
                <w:lang w:val="en-US" w:eastAsia="zh-CN"/>
              </w:rPr>
              <w:t>4）</w:t>
            </w:r>
          </w:p>
        </w:tc>
        <w:tc>
          <w:tcPr>
            <w:tcW w:w="997" w:type="pct"/>
            <w:noWrap w:val="0"/>
            <w:vAlign w:val="center"/>
          </w:tcPr>
          <w:p w14:paraId="51F95538">
            <w:pPr>
              <w:spacing w:line="300" w:lineRule="auto"/>
              <w:jc w:val="left"/>
              <w:rPr>
                <w:rFonts w:hint="default" w:ascii="宋体" w:hAnsi="宋体" w:cs="仿宋"/>
                <w:bCs/>
                <w:sz w:val="22"/>
                <w:szCs w:val="22"/>
                <w:lang w:val="en-US" w:eastAsia="zh-CN"/>
              </w:rPr>
            </w:pPr>
            <w:r>
              <w:rPr>
                <w:rFonts w:hint="eastAsia" w:ascii="宋体" w:hAnsi="宋体" w:cs="仿宋"/>
                <w:bCs/>
                <w:sz w:val="22"/>
                <w:szCs w:val="22"/>
                <w:lang w:val="en-US" w:eastAsia="zh-CN"/>
              </w:rPr>
              <w:t>全院</w:t>
            </w:r>
          </w:p>
        </w:tc>
        <w:tc>
          <w:tcPr>
            <w:tcW w:w="1543" w:type="pct"/>
            <w:noWrap w:val="0"/>
            <w:vAlign w:val="center"/>
          </w:tcPr>
          <w:p w14:paraId="2AC55CA3">
            <w:pPr>
              <w:spacing w:line="300" w:lineRule="auto"/>
              <w:jc w:val="center"/>
              <w:rPr>
                <w:rFonts w:hint="default" w:ascii="宋体" w:hAnsi="宋体" w:cs="仿宋"/>
                <w:bCs/>
                <w:sz w:val="22"/>
                <w:szCs w:val="22"/>
                <w:lang w:val="en-US" w:eastAsia="zh-CN"/>
              </w:rPr>
            </w:pPr>
            <w:r>
              <w:rPr>
                <w:rFonts w:hint="eastAsia" w:ascii="宋体" w:hAnsi="宋体" w:cs="仿宋"/>
                <w:bCs/>
                <w:sz w:val="22"/>
                <w:szCs w:val="22"/>
                <w:lang w:val="en-US" w:eastAsia="zh-CN"/>
              </w:rPr>
              <w:t>1</w:t>
            </w:r>
          </w:p>
        </w:tc>
        <w:tc>
          <w:tcPr>
            <w:tcW w:w="1564" w:type="pct"/>
            <w:noWrap w:val="0"/>
            <w:vAlign w:val="center"/>
          </w:tcPr>
          <w:p w14:paraId="53C565AD">
            <w:pPr>
              <w:spacing w:line="320" w:lineRule="exact"/>
              <w:ind w:firstLine="440" w:firstLineChars="200"/>
              <w:jc w:val="left"/>
              <w:rPr>
                <w:rFonts w:hint="default" w:ascii="宋体" w:hAnsi="宋体" w:cs="仿宋"/>
                <w:bCs/>
                <w:sz w:val="22"/>
                <w:szCs w:val="22"/>
                <w:lang w:val="en-US" w:eastAsia="zh-CN"/>
              </w:rPr>
            </w:pPr>
            <w:r>
              <w:rPr>
                <w:rFonts w:hint="eastAsia" w:ascii="宋体" w:hAnsi="宋体" w:cs="仿宋"/>
                <w:bCs/>
                <w:sz w:val="22"/>
                <w:szCs w:val="22"/>
                <w:lang w:val="en-US" w:eastAsia="zh-CN"/>
              </w:rPr>
              <w:t>项目经理</w:t>
            </w:r>
          </w:p>
        </w:tc>
      </w:tr>
      <w:tr w14:paraId="7F97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93" w:type="pct"/>
            <w:noWrap w:val="0"/>
            <w:vAlign w:val="center"/>
          </w:tcPr>
          <w:p w14:paraId="1D47366E">
            <w:pPr>
              <w:spacing w:line="300" w:lineRule="auto"/>
              <w:jc w:val="left"/>
              <w:rPr>
                <w:rFonts w:hint="default" w:ascii="宋体" w:hAnsi="宋体" w:cs="仿宋"/>
                <w:bCs/>
                <w:sz w:val="22"/>
                <w:szCs w:val="22"/>
                <w:lang w:val="en-US" w:eastAsia="zh-CN"/>
              </w:rPr>
            </w:pPr>
            <w:r>
              <w:rPr>
                <w:rFonts w:hint="eastAsia" w:ascii="宋体" w:hAnsi="宋体" w:cs="仿宋"/>
                <w:bCs/>
                <w:sz w:val="22"/>
                <w:szCs w:val="22"/>
                <w:lang w:val="en-US" w:eastAsia="zh-CN"/>
              </w:rPr>
              <w:t>合计</w:t>
            </w:r>
          </w:p>
        </w:tc>
        <w:tc>
          <w:tcPr>
            <w:tcW w:w="997" w:type="pct"/>
            <w:noWrap w:val="0"/>
            <w:vAlign w:val="center"/>
          </w:tcPr>
          <w:p w14:paraId="030C4436">
            <w:pPr>
              <w:spacing w:line="300" w:lineRule="auto"/>
              <w:jc w:val="left"/>
              <w:rPr>
                <w:rFonts w:hint="default" w:ascii="宋体" w:hAnsi="宋体" w:cs="仿宋"/>
                <w:bCs/>
                <w:sz w:val="22"/>
                <w:szCs w:val="22"/>
                <w:lang w:val="en-US" w:eastAsia="zh-CN"/>
              </w:rPr>
            </w:pPr>
            <w:r>
              <w:rPr>
                <w:rFonts w:hint="eastAsia" w:ascii="宋体" w:hAnsi="宋体" w:cs="仿宋"/>
                <w:bCs/>
                <w:sz w:val="22"/>
                <w:szCs w:val="22"/>
                <w:lang w:val="en-US" w:eastAsia="zh-CN"/>
              </w:rPr>
              <w:t>雨花院区</w:t>
            </w:r>
          </w:p>
        </w:tc>
        <w:tc>
          <w:tcPr>
            <w:tcW w:w="1543" w:type="pct"/>
            <w:noWrap w:val="0"/>
            <w:vAlign w:val="center"/>
          </w:tcPr>
          <w:p w14:paraId="39E1CA42">
            <w:pPr>
              <w:spacing w:line="300" w:lineRule="auto"/>
              <w:jc w:val="center"/>
              <w:rPr>
                <w:rFonts w:hint="default" w:ascii="宋体" w:hAnsi="宋体" w:cs="仿宋"/>
                <w:bCs/>
                <w:sz w:val="22"/>
                <w:szCs w:val="22"/>
                <w:lang w:val="en-US" w:eastAsia="zh-CN"/>
              </w:rPr>
            </w:pPr>
            <w:r>
              <w:rPr>
                <w:rFonts w:hint="eastAsia" w:ascii="宋体" w:hAnsi="宋体" w:cs="仿宋"/>
                <w:bCs/>
                <w:sz w:val="22"/>
                <w:szCs w:val="22"/>
                <w:lang w:val="en-US" w:eastAsia="zh-CN"/>
              </w:rPr>
              <w:t>32</w:t>
            </w:r>
          </w:p>
        </w:tc>
        <w:tc>
          <w:tcPr>
            <w:tcW w:w="1564" w:type="pct"/>
            <w:noWrap w:val="0"/>
            <w:vAlign w:val="center"/>
          </w:tcPr>
          <w:p w14:paraId="4FAE9DC0">
            <w:pPr>
              <w:spacing w:line="320" w:lineRule="exact"/>
              <w:jc w:val="left"/>
              <w:rPr>
                <w:rFonts w:hint="default" w:ascii="宋体" w:hAnsi="宋体" w:cs="仿宋"/>
                <w:bCs/>
                <w:sz w:val="22"/>
                <w:szCs w:val="22"/>
                <w:lang w:val="en-US" w:eastAsia="zh-CN"/>
              </w:rPr>
            </w:pPr>
          </w:p>
        </w:tc>
      </w:tr>
    </w:tbl>
    <w:p w14:paraId="7B80CF8D">
      <w:pPr>
        <w:numPr>
          <w:ilvl w:val="0"/>
          <w:numId w:val="0"/>
        </w:numPr>
        <w:rPr>
          <w:highlight w:val="none"/>
        </w:rPr>
      </w:pPr>
    </w:p>
    <w:p w14:paraId="16310A9A">
      <w:pPr>
        <w:keepNext w:val="0"/>
        <w:keepLines w:val="0"/>
        <w:pageBreakBefore w:val="0"/>
        <w:widowControl/>
        <w:kinsoku/>
        <w:wordWrap/>
        <w:overflowPunct/>
        <w:topLinePunct w:val="0"/>
        <w:autoSpaceDN/>
        <w:bidi w:val="0"/>
        <w:adjustRightInd/>
        <w:spacing w:line="360" w:lineRule="auto"/>
        <w:ind w:left="0" w:leftChars="0" w:right="0" w:firstLine="480" w:firstLineChars="200"/>
        <w:jc w:val="both"/>
        <w:textAlignment w:val="auto"/>
        <w:outlineLvl w:val="1"/>
        <w:rPr>
          <w:rFonts w:hint="eastAsia" w:ascii="宋体" w:hAnsi="宋体" w:eastAsia="宋体" w:cs="宋体"/>
          <w:color w:val="auto"/>
          <w:sz w:val="24"/>
          <w:szCs w:val="24"/>
          <w:highlight w:val="none"/>
          <w:lang w:eastAsia="zh-CN"/>
        </w:rPr>
      </w:pPr>
      <w:bookmarkStart w:id="20" w:name="_Toc9991"/>
      <w:bookmarkStart w:id="21" w:name="_Toc29315"/>
      <w:bookmarkStart w:id="22" w:name="OLE_LINK12"/>
      <w:bookmarkStart w:id="23" w:name="_Toc2652"/>
      <w:bookmarkStart w:id="24" w:name="_Toc481057147"/>
      <w:r>
        <w:rPr>
          <w:rFonts w:hint="eastAsia" w:ascii="宋体" w:hAnsi="宋体"/>
          <w:color w:val="000000"/>
          <w:sz w:val="24"/>
          <w:szCs w:val="24"/>
          <w:highlight w:val="none"/>
        </w:rPr>
        <w:t>★</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条款</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提供承诺书</w:t>
      </w:r>
      <w:r>
        <w:rPr>
          <w:rFonts w:hint="eastAsia" w:ascii="宋体" w:hAnsi="宋体" w:cs="宋体"/>
          <w:b/>
          <w:bCs/>
          <w:color w:val="auto"/>
          <w:sz w:val="24"/>
          <w:szCs w:val="24"/>
          <w:highlight w:val="none"/>
          <w:lang w:eastAsia="zh-CN"/>
        </w:rPr>
        <w:t>）</w:t>
      </w:r>
    </w:p>
    <w:p w14:paraId="49A8EFF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本项目是江苏省</w:t>
      </w:r>
      <w:r>
        <w:rPr>
          <w:rFonts w:hint="eastAsia" w:ascii="宋体" w:hAnsi="宋体" w:eastAsia="宋体" w:cs="宋体"/>
          <w:color w:val="auto"/>
          <w:sz w:val="24"/>
          <w:szCs w:val="24"/>
          <w:highlight w:val="none"/>
          <w:lang w:val="en-US" w:eastAsia="zh-CN"/>
        </w:rPr>
        <w:t>人民医院雨花院区2026年门诊导医服务外包项目</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需要，本项目包含：</w:t>
      </w:r>
    </w:p>
    <w:p w14:paraId="1EA22998">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1、服务范围：全院区。</w:t>
      </w:r>
    </w:p>
    <w:p w14:paraId="6BC4E0B4">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2、服务内容：</w:t>
      </w:r>
    </w:p>
    <w:p w14:paraId="5981C3CA">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负责门诊主医街、候诊区、诊疗区域、医技各科室的预检分诊、导医导诊、秩序维护、便民服务、电话客服、健康教育、慢病管理、医技预约、患者随访、自助就医设备服务等工作，维持大厅及各楼层的就诊秩序，合理疏导病人；</w:t>
      </w:r>
    </w:p>
    <w:p w14:paraId="62096794">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（二）熟悉医院的绿色通道，为病人提供必要的帮助，为急诊、残疾患者提供快捷的服务；</w:t>
      </w:r>
    </w:p>
    <w:p w14:paraId="584BEBC5">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（三）处理门诊大厅的突发事件，及时缓解医患或患者间矛盾；</w:t>
      </w:r>
    </w:p>
    <w:p w14:paraId="2AFD1CE7">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（四）征求与梳理病人提出的意见及建议，及时向上级领导反馈；</w:t>
      </w:r>
    </w:p>
    <w:p w14:paraId="4CAB7143">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（五）负责发放宣传资料；</w:t>
      </w:r>
    </w:p>
    <w:p w14:paraId="556B1154">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（六）负责门诊诊疗辅助工作；</w:t>
      </w:r>
    </w:p>
    <w:p w14:paraId="1A531B53">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（七）完成医院交给的其他有利诊疗服务的相关工作，提供服务记录和数据，并通过对数据分析持续对服务进行优化。</w:t>
      </w:r>
    </w:p>
    <w:p w14:paraId="7A895055">
      <w:pPr>
        <w:keepNext w:val="0"/>
        <w:keepLines w:val="0"/>
        <w:pageBreakBefore w:val="0"/>
        <w:numPr>
          <w:ilvl w:val="0"/>
          <w:numId w:val="0"/>
        </w:numPr>
        <w:kinsoku/>
        <w:wordWrap/>
        <w:overflowPunct/>
        <w:topLinePunct w:val="0"/>
        <w:autoSpaceDN/>
        <w:bidi w:val="0"/>
        <w:adjustRightInd/>
        <w:spacing w:line="360" w:lineRule="auto"/>
        <w:ind w:leftChars="200" w:right="0" w:right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第一部分  人员配置及</w:t>
      </w:r>
      <w:r>
        <w:rPr>
          <w:rFonts w:hint="eastAsia" w:ascii="宋体" w:hAnsi="宋体" w:eastAsia="宋体" w:cs="宋体"/>
          <w:b/>
          <w:bCs/>
          <w:color w:val="auto"/>
          <w:sz w:val="24"/>
          <w:szCs w:val="24"/>
          <w:highlight w:val="none"/>
        </w:rPr>
        <w:t>岗位职责</w:t>
      </w:r>
    </w:p>
    <w:p w14:paraId="10E31DC8">
      <w:pPr>
        <w:keepNext w:val="0"/>
        <w:keepLines w:val="0"/>
        <w:pageBreakBefore w:val="0"/>
        <w:kinsoku/>
        <w:wordWrap/>
        <w:overflowPunct/>
        <w:topLinePunct w:val="0"/>
        <w:autoSpaceDN/>
        <w:bidi w:val="0"/>
        <w:adjustRightInd/>
        <w:spacing w:line="360" w:lineRule="auto"/>
        <w:ind w:left="0" w:leftChars="0" w:righ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岗位1</w:t>
      </w:r>
    </w:p>
    <w:p w14:paraId="41400B39">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服务区域：一楼</w:t>
      </w:r>
    </w:p>
    <w:p w14:paraId="6A76998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岗位数：建议</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人，护理专业至少</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人</w:t>
      </w:r>
    </w:p>
    <w:p w14:paraId="4CFE8BA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入职条件：</w:t>
      </w:r>
    </w:p>
    <w:p w14:paraId="22589D0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1、年龄在35周岁以下，全日制大专及以上管理或护理专业学历。</w:t>
      </w:r>
    </w:p>
    <w:p w14:paraId="73C3F325">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2、身高165cm及以上，</w:t>
      </w:r>
      <w:r>
        <w:rPr>
          <w:rFonts w:hint="eastAsia" w:ascii="宋体" w:hAnsi="宋体" w:eastAsia="宋体" w:cs="宋体"/>
          <w:color w:val="auto"/>
          <w:sz w:val="24"/>
          <w:szCs w:val="24"/>
          <w:highlight w:val="none"/>
          <w:lang w:val="zh-CN"/>
        </w:rPr>
        <w:t>形象佳，五官端正，身体健康。</w:t>
      </w:r>
    </w:p>
    <w:p w14:paraId="3D38856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具有</w:t>
      </w:r>
      <w:r>
        <w:rPr>
          <w:rFonts w:hint="eastAsia" w:ascii="宋体" w:hAnsi="宋体" w:eastAsia="宋体" w:cs="宋体"/>
          <w:color w:val="auto"/>
          <w:sz w:val="24"/>
          <w:szCs w:val="24"/>
          <w:highlight w:val="none"/>
          <w:lang w:val="en-US" w:eastAsia="zh-CN"/>
        </w:rPr>
        <w:t>较强</w:t>
      </w:r>
      <w:r>
        <w:rPr>
          <w:rFonts w:hint="eastAsia" w:ascii="宋体" w:hAnsi="宋体" w:eastAsia="宋体" w:cs="宋体"/>
          <w:color w:val="auto"/>
          <w:sz w:val="24"/>
          <w:szCs w:val="24"/>
          <w:highlight w:val="none"/>
          <w:lang w:val="zh-CN"/>
        </w:rPr>
        <w:t>的沟通能力。</w:t>
      </w:r>
    </w:p>
    <w:p w14:paraId="1E65B9D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有爱心，责任心强，有能胜任岗位工作的意愿和能力。</w:t>
      </w:r>
    </w:p>
    <w:p w14:paraId="7B6BBAD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5、护理专业需</w:t>
      </w:r>
      <w:r>
        <w:rPr>
          <w:rFonts w:hint="eastAsia" w:ascii="宋体" w:hAnsi="宋体" w:eastAsia="宋体" w:cs="宋体"/>
          <w:color w:val="auto"/>
          <w:sz w:val="24"/>
          <w:szCs w:val="24"/>
          <w:highlight w:val="none"/>
          <w:lang w:val="zh-CN"/>
        </w:rPr>
        <w:t>取得护士执业资格证书，并能在江苏省变更职业地点执业。</w:t>
      </w:r>
    </w:p>
    <w:p w14:paraId="3A80BB3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6、考核合格后上岗。</w:t>
      </w:r>
    </w:p>
    <w:p w14:paraId="4317882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岗位职责：  </w:t>
      </w:r>
    </w:p>
    <w:p w14:paraId="1544299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1、在门诊部领导及服务中心组长的指导下开展工作。</w:t>
      </w:r>
    </w:p>
    <w:p w14:paraId="7DB3B5D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2、接待患者咨询及投诉。</w:t>
      </w:r>
    </w:p>
    <w:p w14:paraId="1A886B05">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3、协助分诊工作。</w:t>
      </w:r>
    </w:p>
    <w:p w14:paraId="2F1464D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4、外院来宾讲解工作。</w:t>
      </w:r>
    </w:p>
    <w:p w14:paraId="6A2C3B0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5、会务接待工作。</w:t>
      </w:r>
    </w:p>
    <w:p w14:paraId="5335870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6、患者全流程就诊指导。</w:t>
      </w:r>
    </w:p>
    <w:p w14:paraId="4A4B68D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7、便民服务。</w:t>
      </w:r>
    </w:p>
    <w:p w14:paraId="551D0C5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8、助老助残助诊。</w:t>
      </w:r>
    </w:p>
    <w:p w14:paraId="7CE786B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9、医技预约。</w:t>
      </w:r>
    </w:p>
    <w:p w14:paraId="3E70C17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10、患者随访。</w:t>
      </w:r>
    </w:p>
    <w:p w14:paraId="295C586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服从采购人的其他工作安排</w:t>
      </w:r>
      <w:r>
        <w:rPr>
          <w:rFonts w:hint="eastAsia" w:ascii="宋体" w:hAnsi="宋体" w:eastAsia="宋体" w:cs="宋体"/>
          <w:color w:val="auto"/>
          <w:sz w:val="24"/>
          <w:szCs w:val="24"/>
          <w:highlight w:val="none"/>
          <w:lang w:val="en-US" w:eastAsia="zh-CN"/>
        </w:rPr>
        <w:t>。</w:t>
      </w:r>
    </w:p>
    <w:p w14:paraId="1E653ABC">
      <w:pPr>
        <w:pStyle w:val="2"/>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（五）岗位总工时：最终工作时间以医院工作量为准</w:t>
      </w:r>
      <w:r>
        <w:rPr>
          <w:rFonts w:hint="eastAsia" w:hAnsi="宋体" w:cs="宋体"/>
          <w:color w:val="auto"/>
          <w:sz w:val="24"/>
          <w:szCs w:val="24"/>
          <w:highlight w:val="none"/>
          <w:lang w:val="en-US" w:eastAsia="zh-CN" w:bidi="ar-SA"/>
        </w:rPr>
        <w:t>。</w:t>
      </w:r>
    </w:p>
    <w:p w14:paraId="2633529D">
      <w:pPr>
        <w:keepNext w:val="0"/>
        <w:keepLines w:val="0"/>
        <w:pageBreakBefore w:val="0"/>
        <w:kinsoku/>
        <w:wordWrap/>
        <w:overflowPunct/>
        <w:topLinePunct w:val="0"/>
        <w:autoSpaceDN/>
        <w:bidi w:val="0"/>
        <w:adjustRightInd/>
        <w:spacing w:line="360" w:lineRule="auto"/>
        <w:ind w:left="0" w:leftChars="0" w:righ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岗位2</w:t>
      </w:r>
    </w:p>
    <w:p w14:paraId="28C3D14E">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（一）服务区域：2楼、3楼</w:t>
      </w:r>
    </w:p>
    <w:p w14:paraId="270CE03D">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default" w:ascii="宋体" w:hAnsi="宋体" w:eastAsia="宋体" w:cs="宋体"/>
          <w:color w:val="auto"/>
          <w:sz w:val="24"/>
          <w:szCs w:val="24"/>
          <w:highlight w:val="yellow"/>
          <w:lang w:val="en-US"/>
        </w:rPr>
      </w:pPr>
      <w:r>
        <w:rPr>
          <w:rFonts w:hint="eastAsia" w:ascii="宋体" w:hAnsi="宋体" w:eastAsia="宋体" w:cs="宋体"/>
          <w:color w:val="auto"/>
          <w:sz w:val="24"/>
          <w:szCs w:val="24"/>
          <w:highlight w:val="none"/>
          <w:lang w:val="en-US" w:eastAsia="zh-CN"/>
        </w:rPr>
        <w:t>（二）岗位数：建议9人</w:t>
      </w:r>
    </w:p>
    <w:p w14:paraId="38AAFC5E">
      <w:pPr>
        <w:keepNext w:val="0"/>
        <w:keepLines w:val="0"/>
        <w:pageBreakBefore w:val="0"/>
        <w:numPr>
          <w:ilvl w:val="0"/>
          <w:numId w:val="0"/>
        </w:numPr>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（三）入职条件：</w:t>
      </w:r>
    </w:p>
    <w:p w14:paraId="1E62C31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1、年龄在40周岁以下，全日制中专及以上学历。</w:t>
      </w:r>
    </w:p>
    <w:p w14:paraId="3E97F8A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2、身高160cm及以上，</w:t>
      </w:r>
      <w:r>
        <w:rPr>
          <w:rFonts w:hint="eastAsia" w:ascii="宋体" w:hAnsi="宋体" w:eastAsia="宋体" w:cs="宋体"/>
          <w:color w:val="auto"/>
          <w:sz w:val="24"/>
          <w:szCs w:val="24"/>
          <w:highlight w:val="none"/>
          <w:lang w:val="zh-CN" w:eastAsia="zh-CN"/>
        </w:rPr>
        <w:t>五官端正，身体健康。</w:t>
      </w:r>
    </w:p>
    <w:p w14:paraId="08A0F80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具有</w:t>
      </w:r>
      <w:r>
        <w:rPr>
          <w:rFonts w:hint="eastAsia" w:ascii="宋体" w:hAnsi="宋体" w:eastAsia="宋体" w:cs="宋体"/>
          <w:color w:val="auto"/>
          <w:sz w:val="24"/>
          <w:szCs w:val="24"/>
          <w:highlight w:val="none"/>
          <w:lang w:val="en-US" w:eastAsia="zh-CN"/>
        </w:rPr>
        <w:t>较强</w:t>
      </w:r>
      <w:r>
        <w:rPr>
          <w:rFonts w:hint="eastAsia" w:ascii="宋体" w:hAnsi="宋体" w:eastAsia="宋体" w:cs="宋体"/>
          <w:color w:val="auto"/>
          <w:sz w:val="24"/>
          <w:szCs w:val="24"/>
          <w:highlight w:val="none"/>
          <w:lang w:val="zh-CN" w:eastAsia="zh-CN"/>
        </w:rPr>
        <w:t>的沟通能力。</w:t>
      </w:r>
    </w:p>
    <w:p w14:paraId="38A60A45">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有爱心，责任心强，有能胜任岗位工作的意愿和能力。</w:t>
      </w:r>
    </w:p>
    <w:p w14:paraId="7BD0D80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考核合格</w:t>
      </w:r>
      <w:r>
        <w:rPr>
          <w:rFonts w:hint="eastAsia" w:ascii="宋体" w:hAnsi="宋体" w:eastAsia="宋体" w:cs="宋体"/>
          <w:color w:val="auto"/>
          <w:sz w:val="24"/>
          <w:szCs w:val="24"/>
          <w:highlight w:val="none"/>
          <w:lang w:val="en-US" w:eastAsia="zh-CN"/>
        </w:rPr>
        <w:t>后上岗</w:t>
      </w:r>
      <w:r>
        <w:rPr>
          <w:rFonts w:hint="eastAsia" w:ascii="宋体" w:hAnsi="宋体" w:eastAsia="宋体" w:cs="宋体"/>
          <w:color w:val="auto"/>
          <w:sz w:val="24"/>
          <w:szCs w:val="24"/>
          <w:highlight w:val="none"/>
          <w:lang w:val="zh-CN"/>
        </w:rPr>
        <w:t>。</w:t>
      </w:r>
    </w:p>
    <w:p w14:paraId="3458FB0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岗位职责： </w:t>
      </w:r>
    </w:p>
    <w:p w14:paraId="034E7B0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1、每天按照排班要求到院，开展导医工作。</w:t>
      </w:r>
    </w:p>
    <w:p w14:paraId="48C5254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2、负责导医导诊、预检分诊、咨询预约、各种地点指引等门诊服务工作，</w:t>
      </w:r>
    </w:p>
    <w:p w14:paraId="0B923DE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随时接受咨询。</w:t>
      </w:r>
    </w:p>
    <w:p w14:paraId="1D05152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3、高峰时对病人进行分流及引导，维持门诊良好的就诊秩序与整洁的就诊环境。</w:t>
      </w:r>
    </w:p>
    <w:p w14:paraId="733CBCE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4、认真落实承诺的各项便民措施，办理轮椅借用登记手续。</w:t>
      </w:r>
    </w:p>
    <w:p w14:paraId="1C7B15D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5、为初诊病人提供信息咨询，指导选择专科医生，指引就诊路线。</w:t>
      </w:r>
    </w:p>
    <w:p w14:paraId="5C56AD2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6、指导患者手机挂号、互联网医院使用。</w:t>
      </w:r>
    </w:p>
    <w:p w14:paraId="4A76321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7、指导病人使用自助设备，电子病历的打印，帮助病人自助打印门诊检验报告单，必要时帮病人打印门诊发票清单。</w:t>
      </w:r>
    </w:p>
    <w:p w14:paraId="134909B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8、对孕妇、儿童、伤残、重症、老年、无陪客患者实行陪诊、陪检等援助式服务。</w:t>
      </w:r>
    </w:p>
    <w:p w14:paraId="6F99C7E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9、帮助病人办理住院登记手续、并指导病人至住院病区。</w:t>
      </w:r>
    </w:p>
    <w:p w14:paraId="129A547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10、接受病人投诉并登记处理，协调医患关系。</w:t>
      </w:r>
    </w:p>
    <w:p w14:paraId="39F55B2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11、发放一次性杯子和各种健康教育资料。</w:t>
      </w:r>
    </w:p>
    <w:p w14:paraId="2F70543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12、指导“检查报告单”打印，并协调与此相关问题。</w:t>
      </w:r>
    </w:p>
    <w:p w14:paraId="6E04CF8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13、按病人需求为其指引优先窗口。</w:t>
      </w:r>
    </w:p>
    <w:p w14:paraId="63AF9F2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14、接受各类咨询：医院科室布局查询、检查治疗流程咨询、医院专科介绍、</w:t>
      </w:r>
    </w:p>
    <w:p w14:paraId="29D5EB4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专家介绍、电话咨询、病人查询等。</w:t>
      </w:r>
    </w:p>
    <w:p w14:paraId="36BACF2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15、发现紧急情况或意外事件、标牌和电子屏损坏及时报告、报修、通知相应</w:t>
      </w:r>
    </w:p>
    <w:p w14:paraId="14DE3E9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部门，及时处理。劝阻吸烟者，注意节能和按需开灯。</w:t>
      </w:r>
    </w:p>
    <w:p w14:paraId="63E5BAF5">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16、下班前负责关闭分管区域的电脑、电灯、空调、门窗，并负责收好导医物品：电脑、打印机、椅子、轮椅、平车等物品。</w:t>
      </w:r>
    </w:p>
    <w:p w14:paraId="2CF0A0D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17、其它大厅导诊服务等。</w:t>
      </w:r>
    </w:p>
    <w:p w14:paraId="6531739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lang w:val="zh-CN" w:eastAsia="zh-CN"/>
        </w:rPr>
        <w:t>服从采购人的其他工作安排。</w:t>
      </w:r>
    </w:p>
    <w:p w14:paraId="450249B4">
      <w:pPr>
        <w:pStyle w:val="2"/>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（五）岗位总工时：最终工作时间以医院工作量为准</w:t>
      </w:r>
      <w:r>
        <w:rPr>
          <w:rFonts w:hint="eastAsia" w:hAnsi="宋体" w:cs="宋体"/>
          <w:color w:val="auto"/>
          <w:sz w:val="24"/>
          <w:szCs w:val="24"/>
          <w:highlight w:val="none"/>
          <w:lang w:val="en-US" w:eastAsia="zh-CN" w:bidi="ar-SA"/>
        </w:rPr>
        <w:t>。</w:t>
      </w:r>
    </w:p>
    <w:p w14:paraId="14E60B13">
      <w:pPr>
        <w:keepNext w:val="0"/>
        <w:keepLines w:val="0"/>
        <w:pageBreakBefore w:val="0"/>
        <w:kinsoku/>
        <w:wordWrap/>
        <w:overflowPunct/>
        <w:topLinePunct w:val="0"/>
        <w:autoSpaceDN/>
        <w:bidi w:val="0"/>
        <w:adjustRightInd/>
        <w:spacing w:line="360" w:lineRule="auto"/>
        <w:ind w:left="0" w:leftChars="0" w:righ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岗位3</w:t>
      </w:r>
    </w:p>
    <w:p w14:paraId="289E76C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服务区域：2楼、3楼</w:t>
      </w:r>
    </w:p>
    <w:p w14:paraId="68055DD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岗位数：建议9人</w:t>
      </w:r>
    </w:p>
    <w:p w14:paraId="6C6984B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入职条件：</w:t>
      </w:r>
    </w:p>
    <w:p w14:paraId="459F284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1、年龄在40周岁以下，全日制中专及以上学历。</w:t>
      </w:r>
    </w:p>
    <w:p w14:paraId="00F9E45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2、无违法违纪等不良行为记录。</w:t>
      </w:r>
    </w:p>
    <w:p w14:paraId="2D967DC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具有</w:t>
      </w:r>
      <w:r>
        <w:rPr>
          <w:rFonts w:hint="eastAsia" w:ascii="宋体" w:hAnsi="宋体" w:eastAsia="宋体" w:cs="宋体"/>
          <w:color w:val="auto"/>
          <w:sz w:val="24"/>
          <w:szCs w:val="24"/>
          <w:highlight w:val="none"/>
          <w:lang w:val="en-US" w:eastAsia="zh-CN"/>
        </w:rPr>
        <w:t>较强</w:t>
      </w:r>
      <w:r>
        <w:rPr>
          <w:rFonts w:hint="eastAsia" w:ascii="宋体" w:hAnsi="宋体" w:eastAsia="宋体" w:cs="宋体"/>
          <w:color w:val="auto"/>
          <w:sz w:val="24"/>
          <w:szCs w:val="24"/>
          <w:highlight w:val="none"/>
          <w:lang w:val="zh-CN" w:eastAsia="zh-CN"/>
        </w:rPr>
        <w:t>的沟通能力，</w:t>
      </w:r>
      <w:r>
        <w:rPr>
          <w:rFonts w:hint="eastAsia" w:ascii="宋体" w:hAnsi="宋体" w:eastAsia="宋体" w:cs="宋体"/>
          <w:color w:val="auto"/>
          <w:sz w:val="24"/>
          <w:szCs w:val="24"/>
          <w:highlight w:val="none"/>
          <w:lang w:val="en-US" w:eastAsia="zh-CN"/>
        </w:rPr>
        <w:t>人品好，工作积极主动</w:t>
      </w:r>
      <w:r>
        <w:rPr>
          <w:rFonts w:hint="eastAsia" w:ascii="宋体" w:hAnsi="宋体" w:eastAsia="宋体" w:cs="宋体"/>
          <w:color w:val="auto"/>
          <w:sz w:val="24"/>
          <w:szCs w:val="24"/>
          <w:highlight w:val="none"/>
          <w:lang w:val="zh-CN" w:eastAsia="zh-CN"/>
        </w:rPr>
        <w:t>。</w:t>
      </w:r>
    </w:p>
    <w:p w14:paraId="560C9C2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有爱心，责任心强，有能胜任岗位工作的意愿和能力。</w:t>
      </w:r>
    </w:p>
    <w:p w14:paraId="257DBF3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考核合格</w:t>
      </w:r>
      <w:r>
        <w:rPr>
          <w:rFonts w:hint="eastAsia" w:ascii="宋体" w:hAnsi="宋体" w:eastAsia="宋体" w:cs="宋体"/>
          <w:color w:val="auto"/>
          <w:sz w:val="24"/>
          <w:szCs w:val="24"/>
          <w:highlight w:val="none"/>
          <w:lang w:val="en-US" w:eastAsia="zh-CN"/>
        </w:rPr>
        <w:t>后上岗</w:t>
      </w:r>
      <w:r>
        <w:rPr>
          <w:rFonts w:hint="eastAsia" w:ascii="宋体" w:hAnsi="宋体" w:eastAsia="宋体" w:cs="宋体"/>
          <w:color w:val="auto"/>
          <w:sz w:val="24"/>
          <w:szCs w:val="24"/>
          <w:highlight w:val="none"/>
          <w:lang w:val="zh-CN"/>
        </w:rPr>
        <w:t>。</w:t>
      </w:r>
    </w:p>
    <w:p w14:paraId="4C6F728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岗位职责</w:t>
      </w:r>
    </w:p>
    <w:p w14:paraId="120DE4D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1、每天按照排班要求到院，开展导医工作。</w:t>
      </w:r>
    </w:p>
    <w:p w14:paraId="6CC1DB6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2、协助病人进行诊间的叫号报到，同时对病人进行分流及引导，维持良好的就诊秩序与整洁的就诊环境。</w:t>
      </w:r>
    </w:p>
    <w:p w14:paraId="32BEAF0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3、负责所在科室开诊闭诊准备。</w:t>
      </w:r>
    </w:p>
    <w:p w14:paraId="0E0AD96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4、指导病人使用自助设备，进行挂号、缴费以及取化验报告单。</w:t>
      </w:r>
    </w:p>
    <w:p w14:paraId="1D833E4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5、保持诊间清洁卫生和诊间整体的环境，有需要打扫部分及时通知后勤物业公司。</w:t>
      </w:r>
    </w:p>
    <w:p w14:paraId="6DFCCFC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6、管理好电脑，打印机等各种设备，做好诊间物品、器材的保管及维护工作.</w:t>
      </w:r>
    </w:p>
    <w:p w14:paraId="7B08ACA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7、专科检查预约指引。</w:t>
      </w:r>
    </w:p>
    <w:p w14:paraId="3A26F31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8、临床辅助业务支持。</w:t>
      </w:r>
    </w:p>
    <w:p w14:paraId="007C330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服从采购人的其他工作安排</w:t>
      </w:r>
      <w:r>
        <w:rPr>
          <w:rFonts w:hint="eastAsia" w:ascii="宋体" w:hAnsi="宋体" w:eastAsia="宋体" w:cs="宋体"/>
          <w:color w:val="auto"/>
          <w:sz w:val="24"/>
          <w:szCs w:val="24"/>
          <w:highlight w:val="none"/>
          <w:lang w:val="en-US" w:eastAsia="zh-CN"/>
        </w:rPr>
        <w:t>。</w:t>
      </w:r>
    </w:p>
    <w:p w14:paraId="458F2327">
      <w:pPr>
        <w:pStyle w:val="2"/>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（五）岗位总工时：最终工作时间以医院工作量为准</w:t>
      </w:r>
      <w:r>
        <w:rPr>
          <w:rFonts w:hint="eastAsia" w:hAnsi="宋体" w:cs="宋体"/>
          <w:color w:val="auto"/>
          <w:sz w:val="24"/>
          <w:szCs w:val="24"/>
          <w:highlight w:val="none"/>
          <w:lang w:val="en-US" w:eastAsia="zh-CN" w:bidi="ar-SA"/>
        </w:rPr>
        <w:t>。</w:t>
      </w:r>
    </w:p>
    <w:p w14:paraId="1AA814B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岗位4</w:t>
      </w:r>
    </w:p>
    <w:p w14:paraId="78A61CE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服务区域：全院</w:t>
      </w:r>
    </w:p>
    <w:p w14:paraId="604B7CF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（二）岗位数：建议1人</w:t>
      </w:r>
    </w:p>
    <w:p w14:paraId="12AA26C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入职条件：</w:t>
      </w:r>
    </w:p>
    <w:p w14:paraId="5605DAC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1、年龄在40周岁以下，全日制大专及以上管理专业学历。</w:t>
      </w:r>
    </w:p>
    <w:p w14:paraId="673A664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2、身高165cm及以上，</w:t>
      </w:r>
      <w:r>
        <w:rPr>
          <w:rFonts w:hint="eastAsia" w:ascii="宋体" w:hAnsi="宋体" w:eastAsia="宋体" w:cs="宋体"/>
          <w:color w:val="auto"/>
          <w:sz w:val="24"/>
          <w:szCs w:val="24"/>
          <w:highlight w:val="none"/>
          <w:lang w:val="zh-CN"/>
        </w:rPr>
        <w:t>形象佳，五官端正，身体健康。</w:t>
      </w:r>
    </w:p>
    <w:p w14:paraId="0151EC6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具有</w:t>
      </w:r>
      <w:r>
        <w:rPr>
          <w:rFonts w:hint="eastAsia" w:ascii="宋体" w:hAnsi="宋体" w:eastAsia="宋体" w:cs="宋体"/>
          <w:color w:val="auto"/>
          <w:sz w:val="24"/>
          <w:szCs w:val="24"/>
          <w:highlight w:val="none"/>
          <w:lang w:val="en-US" w:eastAsia="zh-CN"/>
        </w:rPr>
        <w:t>较强</w:t>
      </w:r>
      <w:r>
        <w:rPr>
          <w:rFonts w:hint="eastAsia" w:ascii="宋体" w:hAnsi="宋体" w:eastAsia="宋体" w:cs="宋体"/>
          <w:color w:val="auto"/>
          <w:sz w:val="24"/>
          <w:szCs w:val="24"/>
          <w:highlight w:val="none"/>
          <w:lang w:val="zh-CN"/>
        </w:rPr>
        <w:t>的</w:t>
      </w:r>
      <w:r>
        <w:rPr>
          <w:rFonts w:hint="eastAsia" w:ascii="宋体" w:hAnsi="宋体" w:eastAsia="宋体" w:cs="宋体"/>
          <w:color w:val="auto"/>
          <w:sz w:val="24"/>
          <w:szCs w:val="24"/>
          <w:highlight w:val="none"/>
          <w:lang w:val="en-US" w:eastAsia="zh-CN"/>
        </w:rPr>
        <w:t>组织能力及</w:t>
      </w:r>
      <w:r>
        <w:rPr>
          <w:rFonts w:hint="eastAsia" w:ascii="宋体" w:hAnsi="宋体" w:eastAsia="宋体" w:cs="宋体"/>
          <w:color w:val="auto"/>
          <w:sz w:val="24"/>
          <w:szCs w:val="24"/>
          <w:highlight w:val="none"/>
          <w:lang w:val="zh-CN"/>
        </w:rPr>
        <w:t>沟通能力。</w:t>
      </w:r>
    </w:p>
    <w:p w14:paraId="6721A93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有爱心，责任心强，有能胜任岗位工作的意愿和能力。</w:t>
      </w:r>
    </w:p>
    <w:p w14:paraId="15B0441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5、有丰富的相关项目管理经验</w:t>
      </w:r>
      <w:r>
        <w:rPr>
          <w:rFonts w:hint="eastAsia" w:ascii="宋体" w:hAnsi="宋体" w:eastAsia="宋体" w:cs="宋体"/>
          <w:color w:val="auto"/>
          <w:sz w:val="24"/>
          <w:szCs w:val="24"/>
          <w:highlight w:val="none"/>
          <w:lang w:val="zh-CN"/>
        </w:rPr>
        <w:t>。</w:t>
      </w:r>
    </w:p>
    <w:p w14:paraId="2B29A57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6、考核合格后上岗。</w:t>
      </w:r>
    </w:p>
    <w:p w14:paraId="2554AE59">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岗位职责：  </w:t>
      </w:r>
    </w:p>
    <w:p w14:paraId="4E77D27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1、在门诊部领导及服务中心组长的指导下开展工作。</w:t>
      </w:r>
    </w:p>
    <w:p w14:paraId="1C610FB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2、门诊导医日常运营管理工作。</w:t>
      </w:r>
    </w:p>
    <w:p w14:paraId="55A513C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3、门诊导医培训工作。</w:t>
      </w:r>
    </w:p>
    <w:p w14:paraId="7635FA3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4、绩效管理工作。</w:t>
      </w:r>
    </w:p>
    <w:p w14:paraId="739151F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5、服务质量考核工作。</w:t>
      </w:r>
    </w:p>
    <w:p w14:paraId="482CC3A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6、应急与安全管理工作。</w:t>
      </w:r>
    </w:p>
    <w:p w14:paraId="617145E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7、沟通协调工作。</w:t>
      </w:r>
    </w:p>
    <w:p w14:paraId="1A04B09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8、档案管理工作。</w:t>
      </w:r>
    </w:p>
    <w:p w14:paraId="664EB17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服从采购人的其他工作安排</w:t>
      </w:r>
      <w:r>
        <w:rPr>
          <w:rFonts w:hint="eastAsia" w:ascii="宋体" w:hAnsi="宋体" w:eastAsia="宋体" w:cs="宋体"/>
          <w:color w:val="auto"/>
          <w:sz w:val="24"/>
          <w:szCs w:val="24"/>
          <w:highlight w:val="none"/>
          <w:lang w:val="en-US" w:eastAsia="zh-CN"/>
        </w:rPr>
        <w:t>。</w:t>
      </w:r>
    </w:p>
    <w:p w14:paraId="53170159">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（五）岗位总工时：最终工作时间以医院工作量为准</w:t>
      </w:r>
      <w:r>
        <w:rPr>
          <w:rFonts w:hint="eastAsia" w:ascii="宋体" w:hAnsi="宋体" w:cs="宋体"/>
          <w:color w:val="auto"/>
          <w:sz w:val="24"/>
          <w:szCs w:val="24"/>
          <w:highlight w:val="none"/>
          <w:lang w:val="en-US" w:eastAsia="zh-CN"/>
        </w:rPr>
        <w:t>。</w:t>
      </w:r>
    </w:p>
    <w:p w14:paraId="0FDC8155">
      <w:pPr>
        <w:rPr>
          <w:rFonts w:hint="eastAsia"/>
          <w:lang w:val="en-US" w:eastAsia="zh-CN"/>
        </w:rPr>
      </w:pPr>
    </w:p>
    <w:p w14:paraId="1A126864">
      <w:pPr>
        <w:keepNext w:val="0"/>
        <w:keepLines w:val="0"/>
        <w:pageBreakBefore w:val="0"/>
        <w:numPr>
          <w:ilvl w:val="0"/>
          <w:numId w:val="7"/>
        </w:numPr>
        <w:kinsoku/>
        <w:wordWrap/>
        <w:overflowPunct/>
        <w:topLinePunct w:val="0"/>
        <w:autoSpaceDN/>
        <w:bidi w:val="0"/>
        <w:adjustRightInd/>
        <w:spacing w:line="360" w:lineRule="auto"/>
        <w:ind w:left="0" w:leftChars="0" w:right="0"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管理要求</w:t>
      </w:r>
    </w:p>
    <w:p w14:paraId="04ABF99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（一）员工管理</w:t>
      </w:r>
    </w:p>
    <w:p w14:paraId="1473D7F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应建立员工档案，包括员工登记表、劳动合同、培训记录、员工奖惩记录等。</w:t>
      </w:r>
    </w:p>
    <w:p w14:paraId="2A2D168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2、员工必须持有健康证，必须体检1次/年，每年体检费用由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承担。</w:t>
      </w:r>
    </w:p>
    <w:p w14:paraId="166B5D3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3、投标人为本项目配备的上岗人员应符合采购人的管理要求，服务人员在工作中若不能满足院方要求，采购人有权要求中标单位更换服务人员。</w:t>
      </w:r>
    </w:p>
    <w:p w14:paraId="51F9CB9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的培训、管理。建立健全</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管理制度，建立合适实际工作需要的人事管理、服务质量管理、安全管理等方面的规章制度，明确</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的岗位职责、工作任务、工作标准和具体要求。</w:t>
      </w:r>
    </w:p>
    <w:p w14:paraId="5E4A335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应制定上岗人员职业暴露处理流程，并明确</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发生职业暴露后的责任。</w:t>
      </w:r>
    </w:p>
    <w:p w14:paraId="56BC22F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、为维护医院良好形象，</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必须为</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配置统一制服，并保证不少于1次/周的洗涤、消毒和熨烫。</w:t>
      </w:r>
    </w:p>
    <w:p w14:paraId="1F3F359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管理人员应掌握本公司的规章制度和业务流程，具备一定的管理经验和专业技能，并能够对</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进行专业化指导。</w:t>
      </w:r>
    </w:p>
    <w:p w14:paraId="56BA845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（二）培训管理</w:t>
      </w:r>
    </w:p>
    <w:p w14:paraId="56D4335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 xml:space="preserve">应设有专门的培训管理人员。 </w:t>
      </w:r>
    </w:p>
    <w:p w14:paraId="7D2AC1F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应定期对</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开展岗前、在岗培训。每年至少进行系统培训4次，每次不得少于4天。对中断工作一年以上者，需重新培训，再次确认上岗资格。</w:t>
      </w:r>
    </w:p>
    <w:p w14:paraId="30BE7EF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3、针对不同</w:t>
      </w:r>
      <w:r>
        <w:rPr>
          <w:rFonts w:hint="eastAsia" w:ascii="宋体" w:hAnsi="宋体" w:eastAsia="宋体" w:cs="宋体"/>
          <w:color w:val="auto"/>
          <w:sz w:val="24"/>
          <w:szCs w:val="24"/>
          <w:highlight w:val="none"/>
          <w:lang w:val="en-US" w:eastAsia="zh-CN"/>
        </w:rPr>
        <w:t>岗位的导医</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应分类建立不同</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 xml:space="preserve">服务培训体系，包括培训计划、培训大纲、培训教材、培训档案等。 </w:t>
      </w:r>
    </w:p>
    <w:p w14:paraId="55677E4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4、培训内容应包括员工职业道德、行为规范，基本的法律、安全、卫生知识以及医院</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服务所需的知识和技能等。</w:t>
      </w:r>
    </w:p>
    <w:p w14:paraId="25E3880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（三）同质化管理</w:t>
      </w:r>
    </w:p>
    <w:p w14:paraId="2E7B6355">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服务人员需在本院其他院区进行轮岗，通过统一服务标准、统一作业流程、统一培训考核、统一品质管控，实现各园区服务质量均衡一致、服务形象规范统一。轮岗期间，服务人员须严格遵守各园区现场管理要求，熟练掌握不同区域的服务重点与作业规范，确保服务响应速度、服务礼仪、服务质量无差异、无落差。通过常态化轮岗交流，全面提升团队综合服务能力与应急处置水平，保障全院各园区物业服务品质稳定可控、标准如一，切实满足甲方对整体化、同质化、高品质后勤服务的管理需求。</w:t>
      </w:r>
    </w:p>
    <w:p w14:paraId="11ED5B3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服务质量管理</w:t>
      </w:r>
    </w:p>
    <w:p w14:paraId="50370D4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应建立</w:t>
      </w:r>
      <w:r>
        <w:rPr>
          <w:rFonts w:hint="eastAsia" w:ascii="宋体" w:hAnsi="宋体" w:eastAsia="宋体" w:cs="宋体"/>
          <w:color w:val="auto"/>
          <w:sz w:val="24"/>
          <w:szCs w:val="24"/>
          <w:highlight w:val="none"/>
          <w:lang w:val="en-US" w:eastAsia="zh-CN"/>
        </w:rPr>
        <w:t>患者服务</w:t>
      </w:r>
      <w:r>
        <w:rPr>
          <w:rFonts w:hint="eastAsia" w:ascii="宋体" w:hAnsi="宋体" w:eastAsia="宋体" w:cs="宋体"/>
          <w:color w:val="auto"/>
          <w:sz w:val="24"/>
          <w:szCs w:val="24"/>
          <w:highlight w:val="none"/>
        </w:rPr>
        <w:t>档案</w:t>
      </w:r>
      <w:r>
        <w:rPr>
          <w:rFonts w:hint="eastAsia" w:ascii="宋体" w:hAnsi="宋体" w:eastAsia="宋体" w:cs="宋体"/>
          <w:color w:val="auto"/>
          <w:sz w:val="24"/>
          <w:szCs w:val="24"/>
          <w:highlight w:val="none"/>
          <w:lang w:val="en-US" w:eastAsia="zh-CN"/>
        </w:rPr>
        <w:t>管理平台</w:t>
      </w:r>
      <w:r>
        <w:rPr>
          <w:rFonts w:hint="eastAsia" w:ascii="宋体" w:hAnsi="宋体" w:eastAsia="宋体" w:cs="宋体"/>
          <w:color w:val="auto"/>
          <w:sz w:val="24"/>
          <w:szCs w:val="24"/>
          <w:highlight w:val="none"/>
        </w:rPr>
        <w:t>，包括病人资料、服务合同、服务质量反馈、投诉及其处理文件，并对病人资料负有保密义务。</w:t>
      </w:r>
    </w:p>
    <w:p w14:paraId="6A95825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应建立</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服务跟踪回访制度，实行“三回访”制度。服务前、服务中、服务后由专人采取面谈、电话等形式收集病人或家属满意度的信息，了解病人或家属对服务质量的满意程度，及时帮助病人或家属处理服务过程中存在的问题或疑惑，对</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的服务态度、质量以及着装等方面进行监督，听取</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及病人属双方的意见和建议，协调病人或家属与</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之间的关系。</w:t>
      </w:r>
    </w:p>
    <w:p w14:paraId="4813D44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应建立服务质量投诉制度，对病人或家属的投诉应进行登记，并在1天内给予答复，解决病人问题，保证为病人提供满意的服务，直至服务结束。</w:t>
      </w:r>
    </w:p>
    <w:p w14:paraId="36D23DBC">
      <w:pPr>
        <w:keepNext w:val="0"/>
        <w:keepLines w:val="0"/>
        <w:pageBreakBefore w:val="0"/>
        <w:numPr>
          <w:ilvl w:val="0"/>
          <w:numId w:val="0"/>
        </w:numPr>
        <w:kinsoku/>
        <w:wordWrap/>
        <w:overflowPunct/>
        <w:topLinePunct w:val="0"/>
        <w:autoSpaceDN/>
        <w:bidi w:val="0"/>
        <w:adjustRightInd/>
        <w:spacing w:line="360" w:lineRule="auto"/>
        <w:ind w:leftChars="200" w:right="0" w:rightChars="0"/>
        <w:jc w:val="left"/>
        <w:textAlignment w:val="auto"/>
        <w:outlineLvl w:val="2"/>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第三部分  </w:t>
      </w:r>
      <w:r>
        <w:rPr>
          <w:rFonts w:hint="eastAsia" w:ascii="宋体" w:hAnsi="宋体" w:eastAsia="宋体" w:cs="宋体"/>
          <w:b/>
          <w:bCs/>
          <w:color w:val="auto"/>
          <w:sz w:val="24"/>
          <w:szCs w:val="24"/>
          <w:highlight w:val="none"/>
        </w:rPr>
        <w:t>其他技术、服务等要求</w:t>
      </w:r>
    </w:p>
    <w:p w14:paraId="4E10CB1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的要求</w:t>
      </w:r>
    </w:p>
    <w:p w14:paraId="3D6A6BB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应制定各项管理办法、规章制度、实施方案，开展现场管理工作，并随时接受</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主管部门及有关政府部门的监督、指导。</w:t>
      </w:r>
    </w:p>
    <w:p w14:paraId="47B947A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需征求</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同意后，方可采用会议、座谈、宣传栏、宣传册、小标贴等形式，向患者、家属进行公示和宣传(公示和宣传内容及地点应征得</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事先同意)，使之了解服务内容。</w:t>
      </w:r>
    </w:p>
    <w:p w14:paraId="4F4B0B5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及病人需要派驻身体健康、经验丰富、能胜任工作的</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，做好</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岗前培训、工作流程、工作技能培训、医院消毒规范要求与培训、消防安全培训等各项专项培训，教育</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自觉遵守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各项规章制度，树立一切以病人为中心理念，努力提升服务质量，自觉维护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的社会形象。</w:t>
      </w:r>
    </w:p>
    <w:p w14:paraId="2B664AF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应加强监督管理工作，派驻现场管理人员，每天进行现场检查监督，充分采纳</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关于服务质量的建议和意见，积极主动与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科室病区相关负责人员和病人、家属做好沟通，发现问题及时纠正解决，关爱病人，发现病人病情异常及时迅速向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通报。</w:t>
      </w:r>
    </w:p>
    <w:p w14:paraId="7CE66EA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、各类记录、报表应真实、准确、及时、符合要求。如有弄虚作假，</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有权要求其整改，经限期整改仍无效，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有权解除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的服务资格。</w:t>
      </w:r>
    </w:p>
    <w:p w14:paraId="13DDE87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、建立与患者、家属及时沟通的信息渠道，设立服务投诉渠道和处理程序，发现问题及时整改。</w:t>
      </w:r>
    </w:p>
    <w:p w14:paraId="50049D4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7、投标人应解决部分专业导医护士执业资格证注册的问题。</w:t>
      </w:r>
    </w:p>
    <w:p w14:paraId="4FE7DBC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8、投标人应制定应急事件处理办法，对院内各类突发事件应有调配或增派计划外工作人员的能力。</w:t>
      </w:r>
    </w:p>
    <w:p w14:paraId="30F491F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（二）意外情况处理：</w:t>
      </w:r>
    </w:p>
    <w:p w14:paraId="2150F9C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以下意外由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承担责任：</w:t>
      </w:r>
    </w:p>
    <w:p w14:paraId="0BDEB43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1、由于</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工作不到位而引起的服务对象走失、跌倒、坠床、烫伤、噎食、皮肤压力性损伤、火灾等意外，以及其他由于</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人员工作不到位而引起服务对象伤害及可能引发的不良后果。</w:t>
      </w:r>
    </w:p>
    <w:p w14:paraId="54DF2A18">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sz w:val="24"/>
          <w:szCs w:val="24"/>
        </w:rPr>
      </w:pPr>
      <w:r>
        <w:rPr>
          <w:rFonts w:hint="eastAsia" w:ascii="宋体" w:hAnsi="宋体" w:eastAsia="宋体" w:cs="宋体"/>
          <w:color w:val="auto"/>
          <w:sz w:val="24"/>
          <w:szCs w:val="24"/>
          <w:highlight w:val="none"/>
        </w:rPr>
        <w:t>2、若发生其他事故，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应按人道主义精神给予应急帮助，事后分清责任，由责任方承担。</w:t>
      </w:r>
    </w:p>
    <w:p w14:paraId="4D2F9082">
      <w:pPr>
        <w:keepNext w:val="0"/>
        <w:keepLines w:val="0"/>
        <w:pageBreakBefore w:val="0"/>
        <w:numPr>
          <w:ilvl w:val="0"/>
          <w:numId w:val="8"/>
        </w:numPr>
        <w:kinsoku/>
        <w:wordWrap/>
        <w:overflowPunct/>
        <w:topLinePunct w:val="0"/>
        <w:autoSpaceDN/>
        <w:bidi w:val="0"/>
        <w:adjustRightInd/>
        <w:spacing w:line="360" w:lineRule="auto"/>
        <w:ind w:left="0" w:leftChars="0" w:right="0"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响应须知</w:t>
      </w:r>
    </w:p>
    <w:p w14:paraId="745BA4D0">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w:t>
      </w:r>
      <w:r>
        <w:rPr>
          <w:rFonts w:hint="eastAsia" w:ascii="宋体" w:hAnsi="宋体" w:eastAsia="宋体" w:cs="宋体"/>
          <w:color w:val="auto"/>
          <w:sz w:val="24"/>
          <w:szCs w:val="24"/>
          <w:highlight w:val="none"/>
          <w:lang w:val="en-US" w:eastAsia="zh-CN"/>
        </w:rPr>
        <w:t>岗位</w:t>
      </w:r>
      <w:r>
        <w:rPr>
          <w:rFonts w:hint="eastAsia" w:ascii="宋体" w:hAnsi="宋体" w:eastAsia="宋体" w:cs="宋体"/>
          <w:color w:val="auto"/>
          <w:sz w:val="24"/>
          <w:szCs w:val="24"/>
          <w:highlight w:val="none"/>
        </w:rPr>
        <w:t>配备为</w:t>
      </w:r>
      <w:r>
        <w:rPr>
          <w:rFonts w:hint="eastAsia" w:ascii="宋体" w:hAnsi="宋体" w:eastAsia="宋体" w:cs="宋体"/>
          <w:color w:val="auto"/>
          <w:sz w:val="24"/>
          <w:szCs w:val="24"/>
          <w:highlight w:val="none"/>
          <w:lang w:val="en-US" w:eastAsia="zh-CN"/>
        </w:rPr>
        <w:t>建议数</w:t>
      </w:r>
      <w:r>
        <w:rPr>
          <w:rFonts w:hint="eastAsia" w:ascii="宋体" w:hAnsi="宋体" w:eastAsia="宋体" w:cs="宋体"/>
          <w:color w:val="auto"/>
          <w:sz w:val="24"/>
          <w:szCs w:val="24"/>
          <w:highlight w:val="none"/>
        </w:rPr>
        <w:t>，中标后根据医院功能布局调整确定最终配备。</w:t>
      </w:r>
    </w:p>
    <w:p w14:paraId="0A28083B">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w:t>
      </w:r>
      <w:r>
        <w:rPr>
          <w:rFonts w:hint="eastAsia" w:ascii="宋体" w:hAnsi="宋体" w:eastAsia="宋体" w:cs="宋体"/>
          <w:color w:val="auto"/>
          <w:spacing w:val="-2"/>
          <w:sz w:val="24"/>
          <w:szCs w:val="24"/>
          <w:highlight w:val="none"/>
          <w:lang w:val="en-US" w:eastAsia="zh-CN"/>
        </w:rPr>
        <w:t>有配备支持本项目运营管理系统软件。</w:t>
      </w:r>
      <w:r>
        <w:rPr>
          <w:rFonts w:hint="eastAsia" w:ascii="宋体" w:hAnsi="宋体" w:eastAsia="宋体" w:cs="宋体"/>
          <w:color w:val="auto"/>
          <w:sz w:val="24"/>
          <w:szCs w:val="24"/>
          <w:highlight w:val="none"/>
        </w:rPr>
        <w:t>中标人配置项目相关人员的装备（包括对讲机以及对讲机公共频道占费及维修费用等）并保持各通讯工具畅通。</w:t>
      </w:r>
    </w:p>
    <w:p w14:paraId="1B5EA5E2">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3、中标人自备电脑、考勤设备和打印机等办公设备、耗材以及自行负责桌椅等办公家私。</w:t>
      </w:r>
    </w:p>
    <w:p w14:paraId="379765AA">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4、中标人为本项目配置的各岗位人员，需经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面试认可后才能入职。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p>
    <w:p w14:paraId="08DEC7CA">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5、中标人必须配合</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接受上级领导部门的监督、检查，并提供必要资料，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按考核细则要求对中标方的工作每月实施考核管理。</w:t>
      </w:r>
    </w:p>
    <w:p w14:paraId="18DB608D">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6、所有服务人员人事关系均由中标人负责，与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无任何关系；中标人严格遵守国家有关的法律、法规及行业标准，自行负责员工的所有工资、福利（含节假日加班、夜班费等）；如发生工伤、疾病乃至死亡的一切责任及费用由中标人全部负责。</w:t>
      </w:r>
    </w:p>
    <w:p w14:paraId="6516F0A7">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7、中标人在服务过程中由于疏忽、过失行为给病人及家属造成损害的，一切责任和费用由中标人承担。</w:t>
      </w:r>
    </w:p>
    <w:p w14:paraId="17F06AA7">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8、中标人须将在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服务的人员基本信息向医院</w:t>
      </w:r>
      <w:r>
        <w:rPr>
          <w:rFonts w:hint="eastAsia" w:ascii="宋体" w:hAnsi="宋体" w:eastAsia="宋体" w:cs="宋体"/>
          <w:color w:val="auto"/>
          <w:sz w:val="24"/>
          <w:szCs w:val="24"/>
          <w:highlight w:val="none"/>
          <w:lang w:val="en-US" w:eastAsia="zh-CN"/>
        </w:rPr>
        <w:t>人事</w:t>
      </w:r>
      <w:r>
        <w:rPr>
          <w:rFonts w:hint="eastAsia" w:ascii="宋体" w:hAnsi="宋体" w:eastAsia="宋体" w:cs="宋体"/>
          <w:color w:val="auto"/>
          <w:sz w:val="24"/>
          <w:szCs w:val="24"/>
          <w:highlight w:val="none"/>
        </w:rPr>
        <w:t>处备案。</w:t>
      </w:r>
    </w:p>
    <w:p w14:paraId="6C353862">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9、中标人为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所提供的服务人员的劳动、人事关系应归属中标人，中标人必须按照法律、法规及劳动法的有关政策为服务人员办理缴纳养老、失业、医疗等各项社保。合同期内如遇政府政策调整社保公积金缴费标准及相关政策性文件规定，新标准与旧标准之间所产生的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支付相应的差额费用。中标人为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所提供的服务人员在合同期内如发生因工负伤、致残、疾病、死亡等各类劳动仲裁事宜均与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无关。</w:t>
      </w:r>
    </w:p>
    <w:p w14:paraId="78E750D0">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本次报价为一年的费用，报价包含本招标项目要求的全部内容（包括但不限于耗材、通讯器材、服装、胸卡、办公设备、巡检器材、各种税费、人工、保险、劳保、管理、维护、利润、税金、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p>
    <w:p w14:paraId="1B6AC83D">
      <w:pPr>
        <w:pStyle w:val="2"/>
        <w:keepNext w:val="0"/>
        <w:keepLines w:val="0"/>
        <w:pageBreakBefore w:val="0"/>
        <w:widowControl/>
        <w:kinsoku/>
        <w:wordWrap/>
        <w:overflowPunct/>
        <w:topLinePunct w:val="0"/>
        <w:autoSpaceDE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11、正常情况下，本项目满负载实际</w:t>
      </w:r>
      <w:r>
        <w:rPr>
          <w:rFonts w:hint="eastAsia" w:ascii="宋体" w:hAnsi="宋体" w:eastAsia="宋体" w:cs="宋体"/>
          <w:color w:val="auto"/>
          <w:sz w:val="24"/>
          <w:szCs w:val="24"/>
          <w:highlight w:val="none"/>
          <w:lang w:val="en-US" w:eastAsia="zh-CN"/>
        </w:rPr>
        <w:t>岗位数</w:t>
      </w:r>
      <w:r>
        <w:rPr>
          <w:rFonts w:hint="eastAsia" w:ascii="宋体" w:hAnsi="宋体" w:eastAsia="宋体" w:cs="宋体"/>
          <w:color w:val="auto"/>
          <w:sz w:val="24"/>
          <w:szCs w:val="24"/>
          <w:highlight w:val="none"/>
          <w:lang w:val="en-US" w:eastAsia="zh-CN" w:bidi="ar-SA"/>
        </w:rPr>
        <w:t>不高于32个，如遇不可预见情形（比如自然灾害、疫情等）导致导医岗位数变动。当岗位数变动幅度不超过5%时，费用不变，如岗位数变动幅度超过5%时双方另行协商解决。</w:t>
      </w:r>
    </w:p>
    <w:p w14:paraId="4470C7C9">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12、中标人需按照采购单位的要求，合理安排人员排班时间，严格按照排班计划执行上下班时间，不得迟到早退，不随意换班；上班期间坚守岗位，不得脱岗、串岗。</w:t>
      </w:r>
    </w:p>
    <w:p w14:paraId="36184429">
      <w:pPr>
        <w:keepNext w:val="0"/>
        <w:keepLines w:val="0"/>
        <w:pageBreakBefore w:val="0"/>
        <w:kinsoku/>
        <w:wordWrap/>
        <w:overflowPunct/>
        <w:topLinePunct w:val="0"/>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13、中标人需按照采购人要求按区合理定岗定人，从项目包干到区域包干，责任到人。本项目服务事宜和工作内容</w:t>
      </w:r>
      <w:r>
        <w:rPr>
          <w:rFonts w:hint="eastAsia" w:ascii="宋体" w:hAnsi="宋体" w:eastAsia="宋体" w:cs="宋体"/>
          <w:color w:val="auto"/>
          <w:sz w:val="24"/>
          <w:szCs w:val="24"/>
          <w:highlight w:val="none"/>
          <w:lang w:val="zh-CN" w:eastAsia="zh-CN" w:bidi="ar-SA"/>
        </w:rPr>
        <w:t>较多，涉及面较广，在上述未提及到的工作质量要求，</w:t>
      </w:r>
      <w:r>
        <w:rPr>
          <w:rFonts w:hint="eastAsia" w:ascii="宋体" w:hAnsi="宋体" w:eastAsia="宋体" w:cs="宋体"/>
          <w:color w:val="auto"/>
          <w:sz w:val="24"/>
          <w:szCs w:val="24"/>
          <w:highlight w:val="none"/>
          <w:lang w:val="en-US" w:eastAsia="zh-CN" w:bidi="ar-SA"/>
        </w:rPr>
        <w:t>中标人需</w:t>
      </w:r>
      <w:r>
        <w:rPr>
          <w:rFonts w:hint="eastAsia" w:ascii="宋体" w:hAnsi="宋体" w:eastAsia="宋体" w:cs="宋体"/>
          <w:color w:val="auto"/>
          <w:sz w:val="24"/>
          <w:szCs w:val="24"/>
          <w:highlight w:val="none"/>
          <w:lang w:val="zh-CN" w:eastAsia="zh-CN" w:bidi="ar-SA"/>
        </w:rPr>
        <w:t>根据医院</w:t>
      </w:r>
      <w:r>
        <w:rPr>
          <w:rFonts w:hint="eastAsia" w:ascii="宋体" w:hAnsi="宋体" w:eastAsia="宋体" w:cs="宋体"/>
          <w:color w:val="auto"/>
          <w:sz w:val="24"/>
          <w:szCs w:val="24"/>
          <w:highlight w:val="none"/>
          <w:lang w:val="en-US" w:eastAsia="zh-CN" w:bidi="ar-SA"/>
        </w:rPr>
        <w:t>导医导诊服务</w:t>
      </w:r>
      <w:r>
        <w:rPr>
          <w:rFonts w:hint="eastAsia" w:ascii="宋体" w:hAnsi="宋体" w:eastAsia="宋体" w:cs="宋体"/>
          <w:color w:val="auto"/>
          <w:sz w:val="24"/>
          <w:szCs w:val="24"/>
          <w:highlight w:val="none"/>
          <w:lang w:val="zh-CN" w:eastAsia="zh-CN" w:bidi="ar-SA"/>
        </w:rPr>
        <w:t>项目的工作特点，自行</w:t>
      </w:r>
      <w:r>
        <w:rPr>
          <w:rFonts w:hint="eastAsia" w:ascii="宋体" w:hAnsi="宋体" w:eastAsia="宋体" w:cs="宋体"/>
          <w:color w:val="auto"/>
          <w:sz w:val="24"/>
          <w:szCs w:val="24"/>
          <w:highlight w:val="none"/>
          <w:lang w:val="en-US" w:eastAsia="zh-CN" w:bidi="ar-SA"/>
        </w:rPr>
        <w:t>合理安排</w:t>
      </w:r>
      <w:r>
        <w:rPr>
          <w:rFonts w:hint="eastAsia" w:ascii="宋体" w:hAnsi="宋体" w:eastAsia="宋体" w:cs="宋体"/>
          <w:color w:val="auto"/>
          <w:sz w:val="24"/>
          <w:szCs w:val="24"/>
          <w:highlight w:val="none"/>
          <w:lang w:val="zh-CN" w:eastAsia="zh-CN" w:bidi="ar-SA"/>
        </w:rPr>
        <w:t>，包含但不仅限于上述</w:t>
      </w:r>
      <w:r>
        <w:rPr>
          <w:rFonts w:hint="eastAsia" w:ascii="宋体" w:hAnsi="宋体" w:eastAsia="宋体" w:cs="宋体"/>
          <w:color w:val="auto"/>
          <w:sz w:val="24"/>
          <w:szCs w:val="24"/>
          <w:highlight w:val="none"/>
          <w:lang w:val="en-US" w:eastAsia="zh-CN" w:bidi="ar-SA"/>
        </w:rPr>
        <w:t>导医导诊服务</w:t>
      </w:r>
      <w:r>
        <w:rPr>
          <w:rFonts w:hint="eastAsia" w:ascii="宋体" w:hAnsi="宋体" w:eastAsia="宋体" w:cs="宋体"/>
          <w:color w:val="auto"/>
          <w:sz w:val="24"/>
          <w:szCs w:val="24"/>
          <w:highlight w:val="none"/>
          <w:lang w:val="zh-CN" w:eastAsia="zh-CN" w:bidi="ar-SA"/>
        </w:rPr>
        <w:t>内容，制定出为院方提供优质服务的工作方案及工作质量标准。</w:t>
      </w:r>
    </w:p>
    <w:p w14:paraId="1D84EBCB">
      <w:pPr>
        <w:keepNext w:val="0"/>
        <w:keepLines w:val="0"/>
        <w:pageBreakBefore w:val="0"/>
        <w:numPr>
          <w:ilvl w:val="0"/>
          <w:numId w:val="8"/>
        </w:numPr>
        <w:kinsoku/>
        <w:wordWrap/>
        <w:overflowPunct/>
        <w:topLinePunct w:val="0"/>
        <w:autoSpaceDN/>
        <w:bidi w:val="0"/>
        <w:adjustRightInd/>
        <w:spacing w:line="360" w:lineRule="auto"/>
        <w:ind w:left="0" w:leftChars="0" w:right="0"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其他要求</w:t>
      </w:r>
    </w:p>
    <w:p w14:paraId="4C21BAF0">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（一）项目人员情况：</w:t>
      </w:r>
    </w:p>
    <w:p w14:paraId="7161B89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1、拟派项目</w:t>
      </w:r>
      <w:r>
        <w:rPr>
          <w:rFonts w:hint="eastAsia" w:ascii="宋体" w:hAnsi="宋体" w:cs="宋体"/>
          <w:bCs/>
          <w:color w:val="auto"/>
          <w:sz w:val="24"/>
          <w:szCs w:val="24"/>
          <w:highlight w:val="none"/>
          <w:lang w:val="en-US" w:eastAsia="zh-CN"/>
        </w:rPr>
        <w:t>经理</w:t>
      </w:r>
      <w:r>
        <w:rPr>
          <w:rFonts w:hint="eastAsia" w:ascii="宋体" w:hAnsi="宋体" w:eastAsia="宋体" w:cs="宋体"/>
          <w:bCs/>
          <w:color w:val="auto"/>
          <w:sz w:val="24"/>
          <w:szCs w:val="24"/>
          <w:highlight w:val="none"/>
        </w:rPr>
        <w:t>的能力、经验等情况：具有相关项目的实施经验</w:t>
      </w:r>
      <w:r>
        <w:rPr>
          <w:rFonts w:hint="eastAsia" w:ascii="宋体" w:hAnsi="宋体" w:eastAsia="宋体" w:cs="宋体"/>
          <w:b/>
          <w:color w:val="auto"/>
          <w:sz w:val="24"/>
          <w:szCs w:val="24"/>
          <w:highlight w:val="none"/>
        </w:rPr>
        <w:t>。</w:t>
      </w:r>
    </w:p>
    <w:p w14:paraId="3EFCEE21">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
          <w:color w:val="auto"/>
          <w:sz w:val="24"/>
          <w:szCs w:val="24"/>
          <w:highlight w:val="none"/>
        </w:rPr>
        <w:t>提供</w:t>
      </w:r>
      <w:r>
        <w:rPr>
          <w:rFonts w:hint="eastAsia" w:ascii="宋体" w:hAnsi="宋体" w:eastAsia="宋体" w:cs="宋体"/>
          <w:b/>
          <w:color w:val="auto"/>
          <w:sz w:val="24"/>
          <w:szCs w:val="24"/>
          <w:highlight w:val="none"/>
          <w:lang w:eastAsia="zh-CN"/>
        </w:rPr>
        <w:t>导医</w:t>
      </w:r>
      <w:r>
        <w:rPr>
          <w:rFonts w:hint="eastAsia" w:ascii="宋体" w:hAnsi="宋体" w:eastAsia="宋体" w:cs="宋体"/>
          <w:b/>
          <w:color w:val="auto"/>
          <w:sz w:val="24"/>
          <w:szCs w:val="24"/>
          <w:highlight w:val="none"/>
        </w:rPr>
        <w:t>的配置情况（人员的储备量、资质、人员到位的及时性，人员录用、考核与奖惩机制等的合理性）。</w:t>
      </w:r>
    </w:p>
    <w:p w14:paraId="7CA997F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（二）项目方案：</w:t>
      </w:r>
    </w:p>
    <w:p w14:paraId="5023DC4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1、管理方案：包括管理细则（包括岗位责任制、考核办法等）；各项助诊服务的操作规范和操作流程，以及质量控制标准及保证措施。</w:t>
      </w:r>
    </w:p>
    <w:p w14:paraId="6F7DAA2C">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2、应急方案：突发应急事件处理预案、流程及防范措施（如意外伤害、助诊对象走失等）。</w:t>
      </w:r>
    </w:p>
    <w:p w14:paraId="4195EF31">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导医</w:t>
      </w:r>
      <w:r>
        <w:rPr>
          <w:rFonts w:hint="eastAsia" w:ascii="宋体" w:hAnsi="宋体" w:eastAsia="宋体" w:cs="宋体"/>
          <w:bCs/>
          <w:color w:val="auto"/>
          <w:sz w:val="24"/>
          <w:szCs w:val="24"/>
          <w:highlight w:val="none"/>
        </w:rPr>
        <w:t>的培训方案（包括培训方式、课程设置、培训目标、培训时数等）。</w:t>
      </w:r>
    </w:p>
    <w:p w14:paraId="0D644115">
      <w:pPr>
        <w:keepNext w:val="0"/>
        <w:keepLines w:val="0"/>
        <w:pageBreakBefore w:val="0"/>
        <w:widowControl/>
        <w:kinsoku/>
        <w:wordWrap/>
        <w:overflowPunct/>
        <w:topLinePunct w:val="0"/>
        <w:autoSpaceDN/>
        <w:bidi w:val="0"/>
        <w:adjustRightInd/>
        <w:spacing w:line="360" w:lineRule="auto"/>
        <w:ind w:left="0" w:leftChars="0" w:right="0" w:firstLine="482"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商务条款</w:t>
      </w:r>
    </w:p>
    <w:p w14:paraId="5A4709C6">
      <w:pPr>
        <w:keepNext w:val="0"/>
        <w:keepLines w:val="0"/>
        <w:pageBreakBefore w:val="0"/>
        <w:widowControl/>
        <w:kinsoku/>
        <w:wordWrap/>
        <w:overflowPunct/>
        <w:topLinePunct w:val="0"/>
        <w:autoSpaceDN/>
        <w:bidi w:val="0"/>
        <w:adjustRightInd/>
        <w:spacing w:line="360" w:lineRule="auto"/>
        <w:ind w:left="0" w:leftChars="0" w:right="0" w:firstLine="482"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（一）合同期限（服务期限）</w:t>
      </w:r>
    </w:p>
    <w:p w14:paraId="30C0B505">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w:t>
      </w:r>
      <w:r>
        <w:rPr>
          <w:rFonts w:hint="eastAsia" w:ascii="宋体" w:hAnsi="宋体" w:eastAsia="宋体" w:cs="宋体"/>
          <w:color w:val="auto"/>
          <w:sz w:val="24"/>
          <w:szCs w:val="24"/>
          <w:highlight w:val="none"/>
          <w:lang w:val="en-US" w:eastAsia="zh-CN"/>
        </w:rPr>
        <w:t>服务期为三年</w:t>
      </w:r>
      <w:r>
        <w:rPr>
          <w:rFonts w:hint="eastAsia" w:ascii="宋体" w:hAnsi="宋体" w:eastAsia="宋体" w:cs="宋体"/>
          <w:color w:val="auto"/>
          <w:sz w:val="24"/>
          <w:szCs w:val="24"/>
          <w:highlight w:val="none"/>
        </w:rPr>
        <w:t>，实行一年一考核一签合同的办法，且中标单价不变。如果中标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未能通过考核，</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有权终止合同，不再续签下一年合同。自第一次合同生效计算，三年期满，不再续签合同，本项目重新招标。一年合同期满，若</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未获得预算批复或需求取消，则经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提前书面通知中标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后，合同到期终止，不再顺延。</w:t>
      </w:r>
    </w:p>
    <w:p w14:paraId="53D00BD4">
      <w:pPr>
        <w:keepNext w:val="0"/>
        <w:keepLines w:val="0"/>
        <w:pageBreakBefore w:val="0"/>
        <w:widowControl/>
        <w:kinsoku/>
        <w:wordWrap/>
        <w:overflowPunct/>
        <w:topLinePunct w:val="0"/>
        <w:autoSpaceDN/>
        <w:bidi w:val="0"/>
        <w:adjustRightInd/>
        <w:spacing w:line="360" w:lineRule="auto"/>
        <w:ind w:left="0" w:leftChars="0" w:right="0" w:firstLine="482"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）付款方式</w:t>
      </w:r>
    </w:p>
    <w:p w14:paraId="4537B29D">
      <w:pPr>
        <w:keepNext w:val="0"/>
        <w:keepLines w:val="0"/>
        <w:pageBreakBefore w:val="0"/>
        <w:kinsoku/>
        <w:wordWrap/>
        <w:overflowPunct/>
        <w:topLinePunct w:val="0"/>
        <w:autoSpaceDN/>
        <w:bidi w:val="0"/>
        <w:adjustRightInd/>
        <w:spacing w:line="360" w:lineRule="auto"/>
        <w:ind w:left="0" w:leftChars="0" w:righ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.1 付款方式：</w:t>
      </w:r>
    </w:p>
    <w:p w14:paraId="3B62E1E1">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2.1.1</w:t>
      </w:r>
      <w:r>
        <w:rPr>
          <w:rFonts w:hint="eastAsia" w:ascii="宋体" w:hAnsi="宋体"/>
          <w:color w:val="000000"/>
          <w:sz w:val="24"/>
          <w:szCs w:val="24"/>
          <w:highlight w:val="none"/>
        </w:rPr>
        <w:t>本项目费用为投标人按采购人要求提供对应服务产生的全部开支，包含导医人员工资（薪资标准不得低于投标人所在地最低工资标准）、节假日加班费、管理费、物资装备费、成交服务费、税费、法定各类社保资金，以及中标服务商履职所需其他全部费用。</w:t>
      </w:r>
      <w:r>
        <w:rPr>
          <w:rFonts w:hint="eastAsia" w:ascii="宋体" w:hAnsi="宋体"/>
          <w:b/>
          <w:bCs/>
          <w:color w:val="000000"/>
          <w:sz w:val="24"/>
          <w:szCs w:val="24"/>
          <w:highlight w:val="none"/>
        </w:rPr>
        <w:t>款项依据实际在岗岗位数、中标</w:t>
      </w:r>
      <w:r>
        <w:rPr>
          <w:rFonts w:hint="eastAsia" w:ascii="宋体" w:hAnsi="宋体"/>
          <w:b/>
          <w:bCs/>
          <w:color w:val="000000"/>
          <w:sz w:val="24"/>
          <w:szCs w:val="24"/>
          <w:highlight w:val="none"/>
          <w:lang w:val="en-US" w:eastAsia="zh-CN"/>
        </w:rPr>
        <w:t>价</w:t>
      </w:r>
      <w:r>
        <w:rPr>
          <w:rFonts w:hint="eastAsia" w:ascii="宋体" w:hAnsi="宋体"/>
          <w:b/>
          <w:bCs/>
          <w:color w:val="000000"/>
          <w:sz w:val="24"/>
          <w:szCs w:val="24"/>
          <w:highlight w:val="none"/>
        </w:rPr>
        <w:t>及月度考核结果据实核算结算。</w:t>
      </w:r>
      <w:r>
        <w:rPr>
          <w:rFonts w:hint="eastAsia" w:ascii="宋体" w:hAnsi="宋体"/>
          <w:color w:val="000000"/>
          <w:sz w:val="24"/>
          <w:szCs w:val="24"/>
          <w:highlight w:val="none"/>
        </w:rPr>
        <w:t>采购人收齐合规发票、考核台账等结算资料，核验无误后按月支付款项。（</w:t>
      </w:r>
      <w:r>
        <w:rPr>
          <w:rFonts w:hint="eastAsia" w:ascii="宋体" w:hAnsi="宋体"/>
          <w:b/>
          <w:bCs/>
          <w:color w:val="000000"/>
          <w:sz w:val="24"/>
          <w:szCs w:val="24"/>
          <w:highlight w:val="none"/>
        </w:rPr>
        <w:t>须提交加盖单位公章的费用承诺函</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格式自拟</w:t>
      </w:r>
      <w:r>
        <w:rPr>
          <w:rFonts w:hint="eastAsia" w:ascii="宋体" w:hAnsi="宋体"/>
          <w:color w:val="000000"/>
          <w:sz w:val="24"/>
          <w:szCs w:val="24"/>
          <w:highlight w:val="none"/>
          <w:lang w:val="en-US" w:eastAsia="zh-CN"/>
        </w:rPr>
        <w:t>。</w:t>
      </w:r>
      <w:r>
        <w:rPr>
          <w:rFonts w:hint="eastAsia" w:ascii="宋体" w:hAnsi="宋体"/>
          <w:color w:val="000000"/>
          <w:sz w:val="24"/>
          <w:szCs w:val="24"/>
          <w:highlight w:val="none"/>
        </w:rPr>
        <w:t>）</w:t>
      </w:r>
    </w:p>
    <w:p w14:paraId="17BB55CA">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2.1.2最终结算总价不得超出项目中标总价。</w:t>
      </w:r>
    </w:p>
    <w:p w14:paraId="35221AEA">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须按月提供</w:t>
      </w:r>
      <w:r>
        <w:rPr>
          <w:rFonts w:hint="eastAsia" w:ascii="宋体" w:hAnsi="宋体" w:eastAsia="宋体" w:cs="宋体"/>
          <w:color w:val="auto"/>
          <w:sz w:val="24"/>
          <w:szCs w:val="24"/>
          <w:highlight w:val="none"/>
          <w:lang w:eastAsia="zh-CN"/>
        </w:rPr>
        <w:t>导医</w:t>
      </w:r>
      <w:r>
        <w:rPr>
          <w:rFonts w:hint="eastAsia" w:ascii="宋体" w:hAnsi="宋体" w:eastAsia="宋体" w:cs="宋体"/>
          <w:color w:val="auto"/>
          <w:sz w:val="24"/>
          <w:szCs w:val="24"/>
          <w:highlight w:val="none"/>
        </w:rPr>
        <w:t>的规范费用发放清单供</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审核。</w:t>
      </w:r>
    </w:p>
    <w:p w14:paraId="1EB4293B">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每次</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付款前，需</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先提供相应金额的发票。</w:t>
      </w:r>
    </w:p>
    <w:p w14:paraId="7E481DE7">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如有服务不到位、考核扣分等原因需要罚款、扣款的情况，</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有权在未支付款项中直接扣除，并且</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有权进一步追偿。</w:t>
      </w:r>
    </w:p>
    <w:p w14:paraId="19B453C4">
      <w:pPr>
        <w:keepNext w:val="0"/>
        <w:keepLines w:val="0"/>
        <w:pageBreakBefore w:val="0"/>
        <w:widowControl/>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olor w:val="000000"/>
          <w:sz w:val="24"/>
          <w:szCs w:val="24"/>
          <w:highlight w:val="none"/>
        </w:rPr>
        <w:t>★</w:t>
      </w:r>
      <w:r>
        <w:rPr>
          <w:rFonts w:hint="eastAsia" w:ascii="宋体" w:hAnsi="宋体" w:eastAsia="宋体" w:cs="宋体"/>
          <w:b/>
          <w:bCs/>
          <w:i w:val="0"/>
          <w:iCs w:val="0"/>
          <w:color w:val="auto"/>
          <w:sz w:val="24"/>
          <w:szCs w:val="24"/>
          <w:highlight w:val="none"/>
          <w:u w:val="single"/>
          <w:lang w:val="en-US" w:eastAsia="zh-CN"/>
        </w:rPr>
        <w:t>2</w:t>
      </w:r>
      <w:r>
        <w:rPr>
          <w:rFonts w:hint="eastAsia" w:ascii="宋体" w:hAnsi="宋体" w:eastAsia="宋体" w:cs="宋体"/>
          <w:b/>
          <w:bCs/>
          <w:i w:val="0"/>
          <w:iCs w:val="0"/>
          <w:color w:val="auto"/>
          <w:sz w:val="24"/>
          <w:szCs w:val="24"/>
          <w:highlight w:val="none"/>
          <w:u w:val="single"/>
        </w:rPr>
        <w:t>.</w:t>
      </w:r>
      <w:r>
        <w:rPr>
          <w:rFonts w:hint="eastAsia" w:ascii="宋体" w:hAnsi="宋体" w:eastAsia="宋体" w:cs="宋体"/>
          <w:b/>
          <w:bCs/>
          <w:i w:val="0"/>
          <w:iCs w:val="0"/>
          <w:color w:val="auto"/>
          <w:sz w:val="24"/>
          <w:szCs w:val="24"/>
          <w:highlight w:val="none"/>
          <w:u w:val="single"/>
          <w:lang w:val="en-US" w:eastAsia="zh-CN"/>
        </w:rPr>
        <w:t>2</w:t>
      </w:r>
      <w:r>
        <w:rPr>
          <w:rFonts w:hint="eastAsia" w:ascii="宋体" w:hAnsi="宋体" w:eastAsia="宋体" w:cs="宋体"/>
          <w:b/>
          <w:bCs/>
          <w:i w:val="0"/>
          <w:iCs w:val="0"/>
          <w:color w:val="auto"/>
          <w:sz w:val="24"/>
          <w:szCs w:val="24"/>
          <w:highlight w:val="none"/>
          <w:u w:val="single"/>
        </w:rPr>
        <w:t>本项目中标</w:t>
      </w:r>
      <w:r>
        <w:rPr>
          <w:rFonts w:hint="eastAsia" w:ascii="宋体" w:hAnsi="宋体" w:eastAsia="宋体" w:cs="宋体"/>
          <w:b/>
          <w:bCs/>
          <w:i w:val="0"/>
          <w:iCs w:val="0"/>
          <w:color w:val="auto"/>
          <w:sz w:val="24"/>
          <w:szCs w:val="24"/>
          <w:highlight w:val="none"/>
          <w:u w:val="single"/>
          <w:lang w:val="en-US" w:eastAsia="zh-CN"/>
        </w:rPr>
        <w:t>供应商须</w:t>
      </w:r>
      <w:r>
        <w:rPr>
          <w:rFonts w:hint="eastAsia" w:ascii="宋体" w:hAnsi="宋体" w:eastAsia="宋体" w:cs="宋体"/>
          <w:b/>
          <w:bCs/>
          <w:i w:val="0"/>
          <w:iCs w:val="0"/>
          <w:color w:val="auto"/>
          <w:sz w:val="24"/>
          <w:szCs w:val="24"/>
          <w:highlight w:val="none"/>
          <w:u w:val="single"/>
        </w:rPr>
        <w:t>在</w:t>
      </w:r>
      <w:r>
        <w:rPr>
          <w:rFonts w:hint="eastAsia" w:ascii="宋体" w:hAnsi="宋体" w:eastAsia="宋体" w:cs="宋体"/>
          <w:b/>
          <w:bCs/>
          <w:i w:val="0"/>
          <w:iCs w:val="0"/>
          <w:color w:val="auto"/>
          <w:sz w:val="24"/>
          <w:szCs w:val="24"/>
          <w:highlight w:val="none"/>
          <w:u w:val="single"/>
          <w:lang w:eastAsia="zh-CN"/>
        </w:rPr>
        <w:t>接到采购人通知后，</w:t>
      </w:r>
      <w:r>
        <w:rPr>
          <w:rFonts w:hint="eastAsia" w:ascii="宋体" w:hAnsi="宋体" w:eastAsia="宋体" w:cs="宋体"/>
          <w:b/>
          <w:bCs/>
          <w:i w:val="0"/>
          <w:iCs w:val="0"/>
          <w:color w:val="auto"/>
          <w:sz w:val="24"/>
          <w:szCs w:val="24"/>
          <w:highlight w:val="none"/>
          <w:u w:val="single"/>
        </w:rPr>
        <w:t>五个工作日</w:t>
      </w:r>
      <w:r>
        <w:rPr>
          <w:rFonts w:hint="eastAsia" w:ascii="宋体" w:hAnsi="宋体" w:eastAsia="宋体" w:cs="宋体"/>
          <w:b/>
          <w:bCs/>
          <w:i w:val="0"/>
          <w:iCs w:val="0"/>
          <w:color w:val="auto"/>
          <w:sz w:val="24"/>
          <w:szCs w:val="24"/>
          <w:highlight w:val="none"/>
          <w:u w:val="single"/>
          <w:lang w:eastAsia="zh-CN"/>
        </w:rPr>
        <w:t>内</w:t>
      </w:r>
      <w:r>
        <w:rPr>
          <w:rFonts w:hint="eastAsia" w:ascii="宋体" w:hAnsi="宋体" w:eastAsia="宋体" w:cs="宋体"/>
          <w:b/>
          <w:bCs/>
          <w:i w:val="0"/>
          <w:iCs w:val="0"/>
          <w:color w:val="auto"/>
          <w:sz w:val="24"/>
          <w:szCs w:val="24"/>
          <w:highlight w:val="none"/>
          <w:u w:val="single"/>
        </w:rPr>
        <w:t>向</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交纳</w:t>
      </w:r>
      <w:r>
        <w:rPr>
          <w:rFonts w:hint="eastAsia" w:ascii="宋体" w:hAnsi="宋体" w:eastAsia="宋体" w:cs="宋体"/>
          <w:b/>
          <w:bCs/>
          <w:i w:val="0"/>
          <w:iCs w:val="0"/>
          <w:color w:val="auto"/>
          <w:sz w:val="24"/>
          <w:szCs w:val="24"/>
          <w:highlight w:val="none"/>
          <w:u w:val="single"/>
          <w:lang w:eastAsia="zh-CN"/>
        </w:rPr>
        <w:t>合同金额的5%</w:t>
      </w:r>
      <w:r>
        <w:rPr>
          <w:rFonts w:hint="eastAsia" w:ascii="宋体" w:hAnsi="宋体" w:eastAsia="宋体" w:cs="宋体"/>
          <w:b/>
          <w:bCs/>
          <w:i w:val="0"/>
          <w:iCs w:val="0"/>
          <w:color w:val="auto"/>
          <w:sz w:val="24"/>
          <w:szCs w:val="24"/>
          <w:highlight w:val="none"/>
          <w:u w:val="single"/>
        </w:rPr>
        <w:t>的履约</w:t>
      </w:r>
      <w:r>
        <w:rPr>
          <w:rFonts w:hint="eastAsia" w:ascii="宋体" w:hAnsi="宋体" w:cs="宋体"/>
          <w:b/>
          <w:bCs/>
          <w:i w:val="0"/>
          <w:iCs w:val="0"/>
          <w:color w:val="auto"/>
          <w:sz w:val="24"/>
          <w:szCs w:val="24"/>
          <w:highlight w:val="none"/>
          <w:u w:val="single"/>
          <w:lang w:val="en-US" w:eastAsia="zh-CN"/>
        </w:rPr>
        <w:t>保证金（本项目履约保证金的缴纳形式为：金融机构、担保机构出具的保函）</w:t>
      </w:r>
      <w:r>
        <w:rPr>
          <w:rFonts w:hint="eastAsia" w:ascii="宋体" w:hAnsi="宋体" w:eastAsia="宋体" w:cs="宋体"/>
          <w:b/>
          <w:bCs/>
          <w:i w:val="0"/>
          <w:iCs w:val="0"/>
          <w:color w:val="auto"/>
          <w:sz w:val="24"/>
          <w:szCs w:val="24"/>
          <w:highlight w:val="none"/>
          <w:u w:val="single"/>
        </w:rPr>
        <w:t>。合同期满后</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不计利息全额退还</w:t>
      </w:r>
      <w:r>
        <w:rPr>
          <w:rFonts w:hint="eastAsia" w:ascii="宋体" w:hAnsi="宋体" w:eastAsia="宋体" w:cs="宋体"/>
          <w:b/>
          <w:bCs/>
          <w:i w:val="0"/>
          <w:iCs w:val="0"/>
          <w:color w:val="auto"/>
          <w:sz w:val="24"/>
          <w:szCs w:val="24"/>
          <w:highlight w:val="none"/>
          <w:u w:val="single"/>
          <w:lang w:eastAsia="zh-CN"/>
        </w:rPr>
        <w:t>投标人</w:t>
      </w:r>
      <w:r>
        <w:rPr>
          <w:rFonts w:hint="eastAsia" w:ascii="宋体" w:hAnsi="宋体" w:eastAsia="宋体" w:cs="宋体"/>
          <w:b/>
          <w:bCs/>
          <w:i w:val="0"/>
          <w:iCs w:val="0"/>
          <w:color w:val="auto"/>
          <w:sz w:val="24"/>
          <w:szCs w:val="24"/>
          <w:highlight w:val="none"/>
          <w:u w:val="single"/>
        </w:rPr>
        <w:t>保证金。如</w:t>
      </w:r>
      <w:r>
        <w:rPr>
          <w:rFonts w:hint="eastAsia" w:ascii="宋体" w:hAnsi="宋体" w:eastAsia="宋体" w:cs="宋体"/>
          <w:b/>
          <w:bCs/>
          <w:i w:val="0"/>
          <w:iCs w:val="0"/>
          <w:color w:val="auto"/>
          <w:sz w:val="24"/>
          <w:szCs w:val="24"/>
          <w:highlight w:val="none"/>
          <w:u w:val="single"/>
          <w:lang w:eastAsia="zh-CN"/>
        </w:rPr>
        <w:t>投标人</w:t>
      </w:r>
      <w:r>
        <w:rPr>
          <w:rFonts w:hint="eastAsia" w:ascii="宋体" w:hAnsi="宋体" w:eastAsia="宋体" w:cs="宋体"/>
          <w:b/>
          <w:bCs/>
          <w:i w:val="0"/>
          <w:iCs w:val="0"/>
          <w:color w:val="auto"/>
          <w:sz w:val="24"/>
          <w:szCs w:val="24"/>
          <w:highlight w:val="none"/>
          <w:u w:val="single"/>
        </w:rPr>
        <w:t>在合同履行过程中存在违约情形的，</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直接</w:t>
      </w:r>
      <w:r>
        <w:rPr>
          <w:rFonts w:hint="eastAsia" w:ascii="宋体" w:hAnsi="宋体" w:cs="宋体"/>
          <w:b/>
          <w:bCs/>
          <w:i w:val="0"/>
          <w:iCs w:val="0"/>
          <w:color w:val="auto"/>
          <w:sz w:val="24"/>
          <w:szCs w:val="24"/>
          <w:highlight w:val="none"/>
          <w:u w:val="single"/>
          <w:lang w:val="en-US" w:eastAsia="zh-CN"/>
        </w:rPr>
        <w:t>在月支付费用中</w:t>
      </w:r>
      <w:r>
        <w:rPr>
          <w:rFonts w:hint="eastAsia" w:ascii="宋体" w:hAnsi="宋体" w:eastAsia="宋体" w:cs="宋体"/>
          <w:b/>
          <w:bCs/>
          <w:i w:val="0"/>
          <w:iCs w:val="0"/>
          <w:color w:val="auto"/>
          <w:sz w:val="24"/>
          <w:szCs w:val="24"/>
          <w:highlight w:val="none"/>
          <w:u w:val="single"/>
        </w:rPr>
        <w:t>扣除。履约保证金被扣除后，</w:t>
      </w:r>
      <w:r>
        <w:rPr>
          <w:rFonts w:hint="eastAsia" w:ascii="宋体" w:hAnsi="宋体" w:eastAsia="宋体" w:cs="宋体"/>
          <w:b/>
          <w:bCs/>
          <w:i w:val="0"/>
          <w:iCs w:val="0"/>
          <w:color w:val="auto"/>
          <w:sz w:val="24"/>
          <w:szCs w:val="24"/>
          <w:highlight w:val="none"/>
          <w:u w:val="single"/>
          <w:lang w:eastAsia="zh-CN"/>
        </w:rPr>
        <w:t>投标人</w:t>
      </w:r>
      <w:r>
        <w:rPr>
          <w:rFonts w:hint="eastAsia" w:ascii="宋体" w:hAnsi="宋体" w:eastAsia="宋体" w:cs="宋体"/>
          <w:b/>
          <w:bCs/>
          <w:i w:val="0"/>
          <w:iCs w:val="0"/>
          <w:color w:val="auto"/>
          <w:sz w:val="24"/>
          <w:szCs w:val="24"/>
          <w:highlight w:val="none"/>
          <w:u w:val="single"/>
        </w:rPr>
        <w:t>应当在</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规定的期限内补足。（需提供承诺函并加盖单位公章</w:t>
      </w:r>
      <w:r>
        <w:rPr>
          <w:rFonts w:hint="eastAsia" w:ascii="宋体" w:hAnsi="宋体" w:cs="宋体"/>
          <w:b/>
          <w:bCs/>
          <w:i w:val="0"/>
          <w:iCs w:val="0"/>
          <w:color w:val="auto"/>
          <w:sz w:val="24"/>
          <w:szCs w:val="24"/>
          <w:highlight w:val="none"/>
          <w:u w:val="single"/>
          <w:lang w:eastAsia="zh-CN"/>
        </w:rPr>
        <w:t>，</w:t>
      </w:r>
      <w:r>
        <w:rPr>
          <w:rFonts w:hint="eastAsia" w:ascii="宋体" w:hAnsi="宋体" w:cs="宋体"/>
          <w:b/>
          <w:bCs/>
          <w:i w:val="0"/>
          <w:iCs w:val="0"/>
          <w:color w:val="auto"/>
          <w:sz w:val="24"/>
          <w:szCs w:val="24"/>
          <w:highlight w:val="none"/>
          <w:u w:val="single"/>
          <w:lang w:val="en-US" w:eastAsia="zh-CN"/>
        </w:rPr>
        <w:t>格式自拟。</w:t>
      </w:r>
      <w:r>
        <w:rPr>
          <w:rFonts w:hint="eastAsia" w:ascii="宋体" w:hAnsi="宋体" w:eastAsia="宋体" w:cs="宋体"/>
          <w:b/>
          <w:bCs/>
          <w:i w:val="0"/>
          <w:iCs w:val="0"/>
          <w:color w:val="auto"/>
          <w:sz w:val="24"/>
          <w:szCs w:val="24"/>
          <w:highlight w:val="none"/>
          <w:u w:val="single"/>
        </w:rPr>
        <w:t>）</w:t>
      </w:r>
    </w:p>
    <w:p w14:paraId="5A5EB64D">
      <w:pPr>
        <w:keepNext w:val="0"/>
        <w:keepLines w:val="0"/>
        <w:pageBreakBefore w:val="0"/>
        <w:widowControl/>
        <w:kinsoku/>
        <w:wordWrap/>
        <w:overflowPunct/>
        <w:topLinePunct w:val="0"/>
        <w:autoSpaceDN/>
        <w:bidi w:val="0"/>
        <w:adjustRightInd/>
        <w:spacing w:line="360" w:lineRule="auto"/>
        <w:ind w:left="0" w:leftChars="0" w:right="0" w:firstLine="482"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）货币</w:t>
      </w:r>
    </w:p>
    <w:p w14:paraId="23775A2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投标文件中的单价和总价均采用</w:t>
      </w:r>
      <w:r>
        <w:rPr>
          <w:rFonts w:hint="eastAsia" w:ascii="宋体" w:hAnsi="宋体" w:eastAsia="宋体" w:cs="宋体"/>
          <w:b/>
          <w:color w:val="auto"/>
          <w:sz w:val="24"/>
          <w:szCs w:val="24"/>
          <w:highlight w:val="none"/>
          <w:lang w:val="zh-CN"/>
        </w:rPr>
        <w:t>人民币</w:t>
      </w:r>
      <w:r>
        <w:rPr>
          <w:rFonts w:hint="eastAsia" w:ascii="宋体" w:hAnsi="宋体" w:eastAsia="宋体" w:cs="宋体"/>
          <w:color w:val="auto"/>
          <w:sz w:val="24"/>
          <w:szCs w:val="24"/>
          <w:highlight w:val="none"/>
          <w:lang w:val="zh-CN"/>
        </w:rPr>
        <w:t>报价，以元为单位标注。</w:t>
      </w:r>
    </w:p>
    <w:p w14:paraId="50E59FBD">
      <w:pPr>
        <w:keepNext w:val="0"/>
        <w:keepLines w:val="0"/>
        <w:pageBreakBefore w:val="0"/>
        <w:kinsoku/>
        <w:wordWrap/>
        <w:overflowPunct/>
        <w:topLinePunct w:val="0"/>
        <w:autoSpaceDN/>
        <w:bidi w:val="0"/>
        <w:adjustRightInd/>
        <w:spacing w:line="360" w:lineRule="auto"/>
        <w:ind w:left="0" w:leftChars="0" w:right="0" w:firstLine="482"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zh-CN"/>
        </w:rPr>
        <w:t>）采购人提供的经营条件</w:t>
      </w:r>
    </w:p>
    <w:p w14:paraId="372C744B">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.1 采购人提供办公场地/用房和必须的硬件支持（水电网络等），用于日常办公使用。中标供应商管理人员、</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lang w:val="zh-CN"/>
        </w:rPr>
        <w:t>人员的住宿、交通由中标供应商自行解决。</w:t>
      </w:r>
    </w:p>
    <w:p w14:paraId="3ED49579">
      <w:pPr>
        <w:keepNext w:val="0"/>
        <w:keepLines w:val="0"/>
        <w:pageBreakBefore w:val="0"/>
        <w:widowControl/>
        <w:kinsoku/>
        <w:wordWrap/>
        <w:overflowPunct/>
        <w:topLinePunct w:val="0"/>
        <w:autoSpaceDN/>
        <w:bidi w:val="0"/>
        <w:adjustRightInd/>
        <w:spacing w:line="360" w:lineRule="auto"/>
        <w:ind w:left="0" w:leftChars="0" w:right="0" w:firstLine="482"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）服务考核方案</w:t>
      </w:r>
      <w:r>
        <w:rPr>
          <w:rFonts w:hint="eastAsia" w:ascii="宋体" w:hAnsi="宋体" w:eastAsia="宋体" w:cs="宋体"/>
          <w:b/>
          <w:color w:val="auto"/>
          <w:sz w:val="24"/>
          <w:szCs w:val="24"/>
          <w:highlight w:val="none"/>
          <w:lang w:val="en-US" w:eastAsia="zh-CN"/>
        </w:rPr>
        <w:t>及细则</w:t>
      </w:r>
    </w:p>
    <w:p w14:paraId="343ABD4A">
      <w:pPr>
        <w:keepNext w:val="0"/>
        <w:keepLines w:val="0"/>
        <w:pageBreakBefore w:val="0"/>
        <w:tabs>
          <w:tab w:val="left" w:pos="540"/>
        </w:tabs>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成立考核小组，对</w:t>
      </w:r>
      <w:r>
        <w:rPr>
          <w:rFonts w:hint="eastAsia" w:ascii="宋体" w:hAnsi="宋体" w:eastAsia="宋体" w:cs="宋体"/>
          <w:color w:val="auto"/>
          <w:sz w:val="24"/>
          <w:szCs w:val="24"/>
          <w:highlight w:val="none"/>
          <w:lang w:val="en-US" w:eastAsia="zh-CN"/>
        </w:rPr>
        <w:t>导医</w:t>
      </w:r>
      <w:r>
        <w:rPr>
          <w:rFonts w:hint="eastAsia" w:ascii="宋体" w:hAnsi="宋体" w:eastAsia="宋体" w:cs="宋体"/>
          <w:color w:val="auto"/>
          <w:sz w:val="24"/>
          <w:szCs w:val="24"/>
          <w:highlight w:val="none"/>
        </w:rPr>
        <w:t>管理及服务质量进行考核。</w:t>
      </w:r>
    </w:p>
    <w:p w14:paraId="5EA743F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2付款须提供以下材料：</w:t>
      </w:r>
      <w:r>
        <w:rPr>
          <w:rFonts w:hint="eastAsia" w:ascii="宋体" w:hAnsi="宋体" w:eastAsia="宋体" w:cs="宋体"/>
          <w:color w:val="auto"/>
          <w:sz w:val="24"/>
          <w:szCs w:val="24"/>
          <w:highlight w:val="none"/>
        </w:rPr>
        <w:t>中标人出具与该期付款等额的合法有效财务发票、经双方确认的服务合同履约报告、</w:t>
      </w:r>
      <w:r>
        <w:rPr>
          <w:rFonts w:hint="eastAsia" w:ascii="宋体" w:hAnsi="宋体" w:eastAsia="宋体" w:cs="宋体"/>
          <w:color w:val="auto"/>
          <w:sz w:val="24"/>
          <w:szCs w:val="24"/>
          <w:highlight w:val="none"/>
          <w:lang w:val="en-US" w:eastAsia="zh-CN"/>
        </w:rPr>
        <w:t>月度服务质量考评表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员工考勤表、社保缴纳记录等</w:t>
      </w:r>
      <w:r>
        <w:rPr>
          <w:rFonts w:hint="eastAsia" w:ascii="宋体" w:hAnsi="宋体" w:eastAsia="宋体" w:cs="宋体"/>
          <w:color w:val="auto"/>
          <w:sz w:val="24"/>
          <w:szCs w:val="24"/>
          <w:highlight w:val="none"/>
        </w:rPr>
        <w:t>。</w:t>
      </w:r>
    </w:p>
    <w:p w14:paraId="37F72984">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3支付费用计算方式：月实际支付费用=</w:t>
      </w:r>
      <w:r>
        <w:rPr>
          <w:rFonts w:hint="eastAsia" w:ascii="宋体" w:hAnsi="宋体"/>
          <w:b/>
          <w:bCs/>
          <w:color w:val="auto"/>
          <w:sz w:val="24"/>
          <w:szCs w:val="24"/>
          <w:highlight w:val="none"/>
        </w:rPr>
        <w:t>实际在岗岗位数</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岗位费用单价</w:t>
      </w:r>
      <w:r>
        <w:rPr>
          <w:rFonts w:hint="eastAsia" w:ascii="宋体" w:hAnsi="宋体" w:eastAsia="宋体" w:cs="宋体"/>
          <w:color w:val="auto"/>
          <w:sz w:val="24"/>
          <w:szCs w:val="24"/>
          <w:highlight w:val="none"/>
          <w:lang w:val="en-US" w:eastAsia="zh-CN"/>
        </w:rPr>
        <w:t>*月度服务质量系数。</w:t>
      </w:r>
    </w:p>
    <w:p w14:paraId="5D32F28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月度服务质量系数</w:t>
      </w:r>
      <w:r>
        <w:rPr>
          <w:rFonts w:hint="eastAsia" w:ascii="宋体" w:hAnsi="宋体" w:eastAsia="宋体" w:cs="宋体"/>
          <w:color w:val="auto"/>
          <w:sz w:val="24"/>
          <w:szCs w:val="24"/>
          <w:highlight w:val="none"/>
        </w:rPr>
        <w:t>见下表。</w:t>
      </w:r>
    </w:p>
    <w:tbl>
      <w:tblPr>
        <w:tblStyle w:val="58"/>
        <w:tblW w:w="4998" w:type="pct"/>
        <w:jc w:val="center"/>
        <w:tblLayout w:type="autofit"/>
        <w:tblCellMar>
          <w:top w:w="0" w:type="dxa"/>
          <w:left w:w="0" w:type="dxa"/>
          <w:bottom w:w="0" w:type="dxa"/>
          <w:right w:w="0" w:type="dxa"/>
        </w:tblCellMar>
      </w:tblPr>
      <w:tblGrid>
        <w:gridCol w:w="1405"/>
        <w:gridCol w:w="3765"/>
        <w:gridCol w:w="4259"/>
      </w:tblGrid>
      <w:tr w14:paraId="456A7A30">
        <w:tblPrEx>
          <w:tblCellMar>
            <w:top w:w="0" w:type="dxa"/>
            <w:left w:w="0" w:type="dxa"/>
            <w:bottom w:w="0" w:type="dxa"/>
            <w:right w:w="0" w:type="dxa"/>
          </w:tblCellMar>
        </w:tblPrEx>
        <w:trPr>
          <w:trHeight w:val="269"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5A07E45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0C81923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月度考核得分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652FF1E5">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月度服务质量系数</w:t>
            </w:r>
          </w:p>
        </w:tc>
      </w:tr>
      <w:tr w14:paraId="7BCB0611">
        <w:tblPrEx>
          <w:tblCellMar>
            <w:top w:w="0" w:type="dxa"/>
            <w:left w:w="0" w:type="dxa"/>
            <w:bottom w:w="0" w:type="dxa"/>
            <w:right w:w="0" w:type="dxa"/>
          </w:tblCellMar>
        </w:tblPrEx>
        <w:trPr>
          <w:trHeight w:val="240"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4E5ABAD6">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06FD8141">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&lt;75分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0575204A">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采购人有权终止合同</w:t>
            </w:r>
            <w:r>
              <w:rPr>
                <w:rFonts w:hint="eastAsia" w:ascii="宋体" w:hAnsi="宋体" w:eastAsia="宋体" w:cs="宋体"/>
                <w:color w:val="auto"/>
                <w:sz w:val="24"/>
                <w:szCs w:val="24"/>
                <w:highlight w:val="none"/>
                <w:lang w:eastAsia="zh-CN"/>
              </w:rPr>
              <w:t>）</w:t>
            </w:r>
          </w:p>
        </w:tc>
      </w:tr>
      <w:tr w14:paraId="218B3DC8">
        <w:tblPrEx>
          <w:tblCellMar>
            <w:top w:w="0" w:type="dxa"/>
            <w:left w:w="0" w:type="dxa"/>
            <w:bottom w:w="0" w:type="dxa"/>
            <w:right w:w="0" w:type="dxa"/>
          </w:tblCellMar>
        </w:tblPrEx>
        <w:trPr>
          <w:trHeight w:val="253"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4C206E77">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2CBE9E02">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w:t>
            </w:r>
            <w:r>
              <w:rPr>
                <w:rFonts w:hint="eastAsia" w:ascii="宋体" w:hAnsi="宋体" w:eastAsia="宋体" w:cs="宋体"/>
                <w:color w:val="auto"/>
                <w:sz w:val="24"/>
                <w:szCs w:val="24"/>
                <w:highlight w:val="none"/>
                <w:lang w:val="en-US" w:eastAsia="zh-CN"/>
              </w:rPr>
              <w:t>79</w:t>
            </w:r>
            <w:r>
              <w:rPr>
                <w:rFonts w:hint="eastAsia" w:ascii="宋体" w:hAnsi="宋体" w:eastAsia="宋体" w:cs="宋体"/>
                <w:color w:val="auto"/>
                <w:sz w:val="24"/>
                <w:szCs w:val="24"/>
                <w:highlight w:val="none"/>
              </w:rPr>
              <w:t>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6C0CADFC">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w:t>
            </w:r>
          </w:p>
        </w:tc>
      </w:tr>
      <w:tr w14:paraId="1070EA2A">
        <w:tblPrEx>
          <w:tblCellMar>
            <w:top w:w="0" w:type="dxa"/>
            <w:left w:w="0" w:type="dxa"/>
            <w:bottom w:w="0" w:type="dxa"/>
            <w:right w:w="0" w:type="dxa"/>
          </w:tblCellMar>
        </w:tblPrEx>
        <w:trPr>
          <w:trHeight w:val="238"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3BA72D6F">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64862DCA">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-85分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49D36150">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w:t>
            </w:r>
          </w:p>
        </w:tc>
      </w:tr>
      <w:tr w14:paraId="5386D041">
        <w:tblPrEx>
          <w:tblCellMar>
            <w:top w:w="0" w:type="dxa"/>
            <w:left w:w="0" w:type="dxa"/>
            <w:bottom w:w="0" w:type="dxa"/>
            <w:right w:w="0" w:type="dxa"/>
          </w:tblCellMar>
        </w:tblPrEx>
        <w:trPr>
          <w:trHeight w:val="238"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56BB3399">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011585BE">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w:t>
            </w:r>
            <w:r>
              <w:rPr>
                <w:rFonts w:hint="eastAsia" w:ascii="宋体" w:hAnsi="宋体" w:eastAsia="宋体" w:cs="宋体"/>
                <w:color w:val="auto"/>
                <w:sz w:val="24"/>
                <w:szCs w:val="24"/>
                <w:highlight w:val="none"/>
                <w:lang w:val="en-US" w:eastAsia="zh-CN"/>
              </w:rPr>
              <w:t>89</w:t>
            </w:r>
            <w:r>
              <w:rPr>
                <w:rFonts w:hint="eastAsia" w:ascii="宋体" w:hAnsi="宋体" w:eastAsia="宋体" w:cs="宋体"/>
                <w:color w:val="auto"/>
                <w:sz w:val="24"/>
                <w:szCs w:val="24"/>
                <w:highlight w:val="none"/>
              </w:rPr>
              <w:t>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1C4613BE">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99</w:t>
            </w:r>
            <w:r>
              <w:rPr>
                <w:rFonts w:hint="eastAsia" w:ascii="宋体" w:hAnsi="宋体" w:eastAsia="宋体" w:cs="宋体"/>
                <w:color w:val="auto"/>
                <w:sz w:val="24"/>
                <w:szCs w:val="24"/>
                <w:highlight w:val="none"/>
              </w:rPr>
              <w:t>%</w:t>
            </w:r>
          </w:p>
        </w:tc>
      </w:tr>
      <w:tr w14:paraId="691E2132">
        <w:tblPrEx>
          <w:tblCellMar>
            <w:top w:w="0" w:type="dxa"/>
            <w:left w:w="0" w:type="dxa"/>
            <w:bottom w:w="0" w:type="dxa"/>
            <w:right w:w="0" w:type="dxa"/>
          </w:tblCellMar>
        </w:tblPrEx>
        <w:trPr>
          <w:trHeight w:val="247" w:hRule="atLeast"/>
          <w:jc w:val="center"/>
        </w:trPr>
        <w:tc>
          <w:tcPr>
            <w:tcW w:w="745" w:type="pct"/>
            <w:tcBorders>
              <w:top w:val="single" w:color="000000" w:sz="4" w:space="0"/>
              <w:left w:val="single" w:color="000000" w:sz="4" w:space="0"/>
              <w:bottom w:val="single" w:color="000000" w:sz="4" w:space="0"/>
              <w:right w:val="single" w:color="000000" w:sz="4" w:space="0"/>
            </w:tcBorders>
            <w:noWrap w:val="0"/>
            <w:vAlign w:val="top"/>
          </w:tcPr>
          <w:p w14:paraId="6C2AB32D">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96" w:type="pct"/>
            <w:tcBorders>
              <w:top w:val="single" w:color="000000" w:sz="4" w:space="0"/>
              <w:left w:val="single" w:color="000000" w:sz="4" w:space="0"/>
              <w:bottom w:val="single" w:color="000000" w:sz="4" w:space="0"/>
              <w:right w:val="single" w:color="000000" w:sz="4" w:space="0"/>
            </w:tcBorders>
            <w:noWrap w:val="0"/>
            <w:vAlign w:val="top"/>
          </w:tcPr>
          <w:p w14:paraId="2CC73013">
            <w:pPr>
              <w:keepNext w:val="0"/>
              <w:keepLines w:val="0"/>
              <w:pageBreakBefore w:val="0"/>
              <w:kinsoku/>
              <w:wordWrap/>
              <w:overflowPunct/>
              <w:topLinePunct w:val="0"/>
              <w:autoSpaceDN/>
              <w:bidi w:val="0"/>
              <w:adjustRightIn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-100分</w:t>
            </w:r>
          </w:p>
        </w:tc>
        <w:tc>
          <w:tcPr>
            <w:tcW w:w="2258" w:type="pct"/>
            <w:tcBorders>
              <w:top w:val="single" w:color="000000" w:sz="4" w:space="0"/>
              <w:left w:val="single" w:color="000000" w:sz="4" w:space="0"/>
              <w:bottom w:val="single" w:color="000000" w:sz="4" w:space="0"/>
              <w:right w:val="single" w:color="000000" w:sz="4" w:space="0"/>
            </w:tcBorders>
            <w:noWrap w:val="0"/>
            <w:vAlign w:val="top"/>
          </w:tcPr>
          <w:p w14:paraId="1C63F41E">
            <w:pPr>
              <w:keepNext w:val="0"/>
              <w:keepLines w:val="0"/>
              <w:pageBreakBefore w:val="0"/>
              <w:kinsoku/>
              <w:wordWrap/>
              <w:overflowPunct/>
              <w:topLinePunct w:val="0"/>
              <w:autoSpaceDN/>
              <w:bidi w:val="0"/>
              <w:adjustRightInd/>
              <w:spacing w:line="360" w:lineRule="auto"/>
              <w:ind w:left="0" w:leftChars="0" w:right="0"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w:t>
            </w:r>
          </w:p>
        </w:tc>
      </w:tr>
    </w:tbl>
    <w:p w14:paraId="019D12BA">
      <w:pPr>
        <w:keepNext w:val="0"/>
        <w:keepLines w:val="0"/>
        <w:pageBreakBefore w:val="0"/>
        <w:kinsoku/>
        <w:wordWrap/>
        <w:overflowPunct/>
        <w:topLinePunct w:val="0"/>
        <w:autoSpaceDN/>
        <w:bidi w:val="0"/>
        <w:adjustRightInd/>
        <w:spacing w:line="360" w:lineRule="auto"/>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5.4月度服务质量考核标准</w:t>
      </w:r>
    </w:p>
    <w:tbl>
      <w:tblPr>
        <w:tblStyle w:val="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70"/>
        <w:gridCol w:w="5249"/>
        <w:gridCol w:w="3304"/>
      </w:tblGrid>
      <w:tr w14:paraId="6BE86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5000" w:type="pct"/>
            <w:gridSpan w:val="3"/>
            <w:tcBorders>
              <w:tl2br w:val="nil"/>
              <w:tr2bl w:val="nil"/>
            </w:tcBorders>
            <w:noWrap w:val="0"/>
            <w:vAlign w:val="center"/>
          </w:tcPr>
          <w:p w14:paraId="031E6E4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考核标准(总分100分)</w:t>
            </w:r>
          </w:p>
        </w:tc>
      </w:tr>
      <w:tr w14:paraId="00558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000" w:type="pct"/>
            <w:gridSpan w:val="3"/>
            <w:tcBorders>
              <w:tl2br w:val="nil"/>
              <w:tr2bl w:val="nil"/>
            </w:tcBorders>
            <w:noWrap w:val="0"/>
            <w:vAlign w:val="top"/>
          </w:tcPr>
          <w:p w14:paraId="01CC3B41">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导医管理考核量化评分标准</w:t>
            </w:r>
            <w:r>
              <w:rPr>
                <w:rFonts w:hint="eastAsia" w:ascii="宋体" w:hAnsi="宋体" w:eastAsia="宋体" w:cs="宋体"/>
                <w:b/>
                <w:bCs/>
                <w:color w:val="auto"/>
                <w:sz w:val="24"/>
                <w:szCs w:val="24"/>
                <w:highlight w:val="none"/>
                <w:lang w:val="en-US" w:eastAsia="zh-CN"/>
              </w:rPr>
              <w:t>表</w:t>
            </w:r>
          </w:p>
          <w:p w14:paraId="5275B6A6">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考核时间： 年   月   日       科室名称：          填写人员：</w:t>
            </w:r>
          </w:p>
        </w:tc>
      </w:tr>
      <w:tr w14:paraId="2355D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462" w:type="pct"/>
            <w:tcBorders>
              <w:tl2br w:val="nil"/>
              <w:tr2bl w:val="nil"/>
            </w:tcBorders>
            <w:noWrap w:val="0"/>
            <w:vAlign w:val="center"/>
          </w:tcPr>
          <w:p w14:paraId="3BA1F8D1">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85" w:type="pct"/>
            <w:tcBorders>
              <w:tl2br w:val="nil"/>
              <w:tr2bl w:val="nil"/>
            </w:tcBorders>
            <w:noWrap w:val="0"/>
            <w:vAlign w:val="center"/>
          </w:tcPr>
          <w:p w14:paraId="74DD78F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一、总体要求考核</w:t>
            </w:r>
          </w:p>
        </w:tc>
        <w:tc>
          <w:tcPr>
            <w:tcW w:w="1751" w:type="pct"/>
            <w:tcBorders>
              <w:tl2br w:val="nil"/>
              <w:tr2bl w:val="nil"/>
            </w:tcBorders>
            <w:noWrap w:val="0"/>
            <w:vAlign w:val="center"/>
          </w:tcPr>
          <w:p w14:paraId="02AAE76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考核权重</w:t>
            </w:r>
          </w:p>
        </w:tc>
      </w:tr>
      <w:tr w14:paraId="3B8AD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62" w:type="pct"/>
            <w:tcBorders>
              <w:tl2br w:val="nil"/>
              <w:tr2bl w:val="nil"/>
            </w:tcBorders>
            <w:noWrap w:val="0"/>
            <w:vAlign w:val="center"/>
          </w:tcPr>
          <w:p w14:paraId="4BF432D9">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2785" w:type="pct"/>
            <w:tcBorders>
              <w:tl2br w:val="nil"/>
              <w:tr2bl w:val="nil"/>
            </w:tcBorders>
            <w:noWrap w:val="0"/>
            <w:vAlign w:val="center"/>
          </w:tcPr>
          <w:p w14:paraId="1CD53949">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上岗资质考核。</w:t>
            </w:r>
          </w:p>
        </w:tc>
        <w:tc>
          <w:tcPr>
            <w:tcW w:w="1751" w:type="pct"/>
            <w:vMerge w:val="restart"/>
            <w:tcBorders>
              <w:tl2br w:val="nil"/>
              <w:tr2bl w:val="nil"/>
            </w:tcBorders>
            <w:noWrap w:val="0"/>
            <w:vAlign w:val="center"/>
          </w:tcPr>
          <w:p w14:paraId="2698739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60分</w:t>
            </w:r>
          </w:p>
        </w:tc>
      </w:tr>
      <w:tr w14:paraId="4D82E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62" w:type="pct"/>
            <w:tcBorders>
              <w:tl2br w:val="nil"/>
              <w:tr2bl w:val="nil"/>
            </w:tcBorders>
            <w:noWrap w:val="0"/>
            <w:vAlign w:val="center"/>
          </w:tcPr>
          <w:p w14:paraId="7A07112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w:t>
            </w:r>
          </w:p>
        </w:tc>
        <w:tc>
          <w:tcPr>
            <w:tcW w:w="2785" w:type="pct"/>
            <w:tcBorders>
              <w:tl2br w:val="nil"/>
              <w:tr2bl w:val="nil"/>
            </w:tcBorders>
            <w:noWrap w:val="0"/>
            <w:vAlign w:val="center"/>
          </w:tcPr>
          <w:p w14:paraId="3F9FEBBC">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导医日常服务质量考核，满意度考核。</w:t>
            </w:r>
          </w:p>
        </w:tc>
        <w:tc>
          <w:tcPr>
            <w:tcW w:w="1751" w:type="pct"/>
            <w:vMerge w:val="continue"/>
            <w:tcBorders>
              <w:tl2br w:val="nil"/>
              <w:tr2bl w:val="nil"/>
            </w:tcBorders>
            <w:noWrap w:val="0"/>
            <w:vAlign w:val="center"/>
          </w:tcPr>
          <w:p w14:paraId="0D152213">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r>
      <w:tr w14:paraId="58C2B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462" w:type="pct"/>
            <w:tcBorders>
              <w:tl2br w:val="nil"/>
              <w:tr2bl w:val="nil"/>
            </w:tcBorders>
            <w:noWrap w:val="0"/>
            <w:vAlign w:val="center"/>
          </w:tcPr>
          <w:p w14:paraId="3F855559">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2785" w:type="pct"/>
            <w:tcBorders>
              <w:tl2br w:val="nil"/>
              <w:tr2bl w:val="nil"/>
            </w:tcBorders>
            <w:noWrap w:val="0"/>
            <w:vAlign w:val="center"/>
          </w:tcPr>
          <w:p w14:paraId="285AF925">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公司管理规范考核。</w:t>
            </w:r>
          </w:p>
        </w:tc>
        <w:tc>
          <w:tcPr>
            <w:tcW w:w="1751" w:type="pct"/>
            <w:vMerge w:val="continue"/>
            <w:tcBorders>
              <w:tl2br w:val="nil"/>
              <w:tr2bl w:val="nil"/>
            </w:tcBorders>
            <w:noWrap w:val="0"/>
            <w:vAlign w:val="center"/>
          </w:tcPr>
          <w:p w14:paraId="6249895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r>
      <w:tr w14:paraId="04658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462" w:type="pct"/>
            <w:tcBorders>
              <w:tl2br w:val="nil"/>
              <w:tr2bl w:val="nil"/>
            </w:tcBorders>
            <w:noWrap w:val="0"/>
            <w:vAlign w:val="center"/>
          </w:tcPr>
          <w:p w14:paraId="7303EB5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85" w:type="pct"/>
            <w:tcBorders>
              <w:tl2br w:val="nil"/>
              <w:tr2bl w:val="nil"/>
            </w:tcBorders>
            <w:noWrap w:val="0"/>
            <w:vAlign w:val="center"/>
          </w:tcPr>
          <w:p w14:paraId="3D608E8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二、门诊</w:t>
            </w:r>
            <w:r>
              <w:rPr>
                <w:rFonts w:hint="eastAsia" w:ascii="宋体" w:hAnsi="宋体" w:eastAsia="宋体" w:cs="宋体"/>
                <w:b/>
                <w:bCs/>
                <w:color w:val="auto"/>
                <w:sz w:val="24"/>
                <w:szCs w:val="24"/>
                <w:highlight w:val="none"/>
                <w:lang w:val="en-US" w:eastAsia="zh-CN"/>
              </w:rPr>
              <w:t>公共区域</w:t>
            </w:r>
            <w:r>
              <w:rPr>
                <w:rFonts w:hint="eastAsia" w:ascii="宋体" w:hAnsi="宋体" w:eastAsia="宋体" w:cs="宋体"/>
                <w:b/>
                <w:bCs/>
                <w:color w:val="auto"/>
                <w:sz w:val="24"/>
                <w:szCs w:val="24"/>
                <w:highlight w:val="none"/>
              </w:rPr>
              <w:t>导医考核</w:t>
            </w:r>
          </w:p>
        </w:tc>
        <w:tc>
          <w:tcPr>
            <w:tcW w:w="1751" w:type="pct"/>
            <w:tcBorders>
              <w:tl2br w:val="nil"/>
              <w:tr2bl w:val="nil"/>
            </w:tcBorders>
            <w:noWrap w:val="0"/>
            <w:vAlign w:val="center"/>
          </w:tcPr>
          <w:p w14:paraId="1CF81E90">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考核权重</w:t>
            </w:r>
          </w:p>
        </w:tc>
      </w:tr>
      <w:tr w14:paraId="4154F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462" w:type="pct"/>
            <w:tcBorders>
              <w:tl2br w:val="nil"/>
              <w:tr2bl w:val="nil"/>
            </w:tcBorders>
            <w:noWrap w:val="0"/>
            <w:vAlign w:val="center"/>
          </w:tcPr>
          <w:p w14:paraId="5A93829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1</w:t>
            </w:r>
          </w:p>
        </w:tc>
        <w:tc>
          <w:tcPr>
            <w:tcW w:w="2785" w:type="pct"/>
            <w:tcBorders>
              <w:tl2br w:val="nil"/>
              <w:tr2bl w:val="nil"/>
            </w:tcBorders>
            <w:noWrap w:val="0"/>
            <w:vAlign w:val="center"/>
          </w:tcPr>
          <w:p w14:paraId="1449096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上岗资质考核。</w:t>
            </w:r>
          </w:p>
        </w:tc>
        <w:tc>
          <w:tcPr>
            <w:tcW w:w="1751" w:type="pct"/>
            <w:vMerge w:val="restart"/>
            <w:tcBorders>
              <w:tl2br w:val="nil"/>
              <w:tr2bl w:val="nil"/>
            </w:tcBorders>
            <w:noWrap w:val="0"/>
            <w:vAlign w:val="center"/>
          </w:tcPr>
          <w:p w14:paraId="5DB66C2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20分</w:t>
            </w:r>
          </w:p>
        </w:tc>
      </w:tr>
      <w:tr w14:paraId="7F234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462" w:type="pct"/>
            <w:tcBorders>
              <w:tl2br w:val="nil"/>
              <w:tr2bl w:val="nil"/>
            </w:tcBorders>
            <w:noWrap w:val="0"/>
            <w:vAlign w:val="center"/>
          </w:tcPr>
          <w:p w14:paraId="1EDFF67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both"/>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2</w:t>
            </w:r>
          </w:p>
        </w:tc>
        <w:tc>
          <w:tcPr>
            <w:tcW w:w="2785" w:type="pct"/>
            <w:tcBorders>
              <w:tl2br w:val="nil"/>
              <w:tr2bl w:val="nil"/>
            </w:tcBorders>
            <w:noWrap w:val="0"/>
            <w:vAlign w:val="center"/>
          </w:tcPr>
          <w:p w14:paraId="766DDA5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导医日常服务质量考核，满意度考核。</w:t>
            </w:r>
          </w:p>
        </w:tc>
        <w:tc>
          <w:tcPr>
            <w:tcW w:w="1751" w:type="pct"/>
            <w:vMerge w:val="continue"/>
            <w:tcBorders>
              <w:tl2br w:val="nil"/>
              <w:tr2bl w:val="nil"/>
            </w:tcBorders>
            <w:noWrap w:val="0"/>
            <w:vAlign w:val="center"/>
          </w:tcPr>
          <w:p w14:paraId="09ADC735">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r>
      <w:tr w14:paraId="4C8C0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462" w:type="pct"/>
            <w:tcBorders>
              <w:tl2br w:val="nil"/>
              <w:tr2bl w:val="nil"/>
            </w:tcBorders>
            <w:noWrap w:val="0"/>
            <w:vAlign w:val="center"/>
          </w:tcPr>
          <w:p w14:paraId="31F90E6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85" w:type="pct"/>
            <w:tcBorders>
              <w:tl2br w:val="nil"/>
              <w:tr2bl w:val="nil"/>
            </w:tcBorders>
            <w:noWrap w:val="0"/>
            <w:vAlign w:val="center"/>
          </w:tcPr>
          <w:p w14:paraId="566B99CB">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三、医技科室导医考核</w:t>
            </w:r>
          </w:p>
        </w:tc>
        <w:tc>
          <w:tcPr>
            <w:tcW w:w="1751" w:type="pct"/>
            <w:tcBorders>
              <w:tl2br w:val="nil"/>
              <w:tr2bl w:val="nil"/>
            </w:tcBorders>
            <w:noWrap w:val="0"/>
            <w:vAlign w:val="center"/>
          </w:tcPr>
          <w:p w14:paraId="7190D14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考核权重</w:t>
            </w:r>
          </w:p>
        </w:tc>
      </w:tr>
      <w:tr w14:paraId="16FC5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2DD826F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1</w:t>
            </w:r>
          </w:p>
        </w:tc>
        <w:tc>
          <w:tcPr>
            <w:tcW w:w="2785" w:type="pct"/>
            <w:tcBorders>
              <w:tl2br w:val="nil"/>
              <w:tr2bl w:val="nil"/>
            </w:tcBorders>
            <w:noWrap w:val="0"/>
            <w:vAlign w:val="center"/>
          </w:tcPr>
          <w:p w14:paraId="7226EDA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上岗资质考核。</w:t>
            </w:r>
          </w:p>
        </w:tc>
        <w:tc>
          <w:tcPr>
            <w:tcW w:w="1751" w:type="pct"/>
            <w:vMerge w:val="restart"/>
            <w:tcBorders>
              <w:tl2br w:val="nil"/>
              <w:tr2bl w:val="nil"/>
            </w:tcBorders>
            <w:noWrap w:val="0"/>
            <w:vAlign w:val="center"/>
          </w:tcPr>
          <w:p w14:paraId="0D13C58F">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35EA9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4B68285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p w14:paraId="424CCB1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2</w:t>
            </w:r>
          </w:p>
        </w:tc>
        <w:tc>
          <w:tcPr>
            <w:tcW w:w="2785" w:type="pct"/>
            <w:tcBorders>
              <w:tl2br w:val="nil"/>
              <w:tr2bl w:val="nil"/>
            </w:tcBorders>
            <w:noWrap w:val="0"/>
            <w:vAlign w:val="center"/>
          </w:tcPr>
          <w:p w14:paraId="2A6DC7C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导医日常服务质量考核，满意度考核。</w:t>
            </w:r>
          </w:p>
        </w:tc>
        <w:tc>
          <w:tcPr>
            <w:tcW w:w="1751" w:type="pct"/>
            <w:vMerge w:val="continue"/>
            <w:tcBorders>
              <w:tl2br w:val="nil"/>
              <w:tr2bl w:val="nil"/>
            </w:tcBorders>
            <w:noWrap w:val="0"/>
            <w:vAlign w:val="center"/>
          </w:tcPr>
          <w:p w14:paraId="5292F94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r>
      <w:tr w14:paraId="5B4D0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 w:hRule="atLeast"/>
          <w:jc w:val="center"/>
        </w:trPr>
        <w:tc>
          <w:tcPr>
            <w:tcW w:w="462" w:type="pct"/>
            <w:tcBorders>
              <w:tl2br w:val="nil"/>
              <w:tr2bl w:val="nil"/>
            </w:tcBorders>
            <w:noWrap w:val="0"/>
            <w:vAlign w:val="center"/>
          </w:tcPr>
          <w:p w14:paraId="45AE9BD1">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85" w:type="pct"/>
            <w:tcBorders>
              <w:tl2br w:val="nil"/>
              <w:tr2bl w:val="nil"/>
            </w:tcBorders>
            <w:noWrap w:val="0"/>
            <w:vAlign w:val="center"/>
          </w:tcPr>
          <w:p w14:paraId="2A6C3DBC">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四、门诊科室</w:t>
            </w:r>
            <w:r>
              <w:rPr>
                <w:rFonts w:hint="eastAsia" w:ascii="宋体" w:hAnsi="宋体" w:eastAsia="宋体" w:cs="宋体"/>
                <w:b/>
                <w:bCs/>
                <w:color w:val="auto"/>
                <w:sz w:val="24"/>
                <w:szCs w:val="24"/>
                <w:highlight w:val="none"/>
                <w:lang w:val="en-US" w:eastAsia="zh-CN"/>
              </w:rPr>
              <w:t>诊区</w:t>
            </w:r>
            <w:r>
              <w:rPr>
                <w:rFonts w:hint="eastAsia" w:ascii="宋体" w:hAnsi="宋体" w:eastAsia="宋体" w:cs="宋体"/>
                <w:b/>
                <w:bCs/>
                <w:color w:val="auto"/>
                <w:sz w:val="24"/>
                <w:szCs w:val="24"/>
                <w:highlight w:val="none"/>
              </w:rPr>
              <w:t>导医考核</w:t>
            </w:r>
          </w:p>
        </w:tc>
        <w:tc>
          <w:tcPr>
            <w:tcW w:w="1751" w:type="pct"/>
            <w:tcBorders>
              <w:tl2br w:val="nil"/>
              <w:tr2bl w:val="nil"/>
            </w:tcBorders>
            <w:noWrap w:val="0"/>
            <w:vAlign w:val="center"/>
          </w:tcPr>
          <w:p w14:paraId="060A8086">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考核权重</w:t>
            </w:r>
          </w:p>
        </w:tc>
      </w:tr>
      <w:tr w14:paraId="01FE0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1B7268B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2785" w:type="pct"/>
            <w:tcBorders>
              <w:tl2br w:val="nil"/>
              <w:tr2bl w:val="nil"/>
            </w:tcBorders>
            <w:noWrap w:val="0"/>
            <w:vAlign w:val="center"/>
          </w:tcPr>
          <w:p w14:paraId="00E19EF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上岗资质考核。</w:t>
            </w:r>
          </w:p>
        </w:tc>
        <w:tc>
          <w:tcPr>
            <w:tcW w:w="1751" w:type="pct"/>
            <w:vMerge w:val="restart"/>
            <w:tcBorders>
              <w:tl2br w:val="nil"/>
              <w:tr2bl w:val="nil"/>
            </w:tcBorders>
            <w:noWrap w:val="0"/>
            <w:vAlign w:val="center"/>
          </w:tcPr>
          <w:p w14:paraId="7A1CF29F">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0A537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462" w:type="pct"/>
            <w:tcBorders>
              <w:tl2br w:val="nil"/>
              <w:tr2bl w:val="nil"/>
            </w:tcBorders>
            <w:noWrap w:val="0"/>
            <w:vAlign w:val="center"/>
          </w:tcPr>
          <w:p w14:paraId="594B446B">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p w14:paraId="707044B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p>
        </w:tc>
        <w:tc>
          <w:tcPr>
            <w:tcW w:w="2785" w:type="pct"/>
            <w:tcBorders>
              <w:tl2br w:val="nil"/>
              <w:tr2bl w:val="nil"/>
            </w:tcBorders>
            <w:noWrap w:val="0"/>
            <w:vAlign w:val="center"/>
          </w:tcPr>
          <w:p w14:paraId="31FE150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导医日常服务质量考核，满意度考核。</w:t>
            </w:r>
          </w:p>
        </w:tc>
        <w:tc>
          <w:tcPr>
            <w:tcW w:w="1751" w:type="pct"/>
            <w:vMerge w:val="continue"/>
            <w:tcBorders>
              <w:tl2br w:val="nil"/>
              <w:tr2bl w:val="nil"/>
            </w:tcBorders>
            <w:noWrap w:val="0"/>
            <w:vAlign w:val="center"/>
          </w:tcPr>
          <w:p w14:paraId="2DEDBEF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r>
      <w:tr w14:paraId="46BB8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462" w:type="pct"/>
            <w:tcBorders>
              <w:tl2br w:val="nil"/>
              <w:tr2bl w:val="nil"/>
            </w:tcBorders>
            <w:noWrap w:val="0"/>
            <w:vAlign w:val="center"/>
          </w:tcPr>
          <w:p w14:paraId="1DD0D90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p>
        </w:tc>
        <w:tc>
          <w:tcPr>
            <w:tcW w:w="2785" w:type="pct"/>
            <w:tcBorders>
              <w:tl2br w:val="nil"/>
              <w:tr2bl w:val="nil"/>
            </w:tcBorders>
            <w:noWrap w:val="0"/>
            <w:vAlign w:val="center"/>
          </w:tcPr>
          <w:p w14:paraId="2944AB9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合计</w:t>
            </w:r>
          </w:p>
        </w:tc>
        <w:tc>
          <w:tcPr>
            <w:tcW w:w="1751" w:type="pct"/>
            <w:tcBorders>
              <w:tl2br w:val="nil"/>
              <w:tr2bl w:val="nil"/>
            </w:tcBorders>
            <w:noWrap w:val="0"/>
            <w:vAlign w:val="center"/>
          </w:tcPr>
          <w:p w14:paraId="787B3A4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100分</w:t>
            </w:r>
          </w:p>
        </w:tc>
      </w:tr>
    </w:tbl>
    <w:p w14:paraId="5F925724">
      <w:pPr>
        <w:spacing w:line="360" w:lineRule="auto"/>
        <w:ind w:firstLine="482" w:firstLineChars="200"/>
        <w:jc w:val="left"/>
        <w:rPr>
          <w:rFonts w:ascii="宋体" w:hAnsi="宋体" w:eastAsia="宋体" w:cs="宋体"/>
          <w:color w:val="000000"/>
          <w:sz w:val="24"/>
        </w:rPr>
      </w:pPr>
      <w:r>
        <w:rPr>
          <w:rFonts w:hint="eastAsia" w:ascii="宋体" w:hAnsi="宋体" w:eastAsia="宋体" w:cs="宋体"/>
          <w:b/>
          <w:bCs w:val="0"/>
          <w:i/>
          <w:iCs/>
          <w:sz w:val="24"/>
          <w:highlight w:val="none"/>
          <w:lang w:val="en-US" w:eastAsia="zh-CN"/>
        </w:rPr>
        <w:t>注：本项目采购需求均属于实质性条款，均不得偏离。</w:t>
      </w:r>
      <w:r>
        <w:rPr>
          <w:rFonts w:ascii="宋体" w:hAnsi="宋体" w:eastAsia="宋体" w:cs="宋体"/>
          <w:color w:val="000000"/>
          <w:sz w:val="24"/>
        </w:rPr>
        <w:t> </w:t>
      </w:r>
    </w:p>
    <w:p w14:paraId="263DB91F">
      <w:pPr>
        <w:pStyle w:val="2"/>
        <w:rPr>
          <w:rFonts w:ascii="宋体" w:hAnsi="宋体" w:eastAsia="宋体" w:cs="宋体"/>
          <w:color w:val="000000"/>
          <w:sz w:val="24"/>
        </w:rPr>
      </w:pPr>
    </w:p>
    <w:p w14:paraId="0248F92B">
      <w:pPr>
        <w:rPr>
          <w:rFonts w:ascii="宋体" w:hAnsi="宋体" w:eastAsia="宋体" w:cs="宋体"/>
          <w:color w:val="000000"/>
          <w:sz w:val="24"/>
        </w:rPr>
      </w:pPr>
    </w:p>
    <w:p w14:paraId="69B0998C">
      <w:pPr>
        <w:pStyle w:val="2"/>
        <w:rPr>
          <w:rFonts w:ascii="宋体" w:hAnsi="宋体" w:eastAsia="宋体" w:cs="宋体"/>
          <w:color w:val="000000"/>
          <w:sz w:val="24"/>
        </w:rPr>
      </w:pPr>
    </w:p>
    <w:p w14:paraId="54A405CC">
      <w:pPr>
        <w:rPr>
          <w:rFonts w:ascii="宋体" w:hAnsi="宋体" w:eastAsia="宋体" w:cs="宋体"/>
          <w:color w:val="000000"/>
          <w:sz w:val="24"/>
        </w:rPr>
      </w:pPr>
    </w:p>
    <w:p w14:paraId="6BB35A6E">
      <w:pPr>
        <w:pStyle w:val="2"/>
        <w:rPr>
          <w:rFonts w:ascii="宋体" w:hAnsi="宋体" w:eastAsia="宋体" w:cs="宋体"/>
          <w:color w:val="000000"/>
          <w:sz w:val="24"/>
        </w:rPr>
      </w:pPr>
    </w:p>
    <w:p w14:paraId="220228F8">
      <w:pPr>
        <w:rPr>
          <w:rFonts w:ascii="宋体" w:hAnsi="宋体" w:eastAsia="宋体" w:cs="宋体"/>
          <w:color w:val="000000"/>
          <w:sz w:val="24"/>
        </w:rPr>
      </w:pPr>
    </w:p>
    <w:p w14:paraId="54C6696B">
      <w:pPr>
        <w:pStyle w:val="2"/>
        <w:rPr>
          <w:rFonts w:ascii="宋体" w:hAnsi="宋体" w:eastAsia="宋体" w:cs="宋体"/>
          <w:color w:val="000000"/>
          <w:sz w:val="24"/>
        </w:rPr>
      </w:pPr>
    </w:p>
    <w:p w14:paraId="4E9605E7">
      <w:pPr>
        <w:rPr>
          <w:rFonts w:ascii="宋体" w:hAnsi="宋体" w:eastAsia="宋体" w:cs="宋体"/>
          <w:color w:val="000000"/>
          <w:sz w:val="24"/>
        </w:rPr>
      </w:pPr>
    </w:p>
    <w:p w14:paraId="7537EDCD">
      <w:pPr>
        <w:pStyle w:val="2"/>
        <w:rPr>
          <w:rFonts w:ascii="宋体" w:hAnsi="宋体" w:eastAsia="宋体" w:cs="宋体"/>
          <w:color w:val="000000"/>
          <w:sz w:val="24"/>
        </w:rPr>
      </w:pPr>
    </w:p>
    <w:p w14:paraId="4E98A0CD">
      <w:pPr>
        <w:rPr>
          <w:rFonts w:ascii="宋体" w:hAnsi="宋体" w:eastAsia="宋体" w:cs="宋体"/>
          <w:color w:val="000000"/>
          <w:sz w:val="24"/>
        </w:rPr>
      </w:pPr>
    </w:p>
    <w:p w14:paraId="399B5C0C">
      <w:pPr>
        <w:pStyle w:val="2"/>
        <w:rPr>
          <w:rFonts w:ascii="宋体" w:hAnsi="宋体" w:eastAsia="宋体" w:cs="宋体"/>
          <w:color w:val="000000"/>
          <w:sz w:val="24"/>
        </w:rPr>
      </w:pPr>
    </w:p>
    <w:p w14:paraId="5A9C4CDC">
      <w:pPr>
        <w:rPr>
          <w:rFonts w:ascii="宋体" w:hAnsi="宋体" w:eastAsia="宋体" w:cs="宋体"/>
          <w:color w:val="000000"/>
          <w:sz w:val="24"/>
        </w:rPr>
      </w:pPr>
    </w:p>
    <w:p w14:paraId="1095E277">
      <w:pPr>
        <w:pStyle w:val="2"/>
        <w:rPr>
          <w:rFonts w:ascii="宋体" w:hAnsi="宋体" w:eastAsia="宋体" w:cs="宋体"/>
          <w:color w:val="000000"/>
          <w:sz w:val="24"/>
        </w:rPr>
      </w:pPr>
    </w:p>
    <w:p w14:paraId="46277C5B">
      <w:pPr>
        <w:rPr>
          <w:rFonts w:ascii="宋体" w:hAnsi="宋体" w:eastAsia="宋体" w:cs="宋体"/>
          <w:color w:val="000000"/>
          <w:sz w:val="24"/>
        </w:rPr>
      </w:pPr>
    </w:p>
    <w:p w14:paraId="661852C3">
      <w:pPr>
        <w:pStyle w:val="2"/>
        <w:rPr>
          <w:rFonts w:ascii="宋体" w:hAnsi="宋体" w:eastAsia="宋体" w:cs="宋体"/>
          <w:color w:val="000000"/>
          <w:sz w:val="24"/>
        </w:rPr>
      </w:pPr>
    </w:p>
    <w:p w14:paraId="4C1A40D6">
      <w:pPr>
        <w:rPr>
          <w:rFonts w:ascii="宋体" w:hAnsi="宋体" w:eastAsia="宋体" w:cs="宋体"/>
          <w:color w:val="000000"/>
          <w:sz w:val="24"/>
        </w:rPr>
      </w:pPr>
    </w:p>
    <w:p w14:paraId="2A4712C5">
      <w:pPr>
        <w:pStyle w:val="2"/>
        <w:rPr>
          <w:rFonts w:ascii="宋体" w:hAnsi="宋体" w:eastAsia="宋体" w:cs="宋体"/>
          <w:color w:val="000000"/>
          <w:sz w:val="24"/>
        </w:rPr>
      </w:pPr>
    </w:p>
    <w:p w14:paraId="34C55954">
      <w:pPr>
        <w:rPr>
          <w:rFonts w:ascii="宋体" w:hAnsi="宋体" w:eastAsia="宋体" w:cs="宋体"/>
          <w:color w:val="000000"/>
          <w:sz w:val="24"/>
        </w:rPr>
      </w:pPr>
    </w:p>
    <w:p w14:paraId="575A5F31">
      <w:pPr>
        <w:pStyle w:val="2"/>
        <w:rPr>
          <w:rFonts w:ascii="宋体" w:hAnsi="宋体" w:eastAsia="宋体" w:cs="宋体"/>
          <w:color w:val="000000"/>
          <w:sz w:val="24"/>
        </w:rPr>
      </w:pPr>
    </w:p>
    <w:p w14:paraId="77F7F327">
      <w:pPr>
        <w:rPr>
          <w:rFonts w:ascii="宋体" w:hAnsi="宋体" w:eastAsia="宋体" w:cs="宋体"/>
          <w:color w:val="000000"/>
          <w:sz w:val="24"/>
        </w:rPr>
      </w:pPr>
    </w:p>
    <w:p w14:paraId="5F5DC1C5">
      <w:pPr>
        <w:pStyle w:val="2"/>
        <w:rPr>
          <w:rFonts w:ascii="宋体" w:hAnsi="宋体" w:eastAsia="宋体" w:cs="宋体"/>
          <w:color w:val="000000"/>
          <w:sz w:val="24"/>
        </w:rPr>
      </w:pPr>
    </w:p>
    <w:p w14:paraId="347D2C99">
      <w:pPr>
        <w:rPr>
          <w:rFonts w:ascii="宋体" w:hAnsi="宋体" w:eastAsia="宋体" w:cs="宋体"/>
          <w:color w:val="000000"/>
          <w:sz w:val="24"/>
        </w:rPr>
      </w:pPr>
    </w:p>
    <w:p w14:paraId="3E31F69A">
      <w:pPr>
        <w:pStyle w:val="2"/>
        <w:rPr>
          <w:rFonts w:ascii="宋体" w:hAnsi="宋体" w:eastAsia="宋体" w:cs="宋体"/>
          <w:color w:val="000000"/>
          <w:sz w:val="24"/>
        </w:rPr>
      </w:pPr>
    </w:p>
    <w:p w14:paraId="0C410CDB">
      <w:pPr>
        <w:rPr>
          <w:rFonts w:ascii="宋体" w:hAnsi="宋体" w:eastAsia="宋体" w:cs="宋体"/>
          <w:color w:val="000000"/>
          <w:sz w:val="24"/>
        </w:rPr>
      </w:pPr>
    </w:p>
    <w:p w14:paraId="3A5E2CCA">
      <w:pPr>
        <w:pStyle w:val="2"/>
        <w:rPr>
          <w:rFonts w:ascii="宋体" w:hAnsi="宋体" w:eastAsia="宋体" w:cs="宋体"/>
          <w:color w:val="000000"/>
          <w:sz w:val="24"/>
        </w:rPr>
      </w:pPr>
    </w:p>
    <w:p w14:paraId="1B5213BD">
      <w:pPr>
        <w:rPr>
          <w:rFonts w:ascii="宋体" w:hAnsi="宋体" w:eastAsia="宋体" w:cs="宋体"/>
          <w:color w:val="000000"/>
          <w:sz w:val="24"/>
        </w:rPr>
      </w:pPr>
    </w:p>
    <w:p w14:paraId="172E1E4A">
      <w:pPr>
        <w:pStyle w:val="2"/>
        <w:rPr>
          <w:rFonts w:ascii="宋体" w:hAnsi="宋体" w:eastAsia="宋体" w:cs="宋体"/>
          <w:color w:val="000000"/>
          <w:sz w:val="24"/>
        </w:rPr>
      </w:pPr>
    </w:p>
    <w:p w14:paraId="1B389E53">
      <w:pPr>
        <w:rPr>
          <w:rFonts w:ascii="宋体" w:hAnsi="宋体" w:eastAsia="宋体" w:cs="宋体"/>
          <w:color w:val="000000"/>
          <w:sz w:val="24"/>
        </w:rPr>
      </w:pPr>
    </w:p>
    <w:p w14:paraId="1B428C88">
      <w:pPr>
        <w:pStyle w:val="2"/>
        <w:rPr>
          <w:rFonts w:ascii="宋体" w:hAnsi="宋体" w:eastAsia="宋体" w:cs="宋体"/>
          <w:color w:val="000000"/>
          <w:sz w:val="24"/>
        </w:rPr>
      </w:pPr>
    </w:p>
    <w:p w14:paraId="06015760">
      <w:pPr>
        <w:rPr>
          <w:rFonts w:ascii="宋体" w:hAnsi="宋体" w:eastAsia="宋体" w:cs="宋体"/>
          <w:color w:val="000000"/>
          <w:sz w:val="24"/>
        </w:rPr>
      </w:pPr>
    </w:p>
    <w:p w14:paraId="0CA7BFDA">
      <w:pPr>
        <w:pStyle w:val="2"/>
        <w:rPr>
          <w:rFonts w:ascii="宋体" w:hAnsi="宋体" w:eastAsia="宋体" w:cs="宋体"/>
          <w:color w:val="000000"/>
          <w:sz w:val="24"/>
        </w:rPr>
      </w:pPr>
    </w:p>
    <w:p w14:paraId="60C016F1">
      <w:pPr>
        <w:rPr>
          <w:rFonts w:ascii="宋体" w:hAnsi="宋体" w:eastAsia="宋体" w:cs="宋体"/>
          <w:color w:val="000000"/>
          <w:sz w:val="24"/>
        </w:rPr>
      </w:pPr>
    </w:p>
    <w:p w14:paraId="2E547314">
      <w:pPr>
        <w:pStyle w:val="2"/>
        <w:rPr>
          <w:rFonts w:ascii="宋体" w:hAnsi="宋体" w:eastAsia="宋体" w:cs="宋体"/>
          <w:color w:val="000000"/>
          <w:sz w:val="24"/>
        </w:rPr>
      </w:pPr>
    </w:p>
    <w:p w14:paraId="578350E7">
      <w:pPr>
        <w:rPr>
          <w:rFonts w:ascii="宋体" w:hAnsi="宋体" w:eastAsia="宋体" w:cs="宋体"/>
          <w:color w:val="000000"/>
          <w:sz w:val="24"/>
        </w:rPr>
      </w:pPr>
    </w:p>
    <w:p w14:paraId="6786D366">
      <w:pPr>
        <w:pStyle w:val="2"/>
        <w:rPr>
          <w:rFonts w:ascii="宋体" w:hAnsi="宋体" w:eastAsia="宋体" w:cs="宋体"/>
          <w:color w:val="000000"/>
          <w:sz w:val="24"/>
        </w:rPr>
      </w:pPr>
    </w:p>
    <w:p w14:paraId="19526D4E">
      <w:pPr>
        <w:rPr>
          <w:rFonts w:ascii="宋体" w:hAnsi="宋体" w:eastAsia="宋体" w:cs="宋体"/>
          <w:color w:val="000000"/>
          <w:sz w:val="24"/>
        </w:rPr>
      </w:pPr>
    </w:p>
    <w:p w14:paraId="09C52A2F">
      <w:pPr>
        <w:pStyle w:val="2"/>
        <w:rPr>
          <w:rFonts w:ascii="宋体" w:hAnsi="宋体" w:eastAsia="宋体" w:cs="宋体"/>
          <w:color w:val="000000"/>
          <w:sz w:val="24"/>
        </w:rPr>
      </w:pPr>
    </w:p>
    <w:p w14:paraId="12144995">
      <w:pPr>
        <w:rPr>
          <w:rFonts w:ascii="宋体" w:hAnsi="宋体" w:eastAsia="宋体" w:cs="宋体"/>
          <w:color w:val="000000"/>
          <w:sz w:val="24"/>
        </w:rPr>
      </w:pPr>
    </w:p>
    <w:p w14:paraId="2B449E7E">
      <w:pPr>
        <w:pStyle w:val="2"/>
      </w:pPr>
    </w:p>
    <w:bookmarkEnd w:id="20"/>
    <w:bookmarkEnd w:id="21"/>
    <w:bookmarkEnd w:id="22"/>
    <w:bookmarkEnd w:id="23"/>
    <w:p w14:paraId="17734355">
      <w:pPr>
        <w:spacing w:line="360" w:lineRule="auto"/>
        <w:ind w:firstLine="0" w:firstLineChars="0"/>
        <w:jc w:val="center"/>
      </w:pPr>
      <w:bookmarkStart w:id="25" w:name="_Toc30691"/>
      <w:r>
        <w:rPr>
          <w:rFonts w:hint="eastAsia" w:ascii="Arial" w:hAnsi="Arial" w:cs="Arial"/>
          <w:b/>
          <w:bCs/>
          <w:kern w:val="0"/>
          <w:sz w:val="32"/>
          <w:szCs w:val="44"/>
        </w:rPr>
        <w:t xml:space="preserve">第五章 </w:t>
      </w:r>
      <w:r>
        <w:rPr>
          <w:rFonts w:ascii="Arial" w:hAnsi="Arial" w:cs="Arial"/>
          <w:b/>
          <w:bCs/>
          <w:kern w:val="0"/>
          <w:sz w:val="32"/>
          <w:szCs w:val="44"/>
        </w:rPr>
        <w:t>合同主要条款及格式</w:t>
      </w:r>
      <w:bookmarkEnd w:id="24"/>
      <w:bookmarkEnd w:id="25"/>
    </w:p>
    <w:p w14:paraId="3BEACCC0">
      <w:pPr>
        <w:jc w:val="center"/>
        <w:rPr>
          <w:rFonts w:hint="eastAsia" w:ascii="宋体" w:hAnsi="宋体" w:cs="宋体"/>
          <w:b/>
          <w:bCs/>
          <w:sz w:val="32"/>
          <w:szCs w:val="32"/>
        </w:rPr>
      </w:pPr>
      <w:r>
        <w:rPr>
          <w:rFonts w:hint="eastAsia" w:ascii="宋体" w:hAnsi="宋体" w:cs="宋体"/>
          <w:b/>
          <w:bCs/>
          <w:sz w:val="32"/>
          <w:szCs w:val="32"/>
        </w:rPr>
        <w:t> </w:t>
      </w:r>
    </w:p>
    <w:p w14:paraId="68FD3350">
      <w:pPr>
        <w:spacing w:line="360" w:lineRule="auto"/>
        <w:jc w:val="center"/>
        <w:outlineLvl w:val="1"/>
        <w:rPr>
          <w:rFonts w:hint="eastAsia" w:ascii="宋体" w:hAnsi="宋体" w:cs="宋体"/>
          <w:b/>
          <w:bCs/>
          <w:color w:val="auto"/>
          <w:sz w:val="48"/>
          <w:szCs w:val="48"/>
          <w:highlight w:val="none"/>
        </w:rPr>
      </w:pPr>
      <w:bookmarkStart w:id="26" w:name="_Toc28523"/>
      <w:r>
        <w:rPr>
          <w:rFonts w:hint="eastAsia" w:ascii="宋体" w:hAnsi="宋体" w:cs="宋体"/>
          <w:b/>
          <w:bCs/>
          <w:color w:val="auto"/>
          <w:sz w:val="48"/>
          <w:szCs w:val="48"/>
          <w:highlight w:val="none"/>
        </w:rPr>
        <w:t xml:space="preserve">政府采购合同  </w:t>
      </w:r>
    </w:p>
    <w:p w14:paraId="3A99FD70">
      <w:pPr>
        <w:spacing w:line="360" w:lineRule="auto"/>
        <w:jc w:val="center"/>
        <w:outlineLvl w:val="1"/>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（服务类）</w:t>
      </w:r>
    </w:p>
    <w:p w14:paraId="57F31690">
      <w:pPr>
        <w:pStyle w:val="292"/>
        <w:spacing w:line="440" w:lineRule="exact"/>
        <w:ind w:firstLine="0"/>
        <w:rPr>
          <w:rFonts w:hint="eastAsia" w:hAnsi="宋体" w:cs="宋体"/>
          <w:color w:val="auto"/>
          <w:sz w:val="24"/>
          <w:szCs w:val="24"/>
          <w:highlight w:val="none"/>
        </w:rPr>
      </w:pPr>
      <w:r>
        <w:rPr>
          <w:rFonts w:hint="eastAsia" w:hAnsi="宋体" w:cs="宋体"/>
          <w:color w:val="auto"/>
          <w:sz w:val="24"/>
          <w:szCs w:val="24"/>
          <w:highlight w:val="none"/>
        </w:rPr>
        <w:t xml:space="preserve"> </w:t>
      </w:r>
    </w:p>
    <w:p w14:paraId="2C5965F5">
      <w:pPr>
        <w:pStyle w:val="292"/>
        <w:spacing w:line="440" w:lineRule="exact"/>
        <w:ind w:firstLine="0"/>
        <w:rPr>
          <w:rFonts w:hint="eastAsia" w:hAnsi="宋体" w:cs="宋体"/>
          <w:color w:val="auto"/>
          <w:sz w:val="24"/>
          <w:szCs w:val="24"/>
          <w:highlight w:val="none"/>
        </w:rPr>
      </w:pPr>
      <w:r>
        <w:rPr>
          <w:rFonts w:hint="eastAsia" w:hAnsi="宋体" w:cs="宋体"/>
          <w:color w:val="auto"/>
          <w:sz w:val="24"/>
          <w:szCs w:val="24"/>
          <w:highlight w:val="none"/>
        </w:rPr>
        <w:t xml:space="preserve"> </w:t>
      </w:r>
    </w:p>
    <w:p w14:paraId="62881B09">
      <w:pPr>
        <w:pStyle w:val="292"/>
        <w:spacing w:line="440" w:lineRule="exact"/>
        <w:ind w:firstLine="0"/>
        <w:rPr>
          <w:rFonts w:hint="eastAsia" w:hAnsi="宋体" w:cs="宋体"/>
          <w:color w:val="auto"/>
          <w:sz w:val="24"/>
          <w:szCs w:val="24"/>
          <w:highlight w:val="none"/>
        </w:rPr>
      </w:pPr>
      <w:r>
        <w:rPr>
          <w:rFonts w:hint="eastAsia" w:hAnsi="宋体" w:cs="宋体"/>
          <w:color w:val="auto"/>
          <w:sz w:val="24"/>
          <w:szCs w:val="24"/>
          <w:highlight w:val="none"/>
        </w:rPr>
        <w:t xml:space="preserve">  </w:t>
      </w:r>
    </w:p>
    <w:p w14:paraId="1AC19AC4">
      <w:pPr>
        <w:pStyle w:val="292"/>
        <w:spacing w:line="440" w:lineRule="exact"/>
        <w:ind w:firstLine="0"/>
        <w:rPr>
          <w:rFonts w:hint="eastAsia" w:hAnsi="宋体" w:cs="宋体"/>
          <w:color w:val="auto"/>
          <w:sz w:val="24"/>
          <w:szCs w:val="24"/>
          <w:highlight w:val="none"/>
        </w:rPr>
      </w:pPr>
    </w:p>
    <w:p w14:paraId="58BB737C">
      <w:pPr>
        <w:pStyle w:val="292"/>
        <w:spacing w:line="440" w:lineRule="exact"/>
        <w:ind w:firstLine="0"/>
        <w:rPr>
          <w:rFonts w:hint="eastAsia" w:hAnsi="宋体" w:cs="宋体"/>
          <w:color w:val="auto"/>
          <w:sz w:val="24"/>
          <w:szCs w:val="24"/>
          <w:highlight w:val="none"/>
        </w:rPr>
      </w:pPr>
    </w:p>
    <w:p w14:paraId="5C59EB4E">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31942BB">
      <w:pPr>
        <w:spacing w:line="440" w:lineRule="exact"/>
        <w:ind w:left="960"/>
        <w:outlineLvl w:val="2"/>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lang w:val="en-US" w:eastAsia="zh-CN"/>
        </w:rPr>
        <w:t>江苏省人民医院雨花院区</w:t>
      </w:r>
      <w:r>
        <w:rPr>
          <w:rFonts w:hint="eastAsia" w:ascii="宋体" w:hAnsi="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cs="宋体"/>
          <w:color w:val="auto"/>
          <w:sz w:val="28"/>
          <w:szCs w:val="28"/>
          <w:highlight w:val="none"/>
          <w:u w:val="single"/>
        </w:rPr>
        <w:t>年门诊导医服务外包项目</w:t>
      </w:r>
    </w:p>
    <w:p w14:paraId="1CC18890">
      <w:pPr>
        <w:pStyle w:val="293"/>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BCEA408">
      <w:pPr>
        <w:spacing w:line="440" w:lineRule="exact"/>
        <w:ind w:left="960"/>
        <w:outlineLvl w:val="2"/>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甲方：</w:t>
      </w:r>
      <w:r>
        <w:rPr>
          <w:rFonts w:hint="eastAsia" w:ascii="宋体" w:hAnsi="宋体" w:cs="宋体"/>
          <w:color w:val="auto"/>
          <w:sz w:val="28"/>
          <w:szCs w:val="28"/>
          <w:highlight w:val="none"/>
          <w:u w:val="single"/>
          <w:lang w:val="en-US" w:eastAsia="zh-CN"/>
        </w:rPr>
        <w:t>江苏省人民医院（南京医科大学第一附属医院）</w:t>
      </w:r>
    </w:p>
    <w:p w14:paraId="57F44A39">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394EDB5C">
      <w:pPr>
        <w:spacing w:line="440" w:lineRule="exact"/>
        <w:ind w:left="960"/>
        <w:outlineLvl w:val="2"/>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乙方：</w:t>
      </w:r>
      <w:r>
        <w:rPr>
          <w:rFonts w:hint="eastAsia" w:ascii="宋体" w:hAnsi="宋体" w:cs="宋体"/>
          <w:color w:val="auto"/>
          <w:sz w:val="28"/>
          <w:szCs w:val="28"/>
          <w:highlight w:val="none"/>
          <w:u w:val="single"/>
        </w:rPr>
        <w:t xml:space="preserve">                                       </w:t>
      </w:r>
    </w:p>
    <w:p w14:paraId="3C02E19E">
      <w:pPr>
        <w:spacing w:line="440" w:lineRule="exact"/>
        <w:ind w:left="960"/>
        <w:rPr>
          <w:rFonts w:hint="eastAsia" w:ascii="宋体" w:hAnsi="宋体" w:cs="宋体"/>
          <w:color w:val="auto"/>
          <w:sz w:val="28"/>
          <w:szCs w:val="28"/>
          <w:highlight w:val="none"/>
          <w:u w:val="single"/>
        </w:rPr>
      </w:pPr>
    </w:p>
    <w:p w14:paraId="0CE40A63">
      <w:pPr>
        <w:spacing w:line="440" w:lineRule="exact"/>
        <w:ind w:left="960"/>
        <w:outlineLvl w:val="2"/>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签订地：</w:t>
      </w:r>
      <w:r>
        <w:rPr>
          <w:rFonts w:hint="eastAsia" w:ascii="宋体" w:hAnsi="宋体" w:cs="宋体"/>
          <w:color w:val="auto"/>
          <w:sz w:val="28"/>
          <w:szCs w:val="28"/>
          <w:highlight w:val="none"/>
          <w:u w:val="single"/>
          <w:lang w:val="en-US" w:eastAsia="zh-CN"/>
        </w:rPr>
        <w:t>南京市</w:t>
      </w:r>
    </w:p>
    <w:p w14:paraId="7904DBCB">
      <w:pPr>
        <w:spacing w:line="440" w:lineRule="exact"/>
        <w:ind w:left="960"/>
        <w:rPr>
          <w:rFonts w:hint="eastAsia" w:ascii="宋体" w:hAnsi="宋体" w:cs="宋体"/>
          <w:color w:val="auto"/>
          <w:sz w:val="28"/>
          <w:szCs w:val="28"/>
          <w:highlight w:val="none"/>
          <w:u w:val="single"/>
        </w:rPr>
      </w:pPr>
    </w:p>
    <w:p w14:paraId="15128967">
      <w:pPr>
        <w:spacing w:line="440" w:lineRule="exact"/>
        <w:ind w:left="960"/>
        <w:outlineLvl w:val="2"/>
        <w:rPr>
          <w:rFonts w:hint="eastAsia" w:ascii="宋体" w:hAnsi="宋体" w:cs="宋体"/>
          <w:color w:val="auto"/>
          <w:sz w:val="24"/>
          <w:highlight w:val="none"/>
          <w:u w:val="single"/>
        </w:rPr>
      </w:pPr>
      <w:r>
        <w:rPr>
          <w:rFonts w:hint="eastAsia" w:ascii="宋体" w:hAnsi="宋体" w:cs="宋体"/>
          <w:color w:val="auto"/>
          <w:sz w:val="28"/>
          <w:szCs w:val="28"/>
          <w:highlight w:val="none"/>
        </w:rPr>
        <w:t>签订日期：</w:t>
      </w:r>
      <w:r>
        <w:rPr>
          <w:rFonts w:hint="eastAsia" w:ascii="宋体" w:hAnsi="宋体" w:cs="宋体"/>
          <w:color w:val="auto"/>
          <w:sz w:val="28"/>
          <w:szCs w:val="28"/>
          <w:highlight w:val="none"/>
          <w:u w:val="single"/>
        </w:rPr>
        <w:t>202</w:t>
      </w:r>
      <w:r>
        <w:rPr>
          <w:rFonts w:hint="eastAsia" w:ascii="宋体" w:hAnsi="宋体" w:cs="宋体"/>
          <w:color w:val="auto"/>
          <w:sz w:val="28"/>
          <w:szCs w:val="28"/>
          <w:highlight w:val="none"/>
          <w:u w:val="singl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01AA769B">
      <w:pPr>
        <w:widowControl/>
        <w:spacing w:line="440" w:lineRule="exact"/>
        <w:jc w:val="left"/>
        <w:rPr>
          <w:rFonts w:hint="eastAsia" w:ascii="宋体" w:hAnsi="宋体" w:cs="宋体"/>
          <w:color w:val="auto"/>
          <w:sz w:val="24"/>
          <w:highlight w:val="none"/>
          <w:u w:val="single"/>
        </w:rPr>
        <w:sectPr>
          <w:pgSz w:w="11905" w:h="16838"/>
          <w:pgMar w:top="1803" w:right="1236" w:bottom="1803" w:left="1236" w:header="1020" w:footer="1020" w:gutter="0"/>
          <w:cols w:space="720" w:num="1"/>
          <w:docGrid w:linePitch="360" w:charSpace="0"/>
        </w:sectPr>
      </w:pPr>
    </w:p>
    <w:p w14:paraId="687EE08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   （政府采购方式）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（同前页项目名称）   </w:t>
      </w:r>
      <w:r>
        <w:rPr>
          <w:rFonts w:hint="eastAsia" w:ascii="宋体" w:hAnsi="宋体" w:cs="宋体"/>
          <w:color w:val="auto"/>
          <w:sz w:val="24"/>
          <w:highlight w:val="none"/>
        </w:rPr>
        <w:t>项目进行了采购。经</w:t>
      </w:r>
      <w:r>
        <w:rPr>
          <w:rFonts w:hint="eastAsia" w:ascii="宋体" w:hAnsi="宋体" w:cs="宋体"/>
          <w:color w:val="auto"/>
          <w:sz w:val="24"/>
          <w:highlight w:val="none"/>
          <w:u w:val="single"/>
        </w:rPr>
        <w:t xml:space="preserve">   （相关评定主体名称）   </w:t>
      </w:r>
      <w:r>
        <w:rPr>
          <w:rFonts w:hint="eastAsia" w:ascii="宋体" w:hAnsi="宋体" w:cs="宋体"/>
          <w:color w:val="auto"/>
          <w:sz w:val="24"/>
          <w:highlight w:val="none"/>
        </w:rPr>
        <w:t>评定，</w:t>
      </w:r>
      <w:r>
        <w:rPr>
          <w:rFonts w:hint="eastAsia" w:ascii="宋体" w:hAnsi="宋体" w:cs="宋体"/>
          <w:color w:val="auto"/>
          <w:sz w:val="24"/>
          <w:highlight w:val="none"/>
          <w:u w:val="single"/>
        </w:rPr>
        <w:t xml:space="preserve">   （中标供应商名称） </w:t>
      </w:r>
      <w:r>
        <w:rPr>
          <w:rFonts w:hint="eastAsia" w:ascii="宋体" w:hAnsi="宋体" w:cs="宋体"/>
          <w:color w:val="auto"/>
          <w:sz w:val="24"/>
          <w:highlight w:val="none"/>
        </w:rPr>
        <w:t>为该项目中标供应商。现于中标通知书发出之日起三十日内，按照采购文件确定的事项签订本合同。</w:t>
      </w:r>
    </w:p>
    <w:p w14:paraId="317F862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(以下简称：甲方)和</w:t>
      </w:r>
      <w:r>
        <w:rPr>
          <w:rFonts w:hint="eastAsia" w:ascii="宋体" w:hAnsi="宋体" w:cs="宋体"/>
          <w:color w:val="auto"/>
          <w:sz w:val="24"/>
          <w:highlight w:val="none"/>
          <w:u w:val="single"/>
        </w:rPr>
        <w:t xml:space="preserve">   （中标供应商名称）   </w:t>
      </w:r>
      <w:r>
        <w:rPr>
          <w:rFonts w:hint="eastAsia" w:ascii="宋体" w:hAnsi="宋体" w:cs="宋体"/>
          <w:color w:val="auto"/>
          <w:sz w:val="24"/>
          <w:highlight w:val="none"/>
        </w:rPr>
        <w:t>(以下简称：乙方)协商一致，约定以下合同条款，以兹共同遵守、全面履行。</w:t>
      </w:r>
    </w:p>
    <w:p w14:paraId="256873B6">
      <w:pPr>
        <w:spacing w:line="440" w:lineRule="exact"/>
        <w:ind w:firstLine="482"/>
        <w:outlineLvl w:val="2"/>
        <w:rPr>
          <w:rFonts w:hint="eastAsia" w:ascii="宋体" w:hAnsi="宋体" w:cs="宋体"/>
          <w:color w:val="auto"/>
          <w:sz w:val="24"/>
          <w:highlight w:val="none"/>
        </w:rPr>
      </w:pPr>
      <w:bookmarkStart w:id="27" w:name="_Toc30410"/>
      <w:r>
        <w:rPr>
          <w:rFonts w:hint="eastAsia" w:ascii="宋体" w:hAnsi="宋体" w:cs="宋体"/>
          <w:b/>
          <w:bCs/>
          <w:color w:val="auto"/>
          <w:sz w:val="24"/>
          <w:highlight w:val="none"/>
        </w:rPr>
        <w:t>1.1 合同组成部分</w:t>
      </w:r>
      <w:bookmarkEnd w:id="27"/>
    </w:p>
    <w:p w14:paraId="438ADA3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7DCCF8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 本合同及其补充合同、变更协议；</w:t>
      </w:r>
    </w:p>
    <w:p w14:paraId="115E24D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1.1.2 中标通知书；</w:t>
      </w:r>
    </w:p>
    <w:p w14:paraId="28B8050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1.1.3 投标文件（含澄清或者说明文件）；</w:t>
      </w:r>
    </w:p>
    <w:p w14:paraId="7EECA58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1.1.4 招标文件（含澄清或者修改文件）；</w:t>
      </w:r>
    </w:p>
    <w:p w14:paraId="51C77AA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1.1.5 其他相关采购文件。</w:t>
      </w:r>
    </w:p>
    <w:p w14:paraId="4CB33922">
      <w:pPr>
        <w:spacing w:line="440" w:lineRule="exact"/>
        <w:ind w:firstLine="482"/>
        <w:outlineLvl w:val="2"/>
        <w:rPr>
          <w:rFonts w:hint="eastAsia" w:ascii="宋体" w:hAnsi="宋体" w:cs="宋体"/>
          <w:b/>
          <w:bCs/>
          <w:color w:val="auto"/>
          <w:sz w:val="24"/>
          <w:highlight w:val="none"/>
        </w:rPr>
      </w:pPr>
      <w:bookmarkStart w:id="28" w:name="_Toc26988"/>
      <w:r>
        <w:rPr>
          <w:rFonts w:hint="eastAsia" w:ascii="宋体" w:hAnsi="宋体" w:cs="宋体"/>
          <w:b/>
          <w:bCs/>
          <w:color w:val="auto"/>
          <w:sz w:val="24"/>
          <w:highlight w:val="none"/>
        </w:rPr>
        <w:t>1.2 标的</w:t>
      </w:r>
      <w:bookmarkEnd w:id="28"/>
    </w:p>
    <w:p w14:paraId="6EFCD014">
      <w:pPr>
        <w:spacing w:line="440" w:lineRule="exact"/>
        <w:ind w:firstLine="48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1.2.1 标的名称：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p>
    <w:p w14:paraId="367EA876">
      <w:pPr>
        <w:spacing w:line="440" w:lineRule="exact"/>
        <w:ind w:firstLine="482"/>
        <w:outlineLvl w:val="2"/>
        <w:rPr>
          <w:rFonts w:hint="eastAsia" w:ascii="宋体" w:hAnsi="宋体" w:cs="宋体"/>
          <w:b/>
          <w:bCs/>
          <w:color w:val="auto"/>
          <w:sz w:val="24"/>
          <w:highlight w:val="none"/>
        </w:rPr>
      </w:pPr>
      <w:bookmarkStart w:id="29" w:name="_Toc32506"/>
      <w:r>
        <w:rPr>
          <w:rFonts w:hint="eastAsia" w:ascii="宋体" w:hAnsi="宋体" w:cs="宋体"/>
          <w:b/>
          <w:bCs/>
          <w:color w:val="auto"/>
          <w:sz w:val="24"/>
          <w:highlight w:val="none"/>
        </w:rPr>
        <w:t>1.3 价款</w:t>
      </w:r>
      <w:bookmarkEnd w:id="29"/>
    </w:p>
    <w:p w14:paraId="6454039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元人民币）。</w:t>
      </w:r>
    </w:p>
    <w:p w14:paraId="00E8B09E">
      <w:pPr>
        <w:spacing w:line="440" w:lineRule="exact"/>
        <w:ind w:firstLine="482"/>
        <w:outlineLvl w:val="2"/>
        <w:rPr>
          <w:rFonts w:hint="eastAsia" w:ascii="宋体" w:hAnsi="宋体" w:cs="宋体"/>
          <w:b/>
          <w:bCs/>
          <w:color w:val="auto"/>
          <w:sz w:val="24"/>
          <w:highlight w:val="none"/>
        </w:rPr>
      </w:pPr>
      <w:bookmarkStart w:id="30" w:name="_Toc2530"/>
      <w:r>
        <w:rPr>
          <w:rFonts w:hint="eastAsia" w:ascii="宋体" w:hAnsi="宋体" w:cs="宋体"/>
          <w:b/>
          <w:bCs/>
          <w:color w:val="auto"/>
          <w:sz w:val="24"/>
          <w:highlight w:val="none"/>
        </w:rPr>
        <w:t>1.4 付款方式和发票开具方式</w:t>
      </w:r>
      <w:bookmarkEnd w:id="30"/>
    </w:p>
    <w:p w14:paraId="579423B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1.4.1付款方式：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E165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B718520">
      <w:pPr>
        <w:spacing w:line="440" w:lineRule="exact"/>
        <w:ind w:firstLine="482"/>
        <w:outlineLvl w:val="2"/>
        <w:rPr>
          <w:rFonts w:hint="eastAsia" w:ascii="宋体" w:hAnsi="宋体" w:cs="宋体"/>
          <w:b/>
          <w:bCs/>
          <w:color w:val="auto"/>
          <w:sz w:val="24"/>
          <w:highlight w:val="none"/>
        </w:rPr>
      </w:pPr>
      <w:bookmarkStart w:id="31" w:name="_Toc2719"/>
      <w:r>
        <w:rPr>
          <w:rFonts w:hint="eastAsia" w:ascii="宋体" w:hAnsi="宋体" w:cs="宋体"/>
          <w:b/>
          <w:bCs/>
          <w:color w:val="auto"/>
          <w:sz w:val="24"/>
          <w:highlight w:val="none"/>
        </w:rPr>
        <w:t>1.5 履行期限、地点和方式</w:t>
      </w:r>
      <w:bookmarkEnd w:id="31"/>
    </w:p>
    <w:p w14:paraId="55517F66">
      <w:pPr>
        <w:spacing w:line="44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1.5.1 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C3DCB1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1.5.2 履行地点：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4A5F76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1.5.3 履行方式：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6AA42BF">
      <w:pPr>
        <w:spacing w:line="440" w:lineRule="exact"/>
        <w:ind w:firstLine="482"/>
        <w:outlineLvl w:val="2"/>
        <w:rPr>
          <w:rFonts w:hint="eastAsia" w:ascii="宋体" w:hAnsi="宋体" w:cs="宋体"/>
          <w:color w:val="auto"/>
          <w:sz w:val="24"/>
          <w:highlight w:val="none"/>
          <w:u w:val="single"/>
        </w:rPr>
      </w:pPr>
      <w:bookmarkStart w:id="32" w:name="_Toc22390"/>
      <w:r>
        <w:rPr>
          <w:rFonts w:hint="eastAsia" w:ascii="宋体" w:hAnsi="宋体" w:cs="宋体"/>
          <w:b/>
          <w:bCs/>
          <w:color w:val="auto"/>
          <w:sz w:val="24"/>
          <w:highlight w:val="none"/>
        </w:rPr>
        <w:t>1.6 违约责任</w:t>
      </w:r>
      <w:bookmarkEnd w:id="32"/>
    </w:p>
    <w:p w14:paraId="7740738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%；迟延履行的违约金计算数额达到前述最高限额之日起，甲方有权在要求乙方支付违约金的同时，书面通知乙方解除本合同；</w:t>
      </w:r>
    </w:p>
    <w:p w14:paraId="066E81A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%；迟延付款的违约金计算数额达到前述最高限额之日起，乙方有权在要求甲方支付违约金的同时，书面通知甲方解除本合同；</w:t>
      </w:r>
    </w:p>
    <w:p w14:paraId="4925E88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BCEB66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C23444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2CA88B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66DE5980">
      <w:pPr>
        <w:spacing w:line="440" w:lineRule="exact"/>
        <w:ind w:firstLine="482"/>
        <w:outlineLvl w:val="2"/>
        <w:rPr>
          <w:rFonts w:hint="eastAsia" w:ascii="宋体" w:hAnsi="宋体" w:cs="宋体"/>
          <w:b/>
          <w:bCs/>
          <w:color w:val="auto"/>
          <w:sz w:val="24"/>
          <w:highlight w:val="none"/>
        </w:rPr>
      </w:pPr>
      <w:bookmarkStart w:id="33" w:name="_Toc10618"/>
      <w:r>
        <w:rPr>
          <w:rFonts w:hint="eastAsia" w:ascii="宋体" w:hAnsi="宋体" w:cs="宋体"/>
          <w:b/>
          <w:bCs/>
          <w:color w:val="auto"/>
          <w:sz w:val="24"/>
          <w:highlight w:val="none"/>
        </w:rPr>
        <w:t>1.7 合同争议的解决</w:t>
      </w:r>
      <w:bookmarkEnd w:id="33"/>
    </w:p>
    <w:p w14:paraId="553B7FB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color w:val="auto"/>
          <w:sz w:val="24"/>
          <w:highlight w:val="none"/>
          <w:u w:val="single"/>
          <w:lang w:val="en-US" w:eastAsia="zh-CN"/>
        </w:rPr>
        <w:t>1.7.2</w:t>
      </w:r>
      <w:r>
        <w:rPr>
          <w:rFonts w:hint="eastAsia" w:ascii="宋体" w:hAnsi="宋体" w:cs="宋体"/>
          <w:color w:val="auto"/>
          <w:sz w:val="24"/>
          <w:highlight w:val="none"/>
        </w:rPr>
        <w:t>种方式解决：</w:t>
      </w:r>
    </w:p>
    <w:p w14:paraId="60BDEEE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1.7.1 将争议提交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仲裁委员会依申请仲裁时其现行有效的仲裁规则裁决；</w:t>
      </w:r>
    </w:p>
    <w:p w14:paraId="5329EA4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1.7.2 向</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甲方所在地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人民法院起诉。</w:t>
      </w:r>
    </w:p>
    <w:p w14:paraId="71B4BA01">
      <w:pPr>
        <w:spacing w:line="440" w:lineRule="exact"/>
        <w:rPr>
          <w:rFonts w:hint="eastAsia" w:ascii="宋体" w:hAnsi="宋体" w:cs="宋体"/>
          <w:color w:val="auto"/>
          <w:highlight w:val="none"/>
        </w:rPr>
        <w:sectPr>
          <w:pgSz w:w="11905" w:h="16838"/>
          <w:pgMar w:top="1803" w:right="1236" w:bottom="1803" w:left="1236" w:header="1020" w:footer="1020" w:gutter="0"/>
          <w:cols w:space="720" w:num="1"/>
          <w:docGrid w:linePitch="360" w:charSpace="0"/>
        </w:sectPr>
      </w:pPr>
    </w:p>
    <w:p w14:paraId="1AE6FFB8">
      <w:pPr>
        <w:pStyle w:val="292"/>
        <w:spacing w:line="440" w:lineRule="exact"/>
        <w:ind w:firstLine="200"/>
        <w:jc w:val="center"/>
        <w:outlineLvl w:val="1"/>
        <w:rPr>
          <w:rFonts w:hint="eastAsia" w:hAnsi="宋体" w:cs="宋体"/>
          <w:b/>
          <w:bCs/>
          <w:color w:val="auto"/>
          <w:sz w:val="24"/>
          <w:szCs w:val="24"/>
          <w:highlight w:val="none"/>
        </w:rPr>
      </w:pPr>
      <w:r>
        <w:rPr>
          <w:rFonts w:hint="eastAsia" w:hAnsi="宋体" w:cs="宋体"/>
          <w:b/>
          <w:bCs/>
          <w:color w:val="auto"/>
          <w:sz w:val="24"/>
          <w:szCs w:val="24"/>
          <w:highlight w:val="none"/>
        </w:rPr>
        <w:t xml:space="preserve"> </w:t>
      </w:r>
      <w:r>
        <w:rPr>
          <w:rFonts w:hint="eastAsia" w:hAnsi="宋体" w:eastAsia="宋体" w:cs="宋体"/>
          <w:b/>
          <w:bCs/>
          <w:color w:val="auto"/>
          <w:sz w:val="24"/>
          <w:szCs w:val="24"/>
          <w:highlight w:val="none"/>
          <w:lang w:val="en-US" w:eastAsia="zh-CN"/>
        </w:rPr>
        <w:t>二、</w:t>
      </w:r>
      <w:r>
        <w:rPr>
          <w:rFonts w:hint="eastAsia" w:hAnsi="宋体" w:cs="宋体"/>
          <w:b/>
          <w:bCs/>
          <w:color w:val="auto"/>
          <w:sz w:val="24"/>
          <w:szCs w:val="24"/>
          <w:highlight w:val="none"/>
        </w:rPr>
        <w:t xml:space="preserve"> 合同一般条款</w:t>
      </w:r>
    </w:p>
    <w:p w14:paraId="67AB3D1C">
      <w:pPr>
        <w:spacing w:line="440" w:lineRule="exact"/>
        <w:ind w:firstLine="482"/>
        <w:outlineLvl w:val="2"/>
        <w:rPr>
          <w:rFonts w:hint="eastAsia" w:ascii="宋体" w:hAnsi="宋体" w:cs="宋体"/>
          <w:b/>
          <w:bCs/>
          <w:color w:val="auto"/>
          <w:sz w:val="24"/>
          <w:highlight w:val="none"/>
        </w:rPr>
      </w:pPr>
      <w:bookmarkStart w:id="34" w:name="_Toc22727"/>
      <w:r>
        <w:rPr>
          <w:rFonts w:hint="eastAsia" w:ascii="宋体" w:hAnsi="宋体" w:cs="宋体"/>
          <w:b/>
          <w:bCs/>
          <w:color w:val="auto"/>
          <w:sz w:val="24"/>
          <w:highlight w:val="none"/>
        </w:rPr>
        <w:t>2.1 定义</w:t>
      </w:r>
      <w:bookmarkEnd w:id="34"/>
    </w:p>
    <w:p w14:paraId="32F04EA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本合同中的下列词语应按以下内容进行解释：</w:t>
      </w:r>
    </w:p>
    <w:p w14:paraId="691DB68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2.1.1 “合同”系指采购人和中标供应商签订的载明双方当事人所达成的协议，并包括所有的附件、附录和构成合同的其他文件。</w:t>
      </w:r>
    </w:p>
    <w:p w14:paraId="56E2C8A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2.1.2 “合同价”系指根据合同约定，中标供应商在完全履行合同义务后，采购人应支付给中标供应商的价格。</w:t>
      </w:r>
    </w:p>
    <w:p w14:paraId="1748DB9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2.1.3 “服务”系指中标供应商根据合同约定应向采购人履行的除货物和工程以外的其他政府采购对象，包括采购人自身需要的服务和向社会公众提供的公共服务。</w:t>
      </w:r>
    </w:p>
    <w:p w14:paraId="6E4BC16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2.1.4 “甲方”系指与中标供应商签署合同的采购人；采购人委托采购代理机构代表其与乙方签订合同的，采购人的授权委托书作为合同附件。</w:t>
      </w:r>
    </w:p>
    <w:p w14:paraId="44E57DE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4C97A55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2.1.6 “现场”系指合同约定提供服务的地点。</w:t>
      </w:r>
    </w:p>
    <w:p w14:paraId="635E7117">
      <w:pPr>
        <w:spacing w:line="440" w:lineRule="exact"/>
        <w:ind w:firstLine="482"/>
        <w:outlineLvl w:val="2"/>
        <w:rPr>
          <w:rFonts w:hint="eastAsia" w:ascii="宋体" w:hAnsi="宋体" w:cs="宋体"/>
          <w:b/>
          <w:bCs/>
          <w:color w:val="auto"/>
          <w:sz w:val="24"/>
          <w:highlight w:val="none"/>
        </w:rPr>
      </w:pPr>
      <w:bookmarkStart w:id="35" w:name="_Toc11775"/>
      <w:r>
        <w:rPr>
          <w:rFonts w:hint="eastAsia" w:ascii="宋体" w:hAnsi="宋体" w:cs="宋体"/>
          <w:b/>
          <w:bCs/>
          <w:color w:val="auto"/>
          <w:sz w:val="24"/>
          <w:highlight w:val="none"/>
        </w:rPr>
        <w:t>2.2 技术规范</w:t>
      </w:r>
      <w:bookmarkEnd w:id="35"/>
    </w:p>
    <w:p w14:paraId="674E8A1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FB8677E">
      <w:pPr>
        <w:spacing w:line="440" w:lineRule="exact"/>
        <w:ind w:firstLine="482"/>
        <w:outlineLvl w:val="2"/>
        <w:rPr>
          <w:rFonts w:hint="eastAsia" w:ascii="宋体" w:hAnsi="宋体" w:cs="宋体"/>
          <w:b/>
          <w:bCs/>
          <w:color w:val="auto"/>
          <w:sz w:val="24"/>
          <w:highlight w:val="none"/>
        </w:rPr>
      </w:pPr>
      <w:bookmarkStart w:id="36" w:name="_Toc19308"/>
      <w:r>
        <w:rPr>
          <w:rFonts w:hint="eastAsia" w:ascii="宋体" w:hAnsi="宋体" w:cs="宋体"/>
          <w:b/>
          <w:bCs/>
          <w:color w:val="auto"/>
          <w:sz w:val="24"/>
          <w:highlight w:val="none"/>
        </w:rPr>
        <w:t>2.3 知识产权</w:t>
      </w:r>
      <w:bookmarkEnd w:id="36"/>
    </w:p>
    <w:p w14:paraId="005933F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2A4F819">
      <w:pPr>
        <w:spacing w:line="440" w:lineRule="exact"/>
        <w:ind w:firstLine="482"/>
        <w:outlineLvl w:val="2"/>
        <w:rPr>
          <w:rFonts w:hint="eastAsia" w:ascii="宋体" w:hAnsi="宋体" w:cs="宋体"/>
          <w:b/>
          <w:bCs/>
          <w:color w:val="auto"/>
          <w:sz w:val="24"/>
          <w:highlight w:val="none"/>
        </w:rPr>
      </w:pPr>
      <w:r>
        <w:rPr>
          <w:rFonts w:hint="eastAsia" w:ascii="宋体" w:hAnsi="宋体" w:cs="宋体"/>
          <w:b/>
          <w:bCs/>
          <w:color w:val="auto"/>
          <w:sz w:val="24"/>
          <w:highlight w:val="none"/>
        </w:rPr>
        <w:t>2.4 履约检查和问题反馈</w:t>
      </w:r>
    </w:p>
    <w:p w14:paraId="1E679DC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50EACE7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2.4.2 合同履行期间，甲方有权将履行过程中出现的问题反馈给乙方，双方当事人应以书面形式约定需要完善和改进的内容。</w:t>
      </w:r>
    </w:p>
    <w:p w14:paraId="438967D8">
      <w:pPr>
        <w:spacing w:line="440" w:lineRule="exact"/>
        <w:ind w:firstLine="482"/>
        <w:outlineLvl w:val="2"/>
        <w:rPr>
          <w:rFonts w:hint="eastAsia" w:ascii="宋体" w:hAnsi="宋体" w:cs="宋体"/>
          <w:b/>
          <w:bCs/>
          <w:color w:val="auto"/>
          <w:sz w:val="24"/>
          <w:highlight w:val="none"/>
        </w:rPr>
      </w:pPr>
      <w:bookmarkStart w:id="37" w:name="_Toc2202"/>
      <w:r>
        <w:rPr>
          <w:rFonts w:hint="eastAsia" w:ascii="宋体" w:hAnsi="宋体" w:cs="宋体"/>
          <w:b/>
          <w:bCs/>
          <w:color w:val="auto"/>
          <w:sz w:val="24"/>
          <w:highlight w:val="none"/>
        </w:rPr>
        <w:t>2.5 结算方式和付款条件</w:t>
      </w:r>
      <w:bookmarkEnd w:id="37"/>
    </w:p>
    <w:p w14:paraId="134D040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详见</w:t>
      </w:r>
      <w:r>
        <w:rPr>
          <w:rFonts w:hint="eastAsia" w:ascii="宋体" w:hAnsi="宋体" w:cs="宋体"/>
          <w:b/>
          <w:bCs/>
          <w:i/>
          <w:iCs/>
          <w:color w:val="auto"/>
          <w:sz w:val="24"/>
          <w:highlight w:val="none"/>
          <w:u w:val="single"/>
        </w:rPr>
        <w:t>合同专用条款</w:t>
      </w:r>
      <w:r>
        <w:rPr>
          <w:rFonts w:hint="eastAsia" w:ascii="宋体" w:hAnsi="宋体" w:cs="宋体"/>
          <w:color w:val="auto"/>
          <w:sz w:val="24"/>
          <w:highlight w:val="none"/>
        </w:rPr>
        <w:t>。</w:t>
      </w:r>
    </w:p>
    <w:p w14:paraId="588C3900">
      <w:pPr>
        <w:spacing w:line="440" w:lineRule="exact"/>
        <w:ind w:firstLine="482"/>
        <w:outlineLvl w:val="2"/>
        <w:rPr>
          <w:rFonts w:hint="eastAsia" w:ascii="宋体" w:hAnsi="宋体" w:cs="宋体"/>
          <w:b/>
          <w:bCs/>
          <w:color w:val="auto"/>
          <w:sz w:val="24"/>
          <w:highlight w:val="none"/>
        </w:rPr>
      </w:pPr>
      <w:bookmarkStart w:id="38" w:name="_Toc2717"/>
      <w:r>
        <w:rPr>
          <w:rFonts w:hint="eastAsia" w:ascii="宋体" w:hAnsi="宋体" w:cs="宋体"/>
          <w:b/>
          <w:bCs/>
          <w:color w:val="auto"/>
          <w:sz w:val="24"/>
          <w:highlight w:val="none"/>
        </w:rPr>
        <w:t>2.6 技术资料和保密义务</w:t>
      </w:r>
      <w:bookmarkEnd w:id="38"/>
    </w:p>
    <w:p w14:paraId="5063EA7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2.6.1 乙方有权依据合同约定和项目需要，向甲方了解有关情况，调阅有关资料等，甲方应予积极配合；</w:t>
      </w:r>
    </w:p>
    <w:p w14:paraId="5B25A44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2.6.2 乙方有义务妥善保管和保护由甲方提供的前款信息和资料等；</w:t>
      </w:r>
    </w:p>
    <w:p w14:paraId="2E0130F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052801A1">
      <w:pPr>
        <w:spacing w:line="440" w:lineRule="exact"/>
        <w:ind w:firstLine="482"/>
        <w:outlineLvl w:val="2"/>
        <w:rPr>
          <w:rFonts w:hint="eastAsia" w:ascii="宋体" w:hAnsi="宋体" w:cs="宋体"/>
          <w:b/>
          <w:bCs/>
          <w:color w:val="auto"/>
          <w:sz w:val="24"/>
          <w:highlight w:val="none"/>
        </w:rPr>
      </w:pPr>
      <w:bookmarkStart w:id="39" w:name="_Toc10776"/>
      <w:r>
        <w:rPr>
          <w:rFonts w:hint="eastAsia" w:ascii="宋体" w:hAnsi="宋体" w:cs="宋体"/>
          <w:b/>
          <w:bCs/>
          <w:color w:val="auto"/>
          <w:sz w:val="24"/>
          <w:highlight w:val="none"/>
        </w:rPr>
        <w:t>2.7 质量保证</w:t>
      </w:r>
      <w:bookmarkEnd w:id="39"/>
    </w:p>
    <w:p w14:paraId="4F49A1E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2.7.1 乙方应建立和完善履行合同的内部质量保证体系，并提供相关内部规章制度给甲方，以便甲方进行监督检查；</w:t>
      </w:r>
    </w:p>
    <w:p w14:paraId="313495D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2.7.2 乙方应保证履行合同的人员数量和素质、软件和硬件设备的配置、场地、环境和设施等满足全面履行合同的要求，并应接受甲方的监督检查。</w:t>
      </w:r>
    </w:p>
    <w:p w14:paraId="6B73D48F">
      <w:pPr>
        <w:spacing w:line="440" w:lineRule="exact"/>
        <w:ind w:firstLine="482"/>
        <w:outlineLvl w:val="2"/>
        <w:rPr>
          <w:rFonts w:hint="eastAsia" w:ascii="宋体" w:hAnsi="宋体" w:cs="宋体"/>
          <w:b/>
          <w:bCs/>
          <w:color w:val="auto"/>
          <w:sz w:val="24"/>
          <w:highlight w:val="none"/>
        </w:rPr>
      </w:pPr>
      <w:bookmarkStart w:id="40" w:name="_Toc9357"/>
      <w:r>
        <w:rPr>
          <w:rFonts w:hint="eastAsia" w:ascii="宋体" w:hAnsi="宋体" w:cs="宋体"/>
          <w:b/>
          <w:bCs/>
          <w:color w:val="auto"/>
          <w:sz w:val="24"/>
          <w:highlight w:val="none"/>
        </w:rPr>
        <w:t>2.8 延迟履行</w:t>
      </w:r>
      <w:bookmarkEnd w:id="40"/>
    </w:p>
    <w:p w14:paraId="3F5C1E3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6D9F1D97">
      <w:pPr>
        <w:spacing w:line="440" w:lineRule="exact"/>
        <w:ind w:firstLine="482"/>
        <w:outlineLvl w:val="2"/>
        <w:rPr>
          <w:rFonts w:hint="eastAsia" w:ascii="宋体" w:hAnsi="宋体" w:cs="宋体"/>
          <w:b/>
          <w:bCs/>
          <w:color w:val="auto"/>
          <w:sz w:val="24"/>
          <w:highlight w:val="none"/>
        </w:rPr>
      </w:pPr>
      <w:bookmarkStart w:id="41" w:name="_Toc3631"/>
      <w:r>
        <w:rPr>
          <w:rFonts w:hint="eastAsia" w:ascii="宋体" w:hAnsi="宋体" w:cs="宋体"/>
          <w:b/>
          <w:bCs/>
          <w:color w:val="auto"/>
          <w:sz w:val="24"/>
          <w:highlight w:val="none"/>
        </w:rPr>
        <w:t>2.9 合同变更</w:t>
      </w:r>
      <w:bookmarkEnd w:id="41"/>
    </w:p>
    <w:p w14:paraId="65ECE4F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2.9.1 双方当事人协商一致，可以签订书面补充合同的形式变更合同，但不得违背采购文件确定的事项，且如果系追加与合同标的相同的服务的，那么所有补充合同的采购金额不得超过原合同价的10%；</w:t>
      </w:r>
    </w:p>
    <w:p w14:paraId="24641AE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2.9.2 合同继续履行将损害国家利益和社会公共利益的，双方当事人应当以书面形式变更合同。有过错的一方应当承担赔偿责任，双方当事人都有过错的，各自承担相应的责任。</w:t>
      </w:r>
    </w:p>
    <w:p w14:paraId="5BA5EDF0">
      <w:pPr>
        <w:spacing w:line="360" w:lineRule="auto"/>
        <w:ind w:firstLine="482"/>
        <w:outlineLvl w:val="2"/>
        <w:rPr>
          <w:rFonts w:hint="eastAsia" w:ascii="宋体" w:hAnsi="宋体" w:cs="宋体"/>
          <w:b/>
          <w:bCs/>
          <w:color w:val="auto"/>
          <w:sz w:val="24"/>
          <w:highlight w:val="none"/>
        </w:rPr>
      </w:pPr>
      <w:bookmarkStart w:id="42" w:name="_Toc23352"/>
      <w:r>
        <w:rPr>
          <w:rFonts w:hint="eastAsia" w:ascii="宋体" w:hAnsi="宋体" w:cs="宋体"/>
          <w:b/>
          <w:bCs/>
          <w:color w:val="auto"/>
          <w:sz w:val="24"/>
          <w:highlight w:val="none"/>
        </w:rPr>
        <w:t>2.10 合同转让和分包</w:t>
      </w:r>
      <w:bookmarkEnd w:id="42"/>
    </w:p>
    <w:p w14:paraId="4812E509">
      <w:pPr>
        <w:pStyle w:val="2"/>
        <w:spacing w:line="360" w:lineRule="auto"/>
        <w:ind w:firstLine="676" w:firstLineChars="282"/>
        <w:rPr>
          <w:rFonts w:hint="default" w:ascii="宋体" w:hAnsi="宋体" w:eastAsia="Times New Roman" w:cs="宋体"/>
          <w:color w:val="auto"/>
          <w:sz w:val="24"/>
          <w:szCs w:val="24"/>
          <w:highlight w:val="none"/>
          <w:lang w:val="en-US" w:eastAsia="zh-CN" w:bidi="ar-SA"/>
        </w:rPr>
      </w:pPr>
      <w:r>
        <w:rPr>
          <w:rFonts w:hint="eastAsia" w:ascii="宋体" w:hAnsi="宋体" w:eastAsia="Times New Roman" w:cs="宋体"/>
          <w:color w:val="auto"/>
          <w:sz w:val="24"/>
          <w:szCs w:val="24"/>
          <w:highlight w:val="none"/>
          <w:lang w:val="en-US" w:eastAsia="zh-CN" w:bidi="ar-SA"/>
        </w:rPr>
        <w:t>本项目不接受</w:t>
      </w:r>
      <w:r>
        <w:rPr>
          <w:rFonts w:hint="eastAsia" w:ascii="宋体" w:hAnsi="宋体" w:eastAsia="Times New Roman" w:cs="宋体"/>
          <w:color w:val="auto"/>
          <w:sz w:val="24"/>
          <w:szCs w:val="24"/>
          <w:highlight w:val="none"/>
          <w:lang w:bidi="ar-SA"/>
        </w:rPr>
        <w:t>转让和分包</w:t>
      </w:r>
    </w:p>
    <w:p w14:paraId="67A20620">
      <w:pPr>
        <w:spacing w:line="360" w:lineRule="auto"/>
        <w:ind w:firstLine="482"/>
        <w:outlineLvl w:val="2"/>
        <w:rPr>
          <w:rFonts w:hint="eastAsia" w:ascii="宋体" w:hAnsi="宋体" w:cs="宋体"/>
          <w:b/>
          <w:bCs/>
          <w:color w:val="auto"/>
          <w:sz w:val="24"/>
          <w:highlight w:val="none"/>
        </w:rPr>
      </w:pPr>
      <w:bookmarkStart w:id="43" w:name="_Toc22400"/>
      <w:r>
        <w:rPr>
          <w:rFonts w:hint="eastAsia" w:ascii="宋体" w:hAnsi="宋体" w:cs="宋体"/>
          <w:b/>
          <w:bCs/>
          <w:color w:val="auto"/>
          <w:sz w:val="24"/>
          <w:highlight w:val="none"/>
        </w:rPr>
        <w:t>2.11 不可抗力</w:t>
      </w:r>
      <w:bookmarkEnd w:id="43"/>
    </w:p>
    <w:p w14:paraId="33E1CE1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2.11.1如果任何一方遭遇法律规定的不可抗力，致使合同履行受阻时，履行合同的期限应予延长，延长的期限应相当于不可抗力所影响的时间；</w:t>
      </w:r>
    </w:p>
    <w:p w14:paraId="7973F84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2.11.2 因不可抗力致使不能实现合同目的的，当事人可以解除合同；</w:t>
      </w:r>
    </w:p>
    <w:p w14:paraId="7F57AB2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2.11.3 因不可抗力致使合同有变更必要的，双方当事人应在</w:t>
      </w:r>
      <w:r>
        <w:rPr>
          <w:rFonts w:hint="eastAsia" w:ascii="宋体" w:hAnsi="宋体" w:cs="宋体"/>
          <w:b/>
          <w:bCs/>
          <w:i/>
          <w:iCs/>
          <w:color w:val="auto"/>
          <w:sz w:val="24"/>
          <w:highlight w:val="none"/>
          <w:u w:val="single"/>
          <w:lang w:val="en-US" w:eastAsia="zh-CN"/>
        </w:rPr>
        <w:t>十个工作日</w:t>
      </w:r>
      <w:r>
        <w:rPr>
          <w:rFonts w:hint="eastAsia" w:ascii="宋体" w:hAnsi="宋体" w:cs="宋体"/>
          <w:color w:val="auto"/>
          <w:sz w:val="24"/>
          <w:highlight w:val="none"/>
        </w:rPr>
        <w:t>内以书面形式</w:t>
      </w:r>
      <w:r>
        <w:rPr>
          <w:rFonts w:hint="eastAsia" w:ascii="宋体" w:hAnsi="宋体" w:cs="宋体"/>
          <w:color w:val="auto"/>
          <w:sz w:val="24"/>
          <w:highlight w:val="none"/>
          <w:lang w:val="en-US" w:eastAsia="zh-CN"/>
        </w:rPr>
        <w:t>申请</w:t>
      </w:r>
      <w:r>
        <w:rPr>
          <w:rFonts w:hint="eastAsia" w:ascii="宋体" w:hAnsi="宋体" w:cs="宋体"/>
          <w:color w:val="auto"/>
          <w:sz w:val="24"/>
          <w:highlight w:val="none"/>
        </w:rPr>
        <w:t>变更合同；</w:t>
      </w:r>
    </w:p>
    <w:p w14:paraId="6EB14174">
      <w:pPr>
        <w:spacing w:line="440" w:lineRule="exact"/>
        <w:ind w:firstLine="48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2.11.4受不可抗力影响的一方在不可抗力发生后，应在</w:t>
      </w:r>
      <w:r>
        <w:rPr>
          <w:rFonts w:hint="eastAsia" w:ascii="宋体" w:hAnsi="宋体" w:cs="宋体"/>
          <w:b/>
          <w:bCs/>
          <w:i/>
          <w:iCs/>
          <w:color w:val="auto"/>
          <w:sz w:val="24"/>
          <w:highlight w:val="none"/>
          <w:u w:val="single"/>
          <w:lang w:val="en-US" w:eastAsia="zh-CN"/>
        </w:rPr>
        <w:t>十个工作日</w:t>
      </w:r>
      <w:r>
        <w:rPr>
          <w:rFonts w:hint="eastAsia" w:ascii="宋体" w:hAnsi="宋体" w:cs="宋体"/>
          <w:color w:val="auto"/>
          <w:sz w:val="24"/>
          <w:highlight w:val="none"/>
        </w:rPr>
        <w:t>内以书面形式通知对方当事人，并将有关部门出具的证明文件送达对方当事人。</w:t>
      </w:r>
    </w:p>
    <w:p w14:paraId="6DCCE6A2">
      <w:pPr>
        <w:spacing w:line="440" w:lineRule="exact"/>
        <w:ind w:firstLine="482"/>
        <w:outlineLvl w:val="2"/>
        <w:rPr>
          <w:rFonts w:hint="eastAsia" w:ascii="宋体" w:hAnsi="宋体" w:cs="宋体"/>
          <w:b/>
          <w:bCs/>
          <w:color w:val="auto"/>
          <w:sz w:val="24"/>
          <w:highlight w:val="none"/>
        </w:rPr>
      </w:pPr>
      <w:bookmarkStart w:id="44" w:name="_Toc29931"/>
      <w:r>
        <w:rPr>
          <w:rFonts w:hint="eastAsia" w:ascii="宋体" w:hAnsi="宋体" w:cs="宋体"/>
          <w:b/>
          <w:bCs/>
          <w:color w:val="auto"/>
          <w:sz w:val="24"/>
          <w:highlight w:val="none"/>
        </w:rPr>
        <w:t>2.12 税费</w:t>
      </w:r>
      <w:bookmarkEnd w:id="44"/>
    </w:p>
    <w:p w14:paraId="4D691A7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与合同有关的一切税费，均按照中华人民共和国法律的相关规定缴纳。</w:t>
      </w:r>
    </w:p>
    <w:p w14:paraId="11D4B608">
      <w:pPr>
        <w:spacing w:line="440" w:lineRule="exact"/>
        <w:ind w:firstLine="482"/>
        <w:outlineLvl w:val="2"/>
        <w:rPr>
          <w:rFonts w:hint="eastAsia" w:ascii="宋体" w:hAnsi="宋体" w:cs="宋体"/>
          <w:b/>
          <w:bCs/>
          <w:color w:val="auto"/>
          <w:sz w:val="24"/>
          <w:highlight w:val="none"/>
        </w:rPr>
      </w:pPr>
      <w:bookmarkStart w:id="45" w:name="_Toc28818"/>
      <w:r>
        <w:rPr>
          <w:rFonts w:hint="eastAsia" w:ascii="宋体" w:hAnsi="宋体" w:cs="宋体"/>
          <w:b/>
          <w:bCs/>
          <w:color w:val="auto"/>
          <w:sz w:val="24"/>
          <w:highlight w:val="none"/>
        </w:rPr>
        <w:t>2.13 乙方破产</w:t>
      </w:r>
      <w:bookmarkEnd w:id="45"/>
    </w:p>
    <w:p w14:paraId="25541ED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0EA0CCE">
      <w:pPr>
        <w:spacing w:line="440" w:lineRule="exact"/>
        <w:ind w:firstLine="482"/>
        <w:outlineLvl w:val="2"/>
        <w:rPr>
          <w:rFonts w:hint="eastAsia" w:ascii="宋体" w:hAnsi="宋体" w:cs="宋体"/>
          <w:b/>
          <w:bCs/>
          <w:color w:val="auto"/>
          <w:sz w:val="24"/>
          <w:highlight w:val="none"/>
        </w:rPr>
      </w:pPr>
      <w:bookmarkStart w:id="46" w:name="_Toc8665"/>
      <w:r>
        <w:rPr>
          <w:rFonts w:hint="eastAsia" w:ascii="宋体" w:hAnsi="宋体" w:cs="宋体"/>
          <w:b/>
          <w:bCs/>
          <w:color w:val="auto"/>
          <w:sz w:val="24"/>
          <w:highlight w:val="none"/>
        </w:rPr>
        <w:t>2.14 合同中止、终止</w:t>
      </w:r>
      <w:bookmarkEnd w:id="46"/>
    </w:p>
    <w:p w14:paraId="63FE6BE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2.14.1 双方当事人不得擅自中止或者终止合同；</w:t>
      </w:r>
    </w:p>
    <w:p w14:paraId="2F4A5EC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2.14.2合同继续履行将损害国家利益和社会公共利益的，双方当事人应当中止或者终止合同。有过错的一方应当承担赔偿责任，双方当事人都有过错的，各自承担相应的责任。</w:t>
      </w:r>
    </w:p>
    <w:p w14:paraId="3CCF9B40">
      <w:pPr>
        <w:spacing w:line="440" w:lineRule="exact"/>
        <w:ind w:firstLine="482"/>
        <w:outlineLvl w:val="2"/>
        <w:rPr>
          <w:rFonts w:hint="eastAsia" w:ascii="宋体" w:hAnsi="宋体" w:eastAsia="宋体" w:cs="宋体"/>
          <w:b/>
          <w:bCs/>
          <w:color w:val="auto"/>
          <w:sz w:val="24"/>
          <w:highlight w:val="none"/>
          <w:lang w:eastAsia="zh-CN"/>
        </w:rPr>
      </w:pPr>
      <w:bookmarkStart w:id="47" w:name="_Toc388"/>
      <w:r>
        <w:rPr>
          <w:rFonts w:hint="eastAsia" w:ascii="宋体" w:hAnsi="宋体" w:cs="宋体"/>
          <w:b/>
          <w:bCs/>
          <w:color w:val="auto"/>
          <w:sz w:val="24"/>
          <w:highlight w:val="none"/>
        </w:rPr>
        <w:t>2.15 检验和</w:t>
      </w:r>
      <w:r>
        <w:rPr>
          <w:rFonts w:hint="eastAsia" w:ascii="宋体" w:hAnsi="宋体" w:eastAsia="宋体" w:cs="宋体"/>
          <w:b/>
          <w:bCs/>
          <w:color w:val="auto"/>
          <w:sz w:val="24"/>
          <w:highlight w:val="none"/>
          <w:lang w:val="en-US" w:eastAsia="zh-CN"/>
        </w:rPr>
        <w:t>考核</w:t>
      </w:r>
      <w:bookmarkEnd w:id="47"/>
    </w:p>
    <w:p w14:paraId="57068521">
      <w:pPr>
        <w:spacing w:line="440" w:lineRule="exact"/>
        <w:ind w:firstLine="480"/>
        <w:rPr>
          <w:rFonts w:hint="eastAsia" w:ascii="宋体" w:hAnsi="宋体" w:eastAsia="Times New Roman" w:cs="宋体"/>
          <w:color w:val="auto"/>
          <w:sz w:val="24"/>
          <w:highlight w:val="none"/>
        </w:rPr>
      </w:pPr>
      <w:r>
        <w:rPr>
          <w:rFonts w:hint="eastAsia" w:ascii="宋体" w:hAnsi="宋体" w:eastAsia="Times New Roman" w:cs="宋体"/>
          <w:color w:val="auto"/>
          <w:sz w:val="24"/>
          <w:highlight w:val="none"/>
        </w:rPr>
        <w:t>2.15.1 乙方按照</w:t>
      </w:r>
      <w:r>
        <w:rPr>
          <w:rFonts w:hint="eastAsia" w:ascii="宋体" w:hAnsi="宋体" w:eastAsia="Times New Roman" w:cs="宋体"/>
          <w:color w:val="auto"/>
          <w:sz w:val="24"/>
          <w:highlight w:val="none"/>
          <w:lang w:val="en-US" w:eastAsia="zh-CN"/>
        </w:rPr>
        <w:t>月度服务质量考核标准</w:t>
      </w:r>
      <w:r>
        <w:rPr>
          <w:rFonts w:hint="eastAsia" w:ascii="宋体" w:hAnsi="宋体" w:eastAsia="Times New Roman" w:cs="宋体"/>
          <w:color w:val="auto"/>
          <w:sz w:val="24"/>
          <w:highlight w:val="none"/>
        </w:rPr>
        <w:t>的约定，定期提交服务报告，甲方按照</w:t>
      </w:r>
      <w:r>
        <w:rPr>
          <w:rFonts w:hint="eastAsia" w:ascii="宋体" w:hAnsi="宋体" w:eastAsia="Times New Roman" w:cs="宋体"/>
          <w:color w:val="auto"/>
          <w:sz w:val="24"/>
          <w:highlight w:val="none"/>
          <w:lang w:val="en-US" w:eastAsia="zh-CN"/>
        </w:rPr>
        <w:t>月度服务质量考核标准</w:t>
      </w:r>
      <w:r>
        <w:rPr>
          <w:rFonts w:hint="eastAsia" w:ascii="宋体" w:hAnsi="宋体" w:eastAsia="Times New Roman" w:cs="宋体"/>
          <w:color w:val="auto"/>
          <w:sz w:val="24"/>
          <w:highlight w:val="none"/>
        </w:rPr>
        <w:t>的约定进行</w:t>
      </w:r>
      <w:r>
        <w:rPr>
          <w:rFonts w:hint="eastAsia" w:ascii="宋体" w:hAnsi="宋体" w:eastAsia="Times New Roman" w:cs="宋体"/>
          <w:color w:val="auto"/>
          <w:sz w:val="24"/>
          <w:highlight w:val="none"/>
          <w:lang w:val="en-US" w:eastAsia="zh-CN"/>
        </w:rPr>
        <w:t>考核</w:t>
      </w:r>
      <w:r>
        <w:rPr>
          <w:rFonts w:hint="eastAsia" w:ascii="宋体" w:hAnsi="宋体" w:eastAsia="Times New Roman" w:cs="宋体"/>
          <w:color w:val="auto"/>
          <w:sz w:val="24"/>
          <w:highlight w:val="none"/>
        </w:rPr>
        <w:t>；</w:t>
      </w:r>
    </w:p>
    <w:p w14:paraId="007F74B3">
      <w:pPr>
        <w:spacing w:line="440" w:lineRule="exact"/>
        <w:ind w:firstLine="480"/>
        <w:rPr>
          <w:rFonts w:hint="default" w:ascii="宋体" w:hAnsi="宋体" w:eastAsia="Times New Roman" w:cs="宋体"/>
          <w:color w:val="auto"/>
          <w:sz w:val="24"/>
          <w:highlight w:val="none"/>
          <w:lang w:val="en-US" w:eastAsia="zh-CN"/>
        </w:rPr>
      </w:pPr>
      <w:r>
        <w:rPr>
          <w:rFonts w:hint="eastAsia" w:ascii="宋体" w:hAnsi="宋体" w:eastAsia="Times New Roman" w:cs="宋体"/>
          <w:color w:val="auto"/>
          <w:sz w:val="24"/>
          <w:highlight w:val="none"/>
          <w:lang w:val="en-US" w:eastAsia="zh-CN"/>
        </w:rPr>
        <w:t xml:space="preserve">  2.15.2 合同签订后</w:t>
      </w:r>
    </w:p>
    <w:p w14:paraId="0064B5E0">
      <w:pPr>
        <w:spacing w:line="440" w:lineRule="exact"/>
        <w:ind w:firstLine="480"/>
        <w:rPr>
          <w:rFonts w:hint="eastAsia" w:ascii="宋体" w:hAnsi="宋体" w:eastAsia="Times New Roman" w:cs="宋体"/>
          <w:color w:val="auto"/>
          <w:sz w:val="24"/>
          <w:highlight w:val="none"/>
        </w:rPr>
      </w:pPr>
      <w:r>
        <w:rPr>
          <w:rFonts w:hint="eastAsia" w:ascii="宋体" w:hAnsi="宋体" w:eastAsia="Times New Roman" w:cs="宋体"/>
          <w:color w:val="auto"/>
          <w:sz w:val="24"/>
          <w:highlight w:val="none"/>
        </w:rPr>
        <w:t>2.15.</w:t>
      </w:r>
      <w:r>
        <w:rPr>
          <w:rFonts w:hint="eastAsia" w:ascii="宋体" w:hAnsi="宋体" w:eastAsia="Times New Roman" w:cs="宋体"/>
          <w:color w:val="auto"/>
          <w:sz w:val="24"/>
          <w:highlight w:val="none"/>
          <w:lang w:val="en-US" w:eastAsia="zh-CN"/>
        </w:rPr>
        <w:t>3</w:t>
      </w:r>
      <w:r>
        <w:rPr>
          <w:rFonts w:hint="eastAsia" w:ascii="宋体" w:hAnsi="宋体" w:eastAsia="Times New Roman" w:cs="宋体"/>
          <w:color w:val="auto"/>
          <w:sz w:val="24"/>
          <w:highlight w:val="none"/>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F3D1B13">
      <w:pPr>
        <w:spacing w:line="440" w:lineRule="exact"/>
        <w:ind w:firstLine="482"/>
        <w:outlineLvl w:val="2"/>
        <w:rPr>
          <w:rFonts w:hint="eastAsia" w:ascii="宋体" w:hAnsi="宋体" w:cs="宋体"/>
          <w:b/>
          <w:bCs/>
          <w:color w:val="auto"/>
          <w:sz w:val="24"/>
          <w:highlight w:val="none"/>
        </w:rPr>
      </w:pPr>
      <w:bookmarkStart w:id="48" w:name="_Toc10095"/>
      <w:r>
        <w:rPr>
          <w:rFonts w:hint="eastAsia" w:ascii="宋体" w:hAnsi="宋体" w:cs="宋体"/>
          <w:b/>
          <w:bCs/>
          <w:color w:val="auto"/>
          <w:sz w:val="24"/>
          <w:highlight w:val="none"/>
        </w:rPr>
        <w:t>2.16 通知和送达</w:t>
      </w:r>
      <w:bookmarkEnd w:id="48"/>
    </w:p>
    <w:p w14:paraId="11AE9FF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个工作日内书面通知对方当事人，在对方当事人收到有关变更通知之前，变更前的约定送达方式或者地址仍视为有效。</w:t>
      </w:r>
    </w:p>
    <w:p w14:paraId="73C07F4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2.16.2以当面交付方式送达的，交付之时视为送达；以电子邮件方式送达的，发出电子邮件之时视为送达；以传真方式送达的，发出传真之时视为送达；以邮寄方式送达的，邮件挂号寄出或者交邮之日之次日视为送达。</w:t>
      </w:r>
    </w:p>
    <w:p w14:paraId="7C996C9D">
      <w:pPr>
        <w:spacing w:line="440" w:lineRule="exact"/>
        <w:ind w:firstLine="482"/>
        <w:outlineLvl w:val="2"/>
        <w:rPr>
          <w:rFonts w:hint="eastAsia" w:ascii="宋体" w:hAnsi="宋体" w:cs="宋体"/>
          <w:b/>
          <w:bCs/>
          <w:color w:val="auto"/>
          <w:sz w:val="24"/>
          <w:highlight w:val="none"/>
        </w:rPr>
      </w:pPr>
      <w:bookmarkStart w:id="49" w:name="_Toc18583"/>
      <w:r>
        <w:rPr>
          <w:rFonts w:hint="eastAsia" w:ascii="宋体" w:hAnsi="宋体" w:cs="宋体"/>
          <w:b/>
          <w:bCs/>
          <w:color w:val="auto"/>
          <w:sz w:val="24"/>
          <w:highlight w:val="none"/>
        </w:rPr>
        <w:t>2.17 合同使用的文字和适用的法律</w:t>
      </w:r>
      <w:bookmarkEnd w:id="49"/>
    </w:p>
    <w:p w14:paraId="43DAAD9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2.17.1 合同使用汉语书就、变更和解释；</w:t>
      </w:r>
    </w:p>
    <w:p w14:paraId="37F9F69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2.17.2 合同适用中华人民共和国法律。</w:t>
      </w:r>
    </w:p>
    <w:p w14:paraId="7C30BEFA">
      <w:pPr>
        <w:spacing w:line="440" w:lineRule="exact"/>
        <w:ind w:firstLine="482"/>
        <w:outlineLvl w:val="2"/>
        <w:rPr>
          <w:rFonts w:hint="eastAsia" w:ascii="宋体" w:hAnsi="宋体" w:cs="宋体"/>
          <w:b/>
          <w:bCs/>
          <w:color w:val="auto"/>
          <w:sz w:val="24"/>
          <w:highlight w:val="none"/>
        </w:rPr>
      </w:pPr>
      <w:bookmarkStart w:id="50" w:name="_Toc18258"/>
      <w:r>
        <w:rPr>
          <w:rFonts w:hint="eastAsia" w:ascii="宋体" w:hAnsi="宋体" w:cs="宋体"/>
          <w:b/>
          <w:bCs/>
          <w:color w:val="auto"/>
          <w:sz w:val="24"/>
          <w:highlight w:val="none"/>
        </w:rPr>
        <w:t>2.18 履约保证金</w:t>
      </w:r>
      <w:bookmarkEnd w:id="50"/>
    </w:p>
    <w:p w14:paraId="5FB132D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2.18.1 采购文件要求乙方提交履约保证金的，乙方应按约定方式，以支票、汇票、本票或者金融机构、担保机构出具的保函等非现金形式，提交合同价</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%的履约保证金；</w:t>
      </w:r>
    </w:p>
    <w:p w14:paraId="05E1945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2.18.2 履约保证金在约定期间内不予退还或者应完全有效，前述约定期间届满之日起</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个工作日内，甲方应将履约保证金退还乙方；</w:t>
      </w:r>
    </w:p>
    <w:p w14:paraId="27D3476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2.18.3 如果乙方不履行合同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包括但不限于项目</w:t>
      </w:r>
      <w:r>
        <w:rPr>
          <w:rFonts w:hint="eastAsia" w:ascii="宋体" w:hAnsi="宋体" w:cs="宋体"/>
          <w:color w:val="auto"/>
          <w:sz w:val="24"/>
          <w:highlight w:val="none"/>
          <w:lang w:val="en-US" w:eastAsia="zh-CN"/>
        </w:rPr>
        <w:t>经理</w:t>
      </w:r>
      <w:r>
        <w:rPr>
          <w:rFonts w:hint="eastAsia" w:ascii="宋体" w:hAnsi="宋体" w:eastAsia="宋体" w:cs="宋体"/>
          <w:color w:val="auto"/>
          <w:sz w:val="24"/>
          <w:highlight w:val="none"/>
          <w:lang w:val="en-US" w:eastAsia="zh-CN"/>
        </w:rPr>
        <w:t>脱岗离岗等情况</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，履约保证金不予退还；如果乙方未能按合同约定全面履行义务，那么甲方有权从履约保证金中取得补偿或赔偿，同时不影响甲方要求乙方承担合同约定的超过履约保证金的违约责任的权利。</w:t>
      </w:r>
    </w:p>
    <w:p w14:paraId="76D096DE">
      <w:pPr>
        <w:spacing w:line="440" w:lineRule="exact"/>
        <w:ind w:firstLine="482"/>
        <w:outlineLvl w:val="2"/>
        <w:rPr>
          <w:rFonts w:hint="eastAsia" w:ascii="宋体" w:hAnsi="宋体" w:cs="宋体"/>
          <w:b/>
          <w:bCs/>
          <w:color w:val="auto"/>
          <w:sz w:val="24"/>
          <w:highlight w:val="none"/>
        </w:rPr>
      </w:pPr>
      <w:r>
        <w:rPr>
          <w:rFonts w:hint="eastAsia" w:ascii="宋体" w:hAnsi="宋体" w:cs="宋体"/>
          <w:b/>
          <w:bCs/>
          <w:color w:val="auto"/>
          <w:sz w:val="24"/>
          <w:highlight w:val="none"/>
        </w:rPr>
        <w:t>2.19 合同份数</w:t>
      </w:r>
    </w:p>
    <w:p w14:paraId="04440AC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合同份数按</w:t>
      </w:r>
      <w:r>
        <w:rPr>
          <w:rFonts w:hint="eastAsia" w:ascii="宋体" w:hAnsi="宋体" w:cs="宋体"/>
          <w:b/>
          <w:bCs/>
          <w:i/>
          <w:iCs/>
          <w:color w:val="auto"/>
          <w:sz w:val="24"/>
          <w:highlight w:val="none"/>
          <w:u w:val="single"/>
        </w:rPr>
        <w:t>合同专用条款</w:t>
      </w:r>
      <w:r>
        <w:rPr>
          <w:rFonts w:hint="eastAsia" w:ascii="宋体" w:hAnsi="宋体" w:cs="宋体"/>
          <w:color w:val="auto"/>
          <w:sz w:val="24"/>
          <w:highlight w:val="none"/>
        </w:rPr>
        <w:t>规定，每份均具有同等法律效力。</w:t>
      </w:r>
    </w:p>
    <w:p w14:paraId="3BCA3195">
      <w:pPr>
        <w:pStyle w:val="292"/>
        <w:spacing w:line="440" w:lineRule="exact"/>
        <w:ind w:firstLine="0"/>
        <w:jc w:val="center"/>
        <w:outlineLvl w:val="1"/>
        <w:rPr>
          <w:rFonts w:hint="eastAsia" w:hAnsi="宋体" w:cs="宋体"/>
          <w:b/>
          <w:bCs/>
          <w:color w:val="auto"/>
          <w:sz w:val="24"/>
          <w:szCs w:val="24"/>
          <w:highlight w:val="none"/>
        </w:rPr>
      </w:pPr>
      <w:r>
        <w:rPr>
          <w:rFonts w:hint="eastAsia" w:hAnsi="宋体" w:cs="宋体"/>
          <w:color w:val="auto"/>
          <w:sz w:val="24"/>
          <w:szCs w:val="24"/>
          <w:highlight w:val="none"/>
        </w:rPr>
        <w:br w:type="page" w:clear="all"/>
      </w:r>
      <w:r>
        <w:rPr>
          <w:rFonts w:hint="eastAsia" w:hAnsi="宋体" w:eastAsia="宋体" w:cs="宋体"/>
          <w:b/>
          <w:bCs/>
          <w:color w:val="auto"/>
          <w:sz w:val="24"/>
          <w:szCs w:val="24"/>
          <w:highlight w:val="none"/>
          <w:lang w:val="en-US" w:eastAsia="zh-CN"/>
        </w:rPr>
        <w:t>三、</w:t>
      </w:r>
      <w:r>
        <w:rPr>
          <w:rFonts w:hint="eastAsia" w:hAnsi="宋体" w:cs="宋体"/>
          <w:b/>
          <w:bCs/>
          <w:color w:val="auto"/>
          <w:sz w:val="24"/>
          <w:szCs w:val="24"/>
          <w:highlight w:val="none"/>
        </w:rPr>
        <w:t>合同专用条款</w:t>
      </w:r>
    </w:p>
    <w:p w14:paraId="3348E43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58"/>
        <w:tblW w:w="4996"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25"/>
        <w:gridCol w:w="7153"/>
      </w:tblGrid>
      <w:tr w14:paraId="0E9D1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91" w:hRule="atLeast"/>
        </w:trPr>
        <w:tc>
          <w:tcPr>
            <w:tcW w:w="1135" w:type="dxa"/>
            <w:noWrap w:val="0"/>
            <w:vAlign w:val="center"/>
          </w:tcPr>
          <w:p w14:paraId="648F9766">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7220" w:type="dxa"/>
            <w:noWrap w:val="0"/>
            <w:vAlign w:val="center"/>
          </w:tcPr>
          <w:p w14:paraId="4F5FEC8A">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约定内容</w:t>
            </w:r>
          </w:p>
        </w:tc>
      </w:tr>
      <w:tr w14:paraId="4F74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1135" w:type="dxa"/>
            <w:noWrap w:val="0"/>
            <w:vAlign w:val="center"/>
          </w:tcPr>
          <w:p w14:paraId="4EEA66B0">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w:t>
            </w:r>
          </w:p>
        </w:tc>
        <w:tc>
          <w:tcPr>
            <w:tcW w:w="7220" w:type="dxa"/>
            <w:noWrap w:val="0"/>
            <w:vAlign w:val="center"/>
          </w:tcPr>
          <w:p w14:paraId="3F1B09D8">
            <w:pPr>
              <w:pStyle w:val="3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费用为投标人按采购人要求提供对应服务产生的全部开支，包含导医人员工资（薪资标准不得低于投标人所在地最低工资标准）、节假日加班费、管理费、物资装备费、成交服务费、税费、法定各类社保资金，以及中标服务商履职所需其他全部费用。</w:t>
            </w:r>
          </w:p>
        </w:tc>
      </w:tr>
      <w:tr w14:paraId="0111A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trPr>
        <w:tc>
          <w:tcPr>
            <w:tcW w:w="1135" w:type="dxa"/>
            <w:noWrap w:val="0"/>
            <w:vAlign w:val="center"/>
          </w:tcPr>
          <w:p w14:paraId="0E68A932">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w:t>
            </w:r>
          </w:p>
        </w:tc>
        <w:tc>
          <w:tcPr>
            <w:tcW w:w="7220" w:type="dxa"/>
            <w:noWrap w:val="0"/>
            <w:vAlign w:val="center"/>
          </w:tcPr>
          <w:p w14:paraId="32CFD096">
            <w:pPr>
              <w:pStyle w:val="3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SA"/>
              </w:rPr>
              <w:t>采购人在收到相应发票、考核情况等结算材料审核无误后按月付款</w:t>
            </w:r>
          </w:p>
        </w:tc>
      </w:tr>
      <w:tr w14:paraId="51BB3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trPr>
        <w:tc>
          <w:tcPr>
            <w:tcW w:w="1135" w:type="dxa"/>
            <w:noWrap w:val="0"/>
            <w:vAlign w:val="center"/>
          </w:tcPr>
          <w:p w14:paraId="1A700F50">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2.5.3</w:t>
            </w:r>
          </w:p>
        </w:tc>
        <w:tc>
          <w:tcPr>
            <w:tcW w:w="7220" w:type="dxa"/>
            <w:noWrap w:val="0"/>
            <w:vAlign w:val="center"/>
          </w:tcPr>
          <w:p w14:paraId="2E7B18EE">
            <w:pPr>
              <w:pStyle w:val="3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本项目实行包干制，甲方除支付本合同项下费用外不再承担其它任何费用。</w:t>
            </w:r>
          </w:p>
        </w:tc>
      </w:tr>
      <w:tr w14:paraId="74BE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6105FCEE">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2.5.4</w:t>
            </w:r>
          </w:p>
        </w:tc>
        <w:tc>
          <w:tcPr>
            <w:tcW w:w="7220" w:type="dxa"/>
            <w:noWrap w:val="0"/>
            <w:vAlign w:val="center"/>
          </w:tcPr>
          <w:p w14:paraId="03C6A51E">
            <w:pPr>
              <w:pStyle w:val="30"/>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2"/>
                <w:sz w:val="24"/>
                <w:szCs w:val="24"/>
                <w:highlight w:val="none"/>
              </w:rPr>
              <w:t>确因甲方工作需要，乙方应无条件配合甲方完成一些突击工作。</w:t>
            </w:r>
          </w:p>
        </w:tc>
      </w:tr>
      <w:tr w14:paraId="12262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699F9994">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2.5.5</w:t>
            </w:r>
          </w:p>
        </w:tc>
        <w:tc>
          <w:tcPr>
            <w:tcW w:w="7220" w:type="dxa"/>
            <w:noWrap w:val="0"/>
            <w:vAlign w:val="center"/>
          </w:tcPr>
          <w:p w14:paraId="2BCC802C">
            <w:pPr>
              <w:spacing w:line="44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月实际支付费用=</w:t>
            </w:r>
            <w:r>
              <w:rPr>
                <w:rFonts w:hint="eastAsia" w:ascii="宋体" w:hAnsi="宋体"/>
                <w:b/>
                <w:bCs/>
                <w:color w:val="auto"/>
                <w:sz w:val="24"/>
                <w:szCs w:val="24"/>
                <w:highlight w:val="none"/>
              </w:rPr>
              <w:t>实际在岗岗位数</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岗位费用单价</w:t>
            </w:r>
            <w:r>
              <w:rPr>
                <w:rFonts w:hint="eastAsia" w:ascii="宋体" w:hAnsi="宋体" w:eastAsia="宋体" w:cs="宋体"/>
                <w:color w:val="auto"/>
                <w:sz w:val="24"/>
                <w:szCs w:val="24"/>
                <w:highlight w:val="none"/>
                <w:lang w:val="en-US" w:eastAsia="zh-CN"/>
              </w:rPr>
              <w:t>*月度服务质量系数。</w:t>
            </w:r>
          </w:p>
          <w:p w14:paraId="04F9576C">
            <w:pPr>
              <w:spacing w:line="44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SA"/>
              </w:rPr>
              <w:t>月度服务质量考评表：每月进行一次考核，如考核分数在90-100分，</w:t>
            </w:r>
            <w:r>
              <w:rPr>
                <w:rFonts w:hint="eastAsia" w:ascii="宋体" w:hAnsi="宋体" w:eastAsia="宋体" w:cs="宋体"/>
                <w:color w:val="auto"/>
                <w:sz w:val="24"/>
                <w:szCs w:val="24"/>
                <w:highlight w:val="none"/>
                <w:lang w:val="en-US" w:eastAsia="zh-CN"/>
              </w:rPr>
              <w:t>月度服务质量系数为100%</w:t>
            </w:r>
            <w:r>
              <w:rPr>
                <w:rFonts w:hint="eastAsia" w:ascii="宋体" w:hAnsi="宋体" w:eastAsia="宋体" w:cs="宋体"/>
                <w:color w:val="auto"/>
                <w:kern w:val="2"/>
                <w:sz w:val="24"/>
                <w:szCs w:val="24"/>
                <w:highlight w:val="none"/>
                <w:lang w:val="en-US" w:eastAsia="zh-CN" w:bidi="ar-SA"/>
              </w:rPr>
              <w:t>；如考核分数在86-89分，</w:t>
            </w:r>
            <w:r>
              <w:rPr>
                <w:rFonts w:hint="eastAsia" w:ascii="宋体" w:hAnsi="宋体" w:eastAsia="宋体" w:cs="宋体"/>
                <w:color w:val="auto"/>
                <w:sz w:val="24"/>
                <w:szCs w:val="24"/>
                <w:highlight w:val="none"/>
                <w:lang w:val="en-US" w:eastAsia="zh-CN"/>
              </w:rPr>
              <w:t>月度服务质量系数为99%</w:t>
            </w:r>
            <w:r>
              <w:rPr>
                <w:rFonts w:hint="eastAsia" w:ascii="宋体" w:hAnsi="宋体" w:eastAsia="宋体" w:cs="宋体"/>
                <w:color w:val="auto"/>
                <w:kern w:val="2"/>
                <w:sz w:val="24"/>
                <w:szCs w:val="24"/>
                <w:highlight w:val="none"/>
                <w:lang w:val="en-US" w:eastAsia="zh-CN" w:bidi="ar-SA"/>
              </w:rPr>
              <w:t>；如考核分数在80-85分，</w:t>
            </w:r>
            <w:r>
              <w:rPr>
                <w:rFonts w:hint="eastAsia" w:ascii="宋体" w:hAnsi="宋体" w:eastAsia="宋体" w:cs="宋体"/>
                <w:color w:val="auto"/>
                <w:sz w:val="24"/>
                <w:szCs w:val="24"/>
                <w:highlight w:val="none"/>
                <w:lang w:val="en-US" w:eastAsia="zh-CN"/>
              </w:rPr>
              <w:t>月度服务质量系数为95%</w:t>
            </w:r>
            <w:r>
              <w:rPr>
                <w:rFonts w:hint="eastAsia" w:ascii="宋体" w:hAnsi="宋体" w:eastAsia="宋体" w:cs="宋体"/>
                <w:color w:val="auto"/>
                <w:kern w:val="2"/>
                <w:sz w:val="24"/>
                <w:szCs w:val="24"/>
                <w:highlight w:val="none"/>
                <w:lang w:val="en-US" w:eastAsia="zh-CN" w:bidi="ar-SA"/>
              </w:rPr>
              <w:t>；如考核分数在75-79分，</w:t>
            </w:r>
            <w:r>
              <w:rPr>
                <w:rFonts w:hint="eastAsia" w:ascii="宋体" w:hAnsi="宋体" w:eastAsia="宋体" w:cs="宋体"/>
                <w:color w:val="auto"/>
                <w:sz w:val="24"/>
                <w:szCs w:val="24"/>
                <w:highlight w:val="none"/>
                <w:lang w:val="en-US" w:eastAsia="zh-CN"/>
              </w:rPr>
              <w:t>月度服务质量系数为90%</w:t>
            </w:r>
            <w:r>
              <w:rPr>
                <w:rFonts w:hint="eastAsia" w:ascii="宋体" w:hAnsi="宋体" w:eastAsia="宋体" w:cs="宋体"/>
                <w:color w:val="auto"/>
                <w:kern w:val="2"/>
                <w:sz w:val="24"/>
                <w:szCs w:val="24"/>
                <w:highlight w:val="none"/>
                <w:lang w:val="en-US" w:eastAsia="zh-CN" w:bidi="ar-SA"/>
              </w:rPr>
              <w:t>；如考核分数在75以下，</w:t>
            </w:r>
            <w:r>
              <w:rPr>
                <w:rFonts w:hint="eastAsia" w:ascii="宋体" w:hAnsi="宋体" w:eastAsia="宋体" w:cs="宋体"/>
                <w:color w:val="auto"/>
                <w:sz w:val="24"/>
                <w:szCs w:val="24"/>
                <w:highlight w:val="none"/>
                <w:lang w:val="en-US" w:eastAsia="zh-CN"/>
              </w:rPr>
              <w:t>月度服务质量系数为80%且</w:t>
            </w:r>
            <w:r>
              <w:rPr>
                <w:rFonts w:hint="eastAsia" w:ascii="宋体" w:hAnsi="宋体" w:eastAsia="宋体" w:cs="宋体"/>
                <w:color w:val="auto"/>
                <w:kern w:val="2"/>
                <w:sz w:val="24"/>
                <w:szCs w:val="24"/>
                <w:highlight w:val="none"/>
                <w:lang w:val="en-US" w:eastAsia="zh-CN"/>
              </w:rPr>
              <w:t>采购人将有权单方解除合同并没收全部履约保证金</w:t>
            </w:r>
            <w:r>
              <w:rPr>
                <w:rFonts w:hint="eastAsia" w:ascii="宋体" w:hAnsi="宋体" w:eastAsia="宋体" w:cs="宋体"/>
                <w:color w:val="auto"/>
                <w:kern w:val="2"/>
                <w:sz w:val="24"/>
                <w:szCs w:val="24"/>
                <w:highlight w:val="none"/>
                <w:lang w:val="en-US" w:eastAsia="zh-CN" w:bidi="ar-SA"/>
              </w:rPr>
              <w:t>。</w:t>
            </w:r>
          </w:p>
        </w:tc>
      </w:tr>
      <w:tr w14:paraId="471F8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1FC9969D">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w:t>
            </w:r>
          </w:p>
        </w:tc>
        <w:tc>
          <w:tcPr>
            <w:tcW w:w="7220" w:type="dxa"/>
            <w:noWrap w:val="0"/>
            <w:vAlign w:val="center"/>
          </w:tcPr>
          <w:p w14:paraId="7E66D15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本合同一式</w:t>
            </w:r>
            <w:r>
              <w:rPr>
                <w:rFonts w:hint="eastAsia" w:ascii="宋体" w:hAnsi="宋体" w:eastAsia="宋体" w:cs="宋体"/>
                <w:color w:val="auto"/>
                <w:kern w:val="2"/>
                <w:sz w:val="24"/>
                <w:szCs w:val="24"/>
                <w:highlight w:val="none"/>
                <w:lang w:val="en-US" w:eastAsia="zh-CN"/>
              </w:rPr>
              <w:t>玖</w:t>
            </w:r>
            <w:r>
              <w:rPr>
                <w:rFonts w:hint="eastAsia" w:ascii="宋体" w:hAnsi="宋体" w:eastAsia="宋体" w:cs="宋体"/>
                <w:color w:val="auto"/>
                <w:kern w:val="2"/>
                <w:sz w:val="24"/>
                <w:szCs w:val="24"/>
                <w:highlight w:val="none"/>
              </w:rPr>
              <w:t>份，甲方执</w:t>
            </w:r>
            <w:r>
              <w:rPr>
                <w:rFonts w:hint="eastAsia" w:ascii="宋体" w:hAnsi="宋体" w:eastAsia="宋体" w:cs="宋体"/>
                <w:color w:val="auto"/>
                <w:kern w:val="2"/>
                <w:sz w:val="24"/>
                <w:szCs w:val="24"/>
                <w:highlight w:val="none"/>
                <w:lang w:val="en-US" w:eastAsia="zh-CN"/>
              </w:rPr>
              <w:t>陆</w:t>
            </w:r>
            <w:r>
              <w:rPr>
                <w:rFonts w:hint="eastAsia" w:ascii="宋体" w:hAnsi="宋体" w:eastAsia="宋体" w:cs="宋体"/>
                <w:color w:val="auto"/>
                <w:kern w:val="2"/>
                <w:sz w:val="24"/>
                <w:szCs w:val="24"/>
                <w:highlight w:val="none"/>
              </w:rPr>
              <w:t>份</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乙方执叁份</w:t>
            </w:r>
            <w:r>
              <w:rPr>
                <w:rFonts w:hint="eastAsia" w:ascii="宋体" w:hAnsi="宋体" w:eastAsia="宋体" w:cs="宋体"/>
                <w:color w:val="auto"/>
                <w:kern w:val="2"/>
                <w:sz w:val="24"/>
                <w:szCs w:val="24"/>
                <w:highlight w:val="none"/>
              </w:rPr>
              <w:t>。</w:t>
            </w:r>
          </w:p>
        </w:tc>
      </w:tr>
      <w:tr w14:paraId="0FBB6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3E1CE3D3">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2.20</w:t>
            </w:r>
          </w:p>
        </w:tc>
        <w:tc>
          <w:tcPr>
            <w:tcW w:w="7220" w:type="dxa"/>
            <w:noWrap w:val="0"/>
            <w:vAlign w:val="center"/>
          </w:tcPr>
          <w:p w14:paraId="4649E626">
            <w:pPr>
              <w:spacing w:line="440" w:lineRule="exac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乙方必须每月准时给导医人员发放工资及绩效。</w:t>
            </w:r>
          </w:p>
        </w:tc>
      </w:tr>
      <w:tr w14:paraId="128B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6347A2DA">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w:t>
            </w:r>
          </w:p>
        </w:tc>
        <w:tc>
          <w:tcPr>
            <w:tcW w:w="7220" w:type="dxa"/>
            <w:noWrap w:val="0"/>
            <w:vAlign w:val="center"/>
          </w:tcPr>
          <w:p w14:paraId="04D1306F">
            <w:pPr>
              <w:spacing w:line="440" w:lineRule="exac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bidi="ar-SA"/>
              </w:rPr>
              <w:t>正常情况下，本项目实际</w:t>
            </w:r>
            <w:r>
              <w:rPr>
                <w:rFonts w:hint="eastAsia" w:ascii="宋体" w:hAnsi="宋体" w:eastAsia="宋体" w:cs="宋体"/>
                <w:color w:val="auto"/>
                <w:sz w:val="24"/>
                <w:szCs w:val="24"/>
                <w:highlight w:val="none"/>
                <w:lang w:val="en-US" w:eastAsia="zh-CN"/>
              </w:rPr>
              <w:t>岗位数</w:t>
            </w:r>
            <w:r>
              <w:rPr>
                <w:rFonts w:hint="eastAsia" w:ascii="宋体" w:hAnsi="宋体" w:eastAsia="宋体" w:cs="宋体"/>
                <w:color w:val="auto"/>
                <w:sz w:val="24"/>
                <w:szCs w:val="24"/>
                <w:highlight w:val="none"/>
                <w:lang w:val="en-US" w:eastAsia="zh-CN" w:bidi="ar-SA"/>
              </w:rPr>
              <w:t>不少于32，如遇不可预见情形（比如自然灾害、疫情等）导致导医岗位数变动。当岗位数变动幅度不超过5%时，费用不变，如岗位数变动幅度超过5%时双方另行协商解决。</w:t>
            </w:r>
          </w:p>
        </w:tc>
      </w:tr>
      <w:tr w14:paraId="0498C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288E0DED">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w:t>
            </w:r>
          </w:p>
        </w:tc>
        <w:tc>
          <w:tcPr>
            <w:tcW w:w="7220" w:type="dxa"/>
            <w:noWrap w:val="0"/>
            <w:vAlign w:val="center"/>
          </w:tcPr>
          <w:p w14:paraId="3CB22C72">
            <w:pPr>
              <w:spacing w:line="440" w:lineRule="exac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因本项目所在地最低工资调整、社保基数调整导致的用工成本增加，</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支付相应的费用</w:t>
            </w:r>
            <w:r>
              <w:rPr>
                <w:rFonts w:hint="eastAsia" w:ascii="宋体" w:hAnsi="宋体" w:eastAsia="宋体" w:cs="宋体"/>
                <w:color w:val="auto"/>
                <w:sz w:val="24"/>
                <w:szCs w:val="24"/>
                <w:highlight w:val="none"/>
                <w:lang w:eastAsia="zh-CN"/>
              </w:rPr>
              <w:t>。</w:t>
            </w:r>
          </w:p>
        </w:tc>
      </w:tr>
      <w:tr w14:paraId="212B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1135" w:type="dxa"/>
            <w:noWrap w:val="0"/>
            <w:vAlign w:val="center"/>
          </w:tcPr>
          <w:p w14:paraId="30A846B4">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w:t>
            </w:r>
          </w:p>
        </w:tc>
        <w:tc>
          <w:tcPr>
            <w:tcW w:w="7220" w:type="dxa"/>
            <w:noWrap w:val="0"/>
            <w:vAlign w:val="center"/>
          </w:tcPr>
          <w:p w14:paraId="7D060F16">
            <w:pPr>
              <w:spacing w:line="440" w:lineRule="exact"/>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月度应付服务费由乙方实际投入服务量进行弹性核算，最终金额经甲方考核后生效。</w:t>
            </w:r>
          </w:p>
        </w:tc>
      </w:tr>
    </w:tbl>
    <w:p w14:paraId="0EFBF2E5">
      <w:pPr>
        <w:spacing w:line="440" w:lineRule="exact"/>
        <w:ind w:firstLine="480"/>
        <w:rPr>
          <w:rFonts w:hint="eastAsia" w:ascii="宋体" w:hAnsi="宋体" w:cs="宋体"/>
          <w:color w:val="auto"/>
          <w:sz w:val="24"/>
          <w:highlight w:val="none"/>
        </w:rPr>
      </w:pPr>
    </w:p>
    <w:p w14:paraId="7EA3BD14">
      <w:pPr>
        <w:pStyle w:val="2"/>
        <w:rPr>
          <w:rFonts w:hint="eastAsia"/>
          <w:color w:val="auto"/>
          <w:highlight w:val="none"/>
        </w:rPr>
      </w:pPr>
    </w:p>
    <w:p w14:paraId="34FFFA7C">
      <w:pPr>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甲方（公章）：                     乙方（公章）：</w:t>
      </w:r>
    </w:p>
    <w:p w14:paraId="37DC227A">
      <w:pPr>
        <w:spacing w:line="360" w:lineRule="auto"/>
        <w:textAlignment w:val="baseline"/>
        <w:rPr>
          <w:color w:val="auto"/>
          <w:sz w:val="24"/>
          <w:szCs w:val="24"/>
          <w:highlight w:val="none"/>
        </w:rPr>
      </w:pPr>
      <w:r>
        <w:rPr>
          <w:rFonts w:hint="eastAsia"/>
          <w:color w:val="auto"/>
          <w:sz w:val="24"/>
          <w:szCs w:val="24"/>
          <w:highlight w:val="none"/>
          <w:lang w:val="en-US" w:eastAsia="zh-CN"/>
        </w:rPr>
        <w:t>单位地址：                         单位地址：</w:t>
      </w:r>
    </w:p>
    <w:p w14:paraId="4E11821F">
      <w:pPr>
        <w:spacing w:line="360" w:lineRule="auto"/>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授权代理人：            法定代表人</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授权代理人：                      </w:t>
      </w:r>
    </w:p>
    <w:p w14:paraId="60C25494">
      <w:pPr>
        <w:spacing w:line="360" w:lineRule="auto"/>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门诊部负责人：</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项目负责人：</w:t>
      </w:r>
      <w:r>
        <w:rPr>
          <w:rFonts w:hint="eastAsia" w:ascii="宋体" w:hAnsi="宋体" w:cs="宋体"/>
          <w:color w:val="auto"/>
          <w:sz w:val="24"/>
          <w:szCs w:val="24"/>
          <w:highlight w:val="none"/>
        </w:rPr>
        <w:t xml:space="preserve">    </w:t>
      </w:r>
    </w:p>
    <w:p w14:paraId="7F50302D">
      <w:pPr>
        <w:spacing w:line="360" w:lineRule="auto"/>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合同签署时间：  </w:t>
      </w:r>
      <w:r>
        <w:rPr>
          <w:rFonts w:hint="eastAsia" w:ascii="宋体" w:hAnsi="宋体" w:cs="宋体"/>
          <w:color w:val="auto"/>
          <w:sz w:val="24"/>
          <w:szCs w:val="24"/>
          <w:highlight w:val="none"/>
        </w:rPr>
        <w:t xml:space="preserve">年 月 日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合同签署时间：  </w:t>
      </w:r>
      <w:r>
        <w:rPr>
          <w:rFonts w:hint="eastAsia" w:ascii="宋体" w:hAnsi="宋体" w:cs="宋体"/>
          <w:color w:val="auto"/>
          <w:sz w:val="24"/>
          <w:szCs w:val="24"/>
          <w:highlight w:val="none"/>
        </w:rPr>
        <w:t>年 月 日</w:t>
      </w:r>
    </w:p>
    <w:p w14:paraId="4090B5D3"/>
    <w:p w14:paraId="580D5B77">
      <w:pPr>
        <w:rPr>
          <w:rFonts w:hint="eastAsia"/>
        </w:rPr>
      </w:pPr>
    </w:p>
    <w:p w14:paraId="2AE96F98">
      <w:pPr>
        <w:pStyle w:val="30"/>
        <w:rPr>
          <w:rFonts w:hint="eastAsia"/>
        </w:rPr>
      </w:pPr>
    </w:p>
    <w:p w14:paraId="1657ACF1">
      <w:pPr>
        <w:pStyle w:val="30"/>
        <w:rPr>
          <w:rFonts w:hint="eastAsia"/>
        </w:rPr>
      </w:pPr>
    </w:p>
    <w:p w14:paraId="5062B26E">
      <w:pPr>
        <w:pStyle w:val="30"/>
        <w:rPr>
          <w:rFonts w:hint="eastAsia"/>
        </w:rPr>
      </w:pPr>
    </w:p>
    <w:p w14:paraId="1006D176">
      <w:pPr>
        <w:pStyle w:val="30"/>
        <w:rPr>
          <w:rFonts w:hint="eastAsia"/>
        </w:rPr>
      </w:pPr>
    </w:p>
    <w:p w14:paraId="1BDB317E">
      <w:pPr>
        <w:pStyle w:val="30"/>
        <w:rPr>
          <w:rFonts w:hint="eastAsia"/>
        </w:rPr>
      </w:pPr>
    </w:p>
    <w:p w14:paraId="39D7B8A9">
      <w:pPr>
        <w:pStyle w:val="30"/>
        <w:rPr>
          <w:rFonts w:hint="eastAsia"/>
        </w:rPr>
      </w:pPr>
    </w:p>
    <w:p w14:paraId="0D3CCE0A">
      <w:pPr>
        <w:pStyle w:val="30"/>
        <w:rPr>
          <w:rFonts w:hint="eastAsia"/>
        </w:rPr>
      </w:pPr>
    </w:p>
    <w:p w14:paraId="42CEF287">
      <w:pPr>
        <w:pStyle w:val="30"/>
        <w:rPr>
          <w:rFonts w:hint="eastAsia"/>
        </w:rPr>
      </w:pPr>
    </w:p>
    <w:p w14:paraId="3AD48ED3">
      <w:pPr>
        <w:pStyle w:val="30"/>
        <w:rPr>
          <w:rFonts w:hint="eastAsia"/>
        </w:rPr>
      </w:pPr>
    </w:p>
    <w:p w14:paraId="6222AE29">
      <w:pPr>
        <w:pStyle w:val="30"/>
        <w:rPr>
          <w:rFonts w:hint="eastAsia"/>
        </w:rPr>
      </w:pPr>
    </w:p>
    <w:p w14:paraId="6ECF452F">
      <w:pPr>
        <w:pStyle w:val="30"/>
        <w:rPr>
          <w:rFonts w:hint="eastAsia"/>
        </w:rPr>
      </w:pPr>
    </w:p>
    <w:p w14:paraId="72213DDD">
      <w:pPr>
        <w:pStyle w:val="30"/>
        <w:rPr>
          <w:rFonts w:hint="eastAsia"/>
        </w:rPr>
      </w:pPr>
    </w:p>
    <w:p w14:paraId="3E44A4F3">
      <w:pPr>
        <w:pStyle w:val="30"/>
        <w:rPr>
          <w:rFonts w:hint="eastAsia"/>
        </w:rPr>
      </w:pPr>
    </w:p>
    <w:p w14:paraId="7EAAC60C">
      <w:pPr>
        <w:pStyle w:val="30"/>
        <w:rPr>
          <w:rFonts w:hint="eastAsia"/>
        </w:rPr>
      </w:pPr>
    </w:p>
    <w:p w14:paraId="7734DE8D">
      <w:pPr>
        <w:pStyle w:val="30"/>
        <w:rPr>
          <w:rFonts w:hint="eastAsia"/>
        </w:rPr>
      </w:pPr>
    </w:p>
    <w:p w14:paraId="4FFAD799">
      <w:pPr>
        <w:bidi w:val="0"/>
        <w:rPr>
          <w:rFonts w:hint="eastAsia" w:ascii="黑体" w:eastAsia="黑体"/>
          <w:bCs/>
          <w:color w:val="000000"/>
          <w:sz w:val="24"/>
          <w:szCs w:val="24"/>
          <w:lang w:val="en-US" w:eastAsia="zh-CN"/>
        </w:rPr>
      </w:pPr>
      <w:r>
        <w:rPr>
          <w:rFonts w:hint="eastAsia" w:ascii="黑体" w:eastAsia="黑体"/>
          <w:bCs/>
          <w:color w:val="000000"/>
          <w:sz w:val="24"/>
          <w:szCs w:val="24"/>
          <w:lang w:val="en-US" w:eastAsia="zh-CN"/>
        </w:rPr>
        <w:t>附件一：月度考核表</w:t>
      </w:r>
    </w:p>
    <w:p w14:paraId="002D5668">
      <w:pPr>
        <w:bidi w:val="0"/>
        <w:rPr>
          <w:rFonts w:hint="eastAsia" w:ascii="黑体" w:eastAsia="黑体"/>
          <w:bCs/>
          <w:color w:val="000000"/>
          <w:sz w:val="24"/>
          <w:szCs w:val="24"/>
          <w:lang w:val="en-US" w:eastAsia="zh-CN"/>
        </w:rPr>
      </w:pPr>
    </w:p>
    <w:tbl>
      <w:tblPr>
        <w:tblStyle w:val="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66"/>
        <w:gridCol w:w="4617"/>
        <w:gridCol w:w="2906"/>
      </w:tblGrid>
      <w:tr w14:paraId="65C0B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5000" w:type="pct"/>
            <w:gridSpan w:val="3"/>
            <w:tcBorders>
              <w:tl2br w:val="nil"/>
              <w:tr2bl w:val="nil"/>
            </w:tcBorders>
            <w:noWrap w:val="0"/>
            <w:vAlign w:val="center"/>
          </w:tcPr>
          <w:p w14:paraId="14071D10">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考核标准(总分100分)</w:t>
            </w:r>
          </w:p>
        </w:tc>
      </w:tr>
      <w:tr w14:paraId="566D1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000" w:type="pct"/>
            <w:gridSpan w:val="3"/>
            <w:tcBorders>
              <w:tl2br w:val="nil"/>
              <w:tr2bl w:val="nil"/>
            </w:tcBorders>
            <w:noWrap w:val="0"/>
            <w:vAlign w:val="top"/>
          </w:tcPr>
          <w:p w14:paraId="7636767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导医管理考核量化评分标准</w:t>
            </w:r>
            <w:r>
              <w:rPr>
                <w:rFonts w:hint="eastAsia" w:ascii="宋体" w:hAnsi="宋体" w:eastAsia="宋体" w:cs="宋体"/>
                <w:b/>
                <w:bCs/>
                <w:color w:val="auto"/>
                <w:sz w:val="22"/>
                <w:szCs w:val="22"/>
                <w:highlight w:val="none"/>
                <w:lang w:val="en-US" w:eastAsia="zh-CN"/>
              </w:rPr>
              <w:t>表</w:t>
            </w:r>
          </w:p>
          <w:p w14:paraId="4F3ED556">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考核时间： 年   月   日       科室名称：          填写人员：</w:t>
            </w:r>
          </w:p>
        </w:tc>
      </w:tr>
      <w:tr w14:paraId="3748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462" w:type="pct"/>
            <w:tcBorders>
              <w:tl2br w:val="nil"/>
              <w:tr2bl w:val="nil"/>
            </w:tcBorders>
            <w:noWrap w:val="0"/>
            <w:vAlign w:val="center"/>
          </w:tcPr>
          <w:p w14:paraId="71B45CF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785" w:type="pct"/>
            <w:tcBorders>
              <w:tl2br w:val="nil"/>
              <w:tr2bl w:val="nil"/>
            </w:tcBorders>
            <w:noWrap w:val="0"/>
            <w:vAlign w:val="center"/>
          </w:tcPr>
          <w:p w14:paraId="06D0642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一、总体要求考核</w:t>
            </w:r>
          </w:p>
        </w:tc>
        <w:tc>
          <w:tcPr>
            <w:tcW w:w="1751" w:type="pct"/>
            <w:tcBorders>
              <w:tl2br w:val="nil"/>
              <w:tr2bl w:val="nil"/>
            </w:tcBorders>
            <w:noWrap w:val="0"/>
            <w:vAlign w:val="center"/>
          </w:tcPr>
          <w:p w14:paraId="273B26F1">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考核权重</w:t>
            </w:r>
          </w:p>
        </w:tc>
      </w:tr>
      <w:tr w14:paraId="1F54D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462" w:type="pct"/>
            <w:tcBorders>
              <w:tl2br w:val="nil"/>
              <w:tr2bl w:val="nil"/>
            </w:tcBorders>
            <w:noWrap w:val="0"/>
            <w:vAlign w:val="center"/>
          </w:tcPr>
          <w:p w14:paraId="28D6400E">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1</w:t>
            </w:r>
          </w:p>
        </w:tc>
        <w:tc>
          <w:tcPr>
            <w:tcW w:w="2785" w:type="pct"/>
            <w:tcBorders>
              <w:tl2br w:val="nil"/>
              <w:tr2bl w:val="nil"/>
            </w:tcBorders>
            <w:noWrap w:val="0"/>
            <w:vAlign w:val="center"/>
          </w:tcPr>
          <w:p w14:paraId="5EEE9F40">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上岗资质考核。</w:t>
            </w:r>
          </w:p>
        </w:tc>
        <w:tc>
          <w:tcPr>
            <w:tcW w:w="1751" w:type="pct"/>
            <w:vMerge w:val="restart"/>
            <w:tcBorders>
              <w:tl2br w:val="nil"/>
              <w:tr2bl w:val="nil"/>
            </w:tcBorders>
            <w:noWrap w:val="0"/>
            <w:vAlign w:val="center"/>
          </w:tcPr>
          <w:p w14:paraId="5F34D26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60分</w:t>
            </w:r>
          </w:p>
        </w:tc>
      </w:tr>
      <w:tr w14:paraId="4C1F0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62" w:type="pct"/>
            <w:tcBorders>
              <w:tl2br w:val="nil"/>
              <w:tr2bl w:val="nil"/>
            </w:tcBorders>
            <w:noWrap w:val="0"/>
            <w:vAlign w:val="center"/>
          </w:tcPr>
          <w:p w14:paraId="7938329F">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2</w:t>
            </w:r>
          </w:p>
        </w:tc>
        <w:tc>
          <w:tcPr>
            <w:tcW w:w="2785" w:type="pct"/>
            <w:tcBorders>
              <w:tl2br w:val="nil"/>
              <w:tr2bl w:val="nil"/>
            </w:tcBorders>
            <w:noWrap w:val="0"/>
            <w:vAlign w:val="center"/>
          </w:tcPr>
          <w:p w14:paraId="4D598633">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导医日常服务质量考核，满意度考核。</w:t>
            </w:r>
          </w:p>
        </w:tc>
        <w:tc>
          <w:tcPr>
            <w:tcW w:w="1751" w:type="pct"/>
            <w:vMerge w:val="continue"/>
            <w:tcBorders>
              <w:tl2br w:val="nil"/>
              <w:tr2bl w:val="nil"/>
            </w:tcBorders>
            <w:noWrap w:val="0"/>
            <w:vAlign w:val="center"/>
          </w:tcPr>
          <w:p w14:paraId="7278AA15">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r>
      <w:tr w14:paraId="60EA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462" w:type="pct"/>
            <w:tcBorders>
              <w:tl2br w:val="nil"/>
              <w:tr2bl w:val="nil"/>
            </w:tcBorders>
            <w:noWrap w:val="0"/>
            <w:vAlign w:val="center"/>
          </w:tcPr>
          <w:p w14:paraId="5E5C5251">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3</w:t>
            </w:r>
          </w:p>
        </w:tc>
        <w:tc>
          <w:tcPr>
            <w:tcW w:w="2785" w:type="pct"/>
            <w:tcBorders>
              <w:tl2br w:val="nil"/>
              <w:tr2bl w:val="nil"/>
            </w:tcBorders>
            <w:noWrap w:val="0"/>
            <w:vAlign w:val="center"/>
          </w:tcPr>
          <w:p w14:paraId="42C6971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公司管理规范考核。</w:t>
            </w:r>
          </w:p>
        </w:tc>
        <w:tc>
          <w:tcPr>
            <w:tcW w:w="1751" w:type="pct"/>
            <w:vMerge w:val="continue"/>
            <w:tcBorders>
              <w:tl2br w:val="nil"/>
              <w:tr2bl w:val="nil"/>
            </w:tcBorders>
            <w:noWrap w:val="0"/>
            <w:vAlign w:val="center"/>
          </w:tcPr>
          <w:p w14:paraId="21E5E8BB">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r>
      <w:tr w14:paraId="7EAE2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462" w:type="pct"/>
            <w:tcBorders>
              <w:tl2br w:val="nil"/>
              <w:tr2bl w:val="nil"/>
            </w:tcBorders>
            <w:noWrap w:val="0"/>
            <w:vAlign w:val="center"/>
          </w:tcPr>
          <w:p w14:paraId="22B816C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785" w:type="pct"/>
            <w:tcBorders>
              <w:tl2br w:val="nil"/>
              <w:tr2bl w:val="nil"/>
            </w:tcBorders>
            <w:noWrap w:val="0"/>
            <w:vAlign w:val="center"/>
          </w:tcPr>
          <w:p w14:paraId="1A61849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二、门诊</w:t>
            </w:r>
            <w:r>
              <w:rPr>
                <w:rFonts w:hint="eastAsia" w:ascii="宋体" w:hAnsi="宋体" w:eastAsia="宋体" w:cs="宋体"/>
                <w:b/>
                <w:bCs/>
                <w:color w:val="auto"/>
                <w:sz w:val="22"/>
                <w:szCs w:val="22"/>
                <w:highlight w:val="none"/>
                <w:lang w:val="en-US" w:eastAsia="zh-CN"/>
              </w:rPr>
              <w:t>公共区域</w:t>
            </w:r>
            <w:r>
              <w:rPr>
                <w:rFonts w:hint="eastAsia" w:ascii="宋体" w:hAnsi="宋体" w:eastAsia="宋体" w:cs="宋体"/>
                <w:b/>
                <w:bCs/>
                <w:color w:val="auto"/>
                <w:sz w:val="22"/>
                <w:szCs w:val="22"/>
                <w:highlight w:val="none"/>
              </w:rPr>
              <w:t>导医考核</w:t>
            </w:r>
          </w:p>
        </w:tc>
        <w:tc>
          <w:tcPr>
            <w:tcW w:w="1751" w:type="pct"/>
            <w:tcBorders>
              <w:tl2br w:val="nil"/>
              <w:tr2bl w:val="nil"/>
            </w:tcBorders>
            <w:noWrap w:val="0"/>
            <w:vAlign w:val="center"/>
          </w:tcPr>
          <w:p w14:paraId="417E839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考核权重</w:t>
            </w:r>
          </w:p>
        </w:tc>
      </w:tr>
      <w:tr w14:paraId="75371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462" w:type="pct"/>
            <w:tcBorders>
              <w:tl2br w:val="nil"/>
              <w:tr2bl w:val="nil"/>
            </w:tcBorders>
            <w:noWrap w:val="0"/>
            <w:vAlign w:val="center"/>
          </w:tcPr>
          <w:p w14:paraId="19B01F8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1</w:t>
            </w:r>
          </w:p>
        </w:tc>
        <w:tc>
          <w:tcPr>
            <w:tcW w:w="2785" w:type="pct"/>
            <w:tcBorders>
              <w:tl2br w:val="nil"/>
              <w:tr2bl w:val="nil"/>
            </w:tcBorders>
            <w:noWrap w:val="0"/>
            <w:vAlign w:val="center"/>
          </w:tcPr>
          <w:p w14:paraId="4B7AFEB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上岗资质考核。</w:t>
            </w:r>
          </w:p>
        </w:tc>
        <w:tc>
          <w:tcPr>
            <w:tcW w:w="1751" w:type="pct"/>
            <w:vMerge w:val="restart"/>
            <w:tcBorders>
              <w:tl2br w:val="nil"/>
              <w:tr2bl w:val="nil"/>
            </w:tcBorders>
            <w:noWrap w:val="0"/>
            <w:vAlign w:val="center"/>
          </w:tcPr>
          <w:p w14:paraId="0A9FFA0C">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20分</w:t>
            </w:r>
          </w:p>
        </w:tc>
      </w:tr>
      <w:tr w14:paraId="77415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462" w:type="pct"/>
            <w:tcBorders>
              <w:tl2br w:val="nil"/>
              <w:tr2bl w:val="nil"/>
            </w:tcBorders>
            <w:noWrap w:val="0"/>
            <w:vAlign w:val="center"/>
          </w:tcPr>
          <w:p w14:paraId="5D51AB7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both"/>
              <w:textAlignment w:val="auto"/>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2</w:t>
            </w:r>
          </w:p>
        </w:tc>
        <w:tc>
          <w:tcPr>
            <w:tcW w:w="2785" w:type="pct"/>
            <w:tcBorders>
              <w:tl2br w:val="nil"/>
              <w:tr2bl w:val="nil"/>
            </w:tcBorders>
            <w:noWrap w:val="0"/>
            <w:vAlign w:val="center"/>
          </w:tcPr>
          <w:p w14:paraId="70183FB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导医日常服务质量考核，满意度考核。</w:t>
            </w:r>
          </w:p>
        </w:tc>
        <w:tc>
          <w:tcPr>
            <w:tcW w:w="1751" w:type="pct"/>
            <w:vMerge w:val="continue"/>
            <w:tcBorders>
              <w:tl2br w:val="nil"/>
              <w:tr2bl w:val="nil"/>
            </w:tcBorders>
            <w:noWrap w:val="0"/>
            <w:vAlign w:val="center"/>
          </w:tcPr>
          <w:p w14:paraId="67381A75">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r>
      <w:tr w14:paraId="75CBF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462" w:type="pct"/>
            <w:tcBorders>
              <w:tl2br w:val="nil"/>
              <w:tr2bl w:val="nil"/>
            </w:tcBorders>
            <w:noWrap w:val="0"/>
            <w:vAlign w:val="center"/>
          </w:tcPr>
          <w:p w14:paraId="609A221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785" w:type="pct"/>
            <w:tcBorders>
              <w:tl2br w:val="nil"/>
              <w:tr2bl w:val="nil"/>
            </w:tcBorders>
            <w:noWrap w:val="0"/>
            <w:vAlign w:val="center"/>
          </w:tcPr>
          <w:p w14:paraId="542D70A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三、医技科室导医考核</w:t>
            </w:r>
          </w:p>
        </w:tc>
        <w:tc>
          <w:tcPr>
            <w:tcW w:w="1751" w:type="pct"/>
            <w:tcBorders>
              <w:tl2br w:val="nil"/>
              <w:tr2bl w:val="nil"/>
            </w:tcBorders>
            <w:noWrap w:val="0"/>
            <w:vAlign w:val="center"/>
          </w:tcPr>
          <w:p w14:paraId="6A3BDC39">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考核权重</w:t>
            </w:r>
          </w:p>
        </w:tc>
      </w:tr>
      <w:tr w14:paraId="402EF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0114913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1</w:t>
            </w:r>
          </w:p>
        </w:tc>
        <w:tc>
          <w:tcPr>
            <w:tcW w:w="2785" w:type="pct"/>
            <w:tcBorders>
              <w:tl2br w:val="nil"/>
              <w:tr2bl w:val="nil"/>
            </w:tcBorders>
            <w:noWrap w:val="0"/>
            <w:vAlign w:val="center"/>
          </w:tcPr>
          <w:p w14:paraId="5D089C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上岗资质考核。</w:t>
            </w:r>
          </w:p>
        </w:tc>
        <w:tc>
          <w:tcPr>
            <w:tcW w:w="1751" w:type="pct"/>
            <w:vMerge w:val="restart"/>
            <w:tcBorders>
              <w:tl2br w:val="nil"/>
              <w:tr2bl w:val="nil"/>
            </w:tcBorders>
            <w:noWrap w:val="0"/>
            <w:vAlign w:val="center"/>
          </w:tcPr>
          <w:p w14:paraId="0C79601D">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10分</w:t>
            </w:r>
          </w:p>
        </w:tc>
      </w:tr>
      <w:tr w14:paraId="01975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78868580">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p w14:paraId="01C07B2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2</w:t>
            </w:r>
          </w:p>
        </w:tc>
        <w:tc>
          <w:tcPr>
            <w:tcW w:w="2785" w:type="pct"/>
            <w:tcBorders>
              <w:tl2br w:val="nil"/>
              <w:tr2bl w:val="nil"/>
            </w:tcBorders>
            <w:noWrap w:val="0"/>
            <w:vAlign w:val="center"/>
          </w:tcPr>
          <w:p w14:paraId="3C14239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导医日常服务质量考核，满意度考核。</w:t>
            </w:r>
          </w:p>
        </w:tc>
        <w:tc>
          <w:tcPr>
            <w:tcW w:w="1751" w:type="pct"/>
            <w:vMerge w:val="continue"/>
            <w:tcBorders>
              <w:tl2br w:val="nil"/>
              <w:tr2bl w:val="nil"/>
            </w:tcBorders>
            <w:noWrap w:val="0"/>
            <w:vAlign w:val="center"/>
          </w:tcPr>
          <w:p w14:paraId="56BD249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r>
      <w:tr w14:paraId="24D79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 w:hRule="atLeast"/>
          <w:jc w:val="center"/>
        </w:trPr>
        <w:tc>
          <w:tcPr>
            <w:tcW w:w="462" w:type="pct"/>
            <w:tcBorders>
              <w:tl2br w:val="nil"/>
              <w:tr2bl w:val="nil"/>
            </w:tcBorders>
            <w:noWrap w:val="0"/>
            <w:vAlign w:val="center"/>
          </w:tcPr>
          <w:p w14:paraId="1CEA2EE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785" w:type="pct"/>
            <w:tcBorders>
              <w:tl2br w:val="nil"/>
              <w:tr2bl w:val="nil"/>
            </w:tcBorders>
            <w:noWrap w:val="0"/>
            <w:vAlign w:val="center"/>
          </w:tcPr>
          <w:p w14:paraId="3786E938">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四、门诊科室</w:t>
            </w:r>
            <w:r>
              <w:rPr>
                <w:rFonts w:hint="eastAsia" w:ascii="宋体" w:hAnsi="宋体" w:eastAsia="宋体" w:cs="宋体"/>
                <w:b/>
                <w:bCs/>
                <w:color w:val="auto"/>
                <w:sz w:val="22"/>
                <w:szCs w:val="22"/>
                <w:highlight w:val="none"/>
                <w:lang w:val="en-US" w:eastAsia="zh-CN"/>
              </w:rPr>
              <w:t>诊区</w:t>
            </w:r>
            <w:r>
              <w:rPr>
                <w:rFonts w:hint="eastAsia" w:ascii="宋体" w:hAnsi="宋体" w:eastAsia="宋体" w:cs="宋体"/>
                <w:b/>
                <w:bCs/>
                <w:color w:val="auto"/>
                <w:sz w:val="22"/>
                <w:szCs w:val="22"/>
                <w:highlight w:val="none"/>
              </w:rPr>
              <w:t>导医考核</w:t>
            </w:r>
          </w:p>
        </w:tc>
        <w:tc>
          <w:tcPr>
            <w:tcW w:w="1751" w:type="pct"/>
            <w:tcBorders>
              <w:tl2br w:val="nil"/>
              <w:tr2bl w:val="nil"/>
            </w:tcBorders>
            <w:noWrap w:val="0"/>
            <w:vAlign w:val="center"/>
          </w:tcPr>
          <w:p w14:paraId="2E0DC5DD">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考核权重</w:t>
            </w:r>
          </w:p>
        </w:tc>
      </w:tr>
      <w:tr w14:paraId="36C71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462" w:type="pct"/>
            <w:tcBorders>
              <w:tl2br w:val="nil"/>
              <w:tr2bl w:val="nil"/>
            </w:tcBorders>
            <w:noWrap w:val="0"/>
            <w:vAlign w:val="center"/>
          </w:tcPr>
          <w:p w14:paraId="5BFE22F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p>
        </w:tc>
        <w:tc>
          <w:tcPr>
            <w:tcW w:w="2785" w:type="pct"/>
            <w:tcBorders>
              <w:tl2br w:val="nil"/>
              <w:tr2bl w:val="nil"/>
            </w:tcBorders>
            <w:noWrap w:val="0"/>
            <w:vAlign w:val="center"/>
          </w:tcPr>
          <w:p w14:paraId="20AAD1A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上岗资质考核。</w:t>
            </w:r>
          </w:p>
        </w:tc>
        <w:tc>
          <w:tcPr>
            <w:tcW w:w="1751" w:type="pct"/>
            <w:vMerge w:val="restart"/>
            <w:tcBorders>
              <w:tl2br w:val="nil"/>
              <w:tr2bl w:val="nil"/>
            </w:tcBorders>
            <w:noWrap w:val="0"/>
            <w:vAlign w:val="center"/>
          </w:tcPr>
          <w:p w14:paraId="5ED0F5C3">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10分</w:t>
            </w:r>
          </w:p>
        </w:tc>
      </w:tr>
      <w:tr w14:paraId="5ABC8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462" w:type="pct"/>
            <w:tcBorders>
              <w:tl2br w:val="nil"/>
              <w:tr2bl w:val="nil"/>
            </w:tcBorders>
            <w:noWrap w:val="0"/>
            <w:vAlign w:val="center"/>
          </w:tcPr>
          <w:p w14:paraId="6478D912">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p w14:paraId="33088BB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w:t>
            </w:r>
          </w:p>
        </w:tc>
        <w:tc>
          <w:tcPr>
            <w:tcW w:w="2785" w:type="pct"/>
            <w:tcBorders>
              <w:tl2br w:val="nil"/>
              <w:tr2bl w:val="nil"/>
            </w:tcBorders>
            <w:noWrap w:val="0"/>
            <w:vAlign w:val="center"/>
          </w:tcPr>
          <w:p w14:paraId="58843A3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导医日常服务质量考核，满意度考核。</w:t>
            </w:r>
          </w:p>
        </w:tc>
        <w:tc>
          <w:tcPr>
            <w:tcW w:w="1751" w:type="pct"/>
            <w:vMerge w:val="continue"/>
            <w:tcBorders>
              <w:tl2br w:val="nil"/>
              <w:tr2bl w:val="nil"/>
            </w:tcBorders>
            <w:noWrap w:val="0"/>
            <w:vAlign w:val="center"/>
          </w:tcPr>
          <w:p w14:paraId="2D77386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r>
      <w:tr w14:paraId="1A1ED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462" w:type="pct"/>
            <w:tcBorders>
              <w:tl2br w:val="nil"/>
              <w:tr2bl w:val="nil"/>
            </w:tcBorders>
            <w:noWrap w:val="0"/>
            <w:vAlign w:val="center"/>
          </w:tcPr>
          <w:p w14:paraId="17029A2F">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p>
        </w:tc>
        <w:tc>
          <w:tcPr>
            <w:tcW w:w="2785" w:type="pct"/>
            <w:tcBorders>
              <w:tl2br w:val="nil"/>
              <w:tr2bl w:val="nil"/>
            </w:tcBorders>
            <w:noWrap w:val="0"/>
            <w:vAlign w:val="center"/>
          </w:tcPr>
          <w:p w14:paraId="06F74546">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合计</w:t>
            </w:r>
          </w:p>
        </w:tc>
        <w:tc>
          <w:tcPr>
            <w:tcW w:w="1751" w:type="pct"/>
            <w:tcBorders>
              <w:tl2br w:val="nil"/>
              <w:tr2bl w:val="nil"/>
            </w:tcBorders>
            <w:noWrap w:val="0"/>
            <w:vAlign w:val="center"/>
          </w:tcPr>
          <w:p w14:paraId="3E5A2E74">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100分</w:t>
            </w:r>
          </w:p>
        </w:tc>
      </w:tr>
    </w:tbl>
    <w:p w14:paraId="0CC74FF0">
      <w:pPr>
        <w:pStyle w:val="13"/>
        <w:numPr>
          <w:ilvl w:val="0"/>
          <w:numId w:val="0"/>
        </w:numPr>
        <w:rPr>
          <w:rFonts w:ascii="Arial" w:hAnsi="Arial" w:cs="Arial"/>
        </w:rPr>
      </w:pPr>
      <w:r>
        <w:rPr>
          <w:rFonts w:hint="eastAsia" w:ascii="黑体" w:eastAsia="黑体"/>
          <w:bCs/>
          <w:color w:val="000000"/>
          <w:sz w:val="24"/>
          <w:szCs w:val="24"/>
        </w:rPr>
        <w:br w:type="page"/>
      </w:r>
      <w:r>
        <w:rPr>
          <w:rFonts w:ascii="Arial" w:hAnsi="Arial" w:cs="Arial"/>
        </w:rPr>
        <w:t>第六章</w:t>
      </w:r>
      <w:r>
        <w:rPr>
          <w:rFonts w:hint="eastAsia" w:ascii="Arial" w:hAnsi="Arial" w:cs="Arial"/>
        </w:rPr>
        <w:t xml:space="preserve"> </w:t>
      </w:r>
      <w:r>
        <w:rPr>
          <w:rFonts w:ascii="Arial" w:hAnsi="Arial" w:cs="Arial"/>
        </w:rPr>
        <w:t>附件</w:t>
      </w:r>
      <w:bookmarkEnd w:id="26"/>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bookmarkEnd w:id="0"/>
    <w:p w14:paraId="234A048B">
      <w:pPr>
        <w:jc w:val="center"/>
        <w:rPr>
          <w:rFonts w:hint="eastAsia" w:ascii="宋体" w:hAnsi="宋体" w:cs="宋体"/>
          <w:sz w:val="52"/>
          <w:szCs w:val="52"/>
        </w:rPr>
      </w:pPr>
      <w:r>
        <w:rPr>
          <w:rFonts w:hint="eastAsia" w:ascii="宋体" w:hAnsi="宋体" w:cs="宋体"/>
          <w:sz w:val="52"/>
          <w:szCs w:val="52"/>
        </w:rPr>
        <w:t>投标文件</w:t>
      </w:r>
    </w:p>
    <w:p w14:paraId="699D0423">
      <w:pPr>
        <w:rPr>
          <w:rFonts w:hint="eastAsia" w:ascii="宋体" w:hAnsi="宋体" w:cs="宋体"/>
          <w:sz w:val="36"/>
          <w:szCs w:val="36"/>
        </w:rPr>
      </w:pPr>
    </w:p>
    <w:p w14:paraId="47B4A308">
      <w:pPr>
        <w:rPr>
          <w:rFonts w:hint="eastAsia" w:ascii="宋体" w:hAnsi="宋体" w:cs="宋体"/>
          <w:sz w:val="36"/>
          <w:szCs w:val="36"/>
        </w:rPr>
      </w:pPr>
    </w:p>
    <w:p w14:paraId="77DF4E75">
      <w:pPr>
        <w:rPr>
          <w:rFonts w:hint="eastAsia" w:ascii="宋体" w:hAnsi="宋体" w:cs="宋体"/>
          <w:sz w:val="36"/>
          <w:szCs w:val="36"/>
        </w:rPr>
      </w:pPr>
    </w:p>
    <w:p w14:paraId="4CD1D591">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项目名称：</w:t>
      </w:r>
    </w:p>
    <w:p w14:paraId="14740758">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招标编号：</w:t>
      </w:r>
    </w:p>
    <w:p w14:paraId="3C877333">
      <w:pPr>
        <w:ind w:firstLine="720" w:firstLineChars="200"/>
        <w:jc w:val="both"/>
        <w:rPr>
          <w:rFonts w:hint="eastAsia" w:ascii="宋体" w:hAnsi="宋体" w:cs="宋体"/>
          <w:sz w:val="36"/>
          <w:szCs w:val="36"/>
          <w:u w:val="single"/>
        </w:rPr>
      </w:pPr>
      <w:r>
        <w:rPr>
          <w:rFonts w:hint="eastAsia" w:ascii="宋体" w:hAnsi="宋体" w:cs="宋体"/>
          <w:sz w:val="36"/>
          <w:szCs w:val="36"/>
        </w:rPr>
        <w:t>投标人</w:t>
      </w:r>
      <w:r>
        <w:rPr>
          <w:rFonts w:hint="eastAsia" w:ascii="宋体" w:hAnsi="宋体" w:cs="宋体"/>
          <w:sz w:val="36"/>
          <w:szCs w:val="36"/>
          <w:lang w:val="en-US" w:eastAsia="zh-CN"/>
        </w:rPr>
        <w:t>名称</w:t>
      </w:r>
      <w:r>
        <w:rPr>
          <w:rFonts w:hint="eastAsia" w:ascii="宋体" w:hAnsi="宋体" w:cs="宋体"/>
          <w:sz w:val="36"/>
          <w:szCs w:val="36"/>
        </w:rPr>
        <w:t>：（加盖电子公章）</w:t>
      </w:r>
    </w:p>
    <w:p w14:paraId="751F035A">
      <w:pPr>
        <w:widowControl/>
        <w:ind w:firstLine="720" w:firstLineChars="200"/>
        <w:jc w:val="left"/>
        <w:rPr>
          <w:rFonts w:hint="eastAsia" w:ascii="宋体" w:hAnsi="宋体" w:cs="宋体"/>
          <w:sz w:val="28"/>
          <w:szCs w:val="28"/>
        </w:rPr>
      </w:pPr>
      <w:r>
        <w:rPr>
          <w:rFonts w:hint="eastAsia" w:ascii="宋体" w:hAnsi="宋体" w:cs="宋体"/>
          <w:sz w:val="36"/>
          <w:szCs w:val="36"/>
          <w:lang w:val="en-US" w:eastAsia="zh-CN"/>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3FB572">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p>
    <w:p w14:paraId="10968556">
      <w:pPr>
        <w:pStyle w:val="25"/>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58"/>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BF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606759CF">
            <w:pPr>
              <w:pStyle w:val="25"/>
              <w:spacing w:line="440" w:lineRule="exact"/>
              <w:ind w:firstLine="0"/>
              <w:jc w:val="center"/>
              <w:rPr>
                <w:rFonts w:ascii="Arial" w:hAnsi="Arial" w:cs="Arial"/>
                <w:sz w:val="21"/>
                <w:szCs w:val="21"/>
              </w:rPr>
            </w:pPr>
            <w:r>
              <w:rPr>
                <w:rFonts w:ascii="Arial" w:hAnsi="Arial" w:cs="Arial"/>
                <w:sz w:val="21"/>
                <w:szCs w:val="21"/>
              </w:rPr>
              <w:t>投标保证金</w:t>
            </w:r>
          </w:p>
        </w:tc>
        <w:tc>
          <w:tcPr>
            <w:tcW w:w="5131" w:type="dxa"/>
            <w:vAlign w:val="center"/>
          </w:tcPr>
          <w:p w14:paraId="571D2039">
            <w:pPr>
              <w:pStyle w:val="25"/>
              <w:spacing w:line="440" w:lineRule="exact"/>
              <w:ind w:firstLine="0"/>
              <w:rPr>
                <w:rFonts w:hint="eastAsia" w:ascii="Arial" w:hAnsi="Arial" w:eastAsia="宋体" w:cs="Arial"/>
                <w:sz w:val="21"/>
                <w:szCs w:val="21"/>
                <w:lang w:val="en-US" w:eastAsia="zh-CN"/>
              </w:rPr>
            </w:pPr>
            <w:r>
              <w:rPr>
                <w:rFonts w:hint="eastAsia" w:ascii="Arial" w:hAnsi="Arial" w:cs="Arial"/>
                <w:sz w:val="21"/>
                <w:szCs w:val="21"/>
                <w:lang w:val="en-US" w:eastAsia="zh-CN"/>
              </w:rPr>
              <w:t>无需缴纳</w:t>
            </w:r>
          </w:p>
        </w:tc>
        <w:tc>
          <w:tcPr>
            <w:tcW w:w="1639" w:type="dxa"/>
            <w:vAlign w:val="center"/>
          </w:tcPr>
          <w:p w14:paraId="358FA18A">
            <w:pPr>
              <w:pStyle w:val="25"/>
              <w:spacing w:line="440" w:lineRule="exact"/>
              <w:ind w:firstLine="474" w:firstLineChars="225"/>
              <w:rPr>
                <w:rFonts w:ascii="Arial" w:hAnsi="Arial" w:cs="Arial"/>
                <w:sz w:val="21"/>
                <w:szCs w:val="21"/>
              </w:rPr>
            </w:pPr>
            <w:r>
              <w:rPr>
                <w:rFonts w:ascii="Arial" w:hAnsi="Arial" w:cs="Arial"/>
                <w:sz w:val="21"/>
                <w:szCs w:val="21"/>
              </w:rPr>
              <w:t>备注</w:t>
            </w:r>
          </w:p>
        </w:tc>
      </w:tr>
      <w:tr w14:paraId="5E76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0" w:hRule="atLeast"/>
          <w:jc w:val="center"/>
        </w:trPr>
        <w:tc>
          <w:tcPr>
            <w:tcW w:w="1870" w:type="dxa"/>
            <w:vAlign w:val="center"/>
          </w:tcPr>
          <w:p w14:paraId="1165CD93">
            <w:pPr>
              <w:pStyle w:val="25"/>
              <w:spacing w:line="440" w:lineRule="exact"/>
              <w:ind w:firstLine="0"/>
              <w:jc w:val="center"/>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04D52E1E">
            <w:pPr>
              <w:pStyle w:val="25"/>
              <w:spacing w:line="440" w:lineRule="exact"/>
              <w:ind w:firstLine="0"/>
              <w:rPr>
                <w:rFonts w:hint="default" w:ascii="Arial" w:hAnsi="Arial" w:eastAsia="宋体" w:cs="Arial"/>
                <w:sz w:val="21"/>
                <w:szCs w:val="21"/>
                <w:highlight w:val="none"/>
                <w:lang w:val="en-US" w:eastAsia="zh-CN"/>
              </w:rPr>
            </w:pPr>
            <w:r>
              <w:rPr>
                <w:rFonts w:ascii="Arial" w:hAnsi="Arial" w:cs="Arial"/>
                <w:sz w:val="21"/>
                <w:szCs w:val="21"/>
                <w:highlight w:val="none"/>
              </w:rPr>
              <w:t>小写：人民币</w:t>
            </w:r>
            <w:r>
              <w:rPr>
                <w:rFonts w:hint="eastAsia" w:ascii="Arial" w:hAnsi="Arial" w:cs="Arial"/>
                <w:sz w:val="21"/>
                <w:szCs w:val="21"/>
                <w:highlight w:val="none"/>
              </w:rPr>
              <w:t>：</w:t>
            </w:r>
            <w:r>
              <w:rPr>
                <w:rFonts w:hint="eastAsia" w:ascii="Arial" w:hAnsi="Arial" w:cs="Arial"/>
                <w:sz w:val="21"/>
                <w:szCs w:val="21"/>
                <w:highlight w:val="none"/>
                <w:u w:val="single"/>
                <w:lang w:val="en-US" w:eastAsia="zh-CN"/>
              </w:rPr>
              <w:t xml:space="preserve">       </w:t>
            </w:r>
            <w:r>
              <w:rPr>
                <w:rFonts w:hint="eastAsia" w:ascii="Arial" w:hAnsi="Arial" w:cs="Arial"/>
                <w:sz w:val="21"/>
                <w:szCs w:val="21"/>
                <w:highlight w:val="none"/>
              </w:rPr>
              <w:t>元</w:t>
            </w:r>
          </w:p>
          <w:p w14:paraId="0F7C28C0">
            <w:pPr>
              <w:pStyle w:val="25"/>
              <w:spacing w:line="440" w:lineRule="exact"/>
              <w:ind w:firstLine="0"/>
              <w:rPr>
                <w:rFonts w:hint="eastAsia" w:ascii="Arial" w:hAnsi="Arial" w:eastAsia="宋体" w:cs="Arial"/>
                <w:sz w:val="21"/>
                <w:szCs w:val="21"/>
                <w:lang w:val="en-US" w:eastAsia="zh-CN"/>
              </w:rPr>
            </w:pPr>
            <w:r>
              <w:rPr>
                <w:rFonts w:ascii="Arial" w:hAnsi="Arial" w:cs="Arial"/>
                <w:sz w:val="21"/>
                <w:szCs w:val="21"/>
                <w:highlight w:val="none"/>
              </w:rPr>
              <w:t>大写：人民币</w:t>
            </w:r>
            <w:r>
              <w:rPr>
                <w:rFonts w:hint="eastAsia" w:ascii="Arial" w:hAnsi="Arial" w:cs="Arial"/>
                <w:sz w:val="21"/>
                <w:szCs w:val="21"/>
                <w:highlight w:val="none"/>
              </w:rPr>
              <w:t>：</w:t>
            </w:r>
            <w:r>
              <w:rPr>
                <w:rFonts w:hint="eastAsia" w:ascii="Arial" w:hAnsi="Arial" w:cs="Arial"/>
                <w:sz w:val="21"/>
                <w:szCs w:val="21"/>
                <w:highlight w:val="none"/>
                <w:u w:val="single"/>
                <w:lang w:val="en-US" w:eastAsia="zh-CN"/>
              </w:rPr>
              <w:t xml:space="preserve">       </w:t>
            </w:r>
            <w:r>
              <w:rPr>
                <w:rFonts w:hint="eastAsia" w:ascii="Arial" w:hAnsi="Arial" w:cs="Arial"/>
                <w:sz w:val="21"/>
                <w:szCs w:val="21"/>
                <w:highlight w:val="none"/>
              </w:rPr>
              <w:t xml:space="preserve"> 元</w:t>
            </w:r>
          </w:p>
        </w:tc>
        <w:tc>
          <w:tcPr>
            <w:tcW w:w="1639" w:type="dxa"/>
            <w:vAlign w:val="center"/>
          </w:tcPr>
          <w:p w14:paraId="2F0FCD6B">
            <w:pPr>
              <w:pStyle w:val="25"/>
              <w:spacing w:line="440" w:lineRule="exact"/>
              <w:ind w:firstLine="0"/>
              <w:rPr>
                <w:rFonts w:ascii="Arial" w:hAnsi="Arial" w:cs="Arial"/>
                <w:bCs/>
                <w:sz w:val="21"/>
                <w:szCs w:val="21"/>
              </w:rPr>
            </w:pPr>
            <w:r>
              <w:rPr>
                <w:rFonts w:hint="eastAsia" w:ascii="Arial" w:hAnsi="Arial" w:cs="Arial"/>
                <w:sz w:val="21"/>
                <w:szCs w:val="21"/>
                <w:lang w:val="en-US" w:eastAsia="zh-CN"/>
              </w:rPr>
              <w:t>具体</w:t>
            </w:r>
            <w:r>
              <w:rPr>
                <w:rFonts w:hint="eastAsia" w:ascii="Arial" w:hAnsi="Arial" w:cs="Arial"/>
                <w:sz w:val="21"/>
                <w:szCs w:val="21"/>
              </w:rPr>
              <w:t>详见苏采云系统</w:t>
            </w:r>
          </w:p>
          <w:p w14:paraId="544CF8C6">
            <w:pPr>
              <w:pStyle w:val="25"/>
              <w:spacing w:line="440" w:lineRule="exact"/>
              <w:ind w:firstLine="0"/>
              <w:rPr>
                <w:rFonts w:ascii="Arial" w:hAnsi="Arial" w:cs="Arial"/>
                <w:sz w:val="21"/>
                <w:szCs w:val="21"/>
              </w:rPr>
            </w:pPr>
          </w:p>
        </w:tc>
      </w:tr>
      <w:tr w14:paraId="3079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701ADADC">
            <w:pPr>
              <w:pStyle w:val="25"/>
              <w:spacing w:line="440" w:lineRule="exact"/>
              <w:ind w:firstLine="0"/>
              <w:jc w:val="center"/>
              <w:rPr>
                <w:rFonts w:hint="eastAsia" w:ascii="Arial" w:hAnsi="Arial" w:eastAsia="宋体" w:cs="Arial"/>
                <w:sz w:val="21"/>
                <w:szCs w:val="21"/>
                <w:lang w:eastAsia="zh-CN"/>
              </w:rPr>
            </w:pPr>
            <w:r>
              <w:rPr>
                <w:rFonts w:hint="eastAsia" w:ascii="Arial" w:hAnsi="Arial" w:cs="Arial"/>
                <w:sz w:val="21"/>
                <w:szCs w:val="21"/>
              </w:rPr>
              <w:t>合同履行</w:t>
            </w:r>
            <w:r>
              <w:rPr>
                <w:rFonts w:hint="eastAsia" w:ascii="Arial" w:hAnsi="Arial" w:cs="Arial"/>
                <w:sz w:val="21"/>
                <w:szCs w:val="21"/>
                <w:lang w:val="en-US" w:eastAsia="zh-CN"/>
              </w:rPr>
              <w:t>期限</w:t>
            </w:r>
          </w:p>
        </w:tc>
        <w:tc>
          <w:tcPr>
            <w:tcW w:w="5131" w:type="dxa"/>
            <w:vAlign w:val="center"/>
          </w:tcPr>
          <w:p w14:paraId="2C72D38B">
            <w:pPr>
              <w:pStyle w:val="25"/>
              <w:tabs>
                <w:tab w:val="left" w:pos="3624"/>
              </w:tabs>
              <w:spacing w:line="440" w:lineRule="exact"/>
              <w:ind w:firstLine="0" w:firstLineChars="0"/>
              <w:rPr>
                <w:rFonts w:ascii="Arial" w:hAnsi="Arial" w:cs="Arial"/>
                <w:sz w:val="21"/>
                <w:szCs w:val="21"/>
                <w:u w:val="single"/>
              </w:rPr>
            </w:pPr>
            <w:r>
              <w:rPr>
                <w:rFonts w:hint="eastAsia" w:ascii="Arial" w:hAnsi="Arial" w:cs="Arial"/>
                <w:sz w:val="21"/>
                <w:szCs w:val="21"/>
                <w:u w:val="single"/>
              </w:rPr>
              <w:t>招标有效期三年，合同一年一签。合同服务期满前根据招标人对中标人的当年考评结果决定下一年度是否续签</w:t>
            </w:r>
            <w:r>
              <w:rPr>
                <w:rFonts w:ascii="Arial" w:hAnsi="Arial" w:cs="Arial"/>
                <w:sz w:val="21"/>
                <w:szCs w:val="21"/>
                <w:u w:val="single"/>
              </w:rPr>
              <w:t>。</w:t>
            </w:r>
          </w:p>
        </w:tc>
        <w:tc>
          <w:tcPr>
            <w:tcW w:w="1639" w:type="dxa"/>
            <w:vAlign w:val="center"/>
          </w:tcPr>
          <w:p w14:paraId="7CF9BF06">
            <w:pPr>
              <w:pStyle w:val="25"/>
              <w:spacing w:line="440" w:lineRule="exact"/>
              <w:ind w:firstLine="474" w:firstLineChars="225"/>
              <w:rPr>
                <w:rFonts w:ascii="Arial" w:hAnsi="Arial" w:cs="Arial"/>
                <w:sz w:val="21"/>
                <w:szCs w:val="21"/>
              </w:rPr>
            </w:pPr>
          </w:p>
          <w:p w14:paraId="3EC7B6E8">
            <w:pPr>
              <w:pStyle w:val="25"/>
              <w:spacing w:line="440" w:lineRule="exact"/>
              <w:ind w:firstLine="474" w:firstLineChars="225"/>
              <w:rPr>
                <w:rFonts w:ascii="Arial" w:hAnsi="Arial" w:cs="Arial"/>
                <w:sz w:val="21"/>
                <w:szCs w:val="21"/>
              </w:rPr>
            </w:pPr>
          </w:p>
        </w:tc>
      </w:tr>
      <w:tr w14:paraId="50E3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vAlign w:val="center"/>
          </w:tcPr>
          <w:p w14:paraId="0933157C">
            <w:pPr>
              <w:pStyle w:val="25"/>
              <w:ind w:firstLine="0"/>
              <w:jc w:val="center"/>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4C4C0FF6">
            <w:pPr>
              <w:pStyle w:val="25"/>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3AA2FC2B">
            <w:pPr>
              <w:pStyle w:val="25"/>
              <w:ind w:firstLine="474" w:firstLineChars="225"/>
              <w:rPr>
                <w:rFonts w:ascii="Arial" w:hAnsi="Arial" w:cs="Arial"/>
                <w:sz w:val="21"/>
                <w:szCs w:val="21"/>
              </w:rPr>
            </w:pPr>
          </w:p>
        </w:tc>
      </w:tr>
    </w:tbl>
    <w:p w14:paraId="6D554FA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ED9B4B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0F5F346">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48720D06">
      <w:pPr>
        <w:widowControl/>
        <w:shd w:val="clear" w:color="auto" w:fill="FFFFFF"/>
        <w:spacing w:line="360" w:lineRule="auto"/>
        <w:jc w:val="center"/>
        <w:rPr>
          <w:rFonts w:hint="default" w:ascii="Arial" w:hAnsi="Arial" w:eastAsia="宋体" w:cs="Arial"/>
          <w:b/>
          <w:bCs/>
          <w:kern w:val="0"/>
          <w:szCs w:val="21"/>
          <w:lang w:val="en-US" w:eastAsia="zh-CN"/>
        </w:rPr>
      </w:pPr>
      <w:r>
        <w:rPr>
          <w:rFonts w:hint="eastAsia" w:ascii="Arial" w:hAnsi="Arial" w:cs="Arial"/>
          <w:b/>
          <w:bCs/>
          <w:kern w:val="0"/>
          <w:szCs w:val="21"/>
          <w:lang w:val="en-US" w:eastAsia="zh-CN"/>
        </w:rPr>
        <w:t>费用分项报价表</w:t>
      </w:r>
    </w:p>
    <w:tbl>
      <w:tblPr>
        <w:tblStyle w:val="58"/>
        <w:tblW w:w="49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1618"/>
        <w:gridCol w:w="1651"/>
        <w:gridCol w:w="2242"/>
        <w:gridCol w:w="1921"/>
      </w:tblGrid>
      <w:tr w14:paraId="3949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1" w:type="pct"/>
            <w:noWrap w:val="0"/>
            <w:vAlign w:val="top"/>
          </w:tcPr>
          <w:p w14:paraId="4D3928E0">
            <w:pPr>
              <w:spacing w:line="300" w:lineRule="auto"/>
              <w:rPr>
                <w:rFonts w:hint="eastAsia" w:ascii="宋体" w:hAnsi="宋体" w:eastAsia="宋体" w:cs="仿宋"/>
                <w:bCs/>
                <w:sz w:val="24"/>
                <w:highlight w:val="none"/>
                <w:lang w:val="en-US" w:eastAsia="zh-CN"/>
              </w:rPr>
            </w:pPr>
            <w:r>
              <w:rPr>
                <w:rFonts w:hint="eastAsia" w:ascii="宋体" w:hAnsi="宋体" w:cs="仿宋"/>
                <w:bCs/>
                <w:sz w:val="24"/>
                <w:highlight w:val="none"/>
                <w:lang w:val="en-US" w:eastAsia="zh-CN"/>
              </w:rPr>
              <w:t>序号</w:t>
            </w:r>
          </w:p>
        </w:tc>
        <w:tc>
          <w:tcPr>
            <w:tcW w:w="984" w:type="pct"/>
            <w:noWrap w:val="0"/>
            <w:vAlign w:val="top"/>
          </w:tcPr>
          <w:p w14:paraId="3BBDF937">
            <w:pPr>
              <w:spacing w:line="300" w:lineRule="auto"/>
              <w:jc w:val="center"/>
              <w:rPr>
                <w:rFonts w:hint="eastAsia" w:ascii="宋体" w:hAnsi="宋体" w:cs="仿宋"/>
                <w:bCs/>
                <w:sz w:val="24"/>
                <w:highlight w:val="none"/>
              </w:rPr>
            </w:pPr>
            <w:r>
              <w:rPr>
                <w:rFonts w:hint="eastAsia" w:ascii="宋体" w:hAnsi="宋体" w:cs="仿宋"/>
                <w:bCs/>
                <w:sz w:val="24"/>
                <w:highlight w:val="none"/>
              </w:rPr>
              <w:t>工作区域</w:t>
            </w:r>
          </w:p>
        </w:tc>
        <w:tc>
          <w:tcPr>
            <w:tcW w:w="1004" w:type="pct"/>
            <w:noWrap w:val="0"/>
            <w:vAlign w:val="top"/>
          </w:tcPr>
          <w:p w14:paraId="1E4B64FC">
            <w:pPr>
              <w:spacing w:line="300" w:lineRule="auto"/>
              <w:jc w:val="center"/>
              <w:rPr>
                <w:rFonts w:hint="eastAsia" w:ascii="宋体" w:hAnsi="宋体" w:eastAsia="宋体" w:cs="仿宋"/>
                <w:bCs/>
                <w:sz w:val="24"/>
                <w:highlight w:val="none"/>
                <w:lang w:eastAsia="zh-CN"/>
              </w:rPr>
            </w:pPr>
            <w:r>
              <w:rPr>
                <w:rFonts w:hint="eastAsia" w:ascii="宋体" w:hAnsi="宋体" w:cs="仿宋"/>
                <w:bCs/>
                <w:sz w:val="24"/>
                <w:highlight w:val="none"/>
                <w:lang w:val="en-US" w:eastAsia="zh-CN"/>
              </w:rPr>
              <w:t>岗位数</w:t>
            </w:r>
          </w:p>
        </w:tc>
        <w:tc>
          <w:tcPr>
            <w:tcW w:w="1363" w:type="pct"/>
            <w:noWrap w:val="0"/>
            <w:vAlign w:val="top"/>
          </w:tcPr>
          <w:p w14:paraId="6313E8EC">
            <w:pPr>
              <w:spacing w:line="300" w:lineRule="auto"/>
              <w:ind w:firstLine="240" w:firstLineChars="100"/>
              <w:jc w:val="center"/>
              <w:rPr>
                <w:rFonts w:ascii="宋体" w:hAnsi="宋体" w:cs="仿宋"/>
                <w:bCs/>
                <w:sz w:val="24"/>
                <w:highlight w:val="none"/>
              </w:rPr>
            </w:pPr>
            <w:r>
              <w:rPr>
                <w:rFonts w:hint="eastAsia" w:ascii="宋体" w:hAnsi="宋体" w:cs="仿宋"/>
                <w:bCs/>
                <w:sz w:val="24"/>
                <w:highlight w:val="none"/>
              </w:rPr>
              <w:t>单价</w:t>
            </w:r>
            <w:r>
              <w:rPr>
                <w:rFonts w:hint="eastAsia" w:ascii="宋体" w:hAnsi="宋体" w:cs="仿宋"/>
                <w:b/>
                <w:sz w:val="24"/>
                <w:highlight w:val="none"/>
              </w:rPr>
              <w:t>(</w:t>
            </w:r>
            <w:r>
              <w:rPr>
                <w:rFonts w:hint="eastAsia" w:ascii="宋体" w:hAnsi="宋体" w:cs="仿宋"/>
                <w:b/>
                <w:sz w:val="24"/>
                <w:highlight w:val="none"/>
                <w:lang w:val="en-US" w:eastAsia="zh-CN"/>
              </w:rPr>
              <w:t>元/岗位/月</w:t>
            </w:r>
            <w:r>
              <w:rPr>
                <w:rFonts w:hint="eastAsia" w:ascii="宋体" w:hAnsi="宋体" w:cs="仿宋"/>
                <w:b/>
                <w:sz w:val="24"/>
                <w:highlight w:val="none"/>
              </w:rPr>
              <w:t>）</w:t>
            </w:r>
          </w:p>
        </w:tc>
        <w:tc>
          <w:tcPr>
            <w:tcW w:w="1165" w:type="pct"/>
            <w:noWrap w:val="0"/>
            <w:vAlign w:val="top"/>
          </w:tcPr>
          <w:p w14:paraId="7465E018">
            <w:pPr>
              <w:spacing w:line="300" w:lineRule="auto"/>
              <w:jc w:val="left"/>
              <w:rPr>
                <w:rFonts w:hint="eastAsia" w:ascii="宋体" w:hAnsi="宋体" w:cs="仿宋"/>
                <w:bCs/>
                <w:sz w:val="24"/>
                <w:highlight w:val="none"/>
              </w:rPr>
            </w:pPr>
            <w:r>
              <w:rPr>
                <w:rFonts w:hint="eastAsia" w:ascii="宋体" w:hAnsi="宋体" w:cs="仿宋"/>
                <w:bCs/>
                <w:sz w:val="24"/>
                <w:highlight w:val="none"/>
                <w:lang w:val="en-US" w:eastAsia="zh-CN"/>
              </w:rPr>
              <w:t>总价</w:t>
            </w:r>
            <w:r>
              <w:rPr>
                <w:rFonts w:hint="eastAsia" w:ascii="宋体" w:hAnsi="宋体" w:cs="仿宋"/>
                <w:bCs/>
                <w:sz w:val="24"/>
                <w:highlight w:val="none"/>
              </w:rPr>
              <w:t>小计</w:t>
            </w:r>
            <w:r>
              <w:rPr>
                <w:rFonts w:hint="eastAsia" w:ascii="宋体" w:hAnsi="宋体" w:cs="仿宋"/>
                <w:b/>
                <w:sz w:val="24"/>
                <w:highlight w:val="none"/>
              </w:rPr>
              <w:t>（壹年）</w:t>
            </w:r>
          </w:p>
        </w:tc>
      </w:tr>
      <w:tr w14:paraId="149F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1" w:type="pct"/>
            <w:noWrap w:val="0"/>
            <w:vAlign w:val="top"/>
          </w:tcPr>
          <w:p w14:paraId="2DF2D723">
            <w:pPr>
              <w:spacing w:line="300" w:lineRule="auto"/>
              <w:jc w:val="left"/>
              <w:rPr>
                <w:rFonts w:hint="default" w:ascii="宋体" w:hAnsi="宋体" w:eastAsia="宋体" w:cs="仿宋"/>
                <w:bCs/>
                <w:sz w:val="24"/>
                <w:highlight w:val="none"/>
                <w:lang w:val="en-US" w:eastAsia="zh-CN"/>
              </w:rPr>
            </w:pPr>
            <w:r>
              <w:rPr>
                <w:rFonts w:hint="eastAsia" w:ascii="宋体" w:hAnsi="宋体" w:cs="仿宋"/>
                <w:bCs/>
                <w:sz w:val="24"/>
                <w:highlight w:val="none"/>
                <w:lang w:val="en-US" w:eastAsia="zh-CN"/>
              </w:rPr>
              <w:t>1</w:t>
            </w:r>
          </w:p>
        </w:tc>
        <w:tc>
          <w:tcPr>
            <w:tcW w:w="984" w:type="pct"/>
            <w:noWrap w:val="0"/>
            <w:vAlign w:val="top"/>
          </w:tcPr>
          <w:p w14:paraId="535A50B5">
            <w:pPr>
              <w:spacing w:line="300" w:lineRule="auto"/>
              <w:jc w:val="center"/>
              <w:rPr>
                <w:rFonts w:hint="eastAsia" w:ascii="宋体" w:hAnsi="宋体" w:eastAsia="宋体" w:cs="仿宋"/>
                <w:bCs/>
                <w:sz w:val="24"/>
                <w:highlight w:val="none"/>
                <w:lang w:val="en-US" w:eastAsia="zh-CN"/>
              </w:rPr>
            </w:pPr>
            <w:r>
              <w:rPr>
                <w:rFonts w:hint="eastAsia" w:ascii="宋体" w:hAnsi="宋体" w:cs="仿宋"/>
                <w:bCs/>
                <w:sz w:val="24"/>
                <w:highlight w:val="none"/>
                <w:lang w:val="en-US" w:eastAsia="zh-CN"/>
              </w:rPr>
              <w:t>全院</w:t>
            </w:r>
          </w:p>
        </w:tc>
        <w:tc>
          <w:tcPr>
            <w:tcW w:w="1004" w:type="pct"/>
            <w:noWrap w:val="0"/>
            <w:vAlign w:val="top"/>
          </w:tcPr>
          <w:p w14:paraId="1A10462D">
            <w:pPr>
              <w:spacing w:line="300" w:lineRule="auto"/>
              <w:jc w:val="center"/>
              <w:rPr>
                <w:rFonts w:hint="default" w:ascii="宋体" w:hAnsi="宋体" w:eastAsia="宋体" w:cs="仿宋"/>
                <w:bCs/>
                <w:sz w:val="24"/>
                <w:highlight w:val="none"/>
                <w:lang w:val="en-US" w:eastAsia="zh-CN"/>
              </w:rPr>
            </w:pPr>
            <w:r>
              <w:rPr>
                <w:rFonts w:hint="eastAsia" w:ascii="宋体" w:hAnsi="宋体" w:cs="仿宋"/>
                <w:bCs/>
                <w:sz w:val="24"/>
                <w:highlight w:val="none"/>
                <w:lang w:val="en-US" w:eastAsia="zh-CN"/>
              </w:rPr>
              <w:t>32</w:t>
            </w:r>
          </w:p>
        </w:tc>
        <w:tc>
          <w:tcPr>
            <w:tcW w:w="1363" w:type="pct"/>
            <w:noWrap w:val="0"/>
            <w:vAlign w:val="top"/>
          </w:tcPr>
          <w:p w14:paraId="762F34A4">
            <w:pPr>
              <w:spacing w:line="320" w:lineRule="exact"/>
              <w:rPr>
                <w:rFonts w:hint="eastAsia" w:ascii="宋体" w:hAnsi="宋体" w:cs="仿宋"/>
                <w:bCs/>
                <w:sz w:val="24"/>
                <w:highlight w:val="none"/>
              </w:rPr>
            </w:pPr>
          </w:p>
        </w:tc>
        <w:tc>
          <w:tcPr>
            <w:tcW w:w="1165" w:type="pct"/>
            <w:noWrap w:val="0"/>
            <w:vAlign w:val="top"/>
          </w:tcPr>
          <w:p w14:paraId="4D136B7A">
            <w:pPr>
              <w:spacing w:line="320" w:lineRule="exact"/>
              <w:jc w:val="left"/>
              <w:rPr>
                <w:rFonts w:hint="eastAsia" w:ascii="宋体" w:hAnsi="宋体" w:cs="仿宋"/>
                <w:bCs/>
                <w:sz w:val="24"/>
                <w:highlight w:val="none"/>
              </w:rPr>
            </w:pPr>
          </w:p>
        </w:tc>
      </w:tr>
      <w:tr w14:paraId="761A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5000" w:type="pct"/>
            <w:gridSpan w:val="5"/>
            <w:noWrap w:val="0"/>
            <w:vAlign w:val="top"/>
          </w:tcPr>
          <w:p w14:paraId="3196991B">
            <w:pPr>
              <w:spacing w:line="300" w:lineRule="auto"/>
              <w:rPr>
                <w:rFonts w:hint="eastAsia" w:ascii="宋体" w:hAnsi="宋体" w:cs="仿宋"/>
                <w:bCs/>
                <w:sz w:val="24"/>
                <w:highlight w:val="none"/>
              </w:rPr>
            </w:pPr>
            <w:r>
              <w:rPr>
                <w:rFonts w:hint="eastAsia" w:ascii="宋体" w:hAnsi="宋体" w:cs="仿宋"/>
                <w:b/>
                <w:sz w:val="28"/>
                <w:szCs w:val="28"/>
                <w:highlight w:val="none"/>
              </w:rPr>
              <w:t>总价（壹年）</w:t>
            </w:r>
            <w:r>
              <w:rPr>
                <w:rFonts w:hint="eastAsia" w:ascii="宋体" w:hAnsi="宋体" w:cs="仿宋"/>
                <w:bCs/>
                <w:sz w:val="28"/>
                <w:szCs w:val="28"/>
                <w:highlight w:val="none"/>
              </w:rPr>
              <w:t>：</w:t>
            </w:r>
            <w:r>
              <w:rPr>
                <w:rFonts w:hint="eastAsia" w:ascii="宋体" w:hAnsi="宋体" w:cs="仿宋"/>
                <w:bCs/>
                <w:sz w:val="28"/>
                <w:szCs w:val="28"/>
                <w:highlight w:val="none"/>
                <w:u w:val="single"/>
              </w:rPr>
              <w:t>大写                元，小写</w:t>
            </w:r>
            <w:r>
              <w:rPr>
                <w:rFonts w:ascii="宋体" w:hAnsi="宋体" w:cs="Calibri"/>
                <w:bCs/>
                <w:sz w:val="28"/>
                <w:szCs w:val="28"/>
                <w:highlight w:val="none"/>
                <w:u w:val="single"/>
                <w:lang w:bidi="ar"/>
              </w:rPr>
              <w:t>¥</w:t>
            </w:r>
            <w:r>
              <w:rPr>
                <w:rFonts w:hint="eastAsia" w:ascii="宋体" w:hAnsi="宋体" w:cs="仿宋"/>
                <w:bCs/>
                <w:sz w:val="28"/>
                <w:szCs w:val="28"/>
                <w:highlight w:val="none"/>
                <w:u w:val="single"/>
                <w:lang w:bidi="ar"/>
              </w:rPr>
              <w:t xml:space="preserve">  </w:t>
            </w:r>
            <w:r>
              <w:rPr>
                <w:rFonts w:hint="eastAsia" w:ascii="宋体" w:hAnsi="宋体" w:cs="仿宋"/>
                <w:bCs/>
                <w:sz w:val="28"/>
                <w:szCs w:val="28"/>
                <w:highlight w:val="none"/>
                <w:u w:val="single"/>
              </w:rPr>
              <w:t xml:space="preserve">            元</w:t>
            </w:r>
          </w:p>
        </w:tc>
      </w:tr>
    </w:tbl>
    <w:p w14:paraId="7FB604CE">
      <w:pPr>
        <w:widowControl/>
        <w:shd w:val="clear" w:color="auto" w:fill="FFFFFF"/>
        <w:spacing w:line="360" w:lineRule="auto"/>
        <w:jc w:val="left"/>
        <w:rPr>
          <w:rFonts w:hint="eastAsia" w:ascii="宋体" w:hAnsi="宋体" w:cs="宋体"/>
          <w:kern w:val="0"/>
          <w:szCs w:val="21"/>
        </w:rPr>
      </w:pPr>
    </w:p>
    <w:p w14:paraId="63B885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DCF73F2">
      <w:pPr>
        <w:pStyle w:val="69"/>
        <w:rPr>
          <w:rFonts w:ascii="Arial" w:hAnsi="Arial" w:cs="Arial"/>
          <w:kern w:val="0"/>
          <w:szCs w:val="21"/>
        </w:rPr>
      </w:pPr>
    </w:p>
    <w:p w14:paraId="10786F1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749932C">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CA0016F">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0163E24F">
      <w:pPr>
        <w:widowControl/>
        <w:shd w:val="clear" w:color="auto" w:fill="FFFFFF"/>
        <w:spacing w:line="360" w:lineRule="auto"/>
        <w:ind w:firstLine="632" w:firstLineChars="300"/>
        <w:jc w:val="left"/>
        <w:rPr>
          <w:rFonts w:hint="default" w:ascii="Arial" w:hAnsi="Arial" w:eastAsia="宋体" w:cs="Arial"/>
          <w:b/>
          <w:bCs/>
          <w:kern w:val="0"/>
          <w:szCs w:val="21"/>
          <w:lang w:val="en-US" w:eastAsia="zh-CN"/>
        </w:rPr>
      </w:pPr>
      <w:r>
        <w:rPr>
          <w:rFonts w:hint="eastAsia" w:ascii="Arial" w:hAnsi="Arial" w:cs="Arial"/>
          <w:b/>
          <w:bCs/>
          <w:kern w:val="0"/>
          <w:szCs w:val="21"/>
          <w:lang w:val="en-US" w:eastAsia="zh-CN"/>
        </w:rPr>
        <w:t>3、总价=岗位数X单价X12个月。</w:t>
      </w:r>
    </w:p>
    <w:p w14:paraId="6FEDA226">
      <w:pPr>
        <w:widowControl/>
        <w:shd w:val="clear" w:color="auto" w:fill="FFFFFF"/>
        <w:spacing w:line="360" w:lineRule="auto"/>
        <w:jc w:val="left"/>
        <w:rPr>
          <w:rFonts w:ascii="Arial" w:hAnsi="Arial" w:cs="Arial"/>
          <w:kern w:val="0"/>
          <w:szCs w:val="21"/>
        </w:rPr>
      </w:pPr>
    </w:p>
    <w:p w14:paraId="0A72878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hint="default" w:ascii="Arial" w:hAnsi="Arial" w:eastAsia="宋体" w:cs="Arial"/>
          <w:kern w:val="0"/>
          <w:szCs w:val="21"/>
          <w:lang w:val="en-US" w:eastAsia="zh-CN"/>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lang w:val="en-US" w:eastAsia="zh-CN"/>
        </w:rPr>
        <w:t>服务要求响应</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303F32DF">
      <w:pPr>
        <w:jc w:val="center"/>
        <w:rPr>
          <w:sz w:val="28"/>
          <w:highlight w:val="none"/>
        </w:rPr>
      </w:pPr>
      <w:r>
        <w:rPr>
          <w:rFonts w:hint="eastAsia"/>
          <w:sz w:val="28"/>
          <w:highlight w:val="none"/>
        </w:rPr>
        <w:t>服务要求响应承诺函</w:t>
      </w:r>
    </w:p>
    <w:p w14:paraId="6CE023E9">
      <w:pPr>
        <w:rPr>
          <w:rFonts w:ascii="宋体" w:hAnsi="宋体"/>
          <w:szCs w:val="21"/>
          <w:highlight w:val="none"/>
        </w:rPr>
      </w:pPr>
    </w:p>
    <w:p w14:paraId="3BF1365B">
      <w:pPr>
        <w:autoSpaceDE w:val="0"/>
        <w:autoSpaceDN w:val="0"/>
        <w:adjustRightInd w:val="0"/>
        <w:spacing w:line="720" w:lineRule="exact"/>
        <w:ind w:firstLine="420" w:firstLineChars="200"/>
        <w:jc w:val="left"/>
        <w:rPr>
          <w:rFonts w:hint="default" w:ascii="宋体" w:hAnsi="宋体" w:eastAsia="宋体" w:cs="仿宋"/>
          <w:kern w:val="0"/>
          <w:szCs w:val="21"/>
          <w:highlight w:val="none"/>
          <w:lang w:val="en-US" w:eastAsia="zh-CN"/>
        </w:rPr>
      </w:pPr>
      <w:r>
        <w:rPr>
          <w:rFonts w:hint="eastAsia" w:ascii="宋体" w:hAnsi="宋体" w:cs="仿宋"/>
          <w:kern w:val="0"/>
          <w:szCs w:val="21"/>
          <w:highlight w:val="none"/>
        </w:rPr>
        <w:t>致：</w:t>
      </w:r>
      <w:r>
        <w:rPr>
          <w:rFonts w:hint="eastAsia" w:ascii="宋体" w:hAnsi="宋体" w:cs="仿宋"/>
          <w:b/>
          <w:kern w:val="0"/>
          <w:szCs w:val="21"/>
          <w:highlight w:val="none"/>
          <w:lang w:val="en-US" w:eastAsia="zh-CN"/>
        </w:rPr>
        <w:t>江苏省人民医院</w:t>
      </w:r>
    </w:p>
    <w:p w14:paraId="2D28D007">
      <w:pPr>
        <w:autoSpaceDE w:val="0"/>
        <w:autoSpaceDN w:val="0"/>
        <w:adjustRightInd w:val="0"/>
        <w:spacing w:line="720" w:lineRule="exact"/>
        <w:ind w:firstLine="420" w:firstLineChars="200"/>
        <w:jc w:val="left"/>
        <w:rPr>
          <w:rFonts w:ascii="宋体" w:hAnsi="宋体" w:cs="仿宋"/>
          <w:kern w:val="0"/>
          <w:szCs w:val="21"/>
          <w:highlight w:val="none"/>
        </w:rPr>
      </w:pPr>
      <w:r>
        <w:rPr>
          <w:rFonts w:hint="eastAsia" w:ascii="宋体" w:hAnsi="宋体" w:cs="仿宋"/>
          <w:kern w:val="0"/>
          <w:szCs w:val="21"/>
          <w:highlight w:val="none"/>
        </w:rPr>
        <w:t>我</w:t>
      </w:r>
      <w:r>
        <w:rPr>
          <w:rFonts w:hint="eastAsia" w:ascii="宋体" w:hAnsi="宋体" w:cs="仿宋"/>
          <w:kern w:val="0"/>
          <w:szCs w:val="21"/>
          <w:highlight w:val="none"/>
          <w:lang w:val="en-US" w:eastAsia="zh-CN"/>
        </w:rPr>
        <w:t>公</w:t>
      </w:r>
      <w:r>
        <w:rPr>
          <w:rFonts w:hint="eastAsia" w:ascii="宋体" w:hAnsi="宋体" w:cs="仿宋"/>
          <w:kern w:val="0"/>
          <w:szCs w:val="21"/>
          <w:highlight w:val="none"/>
        </w:rPr>
        <w:t>司郑重承诺：完全响应本招标文件《</w:t>
      </w:r>
      <w:r>
        <w:rPr>
          <w:rFonts w:hint="eastAsia" w:ascii="宋体" w:hAnsi="宋体" w:cs="仿宋"/>
          <w:kern w:val="0"/>
          <w:szCs w:val="21"/>
          <w:highlight w:val="none"/>
          <w:lang w:val="en-US" w:eastAsia="zh-CN"/>
        </w:rPr>
        <w:t>第四章</w:t>
      </w:r>
      <w:r>
        <w:rPr>
          <w:rFonts w:hint="eastAsia" w:ascii="宋体" w:hAnsi="宋体" w:cs="仿宋"/>
          <w:kern w:val="0"/>
          <w:szCs w:val="21"/>
          <w:highlight w:val="none"/>
        </w:rPr>
        <w:t>：采购需求》中</w:t>
      </w:r>
      <w:r>
        <w:rPr>
          <w:rFonts w:hint="eastAsia" w:ascii="宋体" w:hAnsi="宋体" w:cs="仿宋"/>
          <w:kern w:val="0"/>
          <w:szCs w:val="21"/>
          <w:highlight w:val="none"/>
          <w:lang w:eastAsia="zh-CN"/>
        </w:rPr>
        <w:t>“</w:t>
      </w:r>
      <w:r>
        <w:rPr>
          <w:rFonts w:hint="eastAsia" w:ascii="宋体" w:hAnsi="宋体" w:cs="仿宋"/>
          <w:kern w:val="0"/>
          <w:szCs w:val="21"/>
          <w:highlight w:val="none"/>
          <w:lang w:val="en-US" w:eastAsia="zh-CN"/>
        </w:rPr>
        <w:t>二、服务条款</w:t>
      </w:r>
      <w:r>
        <w:rPr>
          <w:rFonts w:hint="eastAsia" w:ascii="宋体" w:hAnsi="宋体" w:cs="仿宋"/>
          <w:kern w:val="0"/>
          <w:szCs w:val="21"/>
          <w:highlight w:val="none"/>
          <w:lang w:eastAsia="zh-CN"/>
        </w:rPr>
        <w:t>”</w:t>
      </w:r>
      <w:r>
        <w:rPr>
          <w:rFonts w:hint="eastAsia" w:ascii="宋体" w:hAnsi="宋体" w:cs="仿宋"/>
          <w:kern w:val="0"/>
          <w:szCs w:val="21"/>
          <w:highlight w:val="none"/>
        </w:rPr>
        <w:t>的全部内容，我</w:t>
      </w:r>
      <w:r>
        <w:rPr>
          <w:rFonts w:hint="eastAsia" w:ascii="宋体" w:hAnsi="宋体" w:cs="仿宋"/>
          <w:kern w:val="0"/>
          <w:szCs w:val="21"/>
          <w:highlight w:val="none"/>
          <w:lang w:val="en-US" w:eastAsia="zh-CN"/>
        </w:rPr>
        <w:t>公</w:t>
      </w:r>
      <w:r>
        <w:rPr>
          <w:rFonts w:hint="eastAsia" w:ascii="宋体" w:hAnsi="宋体" w:cs="仿宋"/>
          <w:kern w:val="0"/>
          <w:szCs w:val="21"/>
          <w:highlight w:val="none"/>
        </w:rPr>
        <w:t>司承诺不会提供虚假材料谋取成交、排挤其他供应商，否则会被列入不良行为记录名单，取消成交资格，情节严重的，依法追究责任。</w:t>
      </w:r>
    </w:p>
    <w:p w14:paraId="30060064">
      <w:pPr>
        <w:autoSpaceDE w:val="0"/>
        <w:autoSpaceDN w:val="0"/>
        <w:adjustRightInd w:val="0"/>
        <w:spacing w:line="720" w:lineRule="exact"/>
        <w:ind w:firstLine="420" w:firstLineChars="200"/>
        <w:jc w:val="left"/>
        <w:rPr>
          <w:rFonts w:ascii="宋体" w:hAnsi="宋体" w:cs="仿宋"/>
          <w:kern w:val="0"/>
          <w:szCs w:val="21"/>
          <w:highlight w:val="none"/>
        </w:rPr>
      </w:pPr>
      <w:r>
        <w:rPr>
          <w:rFonts w:hint="eastAsia" w:ascii="宋体" w:hAnsi="宋体" w:cs="仿宋"/>
          <w:kern w:val="0"/>
          <w:szCs w:val="21"/>
          <w:highlight w:val="none"/>
        </w:rPr>
        <w:t>特此承诺！</w:t>
      </w:r>
    </w:p>
    <w:p w14:paraId="585F4D41">
      <w:pPr>
        <w:ind w:firstLine="420" w:firstLineChars="200"/>
        <w:rPr>
          <w:rFonts w:ascii="宋体" w:hAnsi="宋体"/>
          <w:szCs w:val="21"/>
          <w:highlight w:val="cyan"/>
        </w:rPr>
      </w:pPr>
    </w:p>
    <w:p w14:paraId="1BC4C7BA">
      <w:pPr>
        <w:ind w:firstLine="420" w:firstLineChars="200"/>
        <w:rPr>
          <w:rFonts w:ascii="宋体" w:hAnsi="宋体"/>
          <w:szCs w:val="21"/>
          <w:highlight w:val="cyan"/>
        </w:rPr>
      </w:pPr>
    </w:p>
    <w:p w14:paraId="5AB12F6F">
      <w:pPr>
        <w:ind w:firstLine="420" w:firstLineChars="200"/>
        <w:rPr>
          <w:rFonts w:ascii="宋体" w:hAnsi="宋体"/>
          <w:szCs w:val="21"/>
          <w:highlight w:val="cyan"/>
        </w:rPr>
      </w:pPr>
    </w:p>
    <w:p w14:paraId="57D76C3F">
      <w:pPr>
        <w:widowControl/>
        <w:shd w:val="clear" w:color="auto" w:fill="FFFFFF"/>
        <w:spacing w:line="360" w:lineRule="auto"/>
        <w:jc w:val="left"/>
        <w:rPr>
          <w:rFonts w:ascii="Arial" w:hAnsi="Arial" w:cs="Arial"/>
          <w:kern w:val="0"/>
          <w:szCs w:val="21"/>
        </w:rPr>
      </w:pPr>
    </w:p>
    <w:p w14:paraId="238B8C2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5FC593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69B5B037">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1268794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4934023">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71116409">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1C2144AE">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5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705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8D3C326">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0BE9EF60">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4C969D24">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52DC1EB6">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24272ACA">
            <w:pPr>
              <w:widowControl/>
              <w:spacing w:line="360" w:lineRule="auto"/>
              <w:jc w:val="center"/>
              <w:rPr>
                <w:rFonts w:ascii="Arial" w:hAnsi="Arial" w:cs="Arial"/>
                <w:b/>
                <w:kern w:val="0"/>
                <w:szCs w:val="21"/>
              </w:rPr>
            </w:pPr>
            <w:r>
              <w:rPr>
                <w:rFonts w:ascii="Arial" w:hAnsi="Arial" w:cs="Arial"/>
                <w:b/>
                <w:kern w:val="0"/>
                <w:szCs w:val="21"/>
              </w:rPr>
              <w:t>偏离</w:t>
            </w:r>
          </w:p>
        </w:tc>
      </w:tr>
      <w:tr w14:paraId="4CA6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D2C38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8C9C8B6">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17E200C7">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C45654A">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28FF7504">
            <w:pPr>
              <w:widowControl/>
              <w:spacing w:line="360" w:lineRule="auto"/>
              <w:jc w:val="center"/>
              <w:rPr>
                <w:rFonts w:ascii="Arial" w:hAnsi="Arial" w:cs="Arial"/>
                <w:kern w:val="0"/>
                <w:szCs w:val="21"/>
              </w:rPr>
            </w:pPr>
            <w:r>
              <w:rPr>
                <w:rFonts w:ascii="Arial" w:hAnsi="Arial" w:cs="Arial"/>
                <w:kern w:val="0"/>
                <w:szCs w:val="21"/>
              </w:rPr>
              <w:t> </w:t>
            </w:r>
          </w:p>
        </w:tc>
      </w:tr>
      <w:tr w14:paraId="13C3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02ACB4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14AAE4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70EFDDC">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35829482">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4BD09A7">
            <w:pPr>
              <w:widowControl/>
              <w:spacing w:line="360" w:lineRule="auto"/>
              <w:jc w:val="center"/>
              <w:rPr>
                <w:rFonts w:ascii="Arial" w:hAnsi="Arial" w:cs="Arial"/>
                <w:kern w:val="0"/>
                <w:szCs w:val="21"/>
              </w:rPr>
            </w:pPr>
            <w:r>
              <w:rPr>
                <w:rFonts w:ascii="Arial" w:hAnsi="Arial" w:cs="Arial"/>
                <w:kern w:val="0"/>
                <w:szCs w:val="21"/>
              </w:rPr>
              <w:t> </w:t>
            </w:r>
          </w:p>
        </w:tc>
      </w:tr>
      <w:tr w14:paraId="1DB1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C5C806">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276A8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73F45C5">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3E9606E1">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3DA9626">
            <w:pPr>
              <w:widowControl/>
              <w:spacing w:line="360" w:lineRule="auto"/>
              <w:jc w:val="center"/>
              <w:rPr>
                <w:rFonts w:ascii="Arial" w:hAnsi="Arial" w:cs="Arial"/>
                <w:kern w:val="0"/>
                <w:szCs w:val="21"/>
              </w:rPr>
            </w:pPr>
            <w:r>
              <w:rPr>
                <w:rFonts w:ascii="Arial" w:hAnsi="Arial" w:cs="Arial"/>
                <w:kern w:val="0"/>
                <w:szCs w:val="21"/>
              </w:rPr>
              <w:t> </w:t>
            </w:r>
          </w:p>
        </w:tc>
      </w:tr>
      <w:tr w14:paraId="4C3B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A634A8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16EBCB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2D8886FA">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08F94D91">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27FE41DF">
            <w:pPr>
              <w:widowControl/>
              <w:spacing w:line="360" w:lineRule="auto"/>
              <w:jc w:val="center"/>
              <w:rPr>
                <w:rFonts w:ascii="Arial" w:hAnsi="Arial" w:cs="Arial"/>
                <w:kern w:val="0"/>
                <w:szCs w:val="21"/>
              </w:rPr>
            </w:pPr>
            <w:r>
              <w:rPr>
                <w:rFonts w:ascii="Arial" w:hAnsi="Arial" w:cs="Arial"/>
                <w:kern w:val="0"/>
                <w:szCs w:val="21"/>
              </w:rPr>
              <w:t> </w:t>
            </w:r>
          </w:p>
        </w:tc>
      </w:tr>
      <w:tr w14:paraId="171E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2773FF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730DEFB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154203B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6A352FDC">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72476F6">
            <w:pPr>
              <w:widowControl/>
              <w:spacing w:line="360" w:lineRule="auto"/>
              <w:jc w:val="center"/>
              <w:rPr>
                <w:rFonts w:ascii="Arial" w:hAnsi="Arial" w:cs="Arial"/>
                <w:kern w:val="0"/>
                <w:szCs w:val="21"/>
              </w:rPr>
            </w:pPr>
            <w:r>
              <w:rPr>
                <w:rFonts w:ascii="Arial" w:hAnsi="Arial" w:cs="Arial"/>
                <w:kern w:val="0"/>
                <w:szCs w:val="21"/>
              </w:rPr>
              <w:t> </w:t>
            </w:r>
          </w:p>
        </w:tc>
      </w:tr>
      <w:tr w14:paraId="38D4F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7FCABE2">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124B05D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4C82575E">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59EC08A7">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672A5748">
            <w:pPr>
              <w:widowControl/>
              <w:spacing w:line="360" w:lineRule="auto"/>
              <w:jc w:val="center"/>
              <w:rPr>
                <w:rFonts w:ascii="Arial" w:hAnsi="Arial" w:cs="Arial"/>
                <w:kern w:val="0"/>
                <w:szCs w:val="21"/>
              </w:rPr>
            </w:pPr>
          </w:p>
        </w:tc>
      </w:tr>
      <w:tr w14:paraId="480E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9E08634">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20E36E95">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1A4F3497">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3527329E">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7E849338">
            <w:pPr>
              <w:widowControl/>
              <w:spacing w:line="360" w:lineRule="auto"/>
              <w:jc w:val="center"/>
              <w:rPr>
                <w:rFonts w:ascii="Arial" w:hAnsi="Arial" w:cs="Arial"/>
                <w:kern w:val="0"/>
                <w:szCs w:val="21"/>
              </w:rPr>
            </w:pPr>
          </w:p>
        </w:tc>
      </w:tr>
    </w:tbl>
    <w:p w14:paraId="5F81402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66B5A2F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199DD29A">
      <w:pPr>
        <w:widowControl/>
        <w:shd w:val="clear" w:color="auto" w:fill="FFFFFF"/>
        <w:spacing w:line="360" w:lineRule="auto"/>
        <w:jc w:val="left"/>
        <w:rPr>
          <w:rFonts w:hint="eastAsia" w:ascii="Arial" w:hAnsi="Arial" w:cs="Arial"/>
          <w:kern w:val="0"/>
          <w:szCs w:val="21"/>
          <w:lang w:val="en-US" w:eastAsia="zh-CN"/>
        </w:rPr>
      </w:pPr>
      <w:r>
        <w:rPr>
          <w:rFonts w:hint="eastAsia" w:ascii="Arial" w:hAnsi="Arial" w:cs="Arial"/>
          <w:kern w:val="0"/>
          <w:szCs w:val="21"/>
          <w:lang w:val="en-US" w:eastAsia="zh-CN"/>
        </w:rPr>
        <w:t>2、内容响应存在正偏离或无偏离或负偏离的，请在本表中逐条列出。未列出的，也视为响应招标文件要求，无偏离。如果行数不够，请自行增加。</w:t>
      </w:r>
    </w:p>
    <w:p w14:paraId="1A9CAB5F">
      <w:pPr>
        <w:pStyle w:val="2"/>
        <w:ind w:left="0" w:leftChars="0" w:firstLine="0" w:firstLineChars="0"/>
        <w:rPr>
          <w:rFonts w:hint="default"/>
          <w:lang w:val="en-US" w:eastAsia="zh-CN"/>
        </w:rPr>
      </w:pPr>
      <w:r>
        <w:rPr>
          <w:rFonts w:hint="eastAsia" w:ascii="Arial" w:hAnsi="Arial" w:cs="Arial"/>
          <w:kern w:val="0"/>
          <w:szCs w:val="21"/>
          <w:lang w:val="en-US" w:eastAsia="zh-CN"/>
        </w:rPr>
        <w:t>3、如无偏离可在投标响应栏填写“完成响应，无偏离。”</w:t>
      </w:r>
    </w:p>
    <w:p w14:paraId="27258AC5">
      <w:pPr>
        <w:widowControl/>
        <w:shd w:val="clear" w:color="auto" w:fill="FFFFFF"/>
        <w:spacing w:line="360" w:lineRule="auto"/>
        <w:jc w:val="left"/>
        <w:rPr>
          <w:rFonts w:ascii="Arial" w:hAnsi="Arial" w:cs="Arial"/>
          <w:kern w:val="0"/>
          <w:szCs w:val="21"/>
        </w:rPr>
      </w:pPr>
    </w:p>
    <w:p w14:paraId="2BFDEB29">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0BD0CF2">
      <w:pPr>
        <w:widowControl/>
        <w:shd w:val="clear" w:color="auto" w:fill="FFFFFF"/>
        <w:spacing w:line="360" w:lineRule="auto"/>
        <w:jc w:val="left"/>
        <w:rPr>
          <w:rFonts w:ascii="Arial" w:hAnsi="Arial" w:cs="Arial"/>
          <w:kern w:val="0"/>
          <w:szCs w:val="21"/>
        </w:rPr>
      </w:pPr>
    </w:p>
    <w:p w14:paraId="4AB854ED">
      <w:pPr>
        <w:pStyle w:val="2"/>
        <w:rPr>
          <w:rFonts w:ascii="Arial" w:hAnsi="Arial" w:cs="Arial"/>
          <w:kern w:val="0"/>
          <w:szCs w:val="21"/>
        </w:rPr>
      </w:pPr>
    </w:p>
    <w:p w14:paraId="5EB61A9D">
      <w:pPr>
        <w:rPr>
          <w:rFonts w:ascii="Arial" w:hAnsi="Arial" w:cs="Arial"/>
          <w:kern w:val="0"/>
          <w:szCs w:val="21"/>
        </w:rPr>
      </w:pPr>
    </w:p>
    <w:p w14:paraId="37381035">
      <w:pPr>
        <w:pStyle w:val="2"/>
        <w:rPr>
          <w:rFonts w:ascii="Arial" w:hAnsi="Arial" w:cs="Arial"/>
          <w:kern w:val="0"/>
          <w:szCs w:val="21"/>
        </w:rPr>
      </w:pPr>
    </w:p>
    <w:p w14:paraId="327C57F5">
      <w:pPr>
        <w:rPr>
          <w:rFonts w:ascii="Arial" w:hAnsi="Arial" w:cs="Arial"/>
          <w:kern w:val="0"/>
          <w:szCs w:val="21"/>
        </w:rPr>
      </w:pPr>
    </w:p>
    <w:p w14:paraId="055C8E7D">
      <w:pPr>
        <w:pStyle w:val="2"/>
        <w:rPr>
          <w:rFonts w:ascii="Arial" w:hAnsi="Arial" w:cs="Arial"/>
          <w:kern w:val="0"/>
          <w:szCs w:val="21"/>
        </w:rPr>
      </w:pPr>
    </w:p>
    <w:p w14:paraId="687B5319">
      <w:pPr>
        <w:rPr>
          <w:rFonts w:ascii="Arial" w:hAnsi="Arial" w:cs="Arial"/>
          <w:kern w:val="0"/>
          <w:szCs w:val="21"/>
        </w:rPr>
      </w:pPr>
    </w:p>
    <w:p w14:paraId="1425AFC1">
      <w:pPr>
        <w:pStyle w:val="2"/>
        <w:rPr>
          <w:rFonts w:ascii="Arial" w:hAnsi="Arial" w:cs="Arial"/>
          <w:kern w:val="0"/>
          <w:szCs w:val="21"/>
        </w:rPr>
      </w:pPr>
    </w:p>
    <w:p w14:paraId="4500E4A6">
      <w:pPr>
        <w:rPr>
          <w:rFonts w:ascii="Arial" w:hAnsi="Arial" w:cs="Arial"/>
          <w:kern w:val="0"/>
          <w:szCs w:val="21"/>
        </w:rPr>
      </w:pPr>
    </w:p>
    <w:p w14:paraId="7E35A079">
      <w:pPr>
        <w:pStyle w:val="2"/>
        <w:rPr>
          <w:rFonts w:ascii="Arial" w:hAnsi="Arial" w:cs="Arial"/>
          <w:kern w:val="0"/>
          <w:szCs w:val="21"/>
        </w:rPr>
      </w:pPr>
    </w:p>
    <w:p w14:paraId="0EFCFBC2">
      <w:pPr>
        <w:rPr>
          <w:rFonts w:ascii="Arial" w:hAnsi="Arial" w:cs="Arial"/>
          <w:kern w:val="0"/>
          <w:szCs w:val="21"/>
        </w:rPr>
      </w:pPr>
    </w:p>
    <w:p w14:paraId="008D1C05">
      <w:pPr>
        <w:pStyle w:val="2"/>
        <w:rPr>
          <w:rFonts w:ascii="Arial" w:hAnsi="Arial" w:cs="Arial"/>
          <w:kern w:val="0"/>
          <w:szCs w:val="21"/>
        </w:rPr>
      </w:pPr>
    </w:p>
    <w:p w14:paraId="33C1C288">
      <w:pPr>
        <w:rPr>
          <w:rFonts w:ascii="Arial" w:hAnsi="Arial" w:cs="Arial"/>
          <w:kern w:val="0"/>
          <w:szCs w:val="21"/>
        </w:rPr>
      </w:pPr>
    </w:p>
    <w:p w14:paraId="5AA09CE7">
      <w:pPr>
        <w:pStyle w:val="2"/>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t>附件</w:t>
      </w:r>
      <w:r>
        <w:rPr>
          <w:rFonts w:hint="eastAsia" w:ascii="Arial" w:hAnsi="Arial" w:cs="Arial"/>
          <w:b/>
          <w:bCs/>
          <w:kern w:val="0"/>
          <w:szCs w:val="21"/>
          <w:lang w:val="en-US" w:eastAsia="zh-CN"/>
        </w:rPr>
        <w:t>七</w:t>
      </w:r>
      <w:r>
        <w:rPr>
          <w:rFonts w:ascii="Arial" w:hAnsi="Arial" w:cs="Arial"/>
          <w:b/>
          <w:bCs/>
          <w:kern w:val="0"/>
          <w:szCs w:val="21"/>
        </w:rPr>
        <w:t>、</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7"/>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7"/>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highlight w:val="none"/>
        </w:rPr>
      </w:pPr>
      <w:r>
        <w:rPr>
          <w:rFonts w:ascii="Arial" w:hAnsi="Arial" w:cs="Arial"/>
        </w:rPr>
        <w:br w:type="page"/>
      </w:r>
      <w:r>
        <w:rPr>
          <w:rFonts w:ascii="Arial" w:hAnsi="Arial" w:cs="Arial"/>
          <w:b/>
          <w:bCs/>
          <w:kern w:val="0"/>
          <w:sz w:val="24"/>
          <w:highlight w:val="none"/>
        </w:rPr>
        <w:t>附件</w:t>
      </w:r>
      <w:r>
        <w:rPr>
          <w:rFonts w:hint="eastAsia" w:ascii="Arial" w:hAnsi="Arial" w:cs="Arial"/>
          <w:b/>
          <w:bCs/>
          <w:kern w:val="0"/>
          <w:sz w:val="24"/>
          <w:highlight w:val="none"/>
          <w:lang w:val="en-US" w:eastAsia="zh-CN"/>
        </w:rPr>
        <w:t>八</w:t>
      </w:r>
      <w:r>
        <w:rPr>
          <w:rFonts w:ascii="Arial" w:hAnsi="Arial" w:cs="Arial"/>
          <w:b/>
          <w:bCs/>
          <w:kern w:val="0"/>
          <w:sz w:val="24"/>
          <w:highlight w:val="none"/>
        </w:rPr>
        <w:t>、拟参与本项目服务人员一览表</w:t>
      </w:r>
    </w:p>
    <w:p w14:paraId="7AA45F0A">
      <w:pPr>
        <w:widowControl/>
        <w:adjustRightInd w:val="0"/>
        <w:spacing w:line="460" w:lineRule="atLeast"/>
        <w:rPr>
          <w:rFonts w:ascii="Arial" w:hAnsi="Arial" w:cs="Arial"/>
          <w:b/>
          <w:bCs/>
          <w:kern w:val="0"/>
          <w:sz w:val="24"/>
        </w:rPr>
      </w:pPr>
    </w:p>
    <w:p w14:paraId="0EDEF68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lang w:val="en-US" w:eastAsia="zh-CN"/>
        </w:rPr>
        <w:t xml:space="preserve">                    </w:t>
      </w:r>
      <w:r>
        <w:rPr>
          <w:rFonts w:ascii="Arial" w:hAnsi="Arial" w:cs="Arial"/>
          <w:kern w:val="0"/>
          <w:szCs w:val="21"/>
        </w:rPr>
        <w:t>项目编号：</w:t>
      </w:r>
    </w:p>
    <w:tbl>
      <w:tblPr>
        <w:tblStyle w:val="5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D672876">
      <w:pPr>
        <w:ind w:firstLine="420" w:firstLineChars="200"/>
        <w:rPr>
          <w:rFonts w:ascii="宋体" w:hAnsi="宋体"/>
          <w:szCs w:val="21"/>
          <w:highlight w:val="none"/>
        </w:rPr>
      </w:pPr>
      <w:r>
        <w:rPr>
          <w:rFonts w:hint="eastAsia" w:ascii="Arial" w:hAnsi="Arial" w:cs="Arial"/>
          <w:kern w:val="0"/>
          <w:szCs w:val="21"/>
          <w:lang w:val="en-US" w:eastAsia="zh-CN"/>
        </w:rPr>
        <w:t>注：</w:t>
      </w:r>
      <w:r>
        <w:rPr>
          <w:rFonts w:hint="eastAsia" w:ascii="宋体" w:hAnsi="宋体"/>
          <w:szCs w:val="21"/>
          <w:highlight w:val="none"/>
          <w:lang w:val="en-US" w:eastAsia="zh-CN"/>
        </w:rPr>
        <w:t>1、</w:t>
      </w:r>
      <w:r>
        <w:rPr>
          <w:rFonts w:hint="eastAsia" w:ascii="宋体" w:hAnsi="宋体"/>
          <w:szCs w:val="21"/>
          <w:highlight w:val="none"/>
        </w:rPr>
        <w:t>提供团队人员名单，</w:t>
      </w:r>
      <w:r>
        <w:rPr>
          <w:rFonts w:hint="eastAsia" w:ascii="宋体" w:hAnsi="宋体"/>
          <w:szCs w:val="21"/>
          <w:highlight w:val="none"/>
          <w:lang w:val="en-US" w:eastAsia="zh-CN"/>
        </w:rPr>
        <w:t>须</w:t>
      </w:r>
      <w:r>
        <w:rPr>
          <w:rFonts w:hint="eastAsia" w:ascii="宋体" w:hAnsi="宋体"/>
          <w:szCs w:val="21"/>
          <w:highlight w:val="none"/>
        </w:rPr>
        <w:t>包括团队</w:t>
      </w:r>
      <w:r>
        <w:rPr>
          <w:rFonts w:hint="eastAsia" w:ascii="宋体" w:hAnsi="宋体"/>
          <w:szCs w:val="21"/>
          <w:highlight w:val="none"/>
          <w:lang w:val="en-US" w:eastAsia="zh-CN"/>
        </w:rPr>
        <w:t>成员、项目经理等。</w:t>
      </w:r>
      <w:r>
        <w:rPr>
          <w:rFonts w:hint="eastAsia" w:ascii="宋体" w:hAnsi="宋体"/>
          <w:szCs w:val="21"/>
          <w:highlight w:val="none"/>
        </w:rPr>
        <w:t>）</w:t>
      </w:r>
    </w:p>
    <w:p w14:paraId="418E6D58">
      <w:pPr>
        <w:widowControl/>
        <w:adjustRightInd w:val="0"/>
        <w:rPr>
          <w:rFonts w:hint="default" w:ascii="Arial" w:hAnsi="Arial" w:eastAsia="宋体" w:cs="Arial"/>
          <w:kern w:val="0"/>
          <w:szCs w:val="21"/>
          <w:lang w:val="en-US" w:eastAsia="zh-CN"/>
        </w:rPr>
      </w:pPr>
      <w:r>
        <w:rPr>
          <w:rFonts w:hint="eastAsia" w:ascii="Arial" w:hAnsi="Arial" w:cs="Arial"/>
          <w:kern w:val="0"/>
          <w:szCs w:val="21"/>
          <w:lang w:val="en-US" w:eastAsia="zh-CN"/>
        </w:rPr>
        <w:t xml:space="preserve">        2、相关证件复印件附后。</w:t>
      </w: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w:t>
      </w:r>
      <w:r>
        <w:rPr>
          <w:rFonts w:hint="eastAsia" w:ascii="Arial" w:hAnsi="Arial" w:cs="Arial"/>
          <w:b/>
          <w:bCs/>
          <w:kern w:val="0"/>
          <w:sz w:val="24"/>
          <w:lang w:val="en-US" w:eastAsia="zh-CN"/>
        </w:rPr>
        <w:t>九</w:t>
      </w:r>
      <w:r>
        <w:rPr>
          <w:rFonts w:ascii="Arial" w:hAnsi="Arial" w:cs="Arial"/>
          <w:b/>
          <w:bCs/>
          <w:kern w:val="0"/>
          <w:sz w:val="24"/>
        </w:rPr>
        <w:t>、供应商类似业绩情况表</w:t>
      </w:r>
    </w:p>
    <w:p w14:paraId="042B0AA7">
      <w:pPr>
        <w:widowControl/>
        <w:adjustRightInd w:val="0"/>
        <w:spacing w:line="360" w:lineRule="auto"/>
        <w:jc w:val="center"/>
        <w:rPr>
          <w:rFonts w:ascii="Arial" w:hAnsi="Arial" w:cs="Arial"/>
          <w:b/>
          <w:bCs/>
          <w:kern w:val="0"/>
          <w:sz w:val="24"/>
        </w:rPr>
      </w:pPr>
    </w:p>
    <w:p w14:paraId="02444F8F">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5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w:t>
      </w:r>
      <w:r>
        <w:rPr>
          <w:rFonts w:hint="eastAsia" w:ascii="Arial" w:hAnsi="Arial" w:cs="Arial"/>
          <w:b/>
          <w:lang w:val="en-US" w:eastAsia="zh-CN"/>
        </w:rPr>
        <w:t>十</w:t>
      </w:r>
      <w:r>
        <w:rPr>
          <w:rFonts w:ascii="Arial" w:hAnsi="Arial" w:cs="Arial"/>
          <w:b/>
          <w:bCs/>
        </w:rPr>
        <w:t>：企业声明函格式</w:t>
      </w:r>
    </w:p>
    <w:p w14:paraId="277AE4A1">
      <w:pPr>
        <w:spacing w:line="360" w:lineRule="auto"/>
        <w:jc w:val="center"/>
        <w:rPr>
          <w:rFonts w:ascii="Arial" w:hAnsi="Arial" w:cs="Arial"/>
          <w:b/>
          <w:bCs/>
          <w:sz w:val="28"/>
        </w:rPr>
      </w:pPr>
      <w:r>
        <w:rPr>
          <w:rFonts w:hint="eastAsia" w:ascii="Arial" w:hAnsi="Arial" w:cs="Arial"/>
          <w:b/>
          <w:bCs/>
          <w:sz w:val="28"/>
        </w:rPr>
        <w:t>中小企业声明函（工程、服务）</w:t>
      </w:r>
    </w:p>
    <w:p w14:paraId="30A1B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46C0BFD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8D893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2FD57C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C201BD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w:t>
      </w:r>
    </w:p>
    <w:p w14:paraId="66D88FC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1D1161A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13BCB17E">
      <w:pPr>
        <w:widowControl/>
        <w:shd w:val="clear" w:color="auto" w:fill="FFFFFF"/>
        <w:spacing w:line="360" w:lineRule="auto"/>
        <w:rPr>
          <w:rFonts w:hint="eastAsia" w:ascii="宋体" w:hAnsi="宋体" w:cs="宋体"/>
          <w:snapToGrid w:val="0"/>
          <w:kern w:val="0"/>
          <w:szCs w:val="21"/>
        </w:rPr>
      </w:pPr>
    </w:p>
    <w:p w14:paraId="66823307">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highlight w:val="none"/>
        </w:rPr>
        <w:t>（加盖电子公章）</w:t>
      </w:r>
      <w:r>
        <w:rPr>
          <w:rFonts w:hint="eastAsia" w:ascii="宋体" w:hAnsi="宋体" w:cs="宋体"/>
          <w:snapToGrid w:val="0"/>
          <w:kern w:val="0"/>
          <w:szCs w:val="21"/>
        </w:rPr>
        <w:t>：</w:t>
      </w:r>
    </w:p>
    <w:p w14:paraId="3EDBDD4B">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13C564BC">
      <w:pPr>
        <w:rPr>
          <w:rFonts w:ascii="Arial" w:hAnsi="Arial" w:cs="Arial"/>
          <w:b/>
          <w:bCs/>
          <w:sz w:val="28"/>
        </w:rPr>
      </w:pPr>
      <w:r>
        <w:rPr>
          <w:rFonts w:hint="eastAsia" w:ascii="Arial" w:hAnsi="Arial" w:cs="Arial"/>
          <w:b/>
          <w:bCs/>
          <w:sz w:val="28"/>
        </w:rPr>
        <w:br w:type="page"/>
      </w:r>
    </w:p>
    <w:p w14:paraId="05EFBDE3">
      <w:pPr>
        <w:spacing w:line="560" w:lineRule="exact"/>
        <w:ind w:firstLine="240"/>
        <w:jc w:val="center"/>
        <w:rPr>
          <w:rFonts w:hint="eastAsia" w:ascii="宋体" w:hAnsi="宋体"/>
          <w:b/>
          <w:sz w:val="24"/>
          <w:szCs w:val="21"/>
        </w:rPr>
      </w:pPr>
      <w:r>
        <w:rPr>
          <w:rFonts w:hint="eastAsia" w:ascii="宋体" w:hAnsi="宋体"/>
          <w:b/>
          <w:sz w:val="24"/>
          <w:szCs w:val="21"/>
        </w:rPr>
        <w:t>中小微企业声明函（货物类项目）</w:t>
      </w:r>
    </w:p>
    <w:p w14:paraId="6F74E894">
      <w:pPr>
        <w:spacing w:line="560" w:lineRule="exact"/>
        <w:ind w:firstLine="240"/>
        <w:jc w:val="center"/>
        <w:rPr>
          <w:rFonts w:hint="eastAsia" w:ascii="宋体" w:hAnsi="宋体"/>
          <w:b/>
          <w:sz w:val="24"/>
          <w:szCs w:val="21"/>
        </w:rPr>
      </w:pPr>
    </w:p>
    <w:p w14:paraId="6FF1EB76">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的采购活动，提供的货物全部由符合政策要求的中小微企业制造。相关企业（含联合体中的中小微企业、签订采购包意向协议的中小微企业）的具体情况如下：</w:t>
      </w:r>
    </w:p>
    <w:p w14:paraId="0E12AB2B">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微型企业）；</w:t>
      </w:r>
    </w:p>
    <w:p w14:paraId="03313591">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 □小型企业 □微型企业）；</w:t>
      </w:r>
    </w:p>
    <w:p w14:paraId="691B6BE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w:t>
      </w:r>
    </w:p>
    <w:p w14:paraId="28685CF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BEFE741">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D752AB8">
      <w:pPr>
        <w:spacing w:line="360" w:lineRule="auto"/>
        <w:ind w:right="720"/>
        <w:rPr>
          <w:rFonts w:hint="eastAsia" w:ascii="宋体" w:hAnsi="宋体" w:eastAsia="宋体" w:cs="宋体"/>
          <w:sz w:val="21"/>
          <w:szCs w:val="21"/>
        </w:rPr>
      </w:pPr>
    </w:p>
    <w:p w14:paraId="7507AD40">
      <w:pPr>
        <w:spacing w:line="360" w:lineRule="auto"/>
        <w:ind w:right="180" w:firstLine="360"/>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企业名称（加盖CA电子公章）：</w:t>
      </w:r>
    </w:p>
    <w:p w14:paraId="1E8DB78A">
      <w:pPr>
        <w:spacing w:line="360" w:lineRule="auto"/>
        <w:ind w:right="480" w:firstLine="4560"/>
        <w:rPr>
          <w:rFonts w:hint="eastAsia" w:ascii="宋体" w:hAnsi="宋体" w:eastAsia="宋体" w:cs="宋体"/>
          <w:sz w:val="21"/>
          <w:szCs w:val="21"/>
        </w:rPr>
      </w:pP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p>
    <w:p w14:paraId="3E269B19">
      <w:pPr>
        <w:spacing w:line="400" w:lineRule="exact"/>
        <w:rPr>
          <w:rFonts w:hint="eastAsia" w:ascii="宋体" w:hAnsi="宋体" w:eastAsia="宋体" w:cs="宋体"/>
          <w:sz w:val="21"/>
          <w:szCs w:val="21"/>
        </w:rPr>
      </w:pPr>
    </w:p>
    <w:p w14:paraId="2F83CB1D">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备注：</w:t>
      </w:r>
    </w:p>
    <w:p w14:paraId="067317C9">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11995835">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2.专门面向中小微型企业采购的项目，供应商如不提供此声明函，则不能通过资格审查；非专门面向中小微型企业采购的项目，供应商如不提供此声明函，价格将不做相应扣除。</w:t>
      </w:r>
    </w:p>
    <w:p w14:paraId="235155E9">
      <w:pPr>
        <w:spacing w:line="400" w:lineRule="exact"/>
        <w:ind w:left="540" w:hanging="120"/>
        <w:rPr>
          <w:rFonts w:hint="eastAsia" w:ascii="宋体" w:hAnsi="宋体" w:eastAsia="宋体" w:cs="宋体"/>
          <w:sz w:val="21"/>
          <w:szCs w:val="21"/>
        </w:rPr>
      </w:pPr>
      <w:r>
        <w:rPr>
          <w:rFonts w:hint="eastAsia" w:ascii="宋体" w:hAnsi="宋体" w:eastAsia="宋体" w:cs="宋体"/>
          <w:sz w:val="21"/>
          <w:szCs w:val="21"/>
        </w:rPr>
        <w:t>3.供应商应对照《</w:t>
      </w:r>
      <w:r>
        <w:rPr>
          <w:rFonts w:hint="eastAsia" w:ascii="宋体" w:hAnsi="宋体" w:cs="宋体"/>
          <w:sz w:val="21"/>
          <w:szCs w:val="21"/>
          <w:lang w:eastAsia="zh-CN"/>
        </w:rPr>
        <w:t>租赁和商务服务业</w:t>
      </w:r>
      <w:r>
        <w:rPr>
          <w:rFonts w:hint="eastAsia" w:ascii="宋体" w:hAnsi="宋体" w:eastAsia="宋体" w:cs="宋体"/>
          <w:sz w:val="21"/>
          <w:szCs w:val="21"/>
        </w:rPr>
        <w:t>和信息化部、国家统计局、国家发展和改革委员会、</w:t>
      </w:r>
    </w:p>
    <w:p w14:paraId="7FEDB33C">
      <w:pPr>
        <w:rPr>
          <w:rFonts w:hint="eastAsia" w:ascii="宋体" w:hAnsi="宋体" w:eastAsia="宋体" w:cs="宋体"/>
          <w:sz w:val="21"/>
          <w:szCs w:val="21"/>
        </w:rPr>
      </w:pPr>
      <w:r>
        <w:rPr>
          <w:rFonts w:hint="eastAsia" w:ascii="宋体" w:hAnsi="宋体" w:eastAsia="宋体" w:cs="宋体"/>
          <w:sz w:val="21"/>
          <w:szCs w:val="21"/>
        </w:rPr>
        <w:t>财政部关于印发中小企业划型标准规定的通知》(工信部联企业〔2011〕300号)《国家统计局关于印发〈统计上大中小微型企业划分办法（2017）〉的通知》（国统字〔2017〕213号）的规定，自行勾选制造商的企业规模类型。</w:t>
      </w:r>
    </w:p>
    <w:p w14:paraId="118C318A">
      <w:pPr>
        <w:pageBreakBefore w:val="0"/>
        <w:kinsoku/>
        <w:wordWrap/>
        <w:overflowPunct/>
        <w:topLinePunct w:val="0"/>
        <w:autoSpaceDE/>
        <w:autoSpaceDN/>
        <w:bidi w:val="0"/>
        <w:adjustRightInd/>
        <w:snapToGrid/>
        <w:spacing w:line="360" w:lineRule="auto"/>
        <w:ind w:left="840" w:hanging="210"/>
        <w:textAlignment w:val="auto"/>
        <w:outlineLvl w:val="9"/>
        <w:rPr>
          <w:rFonts w:hint="eastAsia" w:ascii="宋体" w:hAnsi="宋体" w:cs="宋体"/>
          <w:kern w:val="0"/>
          <w:lang w:val="zh-CN"/>
        </w:rPr>
      </w:pPr>
    </w:p>
    <w:p w14:paraId="1B1D8C8E">
      <w:pPr>
        <w:pageBreakBefore w:val="0"/>
        <w:kinsoku/>
        <w:wordWrap/>
        <w:overflowPunct/>
        <w:topLinePunct w:val="0"/>
        <w:autoSpaceDE/>
        <w:autoSpaceDN/>
        <w:bidi w:val="0"/>
        <w:adjustRightInd/>
        <w:snapToGrid/>
        <w:textAlignment w:val="auto"/>
        <w:outlineLvl w:val="9"/>
        <w:rPr>
          <w:rFonts w:hint="eastAsia" w:ascii="宋体" w:hAnsi="宋体"/>
          <w:b/>
          <w:kern w:val="0"/>
        </w:rPr>
      </w:pPr>
      <w:r>
        <w:rPr>
          <w:rFonts w:hint="eastAsia" w:ascii="宋体" w:hAnsi="宋体"/>
          <w:b/>
          <w:kern w:val="0"/>
        </w:rPr>
        <w:br w:type="page"/>
      </w:r>
    </w:p>
    <w:p w14:paraId="57A5E359">
      <w:pPr>
        <w:pageBreakBefore w:val="0"/>
        <w:kinsoku/>
        <w:wordWrap/>
        <w:overflowPunct/>
        <w:topLinePunct w:val="0"/>
        <w:autoSpaceDE/>
        <w:autoSpaceDN/>
        <w:bidi w:val="0"/>
        <w:adjustRightInd/>
        <w:snapToGrid/>
        <w:textAlignment w:val="auto"/>
        <w:outlineLvl w:val="9"/>
        <w:rPr>
          <w:rFonts w:hint="eastAsia" w:ascii="宋体" w:hAnsi="宋体"/>
          <w:b/>
          <w:kern w:val="0"/>
        </w:rPr>
      </w:pPr>
      <w:r>
        <w:rPr>
          <w:rFonts w:hint="eastAsia" w:ascii="宋体" w:hAnsi="宋体"/>
          <w:b/>
          <w:kern w:val="0"/>
        </w:rPr>
        <w:t>附：中小企业划型标准规定</w:t>
      </w:r>
    </w:p>
    <w:p w14:paraId="120FBD47">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highlight w:val="none"/>
        </w:rPr>
        <w:t>（二）</w:t>
      </w:r>
      <w:r>
        <w:rPr>
          <w:rFonts w:hint="eastAsia" w:ascii="宋体" w:hAnsi="宋体"/>
          <w:b/>
          <w:kern w:val="0"/>
          <w:highlight w:val="none"/>
          <w:lang w:val="en-US" w:eastAsia="zh-CN"/>
        </w:rPr>
        <w:t>工</w:t>
      </w:r>
      <w:r>
        <w:rPr>
          <w:rFonts w:hint="eastAsia" w:ascii="宋体" w:hAnsi="宋体"/>
          <w:b/>
          <w:kern w:val="0"/>
          <w:highlight w:val="none"/>
          <w:lang w:eastAsia="zh-CN"/>
        </w:rPr>
        <w:t>业</w:t>
      </w:r>
      <w:r>
        <w:rPr>
          <w:rFonts w:hint="eastAsia" w:ascii="宋体" w:hAnsi="宋体"/>
          <w:b/>
          <w:kern w:val="0"/>
          <w:highlight w:val="none"/>
        </w:rPr>
        <w:t>。</w:t>
      </w:r>
      <w:r>
        <w:rPr>
          <w:rFonts w:hint="eastAsia" w:ascii="宋体" w:hAnsi="宋体"/>
          <w:kern w:val="0"/>
          <w:highlight w:val="none"/>
        </w:rPr>
        <w:t>从业人员100</w:t>
      </w:r>
      <w:r>
        <w:rPr>
          <w:rFonts w:hint="eastAsia" w:ascii="宋体" w:hAnsi="宋体"/>
          <w:kern w:val="0"/>
        </w:rPr>
        <w:t>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highlight w:val="none"/>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pageBreakBefore w:val="0"/>
        <w:widowControl/>
        <w:kinsoku/>
        <w:wordWrap/>
        <w:overflowPunct/>
        <w:topLinePunct w:val="0"/>
        <w:autoSpaceDE/>
        <w:autoSpaceDN/>
        <w:bidi w:val="0"/>
        <w:adjustRightInd/>
        <w:snapToGrid/>
        <w:jc w:val="left"/>
        <w:textAlignment w:val="auto"/>
        <w:outlineLvl w:val="9"/>
        <w:rPr>
          <w:rFonts w:ascii="Arial" w:hAnsi="Arial" w:cs="Arial"/>
          <w:snapToGrid w:val="0"/>
          <w:kern w:val="0"/>
          <w:szCs w:val="21"/>
        </w:rPr>
      </w:pPr>
    </w:p>
    <w:p w14:paraId="16AA761E">
      <w:pPr>
        <w:pageBreakBefore w:val="0"/>
        <w:kinsoku/>
        <w:wordWrap/>
        <w:overflowPunct/>
        <w:topLinePunct w:val="0"/>
        <w:autoSpaceDE/>
        <w:autoSpaceDN/>
        <w:bidi w:val="0"/>
        <w:adjustRightInd/>
        <w:snapToGrid/>
        <w:spacing w:line="360" w:lineRule="auto"/>
        <w:jc w:val="center"/>
        <w:textAlignment w:val="auto"/>
        <w:outlineLvl w:val="9"/>
        <w:rPr>
          <w:rFonts w:ascii="Arial" w:hAnsi="Arial" w:cs="Arial"/>
          <w:snapToGrid w:val="0"/>
          <w:kern w:val="0"/>
          <w:szCs w:val="21"/>
        </w:rPr>
      </w:pPr>
    </w:p>
    <w:p w14:paraId="24821373">
      <w:pPr>
        <w:spacing w:line="360" w:lineRule="auto"/>
        <w:jc w:val="center"/>
        <w:rPr>
          <w:rFonts w:ascii="Arial" w:hAnsi="Arial" w:cs="Arial"/>
          <w:b/>
          <w:bCs/>
          <w:sz w:val="28"/>
        </w:rPr>
      </w:pPr>
    </w:p>
    <w:p w14:paraId="4E29F19F">
      <w:pPr>
        <w:rPr>
          <w:rFonts w:ascii="Arial" w:hAnsi="Arial" w:cs="Arial"/>
          <w:b/>
          <w:bCs/>
        </w:rPr>
      </w:pP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w:t>
      </w:r>
      <w:r>
        <w:rPr>
          <w:rFonts w:hint="eastAsia" w:ascii="Arial" w:hAnsi="Arial" w:cs="Arial"/>
          <w:b/>
          <w:lang w:val="en-US" w:eastAsia="zh-CN"/>
        </w:rPr>
        <w:t>一</w:t>
      </w:r>
      <w:r>
        <w:rPr>
          <w:rFonts w:ascii="Arial" w:hAnsi="Arial" w:cs="Arial"/>
          <w:b/>
        </w:rPr>
        <w:t>、无重大违法记录声明格式</w:t>
      </w:r>
    </w:p>
    <w:p w14:paraId="3B2C2C96">
      <w:pPr>
        <w:spacing w:line="240" w:lineRule="atLeast"/>
        <w:jc w:val="center"/>
        <w:rPr>
          <w:rFonts w:ascii="Arial" w:hAnsi="Arial" w:eastAsia="黑体" w:cs="Arial"/>
          <w:sz w:val="28"/>
          <w:szCs w:val="36"/>
        </w:rPr>
      </w:pPr>
    </w:p>
    <w:p w14:paraId="28B742C5">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hint="eastAsia" w:ascii="Arial" w:hAnsi="Arial" w:cs="Arial"/>
          <w:szCs w:val="21"/>
          <w:lang w:val="en-US" w:eastAsia="zh-CN"/>
        </w:rPr>
        <w:t>江苏省人民医院</w:t>
      </w:r>
      <w:r>
        <w:rPr>
          <w:rFonts w:ascii="Arial" w:hAnsi="Arial" w:cs="Arial"/>
          <w:szCs w:val="21"/>
        </w:rPr>
        <w:t>：</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2D527448">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highlight w:val="none"/>
        </w:rPr>
        <w:t>加盖电子公章</w:t>
      </w:r>
      <w:r>
        <w:rPr>
          <w:rFonts w:ascii="Arial" w:hAnsi="Arial" w:cs="Arial"/>
        </w:rPr>
        <w:t>）</w:t>
      </w:r>
    </w:p>
    <w:p w14:paraId="74E983FD">
      <w:pPr>
        <w:autoSpaceDE w:val="0"/>
        <w:autoSpaceDN w:val="0"/>
        <w:adjustRightInd w:val="0"/>
        <w:spacing w:line="360" w:lineRule="auto"/>
        <w:ind w:firstLine="5250" w:firstLineChars="25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7877F16C">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2C75A848">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55DF707">
      <w:pPr>
        <w:rPr>
          <w:rFonts w:ascii="Arial" w:hAnsi="Arial" w:cs="Arial"/>
          <w:b/>
        </w:rPr>
      </w:pPr>
      <w:r>
        <w:rPr>
          <w:rFonts w:ascii="Arial" w:hAnsi="Arial" w:cs="Arial"/>
          <w:b/>
        </w:rPr>
        <w:br w:type="page"/>
      </w:r>
    </w:p>
    <w:p w14:paraId="20DA8849">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AAB0998">
      <w:pPr>
        <w:widowControl/>
        <w:jc w:val="left"/>
        <w:rPr>
          <w:rFonts w:ascii="Arial" w:hAnsi="Arial" w:cs="Arial"/>
          <w:b/>
        </w:rPr>
      </w:pPr>
    </w:p>
    <w:p w14:paraId="0E9C0B73">
      <w:pPr>
        <w:widowControl/>
        <w:shd w:val="clear" w:color="auto" w:fill="FFFFFF"/>
        <w:spacing w:line="360" w:lineRule="auto"/>
        <w:jc w:val="left"/>
        <w:rPr>
          <w:rFonts w:hint="eastAsia" w:ascii="宋体" w:hAnsi="宋体"/>
          <w:b/>
          <w:bCs/>
          <w:kern w:val="0"/>
          <w:szCs w:val="21"/>
          <w:lang w:val="zh-CN"/>
        </w:rPr>
      </w:pPr>
    </w:p>
    <w:p w14:paraId="136FFEBE">
      <w:pPr>
        <w:spacing w:before="317" w:beforeLines="100" w:after="317" w:afterLines="100"/>
        <w:jc w:val="center"/>
        <w:rPr>
          <w:rFonts w:hint="eastAsia" w:ascii="宋体" w:hAnsi="宋体"/>
          <w:b/>
          <w:bCs/>
          <w:kern w:val="0"/>
          <w:szCs w:val="21"/>
          <w:lang w:val="zh-CN"/>
        </w:rPr>
      </w:pPr>
    </w:p>
    <w:bookmarkEnd w:id="1"/>
    <w:p w14:paraId="4A8C68D5">
      <w:pPr>
        <w:spacing w:line="440" w:lineRule="exact"/>
        <w:rPr>
          <w:rFonts w:hint="eastAsia"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4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4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0A0B9"/>
    <w:multiLevelType w:val="singleLevel"/>
    <w:tmpl w:val="8EE0A0B9"/>
    <w:lvl w:ilvl="0" w:tentative="0">
      <w:start w:val="4"/>
      <w:numFmt w:val="chineseCounting"/>
      <w:suff w:val="space"/>
      <w:lvlText w:val="第%1章"/>
      <w:lvlJc w:val="left"/>
      <w:rPr>
        <w:rFonts w:hint="eastAsia"/>
      </w:rPr>
    </w:lvl>
  </w:abstractNum>
  <w:abstractNum w:abstractNumId="1">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4"/>
    <w:multiLevelType w:val="singleLevel"/>
    <w:tmpl w:val="00000004"/>
    <w:lvl w:ilvl="0" w:tentative="0">
      <w:start w:val="4"/>
      <w:numFmt w:val="chineseCountingThousand"/>
      <w:suff w:val="space"/>
      <w:lvlText w:val="第%1部分"/>
      <w:lvlJc w:val="left"/>
      <w:pPr>
        <w:tabs>
          <w:tab w:val="left" w:pos="0"/>
        </w:tabs>
        <w:ind w:left="-2" w:firstLine="0"/>
      </w:pPr>
      <w:rPr>
        <w:rFonts w:hint="eastAsia"/>
        <w:b/>
        <w:bCs/>
      </w:rPr>
    </w:lvl>
  </w:abstractNum>
  <w:abstractNum w:abstractNumId="3">
    <w:nsid w:val="00000006"/>
    <w:multiLevelType w:val="multilevel"/>
    <w:tmpl w:val="00000006"/>
    <w:lvl w:ilvl="0" w:tentative="0">
      <w:start w:val="1"/>
      <w:numFmt w:val="chineseCountingThousand"/>
      <w:pStyle w:val="13"/>
      <w:suff w:val="nothing"/>
      <w:lvlText w:val="第%1章"/>
      <w:lvlJc w:val="left"/>
      <w:pPr>
        <w:ind w:left="0" w:firstLine="0"/>
      </w:pPr>
    </w:lvl>
    <w:lvl w:ilvl="1" w:tentative="0">
      <w:start w:val="1"/>
      <w:numFmt w:val="none"/>
      <w:pStyle w:val="14"/>
      <w:suff w:val="nothing"/>
      <w:lvlText w:val=""/>
      <w:lvlJc w:val="left"/>
      <w:pPr>
        <w:ind w:left="0" w:firstLine="0"/>
      </w:pPr>
    </w:lvl>
    <w:lvl w:ilvl="2" w:tentative="0">
      <w:start w:val="1"/>
      <w:numFmt w:val="none"/>
      <w:pStyle w:val="15"/>
      <w:suff w:val="nothing"/>
      <w:lvlText w:val=""/>
      <w:lvlJc w:val="left"/>
      <w:pPr>
        <w:ind w:left="0" w:firstLine="0"/>
      </w:pPr>
    </w:lvl>
    <w:lvl w:ilvl="3" w:tentative="0">
      <w:start w:val="1"/>
      <w:numFmt w:val="none"/>
      <w:pStyle w:val="16"/>
      <w:suff w:val="nothing"/>
      <w:lvlText w:val=""/>
      <w:lvlJc w:val="left"/>
      <w:pPr>
        <w:ind w:left="0" w:firstLine="0"/>
      </w:pPr>
    </w:lvl>
    <w:lvl w:ilvl="4" w:tentative="0">
      <w:start w:val="1"/>
      <w:numFmt w:val="none"/>
      <w:pStyle w:val="17"/>
      <w:suff w:val="nothing"/>
      <w:lvlText w:val=""/>
      <w:lvlJc w:val="left"/>
      <w:pPr>
        <w:ind w:left="0" w:firstLine="0"/>
      </w:pPr>
    </w:lvl>
    <w:lvl w:ilvl="5" w:tentative="0">
      <w:start w:val="1"/>
      <w:numFmt w:val="none"/>
      <w:pStyle w:val="18"/>
      <w:suff w:val="nothing"/>
      <w:lvlText w:val=""/>
      <w:lvlJc w:val="left"/>
      <w:pPr>
        <w:ind w:left="0" w:firstLine="0"/>
      </w:pPr>
    </w:lvl>
    <w:lvl w:ilvl="6" w:tentative="0">
      <w:start w:val="1"/>
      <w:numFmt w:val="none"/>
      <w:pStyle w:val="19"/>
      <w:suff w:val="nothing"/>
      <w:lvlText w:val=""/>
      <w:lvlJc w:val="left"/>
      <w:pPr>
        <w:ind w:left="0" w:firstLine="0"/>
      </w:pPr>
    </w:lvl>
    <w:lvl w:ilvl="7" w:tentative="0">
      <w:start w:val="1"/>
      <w:numFmt w:val="none"/>
      <w:pStyle w:val="20"/>
      <w:suff w:val="nothing"/>
      <w:lvlText w:val=""/>
      <w:lvlJc w:val="left"/>
      <w:pPr>
        <w:ind w:left="0" w:firstLine="0"/>
      </w:pPr>
    </w:lvl>
    <w:lvl w:ilvl="8" w:tentative="0">
      <w:start w:val="1"/>
      <w:numFmt w:val="none"/>
      <w:pStyle w:val="21"/>
      <w:suff w:val="nothing"/>
      <w:lvlText w:val=""/>
      <w:lvlJc w:val="left"/>
      <w:pPr>
        <w:ind w:left="0" w:firstLine="0"/>
      </w:pPr>
    </w:lvl>
  </w:abstractNum>
  <w:abstractNum w:abstractNumId="4">
    <w:nsid w:val="00000009"/>
    <w:multiLevelType w:val="singleLevel"/>
    <w:tmpl w:val="00000009"/>
    <w:lvl w:ilvl="0" w:tentative="0">
      <w:start w:val="2"/>
      <w:numFmt w:val="chineseCountingThousand"/>
      <w:suff w:val="space"/>
      <w:lvlText w:val="第%1部分"/>
      <w:lvlJc w:val="left"/>
      <w:pPr>
        <w:tabs>
          <w:tab w:val="left" w:pos="0"/>
        </w:tabs>
        <w:ind w:left="0" w:firstLine="0"/>
      </w:pPr>
      <w:rPr>
        <w:rFonts w:hint="eastAsia"/>
        <w:b/>
        <w:bCs/>
      </w:rPr>
    </w:lvl>
  </w:abstractNum>
  <w:abstractNum w:abstractNumId="5">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6">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7">
    <w:nsid w:val="486165E7"/>
    <w:multiLevelType w:val="multilevel"/>
    <w:tmpl w:val="486165E7"/>
    <w:lvl w:ilvl="0" w:tentative="0">
      <w:start w:val="1"/>
      <w:numFmt w:val="bullet"/>
      <w:pStyle w:val="24"/>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3"/>
  </w:num>
  <w:num w:numId="2">
    <w:abstractNumId w:val="7"/>
  </w:num>
  <w:num w:numId="3">
    <w:abstractNumId w:val="6"/>
  </w:num>
  <w:num w:numId="4">
    <w:abstractNumId w:val="1"/>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B5608"/>
    <w:rsid w:val="014F1B49"/>
    <w:rsid w:val="015360F5"/>
    <w:rsid w:val="0161201C"/>
    <w:rsid w:val="01674AD8"/>
    <w:rsid w:val="017A1879"/>
    <w:rsid w:val="017B15F7"/>
    <w:rsid w:val="018502B5"/>
    <w:rsid w:val="018B0123"/>
    <w:rsid w:val="0194102D"/>
    <w:rsid w:val="019B2A51"/>
    <w:rsid w:val="01BB069A"/>
    <w:rsid w:val="01BB3CD7"/>
    <w:rsid w:val="01BD17FD"/>
    <w:rsid w:val="01CA09D6"/>
    <w:rsid w:val="01E4322D"/>
    <w:rsid w:val="01EE6DBE"/>
    <w:rsid w:val="020C008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C47F4E"/>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9566F"/>
    <w:rsid w:val="041E1308"/>
    <w:rsid w:val="042747BE"/>
    <w:rsid w:val="043A5387"/>
    <w:rsid w:val="04473247"/>
    <w:rsid w:val="044D2B93"/>
    <w:rsid w:val="04833676"/>
    <w:rsid w:val="04930DBB"/>
    <w:rsid w:val="04954308"/>
    <w:rsid w:val="049F77B2"/>
    <w:rsid w:val="04A1730E"/>
    <w:rsid w:val="04A2371F"/>
    <w:rsid w:val="04A53BA4"/>
    <w:rsid w:val="04AA1834"/>
    <w:rsid w:val="04D17C83"/>
    <w:rsid w:val="04E374DE"/>
    <w:rsid w:val="04FF00EB"/>
    <w:rsid w:val="050140F6"/>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20D22"/>
    <w:rsid w:val="09363D16"/>
    <w:rsid w:val="095A2C6D"/>
    <w:rsid w:val="09835B7C"/>
    <w:rsid w:val="09CA0506"/>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AB206E"/>
    <w:rsid w:val="0AB44EF5"/>
    <w:rsid w:val="0ABD33E4"/>
    <w:rsid w:val="0AC159A6"/>
    <w:rsid w:val="0AC736EC"/>
    <w:rsid w:val="0AD41965"/>
    <w:rsid w:val="0AE34BB1"/>
    <w:rsid w:val="0AEC3153"/>
    <w:rsid w:val="0AED0B6E"/>
    <w:rsid w:val="0AF3003D"/>
    <w:rsid w:val="0AF50259"/>
    <w:rsid w:val="0B27258E"/>
    <w:rsid w:val="0B305355"/>
    <w:rsid w:val="0B3771AD"/>
    <w:rsid w:val="0B3C5E11"/>
    <w:rsid w:val="0B462EC8"/>
    <w:rsid w:val="0B493559"/>
    <w:rsid w:val="0B4B7099"/>
    <w:rsid w:val="0B53165C"/>
    <w:rsid w:val="0B747542"/>
    <w:rsid w:val="0B807D10"/>
    <w:rsid w:val="0B974E6D"/>
    <w:rsid w:val="0B9E1A60"/>
    <w:rsid w:val="0BA825A3"/>
    <w:rsid w:val="0BAD70EA"/>
    <w:rsid w:val="0BE60C5C"/>
    <w:rsid w:val="0C296CAE"/>
    <w:rsid w:val="0C365370"/>
    <w:rsid w:val="0C41127C"/>
    <w:rsid w:val="0C442C80"/>
    <w:rsid w:val="0C4B30F1"/>
    <w:rsid w:val="0C7376A8"/>
    <w:rsid w:val="0C801F53"/>
    <w:rsid w:val="0C8076E1"/>
    <w:rsid w:val="0C923562"/>
    <w:rsid w:val="0CA97841"/>
    <w:rsid w:val="0CC75673"/>
    <w:rsid w:val="0CCC6A62"/>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533426"/>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126C7"/>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D3CC0"/>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D18D0"/>
    <w:rsid w:val="148F7029"/>
    <w:rsid w:val="14A05CEA"/>
    <w:rsid w:val="14AA450A"/>
    <w:rsid w:val="14B60A59"/>
    <w:rsid w:val="14BA7BD0"/>
    <w:rsid w:val="14BE0DA8"/>
    <w:rsid w:val="14C10F31"/>
    <w:rsid w:val="14C81165"/>
    <w:rsid w:val="14DF2DE8"/>
    <w:rsid w:val="14E20E88"/>
    <w:rsid w:val="14E71B9C"/>
    <w:rsid w:val="14ED24C4"/>
    <w:rsid w:val="14FE6E45"/>
    <w:rsid w:val="15030DD2"/>
    <w:rsid w:val="151246C1"/>
    <w:rsid w:val="15155054"/>
    <w:rsid w:val="15190BB8"/>
    <w:rsid w:val="15300534"/>
    <w:rsid w:val="153D4CD7"/>
    <w:rsid w:val="15430081"/>
    <w:rsid w:val="1549179A"/>
    <w:rsid w:val="155855A0"/>
    <w:rsid w:val="15760A82"/>
    <w:rsid w:val="15885993"/>
    <w:rsid w:val="158A3C94"/>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85DE3"/>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823E5"/>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AE21D3"/>
    <w:rsid w:val="1ABF7F3C"/>
    <w:rsid w:val="1AC77FED"/>
    <w:rsid w:val="1AC8028B"/>
    <w:rsid w:val="1AC90DBB"/>
    <w:rsid w:val="1AE133EF"/>
    <w:rsid w:val="1AEF4DAE"/>
    <w:rsid w:val="1AF5395E"/>
    <w:rsid w:val="1AF77FAB"/>
    <w:rsid w:val="1AFB020E"/>
    <w:rsid w:val="1AFC6661"/>
    <w:rsid w:val="1B324BB2"/>
    <w:rsid w:val="1B46240B"/>
    <w:rsid w:val="1B492FF3"/>
    <w:rsid w:val="1B4950A4"/>
    <w:rsid w:val="1B556620"/>
    <w:rsid w:val="1B6D5BEA"/>
    <w:rsid w:val="1B703F63"/>
    <w:rsid w:val="1B734B45"/>
    <w:rsid w:val="1B924A70"/>
    <w:rsid w:val="1BA324C2"/>
    <w:rsid w:val="1BA61267"/>
    <w:rsid w:val="1BA710FC"/>
    <w:rsid w:val="1BAF2B44"/>
    <w:rsid w:val="1BB43819"/>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13456F"/>
    <w:rsid w:val="1D1A4F19"/>
    <w:rsid w:val="1D2A3966"/>
    <w:rsid w:val="1D325942"/>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461C3"/>
    <w:rsid w:val="1EE95587"/>
    <w:rsid w:val="1F06438B"/>
    <w:rsid w:val="1F0C725C"/>
    <w:rsid w:val="1F3507CD"/>
    <w:rsid w:val="1F491A48"/>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C3E72"/>
    <w:rsid w:val="201D72F1"/>
    <w:rsid w:val="203342AF"/>
    <w:rsid w:val="203A5CDB"/>
    <w:rsid w:val="203F40E9"/>
    <w:rsid w:val="20527EA8"/>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FD3792"/>
    <w:rsid w:val="22110DF7"/>
    <w:rsid w:val="22136A87"/>
    <w:rsid w:val="222C0C93"/>
    <w:rsid w:val="222F1E4B"/>
    <w:rsid w:val="22427CC5"/>
    <w:rsid w:val="224A3FC7"/>
    <w:rsid w:val="224B3D5F"/>
    <w:rsid w:val="2258252F"/>
    <w:rsid w:val="225E4F1E"/>
    <w:rsid w:val="22785BA0"/>
    <w:rsid w:val="228F63A9"/>
    <w:rsid w:val="22A177E6"/>
    <w:rsid w:val="22C57596"/>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E756BC"/>
    <w:rsid w:val="24F904EE"/>
    <w:rsid w:val="25005256"/>
    <w:rsid w:val="250439EF"/>
    <w:rsid w:val="252411C6"/>
    <w:rsid w:val="25304F06"/>
    <w:rsid w:val="2557729C"/>
    <w:rsid w:val="255A6A4F"/>
    <w:rsid w:val="256F3379"/>
    <w:rsid w:val="257239B5"/>
    <w:rsid w:val="2573525C"/>
    <w:rsid w:val="2573603F"/>
    <w:rsid w:val="25781413"/>
    <w:rsid w:val="257A3E03"/>
    <w:rsid w:val="258C3DF5"/>
    <w:rsid w:val="25A36BFD"/>
    <w:rsid w:val="25E1786F"/>
    <w:rsid w:val="25E83AD3"/>
    <w:rsid w:val="25EB11E1"/>
    <w:rsid w:val="25F252DE"/>
    <w:rsid w:val="25F453F1"/>
    <w:rsid w:val="25F574EA"/>
    <w:rsid w:val="260B280F"/>
    <w:rsid w:val="261C6242"/>
    <w:rsid w:val="263F3EBB"/>
    <w:rsid w:val="26574DB8"/>
    <w:rsid w:val="26693330"/>
    <w:rsid w:val="266A3CEA"/>
    <w:rsid w:val="266E1364"/>
    <w:rsid w:val="268E2249"/>
    <w:rsid w:val="269229A8"/>
    <w:rsid w:val="26A67D94"/>
    <w:rsid w:val="26C52C94"/>
    <w:rsid w:val="26D703BB"/>
    <w:rsid w:val="26E51871"/>
    <w:rsid w:val="26E56F7C"/>
    <w:rsid w:val="26EC52C4"/>
    <w:rsid w:val="26F7280B"/>
    <w:rsid w:val="26FD1062"/>
    <w:rsid w:val="26FE3716"/>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AD2EF5"/>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6101E"/>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9FC5C1D"/>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AF06EE"/>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84BF3"/>
    <w:rsid w:val="2EDC447A"/>
    <w:rsid w:val="2EDE45E5"/>
    <w:rsid w:val="2EE5733A"/>
    <w:rsid w:val="2EEE11AC"/>
    <w:rsid w:val="2EF22236"/>
    <w:rsid w:val="2EFC1307"/>
    <w:rsid w:val="2EFE35E8"/>
    <w:rsid w:val="2F0A451D"/>
    <w:rsid w:val="2F0C6ACF"/>
    <w:rsid w:val="2F29621C"/>
    <w:rsid w:val="2F315682"/>
    <w:rsid w:val="2F4E6128"/>
    <w:rsid w:val="2F513423"/>
    <w:rsid w:val="2F593497"/>
    <w:rsid w:val="2F80221D"/>
    <w:rsid w:val="2F805A94"/>
    <w:rsid w:val="2FA6202F"/>
    <w:rsid w:val="2FBE1AB6"/>
    <w:rsid w:val="2FDB47FA"/>
    <w:rsid w:val="2FEC4ED7"/>
    <w:rsid w:val="2FFB4CA4"/>
    <w:rsid w:val="30222090"/>
    <w:rsid w:val="302C79CA"/>
    <w:rsid w:val="303F08C7"/>
    <w:rsid w:val="30412492"/>
    <w:rsid w:val="304704C5"/>
    <w:rsid w:val="305A4537"/>
    <w:rsid w:val="30615FED"/>
    <w:rsid w:val="306B04F2"/>
    <w:rsid w:val="30717AD3"/>
    <w:rsid w:val="3086532C"/>
    <w:rsid w:val="308F3CE9"/>
    <w:rsid w:val="30933F17"/>
    <w:rsid w:val="309713C6"/>
    <w:rsid w:val="30981D7F"/>
    <w:rsid w:val="309B5A24"/>
    <w:rsid w:val="30A232E4"/>
    <w:rsid w:val="30B11567"/>
    <w:rsid w:val="30C50C66"/>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E0453"/>
    <w:rsid w:val="319F465C"/>
    <w:rsid w:val="31C32FA3"/>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2B6606"/>
    <w:rsid w:val="34476B80"/>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4FD25A1"/>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83166A"/>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684010"/>
    <w:rsid w:val="398656D3"/>
    <w:rsid w:val="399027B5"/>
    <w:rsid w:val="39933B19"/>
    <w:rsid w:val="39A33CED"/>
    <w:rsid w:val="39A44A75"/>
    <w:rsid w:val="39AA02EF"/>
    <w:rsid w:val="39B34CB8"/>
    <w:rsid w:val="39B63F14"/>
    <w:rsid w:val="39BB11C0"/>
    <w:rsid w:val="39BE1D8D"/>
    <w:rsid w:val="39C236BE"/>
    <w:rsid w:val="39C306DF"/>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9460F"/>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DA369D"/>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B1093"/>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A6D30"/>
    <w:rsid w:val="45DE14B8"/>
    <w:rsid w:val="45E36925"/>
    <w:rsid w:val="46006AB8"/>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D78EF"/>
    <w:rsid w:val="472E0159"/>
    <w:rsid w:val="4740402F"/>
    <w:rsid w:val="47454177"/>
    <w:rsid w:val="474B6530"/>
    <w:rsid w:val="474D4ED2"/>
    <w:rsid w:val="474F15D8"/>
    <w:rsid w:val="475278BE"/>
    <w:rsid w:val="4754049B"/>
    <w:rsid w:val="475E7C0D"/>
    <w:rsid w:val="476415D8"/>
    <w:rsid w:val="47701558"/>
    <w:rsid w:val="47710A73"/>
    <w:rsid w:val="477426A5"/>
    <w:rsid w:val="47857C94"/>
    <w:rsid w:val="47873BD6"/>
    <w:rsid w:val="47B03AF7"/>
    <w:rsid w:val="47B2336A"/>
    <w:rsid w:val="47BA4F6E"/>
    <w:rsid w:val="47D7366E"/>
    <w:rsid w:val="47E12DA0"/>
    <w:rsid w:val="47E26E94"/>
    <w:rsid w:val="48057437"/>
    <w:rsid w:val="48084421"/>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10375"/>
    <w:rsid w:val="4B44289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3051A"/>
    <w:rsid w:val="4C885B30"/>
    <w:rsid w:val="4C955322"/>
    <w:rsid w:val="4C987A51"/>
    <w:rsid w:val="4C993ABE"/>
    <w:rsid w:val="4CAA2DCE"/>
    <w:rsid w:val="4CB37051"/>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72E68"/>
    <w:rsid w:val="4EF911E3"/>
    <w:rsid w:val="4EF94046"/>
    <w:rsid w:val="4F001FF8"/>
    <w:rsid w:val="4F0048E8"/>
    <w:rsid w:val="4F0C760F"/>
    <w:rsid w:val="4F15188C"/>
    <w:rsid w:val="4F1B712F"/>
    <w:rsid w:val="4F255836"/>
    <w:rsid w:val="4F29165C"/>
    <w:rsid w:val="4F3F24FD"/>
    <w:rsid w:val="4F4F67C3"/>
    <w:rsid w:val="4F580453"/>
    <w:rsid w:val="4F6178F6"/>
    <w:rsid w:val="4F647CAE"/>
    <w:rsid w:val="4F694BCC"/>
    <w:rsid w:val="4F7F4759"/>
    <w:rsid w:val="4F831662"/>
    <w:rsid w:val="4F8A3560"/>
    <w:rsid w:val="4F8A6E9D"/>
    <w:rsid w:val="4FA00EA1"/>
    <w:rsid w:val="4FA7410F"/>
    <w:rsid w:val="4FAD422B"/>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4E0CB1"/>
    <w:rsid w:val="50500C93"/>
    <w:rsid w:val="505C17AE"/>
    <w:rsid w:val="50603DEC"/>
    <w:rsid w:val="506E1264"/>
    <w:rsid w:val="50717230"/>
    <w:rsid w:val="507408A5"/>
    <w:rsid w:val="50812D7E"/>
    <w:rsid w:val="508B7406"/>
    <w:rsid w:val="509F73B0"/>
    <w:rsid w:val="50B10CEB"/>
    <w:rsid w:val="50B15470"/>
    <w:rsid w:val="50B26A6B"/>
    <w:rsid w:val="50B4221A"/>
    <w:rsid w:val="50BA2236"/>
    <w:rsid w:val="50C20F4E"/>
    <w:rsid w:val="50CA4969"/>
    <w:rsid w:val="50CE19FC"/>
    <w:rsid w:val="50D17AA6"/>
    <w:rsid w:val="50D40C4B"/>
    <w:rsid w:val="50D43A3A"/>
    <w:rsid w:val="50DB0910"/>
    <w:rsid w:val="50E46F54"/>
    <w:rsid w:val="5100482F"/>
    <w:rsid w:val="51070C7A"/>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8D6949"/>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07755"/>
    <w:rsid w:val="54E8205E"/>
    <w:rsid w:val="54EA5134"/>
    <w:rsid w:val="54FE1085"/>
    <w:rsid w:val="55022976"/>
    <w:rsid w:val="55067F3A"/>
    <w:rsid w:val="551408A9"/>
    <w:rsid w:val="55180399"/>
    <w:rsid w:val="551C096F"/>
    <w:rsid w:val="55240097"/>
    <w:rsid w:val="552750BE"/>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1777E0"/>
    <w:rsid w:val="5624351D"/>
    <w:rsid w:val="565047BF"/>
    <w:rsid w:val="56552F27"/>
    <w:rsid w:val="566E6821"/>
    <w:rsid w:val="56731BB3"/>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8E46830"/>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1336D9"/>
    <w:rsid w:val="5A286BCC"/>
    <w:rsid w:val="5A3526A3"/>
    <w:rsid w:val="5A412E86"/>
    <w:rsid w:val="5A442114"/>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12588A"/>
    <w:rsid w:val="5B235AE9"/>
    <w:rsid w:val="5B246A53"/>
    <w:rsid w:val="5B2E51B4"/>
    <w:rsid w:val="5B416E74"/>
    <w:rsid w:val="5B437EA2"/>
    <w:rsid w:val="5B527A35"/>
    <w:rsid w:val="5B534ED1"/>
    <w:rsid w:val="5B5A4BBC"/>
    <w:rsid w:val="5B5E1129"/>
    <w:rsid w:val="5B694D7F"/>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83540"/>
    <w:rsid w:val="5D6B14A2"/>
    <w:rsid w:val="5D6F7055"/>
    <w:rsid w:val="5D9B0E6A"/>
    <w:rsid w:val="5D9E1AED"/>
    <w:rsid w:val="5D9E4E16"/>
    <w:rsid w:val="5D9E7178"/>
    <w:rsid w:val="5DB03139"/>
    <w:rsid w:val="5DB83D3A"/>
    <w:rsid w:val="5DBA0135"/>
    <w:rsid w:val="5DCD5DE5"/>
    <w:rsid w:val="5DD437EF"/>
    <w:rsid w:val="5DF16302"/>
    <w:rsid w:val="5DF94AE0"/>
    <w:rsid w:val="5DF954D4"/>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895ABF"/>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1E30A7"/>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743838"/>
    <w:rsid w:val="637455EF"/>
    <w:rsid w:val="637509AF"/>
    <w:rsid w:val="638F4A5D"/>
    <w:rsid w:val="639859D5"/>
    <w:rsid w:val="63A1155A"/>
    <w:rsid w:val="63A23228"/>
    <w:rsid w:val="63AB5D44"/>
    <w:rsid w:val="63B04CF8"/>
    <w:rsid w:val="63BA7188"/>
    <w:rsid w:val="63DF59C2"/>
    <w:rsid w:val="63E6136F"/>
    <w:rsid w:val="63EA625B"/>
    <w:rsid w:val="63ED5BB1"/>
    <w:rsid w:val="63FC6F31"/>
    <w:rsid w:val="641B0AB8"/>
    <w:rsid w:val="642B2B02"/>
    <w:rsid w:val="642E4F72"/>
    <w:rsid w:val="643B3BCB"/>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2C12F7"/>
    <w:rsid w:val="653B5A04"/>
    <w:rsid w:val="654E476E"/>
    <w:rsid w:val="654E74BF"/>
    <w:rsid w:val="65640A91"/>
    <w:rsid w:val="656A1091"/>
    <w:rsid w:val="657A4758"/>
    <w:rsid w:val="657B11CD"/>
    <w:rsid w:val="6582705D"/>
    <w:rsid w:val="658A6BCD"/>
    <w:rsid w:val="65942372"/>
    <w:rsid w:val="659B4B61"/>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26971"/>
    <w:rsid w:val="66FE6CC3"/>
    <w:rsid w:val="67006172"/>
    <w:rsid w:val="6710278C"/>
    <w:rsid w:val="671D46C8"/>
    <w:rsid w:val="671F22A3"/>
    <w:rsid w:val="67211880"/>
    <w:rsid w:val="67291A35"/>
    <w:rsid w:val="673669FF"/>
    <w:rsid w:val="67393CB7"/>
    <w:rsid w:val="673C6439"/>
    <w:rsid w:val="674A015A"/>
    <w:rsid w:val="674D0272"/>
    <w:rsid w:val="676A0B2B"/>
    <w:rsid w:val="676C3006"/>
    <w:rsid w:val="67827A7F"/>
    <w:rsid w:val="67851192"/>
    <w:rsid w:val="67A667D3"/>
    <w:rsid w:val="67A74C82"/>
    <w:rsid w:val="67A95111"/>
    <w:rsid w:val="67B90A82"/>
    <w:rsid w:val="67BD1F65"/>
    <w:rsid w:val="67C365BF"/>
    <w:rsid w:val="67D8341E"/>
    <w:rsid w:val="67E46FF5"/>
    <w:rsid w:val="67ED6C16"/>
    <w:rsid w:val="680A6C82"/>
    <w:rsid w:val="6810315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C77525"/>
    <w:rsid w:val="69DC6CE6"/>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981494"/>
    <w:rsid w:val="6BA240C1"/>
    <w:rsid w:val="6BA3123F"/>
    <w:rsid w:val="6BB6063D"/>
    <w:rsid w:val="6BC8334A"/>
    <w:rsid w:val="6BD61A98"/>
    <w:rsid w:val="6BF54B38"/>
    <w:rsid w:val="6BF77F96"/>
    <w:rsid w:val="6BFE19E1"/>
    <w:rsid w:val="6C050A47"/>
    <w:rsid w:val="6C0B1A74"/>
    <w:rsid w:val="6C16659B"/>
    <w:rsid w:val="6C253932"/>
    <w:rsid w:val="6C27235B"/>
    <w:rsid w:val="6C3311BD"/>
    <w:rsid w:val="6C3342D8"/>
    <w:rsid w:val="6C394A8B"/>
    <w:rsid w:val="6C420156"/>
    <w:rsid w:val="6C44161C"/>
    <w:rsid w:val="6C494D21"/>
    <w:rsid w:val="6C5142B7"/>
    <w:rsid w:val="6C5E4626"/>
    <w:rsid w:val="6C6658B0"/>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DFD739C"/>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744B2B"/>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54026"/>
    <w:rsid w:val="717C2078"/>
    <w:rsid w:val="718176C8"/>
    <w:rsid w:val="718B2F22"/>
    <w:rsid w:val="71B51326"/>
    <w:rsid w:val="71BB1264"/>
    <w:rsid w:val="71C14470"/>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263FF"/>
    <w:rsid w:val="72F657B0"/>
    <w:rsid w:val="72FC409A"/>
    <w:rsid w:val="73032FC0"/>
    <w:rsid w:val="730F48D7"/>
    <w:rsid w:val="73253B84"/>
    <w:rsid w:val="7332361C"/>
    <w:rsid w:val="733D0BED"/>
    <w:rsid w:val="73555EB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1E6A3A"/>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3A3D47"/>
    <w:rsid w:val="77580A66"/>
    <w:rsid w:val="77737259"/>
    <w:rsid w:val="778D01FE"/>
    <w:rsid w:val="77A3436B"/>
    <w:rsid w:val="77AD1CF3"/>
    <w:rsid w:val="77B86288"/>
    <w:rsid w:val="77C76754"/>
    <w:rsid w:val="77F437B1"/>
    <w:rsid w:val="780738D1"/>
    <w:rsid w:val="780F36D1"/>
    <w:rsid w:val="78140E63"/>
    <w:rsid w:val="782226C6"/>
    <w:rsid w:val="783D4AFF"/>
    <w:rsid w:val="784D30F3"/>
    <w:rsid w:val="78570929"/>
    <w:rsid w:val="78693C27"/>
    <w:rsid w:val="78700340"/>
    <w:rsid w:val="78747106"/>
    <w:rsid w:val="788A2C6A"/>
    <w:rsid w:val="788D602E"/>
    <w:rsid w:val="7899313C"/>
    <w:rsid w:val="78A27DF6"/>
    <w:rsid w:val="78AD0D21"/>
    <w:rsid w:val="78AF42C1"/>
    <w:rsid w:val="78B5001F"/>
    <w:rsid w:val="78B65A67"/>
    <w:rsid w:val="78B73B4F"/>
    <w:rsid w:val="78B934ED"/>
    <w:rsid w:val="78C37C8A"/>
    <w:rsid w:val="78D77987"/>
    <w:rsid w:val="78DE2D7C"/>
    <w:rsid w:val="78FA1FA9"/>
    <w:rsid w:val="78FF6FF6"/>
    <w:rsid w:val="791B5CC7"/>
    <w:rsid w:val="7922596C"/>
    <w:rsid w:val="792F01A6"/>
    <w:rsid w:val="79330A4E"/>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0D7A1D"/>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BFE4AD0"/>
    <w:rsid w:val="7C1060A4"/>
    <w:rsid w:val="7C212B16"/>
    <w:rsid w:val="7C2C55ED"/>
    <w:rsid w:val="7C344D27"/>
    <w:rsid w:val="7C5F7DAC"/>
    <w:rsid w:val="7C6034EF"/>
    <w:rsid w:val="7C605FFE"/>
    <w:rsid w:val="7C6929D9"/>
    <w:rsid w:val="7C8F3841"/>
    <w:rsid w:val="7C927737"/>
    <w:rsid w:val="7CA03619"/>
    <w:rsid w:val="7CCA16C9"/>
    <w:rsid w:val="7CE055BA"/>
    <w:rsid w:val="7CE72D65"/>
    <w:rsid w:val="7CEB12A8"/>
    <w:rsid w:val="7CF12392"/>
    <w:rsid w:val="7CFC1051"/>
    <w:rsid w:val="7CFF4DE5"/>
    <w:rsid w:val="7D095941"/>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12F4A"/>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B73C1"/>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3">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14">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15">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16">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17">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18">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19">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20">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21">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customStyle="1" w:styleId="2">
    <w:name w:val="段"/>
    <w:basedOn w:val="3"/>
    <w:next w:val="1"/>
    <w:qFormat/>
    <w:uiPriority w:val="0"/>
    <w:pPr>
      <w:widowControl/>
      <w:autoSpaceDE w:val="0"/>
      <w:autoSpaceDN w:val="0"/>
      <w:ind w:firstLine="200" w:firstLineChars="200"/>
    </w:pPr>
    <w:rPr>
      <w:rFonts w:hint="eastAsia" w:ascii="宋体"/>
    </w:rPr>
  </w:style>
  <w:style w:type="paragraph" w:customStyle="1" w:styleId="3">
    <w:name w:val="正文1"/>
    <w:next w:val="4"/>
    <w:qFormat/>
    <w:uiPriority w:val="0"/>
    <w:pPr>
      <w:widowControl w:val="0"/>
      <w:jc w:val="both"/>
    </w:pPr>
    <w:rPr>
      <w:rFonts w:ascii="Calibri" w:hAnsi="Calibri" w:eastAsia="宋体" w:cs="Times New Roman"/>
      <w:lang w:val="en-US" w:eastAsia="zh-CN" w:bidi="ar-SA"/>
    </w:rPr>
  </w:style>
  <w:style w:type="paragraph" w:customStyle="1" w:styleId="4">
    <w:name w:val="正文文本1"/>
    <w:basedOn w:val="5"/>
    <w:next w:val="11"/>
    <w:qFormat/>
    <w:uiPriority w:val="0"/>
    <w:rPr>
      <w:rFonts w:ascii="楷体_GB2312" w:hAnsi="Arial" w:eastAsia="楷体_GB2312"/>
      <w:sz w:val="28"/>
      <w:szCs w:val="28"/>
    </w:rPr>
  </w:style>
  <w:style w:type="paragraph" w:customStyle="1" w:styleId="5">
    <w:name w:val="正文111"/>
    <w:next w:val="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
    <w:name w:val="正文文本缩进1"/>
    <w:basedOn w:val="7"/>
    <w:next w:val="10"/>
    <w:qFormat/>
    <w:uiPriority w:val="0"/>
    <w:pPr>
      <w:spacing w:after="120"/>
      <w:ind w:left="420"/>
    </w:pPr>
  </w:style>
  <w:style w:type="paragraph" w:customStyle="1" w:styleId="7">
    <w:name w:val="正文11"/>
    <w:next w:val="8"/>
    <w:qFormat/>
    <w:uiPriority w:val="0"/>
    <w:rPr>
      <w:rFonts w:ascii="Calibri" w:hAnsi="Calibri" w:eastAsia="宋体" w:cs="Calibri"/>
      <w:sz w:val="24"/>
      <w:szCs w:val="24"/>
      <w:lang w:val="en-US" w:eastAsia="zh-CN" w:bidi="ar-SA"/>
    </w:rPr>
  </w:style>
  <w:style w:type="paragraph" w:customStyle="1" w:styleId="8">
    <w:name w:val="文本块1"/>
    <w:basedOn w:val="5"/>
    <w:next w:val="9"/>
    <w:qFormat/>
    <w:uiPriority w:val="0"/>
    <w:pPr>
      <w:ind w:left="256" w:right="6" w:firstLine="624"/>
    </w:pPr>
    <w:rPr>
      <w:rFonts w:eastAsia="仿宋_GB2312"/>
      <w:sz w:val="28"/>
    </w:rPr>
  </w:style>
  <w:style w:type="paragraph" w:customStyle="1" w:styleId="9">
    <w:name w:val="标题 41"/>
    <w:basedOn w:val="7"/>
    <w:next w:val="7"/>
    <w:qFormat/>
    <w:uiPriority w:val="0"/>
    <w:pPr>
      <w:keepNext/>
      <w:keepLines/>
      <w:spacing w:before="280" w:after="290" w:line="376" w:lineRule="auto"/>
      <w:outlineLvl w:val="3"/>
    </w:pPr>
    <w:rPr>
      <w:rFonts w:ascii="Cambria" w:hAnsi="Cambria"/>
      <w:b/>
      <w:bCs/>
      <w:sz w:val="28"/>
      <w:szCs w:val="28"/>
    </w:rPr>
  </w:style>
  <w:style w:type="paragraph" w:customStyle="1" w:styleId="10">
    <w:name w:val="寄信人地址1"/>
    <w:basedOn w:val="1"/>
    <w:qFormat/>
    <w:uiPriority w:val="0"/>
    <w:rPr>
      <w:rFonts w:ascii="Arial" w:hAnsi="Arial"/>
    </w:rPr>
  </w:style>
  <w:style w:type="paragraph" w:customStyle="1" w:styleId="11">
    <w:name w:val="一级条标题"/>
    <w:basedOn w:val="12"/>
    <w:next w:val="2"/>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2">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styleId="22">
    <w:name w:val="List 3"/>
    <w:basedOn w:val="1"/>
    <w:unhideWhenUsed/>
    <w:qFormat/>
    <w:uiPriority w:val="99"/>
    <w:pPr>
      <w:spacing w:before="100" w:beforeAutospacing="1" w:after="100" w:afterAutospacing="1"/>
      <w:ind w:left="1260" w:hanging="420"/>
    </w:pPr>
    <w:rPr>
      <w:szCs w:val="21"/>
    </w:rPr>
  </w:style>
  <w:style w:type="paragraph" w:styleId="23">
    <w:name w:val="toc 7"/>
    <w:basedOn w:val="1"/>
    <w:next w:val="1"/>
    <w:unhideWhenUsed/>
    <w:qFormat/>
    <w:uiPriority w:val="39"/>
    <w:pPr>
      <w:ind w:left="2520" w:leftChars="1200"/>
    </w:pPr>
    <w:rPr>
      <w:rFonts w:ascii="Calibri" w:hAnsi="Calibri"/>
      <w:szCs w:val="22"/>
    </w:rPr>
  </w:style>
  <w:style w:type="paragraph" w:styleId="24">
    <w:name w:val="List Number"/>
    <w:basedOn w:val="1"/>
    <w:qFormat/>
    <w:uiPriority w:val="0"/>
    <w:pPr>
      <w:numPr>
        <w:ilvl w:val="0"/>
        <w:numId w:val="2"/>
      </w:numPr>
      <w:contextualSpacing/>
    </w:pPr>
    <w:rPr>
      <w:rFonts w:ascii="Calibri" w:hAnsi="Calibri"/>
    </w:rPr>
  </w:style>
  <w:style w:type="paragraph" w:styleId="25">
    <w:name w:val="Normal Indent"/>
    <w:basedOn w:val="1"/>
    <w:link w:val="235"/>
    <w:qFormat/>
    <w:uiPriority w:val="0"/>
    <w:pPr>
      <w:ind w:firstLine="420"/>
    </w:pPr>
    <w:rPr>
      <w:b/>
      <w:sz w:val="24"/>
      <w:szCs w:val="20"/>
    </w:rPr>
  </w:style>
  <w:style w:type="paragraph" w:styleId="26">
    <w:name w:val="caption"/>
    <w:basedOn w:val="1"/>
    <w:next w:val="1"/>
    <w:qFormat/>
    <w:uiPriority w:val="0"/>
    <w:rPr>
      <w:rFonts w:ascii="Cambria" w:hAnsi="Cambria" w:eastAsia="黑体"/>
      <w:sz w:val="20"/>
      <w:szCs w:val="22"/>
    </w:rPr>
  </w:style>
  <w:style w:type="paragraph" w:styleId="27">
    <w:name w:val="Document Map"/>
    <w:basedOn w:val="1"/>
    <w:link w:val="101"/>
    <w:qFormat/>
    <w:uiPriority w:val="0"/>
    <w:rPr>
      <w:rFonts w:ascii="宋体"/>
      <w:sz w:val="18"/>
      <w:szCs w:val="18"/>
    </w:rPr>
  </w:style>
  <w:style w:type="paragraph" w:styleId="28">
    <w:name w:val="annotation text"/>
    <w:basedOn w:val="1"/>
    <w:link w:val="125"/>
    <w:qFormat/>
    <w:uiPriority w:val="0"/>
    <w:pPr>
      <w:jc w:val="left"/>
    </w:pPr>
  </w:style>
  <w:style w:type="paragraph" w:styleId="29">
    <w:name w:val="Body Text 3"/>
    <w:basedOn w:val="1"/>
    <w:link w:val="144"/>
    <w:qFormat/>
    <w:uiPriority w:val="0"/>
    <w:rPr>
      <w:rFonts w:ascii="宋体"/>
      <w:sz w:val="24"/>
      <w:szCs w:val="20"/>
    </w:rPr>
  </w:style>
  <w:style w:type="paragraph" w:styleId="30">
    <w:name w:val="Body Text"/>
    <w:basedOn w:val="1"/>
    <w:link w:val="132"/>
    <w:qFormat/>
    <w:uiPriority w:val="0"/>
    <w:pPr>
      <w:jc w:val="center"/>
    </w:pPr>
    <w:rPr>
      <w:rFonts w:eastAsia="幼圆"/>
      <w:b/>
      <w:bCs/>
      <w:sz w:val="44"/>
    </w:rPr>
  </w:style>
  <w:style w:type="paragraph" w:styleId="31">
    <w:name w:val="Body Text Indent"/>
    <w:basedOn w:val="1"/>
    <w:link w:val="88"/>
    <w:qFormat/>
    <w:uiPriority w:val="0"/>
    <w:pPr>
      <w:spacing w:after="120"/>
      <w:ind w:left="420" w:leftChars="200"/>
    </w:pPr>
  </w:style>
  <w:style w:type="paragraph" w:styleId="32">
    <w:name w:val="Block Text"/>
    <w:basedOn w:val="1"/>
    <w:next w:val="1"/>
    <w:unhideWhenUsed/>
    <w:qFormat/>
    <w:uiPriority w:val="99"/>
    <w:pPr>
      <w:spacing w:after="120"/>
      <w:ind w:left="1440" w:leftChars="700" w:right="1440" w:rightChars="700"/>
    </w:pPr>
  </w:style>
  <w:style w:type="paragraph" w:styleId="33">
    <w:name w:val="index 4"/>
    <w:basedOn w:val="1"/>
    <w:next w:val="1"/>
    <w:qFormat/>
    <w:uiPriority w:val="0"/>
    <w:pPr>
      <w:ind w:left="600" w:leftChars="600"/>
    </w:pPr>
    <w:rPr>
      <w:rFonts w:ascii="Calibri" w:hAnsi="Calibri"/>
    </w:rPr>
  </w:style>
  <w:style w:type="paragraph" w:styleId="34">
    <w:name w:val="toc 5"/>
    <w:basedOn w:val="1"/>
    <w:next w:val="1"/>
    <w:unhideWhenUsed/>
    <w:qFormat/>
    <w:uiPriority w:val="39"/>
    <w:pPr>
      <w:ind w:left="1680" w:leftChars="800"/>
    </w:pPr>
    <w:rPr>
      <w:rFonts w:ascii="Calibri" w:hAnsi="Calibri"/>
      <w:szCs w:val="22"/>
    </w:rPr>
  </w:style>
  <w:style w:type="paragraph" w:styleId="35">
    <w:name w:val="toc 3"/>
    <w:basedOn w:val="1"/>
    <w:next w:val="1"/>
    <w:qFormat/>
    <w:uiPriority w:val="39"/>
    <w:pPr>
      <w:ind w:left="840" w:leftChars="400"/>
    </w:pPr>
    <w:rPr>
      <w:rFonts w:ascii="Calibri" w:hAnsi="Calibri"/>
      <w:szCs w:val="22"/>
    </w:rPr>
  </w:style>
  <w:style w:type="paragraph" w:styleId="36">
    <w:name w:val="Plain Text"/>
    <w:basedOn w:val="1"/>
    <w:link w:val="94"/>
    <w:qFormat/>
    <w:uiPriority w:val="0"/>
    <w:rPr>
      <w:rFonts w:ascii="Ari"/>
    </w:rPr>
  </w:style>
  <w:style w:type="paragraph" w:styleId="37">
    <w:name w:val="toc 8"/>
    <w:basedOn w:val="1"/>
    <w:next w:val="1"/>
    <w:unhideWhenUsed/>
    <w:qFormat/>
    <w:uiPriority w:val="39"/>
    <w:pPr>
      <w:ind w:left="2940" w:leftChars="1400"/>
    </w:pPr>
    <w:rPr>
      <w:rFonts w:ascii="Calibri" w:hAnsi="Calibri"/>
      <w:szCs w:val="22"/>
    </w:rPr>
  </w:style>
  <w:style w:type="paragraph" w:styleId="38">
    <w:name w:val="Date"/>
    <w:basedOn w:val="1"/>
    <w:next w:val="1"/>
    <w:link w:val="102"/>
    <w:unhideWhenUsed/>
    <w:qFormat/>
    <w:uiPriority w:val="0"/>
  </w:style>
  <w:style w:type="paragraph" w:styleId="39">
    <w:name w:val="Body Text Indent 2"/>
    <w:basedOn w:val="1"/>
    <w:link w:val="124"/>
    <w:unhideWhenUsed/>
    <w:qFormat/>
    <w:uiPriority w:val="99"/>
    <w:pPr>
      <w:spacing w:line="420" w:lineRule="exact"/>
      <w:ind w:firstLine="525"/>
    </w:pPr>
    <w:rPr>
      <w:rFonts w:ascii="宋体"/>
      <w:kern w:val="0"/>
      <w:sz w:val="20"/>
      <w:szCs w:val="20"/>
    </w:rPr>
  </w:style>
  <w:style w:type="paragraph" w:styleId="40">
    <w:name w:val="Balloon Text"/>
    <w:basedOn w:val="1"/>
    <w:link w:val="147"/>
    <w:qFormat/>
    <w:uiPriority w:val="0"/>
    <w:rPr>
      <w:sz w:val="18"/>
      <w:szCs w:val="18"/>
    </w:rPr>
  </w:style>
  <w:style w:type="paragraph" w:styleId="41">
    <w:name w:val="footer"/>
    <w:basedOn w:val="1"/>
    <w:link w:val="137"/>
    <w:qFormat/>
    <w:uiPriority w:val="99"/>
    <w:pPr>
      <w:tabs>
        <w:tab w:val="center" w:pos="4153"/>
        <w:tab w:val="right" w:pos="8306"/>
      </w:tabs>
      <w:snapToGrid w:val="0"/>
      <w:jc w:val="left"/>
    </w:pPr>
    <w:rPr>
      <w:sz w:val="18"/>
      <w:szCs w:val="18"/>
    </w:rPr>
  </w:style>
  <w:style w:type="paragraph" w:styleId="42">
    <w:name w:val="envelope return"/>
    <w:basedOn w:val="1"/>
    <w:qFormat/>
    <w:uiPriority w:val="0"/>
    <w:pPr>
      <w:snapToGrid w:val="0"/>
    </w:pPr>
    <w:rPr>
      <w:rFonts w:ascii="Arial" w:hAnsi="Arial"/>
    </w:rPr>
  </w:style>
  <w:style w:type="paragraph" w:styleId="43">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44">
    <w:name w:val="toc 1"/>
    <w:basedOn w:val="1"/>
    <w:next w:val="1"/>
    <w:qFormat/>
    <w:uiPriority w:val="39"/>
  </w:style>
  <w:style w:type="paragraph" w:styleId="45">
    <w:name w:val="toc 4"/>
    <w:basedOn w:val="1"/>
    <w:next w:val="1"/>
    <w:unhideWhenUsed/>
    <w:qFormat/>
    <w:uiPriority w:val="39"/>
    <w:pPr>
      <w:ind w:left="1260" w:leftChars="600"/>
    </w:pPr>
    <w:rPr>
      <w:rFonts w:ascii="Calibri" w:hAnsi="Calibri"/>
      <w:szCs w:val="22"/>
    </w:rPr>
  </w:style>
  <w:style w:type="paragraph" w:styleId="46">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47">
    <w:name w:val="toc 6"/>
    <w:basedOn w:val="1"/>
    <w:next w:val="1"/>
    <w:unhideWhenUsed/>
    <w:qFormat/>
    <w:uiPriority w:val="39"/>
    <w:pPr>
      <w:ind w:left="2100" w:leftChars="1000"/>
    </w:pPr>
    <w:rPr>
      <w:rFonts w:ascii="Calibri" w:hAnsi="Calibri"/>
      <w:szCs w:val="22"/>
    </w:rPr>
  </w:style>
  <w:style w:type="paragraph" w:styleId="48">
    <w:name w:val="Body Text Indent 3"/>
    <w:basedOn w:val="1"/>
    <w:link w:val="145"/>
    <w:qFormat/>
    <w:uiPriority w:val="0"/>
    <w:pPr>
      <w:spacing w:after="120"/>
      <w:ind w:left="420" w:leftChars="200"/>
    </w:pPr>
    <w:rPr>
      <w:sz w:val="16"/>
      <w:szCs w:val="20"/>
    </w:rPr>
  </w:style>
  <w:style w:type="paragraph" w:styleId="49">
    <w:name w:val="toc 2"/>
    <w:basedOn w:val="1"/>
    <w:next w:val="1"/>
    <w:qFormat/>
    <w:uiPriority w:val="39"/>
    <w:pPr>
      <w:ind w:left="420" w:leftChars="200"/>
    </w:pPr>
    <w:rPr>
      <w:rFonts w:ascii="Calibri" w:hAnsi="Calibri"/>
      <w:szCs w:val="22"/>
    </w:rPr>
  </w:style>
  <w:style w:type="paragraph" w:styleId="50">
    <w:name w:val="toc 9"/>
    <w:basedOn w:val="1"/>
    <w:next w:val="1"/>
    <w:unhideWhenUsed/>
    <w:qFormat/>
    <w:uiPriority w:val="39"/>
    <w:pPr>
      <w:ind w:left="3360" w:leftChars="1600"/>
    </w:pPr>
    <w:rPr>
      <w:rFonts w:ascii="Calibri" w:hAnsi="Calibri"/>
      <w:szCs w:val="22"/>
    </w:rPr>
  </w:style>
  <w:style w:type="paragraph" w:styleId="51">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5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3">
    <w:name w:val="index 1"/>
    <w:basedOn w:val="1"/>
    <w:next w:val="1"/>
    <w:qFormat/>
    <w:uiPriority w:val="0"/>
    <w:pPr>
      <w:spacing w:line="220" w:lineRule="exact"/>
      <w:jc w:val="center"/>
    </w:pPr>
    <w:rPr>
      <w:rFonts w:ascii="仿宋_GB2312" w:hAnsi="Calibri" w:eastAsia="仿宋_GB2312"/>
      <w:szCs w:val="22"/>
    </w:rPr>
  </w:style>
  <w:style w:type="paragraph" w:styleId="54">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55">
    <w:name w:val="annotation subject"/>
    <w:basedOn w:val="28"/>
    <w:next w:val="28"/>
    <w:link w:val="135"/>
    <w:qFormat/>
    <w:uiPriority w:val="0"/>
    <w:rPr>
      <w:b/>
      <w:bCs/>
    </w:rPr>
  </w:style>
  <w:style w:type="paragraph" w:styleId="56">
    <w:name w:val="Body Text First Indent"/>
    <w:basedOn w:val="30"/>
    <w:unhideWhenUsed/>
    <w:qFormat/>
    <w:uiPriority w:val="99"/>
    <w:pPr>
      <w:spacing w:line="400" w:lineRule="atLeast"/>
      <w:ind w:firstLine="426"/>
    </w:pPr>
    <w:rPr>
      <w:sz w:val="24"/>
      <w:szCs w:val="20"/>
    </w:rPr>
  </w:style>
  <w:style w:type="paragraph" w:styleId="57">
    <w:name w:val="Body Text First Indent 2"/>
    <w:basedOn w:val="31"/>
    <w:unhideWhenUsed/>
    <w:qFormat/>
    <w:uiPriority w:val="99"/>
    <w:pPr>
      <w:ind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0"/>
    <w:rPr>
      <w:rFonts w:cs="Times New Roman"/>
      <w:b/>
    </w:rPr>
  </w:style>
  <w:style w:type="character" w:styleId="62">
    <w:name w:val="page number"/>
    <w:qFormat/>
    <w:uiPriority w:val="0"/>
    <w:rPr>
      <w:rFonts w:eastAsia="宋体"/>
      <w:b/>
      <w:spacing w:val="0"/>
      <w:kern w:val="2"/>
      <w:sz w:val="24"/>
      <w:szCs w:val="24"/>
      <w:vertAlign w:val="baseline"/>
      <w:lang w:val="en-US" w:eastAsia="zh-CN" w:bidi="ar-SA"/>
    </w:rPr>
  </w:style>
  <w:style w:type="character" w:styleId="63">
    <w:name w:val="FollowedHyperlink"/>
    <w:qFormat/>
    <w:uiPriority w:val="0"/>
    <w:rPr>
      <w:color w:val="800080"/>
      <w:u w:val="single"/>
    </w:rPr>
  </w:style>
  <w:style w:type="character" w:styleId="64">
    <w:name w:val="Emphasis"/>
    <w:basedOn w:val="60"/>
    <w:qFormat/>
    <w:uiPriority w:val="0"/>
    <w:rPr>
      <w:color w:val="CC0000"/>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HTML Cite"/>
    <w:qFormat/>
    <w:uiPriority w:val="0"/>
    <w:rPr>
      <w:color w:val="008000"/>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14"/>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31"/>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43"/>
    <w:qFormat/>
    <w:uiPriority w:val="0"/>
    <w:rPr>
      <w:kern w:val="2"/>
      <w:sz w:val="18"/>
      <w:szCs w:val="18"/>
    </w:rPr>
  </w:style>
  <w:style w:type="character" w:customStyle="1" w:styleId="93">
    <w:name w:val="标题 6 字符"/>
    <w:link w:val="18"/>
    <w:qFormat/>
    <w:uiPriority w:val="0"/>
    <w:rPr>
      <w:rFonts w:ascii="Cambria" w:hAnsi="Cambria"/>
      <w:b/>
      <w:bCs/>
      <w:kern w:val="2"/>
      <w:sz w:val="24"/>
      <w:szCs w:val="24"/>
    </w:rPr>
  </w:style>
  <w:style w:type="character" w:customStyle="1" w:styleId="94">
    <w:name w:val="纯文本 字符"/>
    <w:link w:val="36"/>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54"/>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15"/>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27"/>
    <w:qFormat/>
    <w:uiPriority w:val="0"/>
    <w:rPr>
      <w:rFonts w:ascii="宋体"/>
      <w:kern w:val="2"/>
      <w:sz w:val="18"/>
      <w:szCs w:val="18"/>
    </w:rPr>
  </w:style>
  <w:style w:type="character" w:customStyle="1" w:styleId="102">
    <w:name w:val="日期 字符"/>
    <w:link w:val="38"/>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17"/>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21"/>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15"/>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46"/>
    <w:qFormat/>
    <w:uiPriority w:val="0"/>
    <w:rPr>
      <w:rFonts w:ascii="Cambria" w:hAnsi="Cambria"/>
      <w:b/>
      <w:bCs/>
      <w:kern w:val="28"/>
      <w:sz w:val="32"/>
      <w:szCs w:val="32"/>
    </w:rPr>
  </w:style>
  <w:style w:type="character" w:customStyle="1" w:styleId="121">
    <w:name w:val="bookmark"/>
    <w:basedOn w:val="60"/>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39"/>
    <w:qFormat/>
    <w:uiPriority w:val="99"/>
    <w:rPr>
      <w:rFonts w:ascii="宋体"/>
    </w:rPr>
  </w:style>
  <w:style w:type="character" w:customStyle="1" w:styleId="125">
    <w:name w:val="批注文字 字符"/>
    <w:link w:val="28"/>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30"/>
    <w:qFormat/>
    <w:uiPriority w:val="0"/>
    <w:rPr>
      <w:rFonts w:eastAsia="幼圆"/>
      <w:b/>
      <w:bCs/>
      <w:kern w:val="2"/>
      <w:sz w:val="44"/>
      <w:szCs w:val="24"/>
    </w:rPr>
  </w:style>
  <w:style w:type="character" w:customStyle="1" w:styleId="133">
    <w:name w:val="标题 8 字符"/>
    <w:link w:val="20"/>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55"/>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41"/>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14"/>
    <w:next w:val="33"/>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29"/>
    <w:qFormat/>
    <w:uiPriority w:val="0"/>
    <w:rPr>
      <w:rFonts w:ascii="宋体"/>
      <w:kern w:val="2"/>
      <w:sz w:val="24"/>
    </w:rPr>
  </w:style>
  <w:style w:type="character" w:customStyle="1" w:styleId="145">
    <w:name w:val="正文文本缩进 3 字符"/>
    <w:link w:val="48"/>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40"/>
    <w:qFormat/>
    <w:uiPriority w:val="0"/>
    <w:rPr>
      <w:kern w:val="2"/>
      <w:sz w:val="18"/>
      <w:szCs w:val="18"/>
    </w:rPr>
  </w:style>
  <w:style w:type="character" w:customStyle="1" w:styleId="148">
    <w:name w:val="标题 7 字符"/>
    <w:link w:val="19"/>
    <w:qFormat/>
    <w:uiPriority w:val="0"/>
    <w:rPr>
      <w:b/>
      <w:bCs/>
      <w:kern w:val="2"/>
      <w:sz w:val="24"/>
      <w:szCs w:val="24"/>
    </w:rPr>
  </w:style>
  <w:style w:type="character" w:customStyle="1" w:styleId="149">
    <w:name w:val="标题 1 字符"/>
    <w:link w:val="13"/>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16"/>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15"/>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13"/>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3"/>
    <w:next w:val="3"/>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1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13"/>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1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14"/>
    <w:next w:val="30"/>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60"/>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5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60"/>
    <w:qFormat/>
    <w:uiPriority w:val="0"/>
  </w:style>
  <w:style w:type="paragraph" w:customStyle="1" w:styleId="210">
    <w:name w:val="样式 标题 4 + 段前: 5 磅 段后: 5 磅 行距: 单倍行距"/>
    <w:basedOn w:val="16"/>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30"/>
    <w:next w:val="30"/>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14"/>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15"/>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60"/>
    <w:qFormat/>
    <w:uiPriority w:val="0"/>
    <w:rPr>
      <w:rFonts w:ascii="宋体" w:hAnsi="Courier New" w:eastAsia="宋体" w:cs="Courier New"/>
      <w:szCs w:val="21"/>
    </w:rPr>
  </w:style>
  <w:style w:type="character" w:customStyle="1" w:styleId="228">
    <w:name w:val="HTML 预设格式 字符"/>
    <w:basedOn w:val="60"/>
    <w:link w:val="51"/>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25"/>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60"/>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60"/>
    <w:semiHidden/>
    <w:unhideWhenUsed/>
    <w:qFormat/>
    <w:uiPriority w:val="99"/>
    <w:rPr>
      <w:color w:val="605E5C"/>
      <w:shd w:val="clear" w:color="auto" w:fill="E1DFDD"/>
    </w:rPr>
  </w:style>
  <w:style w:type="character" w:customStyle="1" w:styleId="250">
    <w:name w:val="未处理的提及3"/>
    <w:basedOn w:val="60"/>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表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60"/>
    <w:semiHidden/>
    <w:qFormat/>
    <w:uiPriority w:val="99"/>
    <w:rPr>
      <w:rFonts w:ascii="Calibri" w:hAnsi="Calibri" w:eastAsia="宋体" w:cs="Times New Roman"/>
      <w:szCs w:val="24"/>
    </w:rPr>
  </w:style>
  <w:style w:type="character" w:customStyle="1" w:styleId="256">
    <w:name w:val="标题 字符1"/>
    <w:basedOn w:val="60"/>
    <w:qFormat/>
    <w:uiPriority w:val="10"/>
    <w:rPr>
      <w:rFonts w:asciiTheme="majorHAnsi" w:hAnsiTheme="majorHAnsi" w:eastAsiaTheme="majorEastAsia" w:cstheme="majorBidi"/>
      <w:b/>
      <w:bCs/>
      <w:sz w:val="32"/>
      <w:szCs w:val="32"/>
    </w:rPr>
  </w:style>
  <w:style w:type="character" w:customStyle="1" w:styleId="257">
    <w:name w:val="正文文本缩进 字符1"/>
    <w:basedOn w:val="60"/>
    <w:semiHidden/>
    <w:qFormat/>
    <w:uiPriority w:val="99"/>
    <w:rPr>
      <w:rFonts w:ascii="Calibri" w:hAnsi="Calibri" w:eastAsia="宋体" w:cs="Times New Roman"/>
      <w:szCs w:val="24"/>
    </w:rPr>
  </w:style>
  <w:style w:type="character" w:customStyle="1" w:styleId="258">
    <w:name w:val="副标题 字符1"/>
    <w:basedOn w:val="60"/>
    <w:qFormat/>
    <w:uiPriority w:val="11"/>
    <w:rPr>
      <w:b/>
      <w:bCs/>
      <w:kern w:val="28"/>
      <w:sz w:val="32"/>
      <w:szCs w:val="32"/>
    </w:rPr>
  </w:style>
  <w:style w:type="character" w:customStyle="1" w:styleId="259">
    <w:name w:val="日期 字符1"/>
    <w:basedOn w:val="60"/>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60"/>
    <w:semiHidden/>
    <w:qFormat/>
    <w:uiPriority w:val="99"/>
    <w:rPr>
      <w:rFonts w:ascii="Calibri" w:hAnsi="Calibri" w:eastAsia="宋体" w:cs="Times New Roman"/>
      <w:szCs w:val="24"/>
    </w:rPr>
  </w:style>
  <w:style w:type="character" w:customStyle="1" w:styleId="262">
    <w:name w:val="批注框文本 字符1"/>
    <w:basedOn w:val="60"/>
    <w:semiHidden/>
    <w:qFormat/>
    <w:uiPriority w:val="99"/>
    <w:rPr>
      <w:rFonts w:ascii="Calibri" w:hAnsi="Calibri" w:eastAsia="宋体" w:cs="Times New Roman"/>
      <w:sz w:val="18"/>
      <w:szCs w:val="18"/>
    </w:rPr>
  </w:style>
  <w:style w:type="paragraph" w:customStyle="1" w:styleId="263">
    <w:name w:val="小四 段落 宋体 Char Char Char"/>
    <w:basedOn w:val="24"/>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60"/>
    <w:semiHidden/>
    <w:qFormat/>
    <w:uiPriority w:val="99"/>
    <w:rPr>
      <w:rFonts w:hAnsi="Courier New" w:cs="Courier New" w:asciiTheme="minorEastAsia"/>
      <w:szCs w:val="24"/>
    </w:rPr>
  </w:style>
  <w:style w:type="character" w:customStyle="1" w:styleId="265">
    <w:name w:val="文档结构图 字符1"/>
    <w:basedOn w:val="60"/>
    <w:semiHidden/>
    <w:qFormat/>
    <w:uiPriority w:val="99"/>
    <w:rPr>
      <w:rFonts w:ascii="Microsoft YaHei UI" w:hAnsi="Calibri" w:eastAsia="Microsoft YaHei UI" w:cs="Times New Roman"/>
      <w:sz w:val="18"/>
      <w:szCs w:val="18"/>
    </w:rPr>
  </w:style>
  <w:style w:type="character" w:customStyle="1" w:styleId="266">
    <w:name w:val="正文文本 3 字符1"/>
    <w:basedOn w:val="60"/>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60"/>
    <w:semiHidden/>
    <w:qFormat/>
    <w:uiPriority w:val="99"/>
    <w:rPr>
      <w:rFonts w:ascii="Calibri" w:hAnsi="Calibri" w:eastAsia="宋体" w:cs="Times New Roman"/>
      <w:sz w:val="16"/>
      <w:szCs w:val="16"/>
    </w:rPr>
  </w:style>
  <w:style w:type="character" w:customStyle="1" w:styleId="269">
    <w:name w:val="未处理的提及4"/>
    <w:basedOn w:val="60"/>
    <w:semiHidden/>
    <w:unhideWhenUsed/>
    <w:qFormat/>
    <w:uiPriority w:val="99"/>
    <w:rPr>
      <w:color w:val="605E5C"/>
      <w:shd w:val="clear" w:color="auto" w:fill="E1DFDD"/>
    </w:rPr>
  </w:style>
  <w:style w:type="character" w:customStyle="1" w:styleId="270">
    <w:name w:val="未处理的提及5"/>
    <w:basedOn w:val="60"/>
    <w:semiHidden/>
    <w:unhideWhenUsed/>
    <w:qFormat/>
    <w:uiPriority w:val="99"/>
    <w:rPr>
      <w:color w:val="605E5C"/>
      <w:shd w:val="clear" w:color="auto" w:fill="E1DFDD"/>
    </w:rPr>
  </w:style>
  <w:style w:type="character" w:customStyle="1" w:styleId="271">
    <w:name w:val="未处理的提及6"/>
    <w:basedOn w:val="60"/>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首行缩进"/>
    <w:basedOn w:val="1"/>
    <w:qFormat/>
    <w:uiPriority w:val="0"/>
    <w:pPr>
      <w:spacing w:line="360" w:lineRule="auto"/>
      <w:ind w:firstLine="480" w:firstLineChars="200"/>
      <w:jc w:val="left"/>
    </w:pPr>
    <w:rPr>
      <w:rFonts w:ascii="宋体" w:hAnsi="宋体"/>
      <w:sz w:val="24"/>
    </w:rPr>
  </w:style>
  <w:style w:type="paragraph" w:customStyle="1" w:styleId="291">
    <w:name w:val="索引 41"/>
    <w:basedOn w:val="1"/>
    <w:next w:val="1"/>
    <w:qFormat/>
    <w:uiPriority w:val="2"/>
    <w:pPr>
      <w:ind w:left="1260" w:right="0" w:firstLine="0"/>
    </w:pPr>
    <w:rPr>
      <w:rFonts w:ascii="Calibri" w:hAnsi="Calibri" w:eastAsia="Calibri" w:cs="宋体"/>
      <w:sz w:val="20"/>
      <w:lang w:val="zh-CN"/>
    </w:rPr>
  </w:style>
  <w:style w:type="paragraph" w:customStyle="1" w:styleId="292">
    <w:name w:val="正文缩进1"/>
    <w:basedOn w:val="1"/>
    <w:qFormat/>
    <w:uiPriority w:val="0"/>
    <w:pPr>
      <w:ind w:firstLine="420"/>
    </w:pPr>
    <w:rPr>
      <w:sz w:val="20"/>
    </w:rPr>
  </w:style>
  <w:style w:type="paragraph" w:customStyle="1" w:styleId="293">
    <w:name w:val="索引 11"/>
    <w:basedOn w:val="1"/>
    <w:next w:val="1"/>
    <w:semiHidden/>
    <w:qFormat/>
    <w:uiPriority w:val="0"/>
    <w:pPr>
      <w:spacing w:line="240" w:lineRule="atLeast"/>
    </w:pPr>
    <w:rPr>
      <w:b/>
      <w:bCs/>
    </w:rPr>
  </w:style>
  <w:style w:type="paragraph" w:customStyle="1" w:styleId="294">
    <w:name w:val="纯文本11"/>
    <w:basedOn w:val="1"/>
    <w:qFormat/>
    <w:uiPriority w:val="0"/>
    <w:rPr>
      <w:rFonts w:ascii="宋体" w:hAnsi="Courier New"/>
      <w:sz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61</Pages>
  <Words>28062</Words>
  <Characters>29423</Characters>
  <Lines>238</Lines>
  <Paragraphs>67</Paragraphs>
  <TotalTime>28</TotalTime>
  <ScaleCrop>false</ScaleCrop>
  <LinksUpToDate>false</LinksUpToDate>
  <CharactersWithSpaces>30264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2026-03-10T11:13:00Z</dcterms:created>
  <dc:creator>Lenovo User</dc:creator>
  <cp:lastModifiedBy>Maxxie D</cp:lastModifiedBy>
  <cp:lastPrinted>2022-07-08T08:06:00Z</cp:lastPrinted>
  <dcterms:modified xsi:type="dcterms:W3CDTF">2026-06-24T09:57:27Z</dcterms:modified>
  <dc:title>公开招标文件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2614B3B4954343EA8453F5BAAF87B0E6_13</vt:lpwstr>
  </property>
  <property fmtid="{D5CDD505-2E9C-101B-9397-08002B2CF9AE}" pid="4" name="KSOTemplateDocerSaveRecord">
    <vt:lpwstr>eyJoZGlkIjoiNjRlNzRhY2E2OTdjMTZkMmU2NmU0ZDI5ZmVjNjRjOTkiLCJ1c2VySWQiOiIzMTg2NTgxNTYifQ==</vt:lpwstr>
  </property>
</Properties>
</file>