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793E7">
      <w:pPr>
        <w:pStyle w:val="4"/>
        <w:spacing w:before="0" w:line="360" w:lineRule="auto"/>
        <w:ind w:left="0"/>
        <w:jc w:val="center"/>
        <w:rPr>
          <w:rFonts w:ascii="楷体" w:hAnsi="楷体" w:eastAsia="楷体" w:cs="楷体"/>
          <w:b/>
          <w:bCs/>
          <w:color w:val="auto"/>
          <w:sz w:val="36"/>
          <w:szCs w:val="36"/>
          <w:highlight w:val="none"/>
          <w:lang w:val="en-US"/>
        </w:rPr>
      </w:pPr>
      <w:r>
        <w:rPr>
          <w:rFonts w:hint="eastAsia" w:ascii="楷体" w:hAnsi="楷体" w:eastAsia="楷体" w:cs="楷体"/>
          <w:b/>
          <w:bCs/>
          <w:color w:val="auto"/>
          <w:sz w:val="36"/>
          <w:szCs w:val="36"/>
          <w:highlight w:val="none"/>
          <w:lang w:val="en-US"/>
        </w:rPr>
        <w:t>采购需求</w:t>
      </w:r>
    </w:p>
    <w:p w14:paraId="62333D7A">
      <w:pPr>
        <w:spacing w:line="360" w:lineRule="auto"/>
        <w:rPr>
          <w:rFonts w:ascii="楷体" w:hAnsi="楷体" w:eastAsia="楷体" w:cs="楷体"/>
          <w:b/>
          <w:bCs/>
          <w:color w:val="auto"/>
          <w:sz w:val="28"/>
          <w:szCs w:val="28"/>
          <w:highlight w:val="none"/>
        </w:rPr>
      </w:pPr>
      <w:r>
        <w:rPr>
          <w:rFonts w:hint="eastAsia" w:ascii="楷体" w:hAnsi="楷体" w:eastAsia="楷体" w:cs="楷体"/>
          <w:b/>
          <w:bCs/>
          <w:color w:val="auto"/>
          <w:sz w:val="28"/>
          <w:szCs w:val="28"/>
          <w:highlight w:val="none"/>
        </w:rPr>
        <w:t>一、工程概况</w:t>
      </w:r>
    </w:p>
    <w:p w14:paraId="5721C62B">
      <w:pPr>
        <w:spacing w:line="360" w:lineRule="auto"/>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1、本工程为</w:t>
      </w:r>
      <w:r>
        <w:rPr>
          <w:rFonts w:hint="eastAsia" w:ascii="楷体" w:hAnsi="楷体" w:eastAsia="楷体" w:cs="楷体"/>
          <w:color w:val="auto"/>
          <w:sz w:val="28"/>
          <w:szCs w:val="28"/>
          <w:highlight w:val="none"/>
          <w:lang w:eastAsia="zh-CN"/>
        </w:rPr>
        <w:t>丹徒区检察院“</w:t>
      </w:r>
      <w:bookmarkStart w:id="5" w:name="_GoBack"/>
      <w:r>
        <w:rPr>
          <w:rFonts w:hint="eastAsia" w:ascii="楷体" w:hAnsi="楷体" w:eastAsia="楷体" w:cs="楷体"/>
          <w:color w:val="auto"/>
          <w:sz w:val="28"/>
          <w:szCs w:val="28"/>
          <w:highlight w:val="none"/>
          <w:lang w:eastAsia="zh-CN"/>
        </w:rPr>
        <w:t>未成年人司法办案专区建设项目”（三次）</w:t>
      </w:r>
      <w:bookmarkEnd w:id="5"/>
      <w:r>
        <w:rPr>
          <w:rFonts w:hint="eastAsia" w:ascii="楷体" w:hAnsi="楷体" w:eastAsia="楷体" w:cs="楷体"/>
          <w:color w:val="auto"/>
          <w:sz w:val="28"/>
          <w:szCs w:val="28"/>
          <w:highlight w:val="none"/>
        </w:rPr>
        <w:t>，包含装修工程、安装工程、智能化设备工程，属于检察机关基础设施建设的一部分，以确保检察院正常履行法律监督职能，提供必要的工作环境和条件。</w:t>
      </w:r>
    </w:p>
    <w:p w14:paraId="6254CFAC">
      <w:pPr>
        <w:spacing w:line="360" w:lineRule="auto"/>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2、项目建设单位：镇江市丹徒区人民检察院。</w:t>
      </w:r>
    </w:p>
    <w:p w14:paraId="58C37811">
      <w:pPr>
        <w:spacing w:line="360" w:lineRule="auto"/>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3、主要工作内容：拆除部分房间墙体等结构及装修，并清运拆除垃圾；块料楼地面、金属踢脚线、内墙涂料及吊顶等装修工程；强、弱电及智能化工程；未考虑空调设备费用，连廊防水施工费用已计在专业工程暂估价内。</w:t>
      </w:r>
    </w:p>
    <w:p w14:paraId="17EABA4C">
      <w:pPr>
        <w:spacing w:line="360" w:lineRule="auto"/>
        <w:rPr>
          <w:rFonts w:ascii="楷体" w:hAnsi="楷体" w:eastAsia="楷体" w:cs="楷体"/>
          <w:b/>
          <w:bCs/>
          <w:color w:val="auto"/>
          <w:sz w:val="28"/>
          <w:szCs w:val="28"/>
          <w:highlight w:val="none"/>
        </w:rPr>
      </w:pPr>
      <w:r>
        <w:rPr>
          <w:rFonts w:hint="eastAsia" w:ascii="楷体" w:hAnsi="楷体" w:eastAsia="楷体" w:cs="楷体"/>
          <w:b/>
          <w:bCs/>
          <w:color w:val="auto"/>
          <w:sz w:val="28"/>
          <w:szCs w:val="28"/>
          <w:highlight w:val="none"/>
        </w:rPr>
        <w:t>二、工程量清单编制依据</w:t>
      </w:r>
    </w:p>
    <w:p w14:paraId="7FF6CC3A">
      <w:pPr>
        <w:spacing w:line="360" w:lineRule="auto"/>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1、《建设工程工程量清单计价规范》（GB50500-2013）、《房屋建筑与装饰工程计量规范》（GB50854-2013）、《江苏省建筑与装饰工程计价定额》（2014年）、《江苏省房屋修缮工程计价表》（2009年）、《江苏省安装工程计价定额》（2014年）、《江苏省建设工程费用定额》（2016年营改增后调整），截止2025年10月底以前镇江市相关工程造价计价文件。</w:t>
      </w:r>
    </w:p>
    <w:p w14:paraId="38D84074">
      <w:pPr>
        <w:spacing w:line="360" w:lineRule="auto"/>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2、人工执行苏建函价（2025）273号文件；税改文件苏建函价2019_178号文。</w:t>
      </w:r>
    </w:p>
    <w:p w14:paraId="250ACECF">
      <w:pPr>
        <w:spacing w:line="360" w:lineRule="auto"/>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3、本清单以镇江市丹徒区人民检察院局部改造、装修、安装施工内容编制。</w:t>
      </w:r>
    </w:p>
    <w:p w14:paraId="73F74D9B">
      <w:pPr>
        <w:spacing w:line="360" w:lineRule="auto"/>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4、工程类别及取费标准分别按修缮建筑工程、单独装饰工程、安装三类工程计取，管理费和利润由投标人结合工程具体情况、企业管理水平自主确定。</w:t>
      </w:r>
    </w:p>
    <w:p w14:paraId="55F23900">
      <w:pPr>
        <w:spacing w:line="360" w:lineRule="auto"/>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5、工程不可竞争费费率如下表（%）：</w:t>
      </w:r>
    </w:p>
    <w:tbl>
      <w:tblPr>
        <w:tblStyle w:val="2"/>
        <w:tblpPr w:leftFromText="180" w:rightFromText="180" w:vertAnchor="text" w:horzAnchor="margin" w:tblpY="146"/>
        <w:tblW w:w="101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6"/>
        <w:gridCol w:w="1117"/>
        <w:gridCol w:w="1102"/>
        <w:gridCol w:w="1145"/>
        <w:gridCol w:w="931"/>
        <w:gridCol w:w="1074"/>
        <w:gridCol w:w="1067"/>
        <w:gridCol w:w="1705"/>
      </w:tblGrid>
      <w:tr w14:paraId="6806A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056" w:type="dxa"/>
            <w:vMerge w:val="restart"/>
            <w:vAlign w:val="center"/>
          </w:tcPr>
          <w:p w14:paraId="145B48B5">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工程项目</w:t>
            </w:r>
          </w:p>
        </w:tc>
        <w:tc>
          <w:tcPr>
            <w:tcW w:w="1117" w:type="dxa"/>
            <w:vMerge w:val="restart"/>
            <w:vAlign w:val="center"/>
          </w:tcPr>
          <w:p w14:paraId="68132B98">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社会保险费</w:t>
            </w:r>
          </w:p>
        </w:tc>
        <w:tc>
          <w:tcPr>
            <w:tcW w:w="1102" w:type="dxa"/>
            <w:vMerge w:val="restart"/>
            <w:vAlign w:val="center"/>
          </w:tcPr>
          <w:p w14:paraId="42A53129">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住房公积金</w:t>
            </w:r>
          </w:p>
        </w:tc>
        <w:tc>
          <w:tcPr>
            <w:tcW w:w="1145" w:type="dxa"/>
            <w:vMerge w:val="restart"/>
            <w:vAlign w:val="center"/>
          </w:tcPr>
          <w:p w14:paraId="142B0E74">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环境保护税</w:t>
            </w:r>
          </w:p>
        </w:tc>
        <w:tc>
          <w:tcPr>
            <w:tcW w:w="931" w:type="dxa"/>
            <w:vMerge w:val="restart"/>
            <w:vAlign w:val="center"/>
          </w:tcPr>
          <w:p w14:paraId="1C9FF9CC">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税金</w:t>
            </w:r>
          </w:p>
        </w:tc>
        <w:tc>
          <w:tcPr>
            <w:tcW w:w="3846" w:type="dxa"/>
            <w:gridSpan w:val="3"/>
            <w:vAlign w:val="center"/>
          </w:tcPr>
          <w:p w14:paraId="1E967E1E">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现场安全文明施工</w:t>
            </w:r>
          </w:p>
        </w:tc>
      </w:tr>
      <w:tr w14:paraId="3AC1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56" w:type="dxa"/>
            <w:vMerge w:val="continue"/>
            <w:vAlign w:val="center"/>
          </w:tcPr>
          <w:p w14:paraId="6491E293">
            <w:pPr>
              <w:spacing w:line="276" w:lineRule="auto"/>
              <w:jc w:val="center"/>
              <w:rPr>
                <w:rFonts w:ascii="楷体" w:hAnsi="楷体" w:eastAsia="楷体" w:cs="楷体"/>
                <w:color w:val="auto"/>
                <w:sz w:val="28"/>
                <w:szCs w:val="28"/>
                <w:highlight w:val="none"/>
              </w:rPr>
            </w:pPr>
          </w:p>
        </w:tc>
        <w:tc>
          <w:tcPr>
            <w:tcW w:w="1117" w:type="dxa"/>
            <w:vMerge w:val="continue"/>
            <w:vAlign w:val="center"/>
          </w:tcPr>
          <w:p w14:paraId="2177A7AF">
            <w:pPr>
              <w:spacing w:line="276" w:lineRule="auto"/>
              <w:jc w:val="center"/>
              <w:rPr>
                <w:rFonts w:ascii="楷体" w:hAnsi="楷体" w:eastAsia="楷体" w:cs="楷体"/>
                <w:color w:val="auto"/>
                <w:sz w:val="28"/>
                <w:szCs w:val="28"/>
                <w:highlight w:val="none"/>
              </w:rPr>
            </w:pPr>
          </w:p>
        </w:tc>
        <w:tc>
          <w:tcPr>
            <w:tcW w:w="1102" w:type="dxa"/>
            <w:vMerge w:val="continue"/>
            <w:vAlign w:val="center"/>
          </w:tcPr>
          <w:p w14:paraId="60614D1A">
            <w:pPr>
              <w:spacing w:line="276" w:lineRule="auto"/>
              <w:jc w:val="center"/>
              <w:rPr>
                <w:rFonts w:ascii="楷体" w:hAnsi="楷体" w:eastAsia="楷体" w:cs="楷体"/>
                <w:color w:val="auto"/>
                <w:sz w:val="28"/>
                <w:szCs w:val="28"/>
                <w:highlight w:val="none"/>
              </w:rPr>
            </w:pPr>
          </w:p>
        </w:tc>
        <w:tc>
          <w:tcPr>
            <w:tcW w:w="1145" w:type="dxa"/>
            <w:vMerge w:val="continue"/>
            <w:vAlign w:val="center"/>
          </w:tcPr>
          <w:p w14:paraId="4880C8B4">
            <w:pPr>
              <w:spacing w:line="276" w:lineRule="auto"/>
              <w:jc w:val="center"/>
              <w:rPr>
                <w:rFonts w:ascii="楷体" w:hAnsi="楷体" w:eastAsia="楷体" w:cs="楷体"/>
                <w:color w:val="auto"/>
                <w:sz w:val="28"/>
                <w:szCs w:val="28"/>
                <w:highlight w:val="none"/>
              </w:rPr>
            </w:pPr>
          </w:p>
        </w:tc>
        <w:tc>
          <w:tcPr>
            <w:tcW w:w="931" w:type="dxa"/>
            <w:vMerge w:val="continue"/>
            <w:vAlign w:val="center"/>
          </w:tcPr>
          <w:p w14:paraId="138C9098">
            <w:pPr>
              <w:spacing w:line="276" w:lineRule="auto"/>
              <w:jc w:val="center"/>
              <w:rPr>
                <w:rFonts w:ascii="楷体" w:hAnsi="楷体" w:eastAsia="楷体" w:cs="楷体"/>
                <w:color w:val="auto"/>
                <w:sz w:val="28"/>
                <w:szCs w:val="28"/>
                <w:highlight w:val="none"/>
              </w:rPr>
            </w:pPr>
          </w:p>
        </w:tc>
        <w:tc>
          <w:tcPr>
            <w:tcW w:w="1074" w:type="dxa"/>
            <w:vAlign w:val="center"/>
          </w:tcPr>
          <w:p w14:paraId="464B918A">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基本费</w:t>
            </w:r>
          </w:p>
        </w:tc>
        <w:tc>
          <w:tcPr>
            <w:tcW w:w="1067" w:type="dxa"/>
            <w:vAlign w:val="center"/>
          </w:tcPr>
          <w:p w14:paraId="26ABA036">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增加费</w:t>
            </w:r>
          </w:p>
        </w:tc>
        <w:tc>
          <w:tcPr>
            <w:tcW w:w="1705" w:type="dxa"/>
            <w:vAlign w:val="center"/>
          </w:tcPr>
          <w:p w14:paraId="5B47B7D5">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扬尘污染防治增加费</w:t>
            </w:r>
          </w:p>
        </w:tc>
      </w:tr>
      <w:tr w14:paraId="7B9D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056" w:type="dxa"/>
            <w:vAlign w:val="center"/>
          </w:tcPr>
          <w:p w14:paraId="7785AD70">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装修</w:t>
            </w:r>
            <w:r>
              <w:rPr>
                <w:rFonts w:hint="eastAsia" w:ascii="楷体" w:hAnsi="楷体" w:eastAsia="楷体" w:cs="楷体"/>
                <w:color w:val="auto"/>
                <w:sz w:val="28"/>
                <w:szCs w:val="28"/>
                <w:highlight w:val="none"/>
              </w:rPr>
              <w:t>工程</w:t>
            </w:r>
          </w:p>
        </w:tc>
        <w:tc>
          <w:tcPr>
            <w:tcW w:w="1117" w:type="dxa"/>
            <w:vAlign w:val="center"/>
          </w:tcPr>
          <w:p w14:paraId="445C3964">
            <w:pPr>
              <w:spacing w:line="276" w:lineRule="auto"/>
              <w:jc w:val="center"/>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2.4</w:t>
            </w:r>
          </w:p>
        </w:tc>
        <w:tc>
          <w:tcPr>
            <w:tcW w:w="1102" w:type="dxa"/>
            <w:vAlign w:val="center"/>
          </w:tcPr>
          <w:p w14:paraId="4ABDF803">
            <w:pPr>
              <w:spacing w:line="276" w:lineRule="auto"/>
              <w:jc w:val="center"/>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0.42</w:t>
            </w:r>
          </w:p>
        </w:tc>
        <w:tc>
          <w:tcPr>
            <w:tcW w:w="1145" w:type="dxa"/>
            <w:vAlign w:val="center"/>
          </w:tcPr>
          <w:p w14:paraId="7A2EF3AF">
            <w:pPr>
              <w:spacing w:line="276" w:lineRule="auto"/>
              <w:jc w:val="center"/>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0.1</w:t>
            </w:r>
          </w:p>
        </w:tc>
        <w:tc>
          <w:tcPr>
            <w:tcW w:w="931" w:type="dxa"/>
            <w:vAlign w:val="center"/>
          </w:tcPr>
          <w:p w14:paraId="38C01BEF">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9</w:t>
            </w:r>
          </w:p>
        </w:tc>
        <w:tc>
          <w:tcPr>
            <w:tcW w:w="1074" w:type="dxa"/>
            <w:vAlign w:val="center"/>
          </w:tcPr>
          <w:p w14:paraId="7F35A60E">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1.</w:t>
            </w:r>
            <w:r>
              <w:rPr>
                <w:rFonts w:hint="eastAsia" w:ascii="楷体" w:hAnsi="楷体" w:eastAsia="楷体" w:cs="楷体"/>
                <w:color w:val="auto"/>
                <w:sz w:val="28"/>
                <w:szCs w:val="28"/>
                <w:highlight w:val="none"/>
                <w:lang w:val="en-US"/>
              </w:rPr>
              <w:t>7</w:t>
            </w:r>
          </w:p>
        </w:tc>
        <w:tc>
          <w:tcPr>
            <w:tcW w:w="1067" w:type="dxa"/>
            <w:vAlign w:val="center"/>
          </w:tcPr>
          <w:p w14:paraId="402E08B9">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w:t>
            </w:r>
          </w:p>
        </w:tc>
        <w:tc>
          <w:tcPr>
            <w:tcW w:w="1705" w:type="dxa"/>
            <w:vAlign w:val="center"/>
          </w:tcPr>
          <w:p w14:paraId="312E2711">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0.2</w:t>
            </w:r>
            <w:r>
              <w:rPr>
                <w:rFonts w:hint="eastAsia" w:ascii="楷体" w:hAnsi="楷体" w:eastAsia="楷体" w:cs="楷体"/>
                <w:color w:val="auto"/>
                <w:sz w:val="28"/>
                <w:szCs w:val="28"/>
                <w:highlight w:val="none"/>
                <w:lang w:val="en-US"/>
              </w:rPr>
              <w:t>2</w:t>
            </w:r>
          </w:p>
        </w:tc>
      </w:tr>
      <w:tr w14:paraId="71E1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056" w:type="dxa"/>
            <w:vAlign w:val="center"/>
          </w:tcPr>
          <w:p w14:paraId="7C470EC9">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安装</w:t>
            </w:r>
            <w:r>
              <w:rPr>
                <w:rFonts w:hint="eastAsia" w:ascii="楷体" w:hAnsi="楷体" w:eastAsia="楷体" w:cs="楷体"/>
                <w:color w:val="auto"/>
                <w:sz w:val="28"/>
                <w:szCs w:val="28"/>
                <w:highlight w:val="none"/>
              </w:rPr>
              <w:t>工程</w:t>
            </w:r>
          </w:p>
        </w:tc>
        <w:tc>
          <w:tcPr>
            <w:tcW w:w="1117" w:type="dxa"/>
            <w:vAlign w:val="center"/>
          </w:tcPr>
          <w:p w14:paraId="74C2EA7C">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2.4</w:t>
            </w:r>
          </w:p>
        </w:tc>
        <w:tc>
          <w:tcPr>
            <w:tcW w:w="1102" w:type="dxa"/>
            <w:vAlign w:val="center"/>
          </w:tcPr>
          <w:p w14:paraId="33C85437">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0.42</w:t>
            </w:r>
          </w:p>
        </w:tc>
        <w:tc>
          <w:tcPr>
            <w:tcW w:w="1145" w:type="dxa"/>
            <w:vAlign w:val="center"/>
          </w:tcPr>
          <w:p w14:paraId="370A0816">
            <w:pPr>
              <w:spacing w:line="276" w:lineRule="auto"/>
              <w:jc w:val="center"/>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0.1</w:t>
            </w:r>
          </w:p>
        </w:tc>
        <w:tc>
          <w:tcPr>
            <w:tcW w:w="931" w:type="dxa"/>
            <w:vAlign w:val="center"/>
          </w:tcPr>
          <w:p w14:paraId="0895D735">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9</w:t>
            </w:r>
          </w:p>
        </w:tc>
        <w:tc>
          <w:tcPr>
            <w:tcW w:w="1074" w:type="dxa"/>
            <w:vAlign w:val="center"/>
          </w:tcPr>
          <w:p w14:paraId="03B8B52A">
            <w:pPr>
              <w:spacing w:line="276" w:lineRule="auto"/>
              <w:jc w:val="center"/>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1.5</w:t>
            </w:r>
          </w:p>
        </w:tc>
        <w:tc>
          <w:tcPr>
            <w:tcW w:w="1067" w:type="dxa"/>
            <w:vAlign w:val="center"/>
          </w:tcPr>
          <w:p w14:paraId="34A9715F">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w:t>
            </w:r>
          </w:p>
        </w:tc>
        <w:tc>
          <w:tcPr>
            <w:tcW w:w="1705" w:type="dxa"/>
            <w:vAlign w:val="center"/>
          </w:tcPr>
          <w:p w14:paraId="7C1D3302">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0.2</w:t>
            </w:r>
            <w:r>
              <w:rPr>
                <w:rFonts w:hint="eastAsia" w:ascii="楷体" w:hAnsi="楷体" w:eastAsia="楷体" w:cs="楷体"/>
                <w:color w:val="auto"/>
                <w:sz w:val="28"/>
                <w:szCs w:val="28"/>
                <w:highlight w:val="none"/>
                <w:lang w:val="en-US"/>
              </w:rPr>
              <w:t>1</w:t>
            </w:r>
          </w:p>
        </w:tc>
      </w:tr>
      <w:tr w14:paraId="44910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2056" w:type="dxa"/>
            <w:vAlign w:val="center"/>
          </w:tcPr>
          <w:p w14:paraId="2B0E1ED2">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智能化设备</w:t>
            </w:r>
            <w:r>
              <w:rPr>
                <w:rFonts w:hint="eastAsia" w:ascii="楷体" w:hAnsi="楷体" w:eastAsia="楷体" w:cs="楷体"/>
                <w:color w:val="auto"/>
                <w:sz w:val="28"/>
                <w:szCs w:val="28"/>
                <w:highlight w:val="none"/>
              </w:rPr>
              <w:t>工程</w:t>
            </w:r>
          </w:p>
        </w:tc>
        <w:tc>
          <w:tcPr>
            <w:tcW w:w="1117" w:type="dxa"/>
            <w:vAlign w:val="center"/>
          </w:tcPr>
          <w:p w14:paraId="219EFB4B">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2.4</w:t>
            </w:r>
          </w:p>
        </w:tc>
        <w:tc>
          <w:tcPr>
            <w:tcW w:w="1102" w:type="dxa"/>
            <w:vAlign w:val="center"/>
          </w:tcPr>
          <w:p w14:paraId="5C15CD27">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0.42</w:t>
            </w:r>
          </w:p>
        </w:tc>
        <w:tc>
          <w:tcPr>
            <w:tcW w:w="1145" w:type="dxa"/>
            <w:vAlign w:val="center"/>
          </w:tcPr>
          <w:p w14:paraId="5A0636CD">
            <w:pPr>
              <w:spacing w:line="276" w:lineRule="auto"/>
              <w:jc w:val="center"/>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0.1</w:t>
            </w:r>
          </w:p>
        </w:tc>
        <w:tc>
          <w:tcPr>
            <w:tcW w:w="931" w:type="dxa"/>
            <w:vAlign w:val="center"/>
          </w:tcPr>
          <w:p w14:paraId="2DF4CC04">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9</w:t>
            </w:r>
          </w:p>
        </w:tc>
        <w:tc>
          <w:tcPr>
            <w:tcW w:w="1074" w:type="dxa"/>
            <w:vAlign w:val="center"/>
          </w:tcPr>
          <w:p w14:paraId="0BC223E1">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1.5</w:t>
            </w:r>
          </w:p>
        </w:tc>
        <w:tc>
          <w:tcPr>
            <w:tcW w:w="1067" w:type="dxa"/>
            <w:vAlign w:val="center"/>
          </w:tcPr>
          <w:p w14:paraId="0BBBB609">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w:t>
            </w:r>
          </w:p>
        </w:tc>
        <w:tc>
          <w:tcPr>
            <w:tcW w:w="1705" w:type="dxa"/>
            <w:vAlign w:val="center"/>
          </w:tcPr>
          <w:p w14:paraId="011D4958">
            <w:pPr>
              <w:spacing w:line="276" w:lineRule="auto"/>
              <w:jc w:val="center"/>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0.21</w:t>
            </w:r>
          </w:p>
        </w:tc>
      </w:tr>
    </w:tbl>
    <w:p w14:paraId="3C00F44E">
      <w:pPr>
        <w:spacing w:line="360" w:lineRule="auto"/>
        <w:ind w:firstLine="560"/>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不计安全文明施工费增加费、不计环境保护税。</w:t>
      </w:r>
    </w:p>
    <w:p w14:paraId="676C469A">
      <w:pPr>
        <w:spacing w:line="360" w:lineRule="auto"/>
        <w:rPr>
          <w:rFonts w:ascii="楷体" w:hAnsi="楷体" w:eastAsia="楷体" w:cs="楷体"/>
          <w:b/>
          <w:bCs/>
          <w:color w:val="auto"/>
          <w:sz w:val="28"/>
          <w:szCs w:val="28"/>
          <w:highlight w:val="none"/>
        </w:rPr>
      </w:pPr>
      <w:r>
        <w:rPr>
          <w:rFonts w:hint="eastAsia" w:ascii="楷体" w:hAnsi="楷体" w:eastAsia="楷体" w:cs="楷体"/>
          <w:b/>
          <w:bCs/>
          <w:color w:val="auto"/>
          <w:sz w:val="28"/>
          <w:szCs w:val="28"/>
          <w:highlight w:val="none"/>
        </w:rPr>
        <w:t>三、材料价格取定</w:t>
      </w:r>
    </w:p>
    <w:p w14:paraId="59B4C797">
      <w:pPr>
        <w:spacing w:line="360" w:lineRule="auto"/>
        <w:ind w:firstLine="560"/>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材料价格参见2025年第10期镇江市工程造价信息，信息价上没有的材料价格结合市场价与市场波动因素综合考虑；智能化设备价格通过市场询价确定，请投标方自行报价。</w:t>
      </w:r>
    </w:p>
    <w:p w14:paraId="1617698F">
      <w:pPr>
        <w:spacing w:line="360" w:lineRule="auto"/>
        <w:rPr>
          <w:rFonts w:ascii="楷体" w:hAnsi="楷体" w:eastAsia="楷体" w:cs="楷体"/>
          <w:b/>
          <w:bCs/>
          <w:color w:val="auto"/>
          <w:sz w:val="28"/>
          <w:szCs w:val="28"/>
          <w:highlight w:val="none"/>
        </w:rPr>
      </w:pPr>
      <w:r>
        <w:rPr>
          <w:rFonts w:hint="eastAsia" w:ascii="楷体" w:hAnsi="楷体" w:eastAsia="楷体" w:cs="楷体"/>
          <w:b/>
          <w:bCs/>
          <w:color w:val="auto"/>
          <w:sz w:val="28"/>
          <w:szCs w:val="28"/>
          <w:highlight w:val="none"/>
        </w:rPr>
        <w:t>四、措施项目费</w:t>
      </w:r>
    </w:p>
    <w:p w14:paraId="656737C2">
      <w:pPr>
        <w:spacing w:line="360" w:lineRule="auto"/>
        <w:ind w:firstLine="560"/>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各投标单位应结合工程实际、工期、设计要求和投标单位的施工组织设计、施工方案等综合考虑一切可见和不可见因素，相关的费用均视为已含在措施费用或报价中，竣工结算时不再调整和增加相关费用。</w:t>
      </w:r>
    </w:p>
    <w:p w14:paraId="1A21C244">
      <w:pPr>
        <w:spacing w:line="360" w:lineRule="auto"/>
        <w:rPr>
          <w:rFonts w:ascii="楷体" w:hAnsi="楷体" w:eastAsia="楷体" w:cs="楷体"/>
          <w:b/>
          <w:bCs/>
          <w:color w:val="auto"/>
          <w:sz w:val="28"/>
          <w:szCs w:val="28"/>
          <w:highlight w:val="none"/>
        </w:rPr>
      </w:pPr>
      <w:r>
        <w:rPr>
          <w:rFonts w:hint="eastAsia" w:ascii="楷体" w:hAnsi="楷体" w:eastAsia="楷体" w:cs="楷体"/>
          <w:b/>
          <w:bCs/>
          <w:color w:val="auto"/>
          <w:sz w:val="28"/>
          <w:szCs w:val="28"/>
          <w:highlight w:val="none"/>
        </w:rPr>
        <w:t>五、其他</w:t>
      </w:r>
    </w:p>
    <w:p w14:paraId="739C0CBD">
      <w:pPr>
        <w:spacing w:line="360" w:lineRule="auto"/>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1、说明与设计图纸有矛盾的，暂以清单描述为准，但应满足施工规范的相关要求。本工程的工程量为暂估量，竣工结算时按实调整。</w:t>
      </w:r>
    </w:p>
    <w:p w14:paraId="6844C3BA">
      <w:pPr>
        <w:spacing w:line="360" w:lineRule="auto"/>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2、连廊及拆除改造维修、修补暂估6万；连廊柱与原有墙体处理等修补暂估2万；安装利旧维修 、翻新1.5万。</w:t>
      </w:r>
    </w:p>
    <w:p w14:paraId="28CD1B40">
      <w:pPr>
        <w:spacing w:line="360" w:lineRule="auto"/>
        <w:rPr>
          <w:rFonts w:ascii="楷体" w:hAnsi="楷体" w:eastAsia="楷体" w:cs="楷体"/>
          <w:b/>
          <w:bCs/>
          <w:color w:val="auto"/>
          <w:sz w:val="28"/>
          <w:szCs w:val="28"/>
          <w:highlight w:val="none"/>
        </w:rPr>
      </w:pPr>
      <w:r>
        <w:rPr>
          <w:rFonts w:hint="eastAsia" w:ascii="楷体" w:hAnsi="楷体" w:eastAsia="楷体" w:cs="楷体"/>
          <w:b/>
          <w:bCs/>
          <w:color w:val="auto"/>
          <w:sz w:val="28"/>
          <w:szCs w:val="28"/>
          <w:highlight w:val="none"/>
        </w:rPr>
        <w:t>六、工程作品：</w:t>
      </w:r>
    </w:p>
    <w:p w14:paraId="1D1F15D4">
      <w:pPr>
        <w:spacing w:line="360" w:lineRule="auto"/>
        <w:ind w:firstLine="560"/>
        <w:rPr>
          <w:rFonts w:ascii="楷体" w:hAnsi="楷体" w:eastAsia="楷体" w:cs="楷体"/>
          <w:color w:val="auto"/>
          <w:sz w:val="28"/>
          <w:szCs w:val="28"/>
          <w:highlight w:val="none"/>
        </w:rPr>
      </w:pPr>
      <w:r>
        <w:rPr>
          <w:rFonts w:hint="eastAsia" w:ascii="楷体" w:hAnsi="楷体" w:eastAsia="楷体" w:cs="楷体"/>
          <w:color w:val="auto"/>
          <w:sz w:val="28"/>
          <w:szCs w:val="28"/>
          <w:highlight w:val="none"/>
        </w:rPr>
        <w:t xml:space="preserve">具体详见图纸和清单特征说明。 </w:t>
      </w:r>
    </w:p>
    <w:p w14:paraId="517E9618">
      <w:pPr>
        <w:spacing w:line="360" w:lineRule="auto"/>
        <w:rPr>
          <w:rFonts w:ascii="楷体" w:hAnsi="楷体" w:eastAsia="楷体" w:cs="楷体"/>
          <w:b/>
          <w:bCs/>
          <w:color w:val="auto"/>
          <w:sz w:val="28"/>
          <w:szCs w:val="28"/>
          <w:highlight w:val="none"/>
          <w:lang w:val="en-US"/>
        </w:rPr>
      </w:pPr>
      <w:r>
        <w:rPr>
          <w:rFonts w:hint="eastAsia" w:ascii="楷体" w:hAnsi="楷体" w:eastAsia="楷体" w:cs="楷体"/>
          <w:b/>
          <w:bCs/>
          <w:color w:val="auto"/>
          <w:sz w:val="28"/>
          <w:szCs w:val="28"/>
          <w:highlight w:val="none"/>
          <w:lang w:val="en-US"/>
        </w:rPr>
        <w:t>七、服务要求</w:t>
      </w:r>
    </w:p>
    <w:p w14:paraId="53229060">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1、供应商</w:t>
      </w:r>
      <w:r>
        <w:rPr>
          <w:rFonts w:hint="eastAsia" w:ascii="楷体" w:hAnsi="楷体" w:eastAsia="楷体" w:cs="楷体"/>
          <w:color w:val="auto"/>
          <w:sz w:val="28"/>
          <w:szCs w:val="28"/>
          <w:highlight w:val="none"/>
          <w:lang w:val="en-US" w:eastAsia="zh-CN"/>
        </w:rPr>
        <w:t>可以</w:t>
      </w:r>
      <w:r>
        <w:rPr>
          <w:rFonts w:hint="eastAsia" w:ascii="楷体" w:hAnsi="楷体" w:eastAsia="楷体" w:cs="楷体"/>
          <w:color w:val="auto"/>
          <w:sz w:val="28"/>
          <w:szCs w:val="28"/>
          <w:highlight w:val="none"/>
          <w:lang w:val="en-US"/>
        </w:rPr>
        <w:t>在响应磋商文件前</w:t>
      </w:r>
      <w:r>
        <w:rPr>
          <w:rFonts w:hint="eastAsia" w:ascii="楷体" w:hAnsi="楷体" w:eastAsia="楷体" w:cs="楷体"/>
          <w:color w:val="auto"/>
          <w:sz w:val="28"/>
          <w:szCs w:val="28"/>
          <w:highlight w:val="none"/>
          <w:lang w:val="en-US" w:eastAsia="zh-CN"/>
        </w:rPr>
        <w:t>联系采购人</w:t>
      </w:r>
      <w:r>
        <w:rPr>
          <w:rFonts w:hint="eastAsia" w:ascii="楷体" w:hAnsi="楷体" w:eastAsia="楷体" w:cs="楷体"/>
          <w:color w:val="auto"/>
          <w:sz w:val="28"/>
          <w:szCs w:val="28"/>
          <w:highlight w:val="none"/>
          <w:lang w:val="en-US"/>
        </w:rPr>
        <w:t>进行现场踏勘。</w:t>
      </w:r>
    </w:p>
    <w:p w14:paraId="0C7012BB">
      <w:pPr>
        <w:spacing w:line="360" w:lineRule="auto"/>
        <w:rPr>
          <w:rFonts w:ascii="楷体" w:hAnsi="楷体" w:eastAsia="楷体" w:cs="楷体"/>
          <w:bCs/>
          <w:color w:val="auto"/>
          <w:sz w:val="28"/>
          <w:szCs w:val="28"/>
          <w:highlight w:val="none"/>
        </w:rPr>
      </w:pPr>
      <w:r>
        <w:rPr>
          <w:rFonts w:hint="eastAsia" w:ascii="楷体" w:hAnsi="楷体" w:eastAsia="楷体" w:cs="楷体"/>
          <w:color w:val="auto"/>
          <w:sz w:val="28"/>
          <w:szCs w:val="28"/>
          <w:highlight w:val="none"/>
          <w:lang w:val="en-US"/>
        </w:rPr>
        <w:t>2</w:t>
      </w:r>
      <w:r>
        <w:rPr>
          <w:rFonts w:hint="eastAsia" w:ascii="楷体" w:hAnsi="楷体" w:eastAsia="楷体" w:cs="楷体"/>
          <w:color w:val="auto"/>
          <w:sz w:val="28"/>
          <w:szCs w:val="28"/>
          <w:highlight w:val="none"/>
        </w:rPr>
        <w:t>、本工程质量应达到最新国家质量评定合格标准。</w:t>
      </w:r>
      <w:r>
        <w:rPr>
          <w:rFonts w:hint="eastAsia" w:ascii="楷体" w:hAnsi="楷体" w:eastAsia="楷体" w:cs="楷体"/>
          <w:bCs/>
          <w:color w:val="auto"/>
          <w:sz w:val="28"/>
          <w:szCs w:val="28"/>
          <w:highlight w:val="none"/>
        </w:rPr>
        <w:t>所供的项目服务必须遵守国家颁布标准和有关规定。</w:t>
      </w:r>
    </w:p>
    <w:p w14:paraId="67031EAB">
      <w:pPr>
        <w:spacing w:line="360" w:lineRule="auto"/>
        <w:rPr>
          <w:rFonts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3</w:t>
      </w:r>
      <w:r>
        <w:rPr>
          <w:rFonts w:hint="eastAsia" w:ascii="楷体" w:hAnsi="楷体" w:eastAsia="楷体" w:cs="楷体"/>
          <w:color w:val="auto"/>
          <w:sz w:val="28"/>
          <w:szCs w:val="28"/>
          <w:highlight w:val="none"/>
        </w:rPr>
        <w:t>、成交供应商的项目经理必须每天要在现场全面负责本项目的施工。</w:t>
      </w:r>
    </w:p>
    <w:p w14:paraId="23AA122B">
      <w:pPr>
        <w:spacing w:line="360" w:lineRule="auto"/>
        <w:rPr>
          <w:rFonts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4</w:t>
      </w:r>
      <w:r>
        <w:rPr>
          <w:rFonts w:hint="eastAsia" w:ascii="楷体" w:hAnsi="楷体" w:eastAsia="楷体" w:cs="楷体"/>
          <w:color w:val="auto"/>
          <w:sz w:val="28"/>
          <w:szCs w:val="28"/>
          <w:highlight w:val="none"/>
        </w:rPr>
        <w:t>、在免费质保期内，供应商须对由于工程本身质量原因造成的任何缺损进行免费修补或更换。</w:t>
      </w:r>
    </w:p>
    <w:p w14:paraId="79A2239F">
      <w:pPr>
        <w:spacing w:line="360" w:lineRule="auto"/>
        <w:rPr>
          <w:rFonts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5</w:t>
      </w:r>
      <w:r>
        <w:rPr>
          <w:rFonts w:hint="eastAsia" w:ascii="楷体" w:hAnsi="楷体" w:eastAsia="楷体" w:cs="楷体"/>
          <w:color w:val="auto"/>
          <w:sz w:val="28"/>
          <w:szCs w:val="28"/>
          <w:highlight w:val="none"/>
        </w:rPr>
        <w:t>、双方应及时办理隐蔽工程和中间工程的检查与验收手续。采购人不按时参加隐蔽工程和中间工程验收，成交供应商可自行验收，采购人应予承认。若采购人要求复验，成交供应商应按要求办理复验。若复验合格，采购人应承担复验费用由此造成停工，工期顺延；若复验不合格，其复验及返工费用由成交供应商承担，但工期也予顺延。</w:t>
      </w:r>
      <w:r>
        <w:rPr>
          <w:rFonts w:hint="eastAsia" w:ascii="楷体" w:hAnsi="楷体" w:eastAsia="楷体" w:cs="楷体"/>
          <w:bCs/>
          <w:color w:val="auto"/>
          <w:sz w:val="28"/>
          <w:szCs w:val="28"/>
          <w:highlight w:val="none"/>
        </w:rPr>
        <w:t>须按采购人要求项目的所有工作内容在规定的时间内实施完毕。</w:t>
      </w:r>
    </w:p>
    <w:p w14:paraId="5E7CEB58">
      <w:pPr>
        <w:tabs>
          <w:tab w:val="left" w:pos="0"/>
        </w:tabs>
        <w:spacing w:line="360" w:lineRule="auto"/>
        <w:rPr>
          <w:rFonts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6</w:t>
      </w:r>
      <w:r>
        <w:rPr>
          <w:rFonts w:hint="eastAsia" w:ascii="楷体" w:hAnsi="楷体" w:eastAsia="楷体" w:cs="楷体"/>
          <w:color w:val="auto"/>
          <w:sz w:val="28"/>
          <w:szCs w:val="28"/>
          <w:highlight w:val="none"/>
        </w:rPr>
        <w:t>、由于成交供应商原因造成质量事故，其返工费用由成交供应商承担，工期不顺延。</w:t>
      </w:r>
    </w:p>
    <w:p w14:paraId="2CBD04C8">
      <w:pPr>
        <w:spacing w:line="360" w:lineRule="auto"/>
        <w:rPr>
          <w:rFonts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7</w:t>
      </w:r>
      <w:r>
        <w:rPr>
          <w:rFonts w:hint="eastAsia" w:ascii="楷体" w:hAnsi="楷体" w:eastAsia="楷体" w:cs="楷体"/>
          <w:color w:val="auto"/>
          <w:sz w:val="28"/>
          <w:szCs w:val="28"/>
          <w:highlight w:val="none"/>
        </w:rPr>
        <w:t>、工程竣工后，成交供应商应通知采购人验收，采购人自接到验收通知</w:t>
      </w:r>
      <w:r>
        <w:rPr>
          <w:rFonts w:hint="eastAsia" w:ascii="楷体" w:hAnsi="楷体" w:eastAsia="楷体" w:cs="楷体"/>
          <w:color w:val="auto"/>
          <w:sz w:val="28"/>
          <w:szCs w:val="28"/>
          <w:highlight w:val="none"/>
          <w:u w:val="single"/>
        </w:rPr>
        <w:t xml:space="preserve"> 15 </w:t>
      </w:r>
      <w:r>
        <w:rPr>
          <w:rFonts w:hint="eastAsia" w:ascii="楷体" w:hAnsi="楷体" w:eastAsia="楷体" w:cs="楷体"/>
          <w:color w:val="auto"/>
          <w:sz w:val="28"/>
          <w:szCs w:val="28"/>
          <w:highlight w:val="none"/>
        </w:rPr>
        <w:t>日内组织验收，并办理验收、移交手续。如采购人在规定时间内未能组织验收，需及时通知成交供应商，另定验收日期。但采购人应承认成交供应商竣工日期。</w:t>
      </w:r>
      <w:r>
        <w:rPr>
          <w:rFonts w:hint="eastAsia" w:ascii="楷体" w:hAnsi="楷体" w:eastAsia="楷体" w:cs="楷体"/>
          <w:bCs/>
          <w:color w:val="auto"/>
          <w:sz w:val="28"/>
          <w:szCs w:val="28"/>
          <w:highlight w:val="none"/>
        </w:rPr>
        <w:t>提交项目验收的所需的全部技术资料。</w:t>
      </w:r>
    </w:p>
    <w:p w14:paraId="236E52BC">
      <w:pPr>
        <w:tabs>
          <w:tab w:val="left" w:pos="0"/>
        </w:tabs>
        <w:spacing w:line="360" w:lineRule="auto"/>
        <w:rPr>
          <w:rFonts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8</w:t>
      </w:r>
      <w:r>
        <w:rPr>
          <w:rFonts w:hint="eastAsia" w:ascii="楷体" w:hAnsi="楷体" w:eastAsia="楷体" w:cs="楷体"/>
          <w:color w:val="auto"/>
          <w:sz w:val="28"/>
          <w:szCs w:val="28"/>
          <w:highlight w:val="none"/>
        </w:rPr>
        <w:t>、本工程应符合国家环保质量要求,否则应承担违约责任并赔偿采购人损失。</w:t>
      </w:r>
    </w:p>
    <w:p w14:paraId="05E8C937">
      <w:pPr>
        <w:spacing w:line="360" w:lineRule="auto"/>
        <w:rPr>
          <w:rFonts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9</w:t>
      </w:r>
      <w:r>
        <w:rPr>
          <w:rFonts w:hint="eastAsia" w:ascii="楷体" w:hAnsi="楷体" w:eastAsia="楷体" w:cs="楷体"/>
          <w:color w:val="auto"/>
          <w:sz w:val="28"/>
          <w:szCs w:val="28"/>
          <w:highlight w:val="none"/>
        </w:rPr>
        <w:t>、</w:t>
      </w:r>
      <w:r>
        <w:rPr>
          <w:rFonts w:hint="eastAsia" w:ascii="楷体" w:hAnsi="楷体" w:eastAsia="楷体" w:cs="楷体"/>
          <w:bCs/>
          <w:color w:val="auto"/>
          <w:sz w:val="28"/>
          <w:szCs w:val="28"/>
          <w:highlight w:val="none"/>
        </w:rPr>
        <w:t>对采购人发现的问题及时补充修改。</w:t>
      </w:r>
      <w:r>
        <w:rPr>
          <w:rFonts w:hint="eastAsia" w:ascii="楷体" w:hAnsi="楷体" w:eastAsia="楷体" w:cs="楷体"/>
          <w:color w:val="auto"/>
          <w:sz w:val="28"/>
          <w:szCs w:val="28"/>
          <w:highlight w:val="none"/>
        </w:rPr>
        <w:t>工程交付尚未使用期间凡属工程遗留问题，成交供应商在接到采购人书面通知后三天内组织整改。逾期采购人将组织整改，一切费用由成交供应商承担。</w:t>
      </w:r>
    </w:p>
    <w:p w14:paraId="6D9E2E26">
      <w:pPr>
        <w:spacing w:line="360" w:lineRule="auto"/>
        <w:rPr>
          <w:rFonts w:ascii="楷体" w:hAnsi="楷体" w:eastAsia="楷体" w:cs="楷体"/>
          <w:bCs/>
          <w:color w:val="auto"/>
          <w:sz w:val="28"/>
          <w:szCs w:val="28"/>
          <w:highlight w:val="none"/>
        </w:rPr>
      </w:pPr>
      <w:r>
        <w:rPr>
          <w:rFonts w:hint="eastAsia" w:ascii="楷体" w:hAnsi="楷体" w:eastAsia="楷体" w:cs="楷体"/>
          <w:bCs/>
          <w:color w:val="auto"/>
          <w:sz w:val="28"/>
          <w:szCs w:val="28"/>
          <w:highlight w:val="none"/>
          <w:lang w:val="en-US"/>
        </w:rPr>
        <w:t>10</w:t>
      </w:r>
      <w:r>
        <w:rPr>
          <w:rFonts w:hint="eastAsia" w:ascii="楷体" w:hAnsi="楷体" w:eastAsia="楷体" w:cs="楷体"/>
          <w:bCs/>
          <w:color w:val="auto"/>
          <w:sz w:val="28"/>
          <w:szCs w:val="28"/>
          <w:highlight w:val="none"/>
        </w:rPr>
        <w:t>、成交供应商在履行合同过程中，一切事故的责任由成交供应商自行承担。</w:t>
      </w:r>
    </w:p>
    <w:p w14:paraId="5CE18033">
      <w:pPr>
        <w:spacing w:line="360" w:lineRule="auto"/>
        <w:rPr>
          <w:rFonts w:ascii="楷体" w:hAnsi="楷体" w:eastAsia="楷体" w:cs="楷体"/>
          <w:color w:val="auto"/>
          <w:sz w:val="28"/>
          <w:szCs w:val="28"/>
          <w:highlight w:val="none"/>
        </w:rPr>
      </w:pPr>
      <w:r>
        <w:rPr>
          <w:rFonts w:hint="eastAsia" w:ascii="楷体" w:hAnsi="楷体" w:eastAsia="楷体" w:cs="楷体"/>
          <w:bCs/>
          <w:color w:val="auto"/>
          <w:sz w:val="28"/>
          <w:szCs w:val="28"/>
          <w:highlight w:val="none"/>
        </w:rPr>
        <w:t>1</w:t>
      </w:r>
      <w:r>
        <w:rPr>
          <w:rFonts w:hint="eastAsia" w:ascii="楷体" w:hAnsi="楷体" w:eastAsia="楷体" w:cs="楷体"/>
          <w:bCs/>
          <w:color w:val="auto"/>
          <w:sz w:val="28"/>
          <w:szCs w:val="28"/>
          <w:highlight w:val="none"/>
          <w:lang w:val="en-US"/>
        </w:rPr>
        <w:t>1</w:t>
      </w:r>
      <w:r>
        <w:rPr>
          <w:rFonts w:hint="eastAsia" w:ascii="楷体" w:hAnsi="楷体" w:eastAsia="楷体" w:cs="楷体"/>
          <w:bCs/>
          <w:color w:val="auto"/>
          <w:sz w:val="28"/>
          <w:szCs w:val="28"/>
          <w:highlight w:val="none"/>
        </w:rPr>
        <w:t>、</w:t>
      </w:r>
      <w:r>
        <w:rPr>
          <w:rFonts w:hint="eastAsia" w:ascii="楷体" w:hAnsi="楷体" w:eastAsia="楷体" w:cs="楷体"/>
          <w:color w:val="auto"/>
          <w:sz w:val="28"/>
          <w:szCs w:val="28"/>
          <w:highlight w:val="none"/>
        </w:rPr>
        <w:t>供应商对该工程所使用的全部材料、配件及工程质量负责，提供免费质保</w:t>
      </w:r>
      <w:r>
        <w:rPr>
          <w:rFonts w:hint="eastAsia" w:ascii="楷体" w:hAnsi="楷体" w:eastAsia="楷体" w:cs="楷体"/>
          <w:color w:val="auto"/>
          <w:sz w:val="28"/>
          <w:szCs w:val="28"/>
          <w:highlight w:val="none"/>
          <w:lang w:val="en-US" w:eastAsia="zh-CN"/>
        </w:rPr>
        <w:t>三</w:t>
      </w:r>
      <w:r>
        <w:rPr>
          <w:rFonts w:hint="eastAsia" w:ascii="楷体" w:hAnsi="楷体" w:eastAsia="楷体" w:cs="楷体"/>
          <w:color w:val="auto"/>
          <w:sz w:val="28"/>
          <w:szCs w:val="28"/>
          <w:highlight w:val="none"/>
        </w:rPr>
        <w:t>年（请具体注明子项质保年限），从工程验收合格之日起计算，免费质保期间除人为损坏，其他质量问题 24 小时内到位维修。</w:t>
      </w:r>
    </w:p>
    <w:p w14:paraId="40F499FC">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rPr>
        <w:t>1</w:t>
      </w:r>
      <w:r>
        <w:rPr>
          <w:rFonts w:hint="eastAsia" w:ascii="楷体" w:hAnsi="楷体" w:eastAsia="楷体" w:cs="楷体"/>
          <w:color w:val="auto"/>
          <w:sz w:val="28"/>
          <w:szCs w:val="28"/>
          <w:highlight w:val="none"/>
          <w:lang w:val="en-US"/>
        </w:rPr>
        <w:t>2</w:t>
      </w:r>
      <w:r>
        <w:rPr>
          <w:rFonts w:hint="eastAsia" w:ascii="楷体" w:hAnsi="楷体" w:eastAsia="楷体" w:cs="楷体"/>
          <w:color w:val="auto"/>
          <w:sz w:val="28"/>
          <w:szCs w:val="28"/>
          <w:highlight w:val="none"/>
        </w:rPr>
        <w:t>、通过验收后5个工作日内成交供应商必须将施工队伍、施工机具、周转材料等全部撤清，所有建筑垃圾等必须清运，保持施工现场平整、整洁，塔吊、井架基础等清理完成，如不清运，采购人委托清运，费用由成交供应商承担在决算中扣除；采购人提供的现场设施应完好，损坏需赔偿</w:t>
      </w:r>
      <w:r>
        <w:rPr>
          <w:rFonts w:hint="eastAsia" w:ascii="楷体" w:hAnsi="楷体" w:eastAsia="楷体" w:cs="楷体"/>
          <w:color w:val="auto"/>
          <w:sz w:val="28"/>
          <w:szCs w:val="28"/>
          <w:highlight w:val="none"/>
          <w:lang w:val="en-US"/>
        </w:rPr>
        <w:t>。</w:t>
      </w:r>
    </w:p>
    <w:p w14:paraId="72E3E0B9">
      <w:pPr>
        <w:spacing w:line="360" w:lineRule="auto"/>
        <w:jc w:val="both"/>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13、</w:t>
      </w:r>
      <w:bookmarkStart w:id="0" w:name="OLE_LINK7"/>
      <w:r>
        <w:rPr>
          <w:rFonts w:hint="eastAsia" w:ascii="楷体" w:hAnsi="楷体" w:eastAsia="楷体" w:cs="楷体"/>
          <w:color w:val="auto"/>
          <w:sz w:val="28"/>
          <w:szCs w:val="28"/>
          <w:highlight w:val="none"/>
          <w:lang w:val="en-US"/>
        </w:rPr>
        <w:t>本次采购的办案区监控设备及同步录音录像主机必须无缝接入现有办案区系统，要求</w:t>
      </w:r>
      <w:r>
        <w:rPr>
          <w:rFonts w:hint="eastAsia" w:ascii="楷体" w:hAnsi="楷体" w:eastAsia="楷体" w:cs="楷体"/>
          <w:color w:val="auto"/>
          <w:sz w:val="28"/>
          <w:szCs w:val="28"/>
          <w:highlight w:val="none"/>
          <w:lang w:val="en-US" w:eastAsia="zh-CN"/>
        </w:rPr>
        <w:t>投标供应商</w:t>
      </w:r>
      <w:r>
        <w:rPr>
          <w:rFonts w:hint="eastAsia" w:ascii="楷体" w:hAnsi="楷体" w:eastAsia="楷体" w:cs="楷体"/>
          <w:color w:val="auto"/>
          <w:sz w:val="28"/>
          <w:szCs w:val="28"/>
          <w:highlight w:val="none"/>
          <w:lang w:val="en-US"/>
        </w:rPr>
        <w:t>出具书面承诺函且</w:t>
      </w:r>
      <w:bookmarkStart w:id="1" w:name="OLE_LINK2"/>
      <w:bookmarkStart w:id="2" w:name="OLE_LINK1"/>
      <w:r>
        <w:rPr>
          <w:rFonts w:hint="eastAsia" w:ascii="楷体" w:hAnsi="楷体" w:eastAsia="楷体" w:cs="楷体"/>
          <w:color w:val="auto"/>
          <w:sz w:val="28"/>
          <w:szCs w:val="28"/>
          <w:highlight w:val="none"/>
          <w:lang w:val="en-US"/>
        </w:rPr>
        <w:t>制造商针对此项目出具原厂质保承诺函</w:t>
      </w:r>
      <w:bookmarkEnd w:id="1"/>
      <w:bookmarkEnd w:id="2"/>
      <w:bookmarkStart w:id="3" w:name="OLE_LINK8"/>
      <w:bookmarkStart w:id="4" w:name="OLE_LINK9"/>
      <w:r>
        <w:rPr>
          <w:rFonts w:hint="eastAsia" w:ascii="楷体" w:hAnsi="楷体" w:eastAsia="楷体" w:cs="楷体"/>
          <w:color w:val="auto"/>
          <w:sz w:val="28"/>
          <w:szCs w:val="28"/>
          <w:highlight w:val="none"/>
          <w:lang w:val="en-US"/>
        </w:rPr>
        <w:t>（须注明本次项目名称和项目编号）</w:t>
      </w:r>
      <w:bookmarkEnd w:id="3"/>
      <w:bookmarkEnd w:id="4"/>
      <w:r>
        <w:rPr>
          <w:rFonts w:hint="eastAsia" w:ascii="楷体" w:hAnsi="楷体" w:eastAsia="楷体" w:cs="楷体"/>
          <w:color w:val="auto"/>
          <w:sz w:val="28"/>
          <w:szCs w:val="28"/>
          <w:highlight w:val="none"/>
          <w:lang w:val="en-US"/>
        </w:rPr>
        <w:t>。</w:t>
      </w:r>
      <w:bookmarkEnd w:id="0"/>
    </w:p>
    <w:p w14:paraId="67AF8F52">
      <w:pPr>
        <w:spacing w:line="360" w:lineRule="auto"/>
        <w:jc w:val="both"/>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14、采购人有权要求成交供应商在中标后3天内提供设备进行测试。测试不通过的，中标结果作废。</w:t>
      </w:r>
    </w:p>
    <w:p w14:paraId="33FB643E">
      <w:pPr>
        <w:spacing w:line="360" w:lineRule="auto"/>
        <w:jc w:val="both"/>
        <w:rPr>
          <w:rFonts w:ascii="楷体" w:hAnsi="楷体" w:eastAsia="楷体" w:cs="楷体"/>
          <w:b/>
          <w:bCs/>
          <w:color w:val="auto"/>
          <w:sz w:val="28"/>
          <w:szCs w:val="28"/>
          <w:highlight w:val="none"/>
          <w:lang w:val="en-US"/>
        </w:rPr>
      </w:pPr>
      <w:r>
        <w:rPr>
          <w:rFonts w:hint="eastAsia" w:ascii="楷体" w:hAnsi="楷体" w:eastAsia="楷体" w:cs="楷体"/>
          <w:b/>
          <w:bCs/>
          <w:color w:val="auto"/>
          <w:sz w:val="28"/>
          <w:szCs w:val="28"/>
          <w:highlight w:val="none"/>
          <w:lang w:val="en-US"/>
        </w:rPr>
        <w:t>八、安全施工要求</w:t>
      </w:r>
    </w:p>
    <w:p w14:paraId="608C658C">
      <w:pPr>
        <w:spacing w:line="360" w:lineRule="auto"/>
        <w:jc w:val="both"/>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1、工程开工前应做好施工方案，严格遵守国家现行的有关安全技术规程、文件，针对本工 程特点，制定专项安全防护管理制度和措施，消除事故隐患。</w:t>
      </w:r>
    </w:p>
    <w:p w14:paraId="032F23EA">
      <w:pPr>
        <w:spacing w:line="360" w:lineRule="auto"/>
        <w:jc w:val="both"/>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2、施工现场要采用全封闭施工，现场应有防止闲人进入的围栏，属于危险作业的地带应加上明显的标志，必要时派专人看管。</w:t>
      </w:r>
    </w:p>
    <w:p w14:paraId="7FAC8B63">
      <w:pPr>
        <w:spacing w:line="360" w:lineRule="auto"/>
        <w:jc w:val="both"/>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3、同一现场有多单位配合施工时，应由总包单位与各有关单位共同议定安全工作制度，共同遵照执行。</w:t>
      </w:r>
    </w:p>
    <w:p w14:paraId="6DEDFC51">
      <w:pPr>
        <w:spacing w:line="360" w:lineRule="auto"/>
        <w:jc w:val="both"/>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4、现场内的沟、坑、池、井和及各种预留洞口等其他危险部位，应设置防护栏或防护挡板，并设危险标志，在可能范围内加以封闭。</w:t>
      </w:r>
    </w:p>
    <w:p w14:paraId="68E0C2D5">
      <w:pPr>
        <w:spacing w:line="360" w:lineRule="auto"/>
        <w:jc w:val="both"/>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5、一切脚手架或棚架、防护设施、安全标志和警告牌等，一经架设后，不得擅自拆动。如需拆动时，必须经现场施工负责人同意。</w:t>
      </w:r>
    </w:p>
    <w:p w14:paraId="1EB57F90">
      <w:pPr>
        <w:spacing w:line="360" w:lineRule="auto"/>
        <w:jc w:val="both"/>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6、不应在拆落的模板上行走，以防钉伤和模板失稳坠落伤人。</w:t>
      </w:r>
    </w:p>
    <w:p w14:paraId="57794A49">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7、在施工过程中，主要材料的技术参数及性能等不得低于编标依据，供货前主要材料设备须经采购人认可并书面确认，否则，采购人有权拒收且保留甲供材的权利。</w:t>
      </w:r>
    </w:p>
    <w:p w14:paraId="6179A521">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8、质量要求：符合国家、江苏省相关规范、标准，满足采购人使用需求，达到本项目甲方各项要求及工程质量达到国家规范标准要求。</w:t>
      </w:r>
    </w:p>
    <w:p w14:paraId="1B584652">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9、供应商对该工程所使用的全部材料及工程质量负责，工程的质量保修期应按《建设工程质量管理条例》及有关规定执行，请具体注明子项质保年限。从工程验收合格之日起计算，免费质保期间除人为损坏，其他质量问题 48 小时内到位维修。</w:t>
      </w:r>
    </w:p>
    <w:p w14:paraId="0003509F">
      <w:pPr>
        <w:spacing w:line="360" w:lineRule="auto"/>
        <w:jc w:val="both"/>
        <w:rPr>
          <w:rFonts w:ascii="楷体" w:hAnsi="楷体" w:eastAsia="楷体" w:cs="楷体"/>
          <w:b/>
          <w:bCs/>
          <w:color w:val="auto"/>
          <w:sz w:val="28"/>
          <w:szCs w:val="28"/>
          <w:highlight w:val="none"/>
          <w:lang w:val="en-US"/>
        </w:rPr>
      </w:pPr>
      <w:r>
        <w:rPr>
          <w:rFonts w:hint="eastAsia" w:ascii="楷体" w:hAnsi="楷体" w:eastAsia="楷体" w:cs="楷体"/>
          <w:b/>
          <w:bCs/>
          <w:color w:val="auto"/>
          <w:sz w:val="28"/>
          <w:szCs w:val="28"/>
          <w:highlight w:val="none"/>
          <w:lang w:val="en-US"/>
        </w:rPr>
        <w:t>九、施工环境保护</w:t>
      </w:r>
    </w:p>
    <w:p w14:paraId="506C690A">
      <w:pPr>
        <w:spacing w:line="360" w:lineRule="auto"/>
        <w:jc w:val="both"/>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1、严格遵守国家环境保护法律、法规，在合同规定施工区外的生态环境绿色植物、树木等，尽量维护原状，尽力保护施工区内林木、植被，同时注意保护地下文物。</w:t>
      </w:r>
    </w:p>
    <w:p w14:paraId="10FEDD81">
      <w:pPr>
        <w:spacing w:line="360" w:lineRule="auto"/>
        <w:jc w:val="both"/>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2、制定环境保护管理规定，保护和改善施工现场的生活环境和生态环境。工程项目文明施 工总的原则和要求是：文明施工，人人有责；分工负责，逐级监督；场地整洁，存放有序；创造安全、整洁、有序的施工环境与条件，以适应现代管理的需要。</w:t>
      </w:r>
    </w:p>
    <w:p w14:paraId="165BF051">
      <w:pPr>
        <w:spacing w:line="360" w:lineRule="auto"/>
        <w:jc w:val="both"/>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3、施工期间要定期清扫、洒水， 以减少尘土飞扬。水泥、白灰、粉煤灰等易飞扬的细颗散体材料露天堆放时应下垫上盖，防止飞扬和流失污染。</w:t>
      </w:r>
    </w:p>
    <w:p w14:paraId="16753927">
      <w:pPr>
        <w:spacing w:line="360" w:lineRule="auto"/>
        <w:jc w:val="both"/>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4、施工范围四周应设置样式统一的围挡，全面推行现场施工标准化作业。</w:t>
      </w:r>
    </w:p>
    <w:p w14:paraId="2538518D">
      <w:pPr>
        <w:spacing w:line="360" w:lineRule="auto"/>
        <w:rPr>
          <w:rFonts w:ascii="楷体" w:hAnsi="楷体" w:eastAsia="楷体" w:cs="楷体"/>
          <w:b/>
          <w:bCs/>
          <w:color w:val="auto"/>
          <w:sz w:val="28"/>
          <w:szCs w:val="28"/>
          <w:highlight w:val="none"/>
          <w:lang w:val="en-US"/>
        </w:rPr>
      </w:pPr>
      <w:r>
        <w:rPr>
          <w:rFonts w:hint="eastAsia" w:ascii="楷体" w:hAnsi="楷体" w:eastAsia="楷体" w:cs="楷体"/>
          <w:color w:val="auto"/>
          <w:sz w:val="28"/>
          <w:szCs w:val="28"/>
          <w:highlight w:val="none"/>
          <w:lang w:val="en-US"/>
        </w:rPr>
        <w:t>5、对产生噪声、振动的施工机械，采取有效的控制措施，减轻噪声扰民。在施工作业时，除抢险、抢修外，有较大噪声、振动较大的设备不应安排在夜间（22  时～次日 6 时）施工。</w:t>
      </w:r>
    </w:p>
    <w:p w14:paraId="25177F7F">
      <w:pPr>
        <w:spacing w:line="360" w:lineRule="auto"/>
        <w:rPr>
          <w:rFonts w:ascii="楷体" w:hAnsi="楷体" w:eastAsia="楷体" w:cs="楷体"/>
          <w:b/>
          <w:bCs/>
          <w:color w:val="auto"/>
          <w:sz w:val="28"/>
          <w:szCs w:val="28"/>
          <w:highlight w:val="none"/>
          <w:lang w:val="en-US"/>
        </w:rPr>
      </w:pPr>
      <w:r>
        <w:rPr>
          <w:rFonts w:hint="eastAsia" w:ascii="楷体" w:hAnsi="楷体" w:eastAsia="楷体" w:cs="楷体"/>
          <w:b/>
          <w:bCs/>
          <w:color w:val="auto"/>
          <w:sz w:val="28"/>
          <w:szCs w:val="28"/>
          <w:highlight w:val="none"/>
          <w:lang w:val="en-US"/>
        </w:rPr>
        <w:t>十、实施方案要求</w:t>
      </w:r>
    </w:p>
    <w:p w14:paraId="618BA289">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1、</w:t>
      </w:r>
      <w:r>
        <w:rPr>
          <w:rFonts w:hint="eastAsia" w:ascii="楷体" w:hAnsi="楷体" w:eastAsia="楷体" w:cs="楷体"/>
          <w:color w:val="auto"/>
          <w:sz w:val="28"/>
          <w:szCs w:val="28"/>
          <w:highlight w:val="none"/>
          <w:lang w:val="en-US" w:eastAsia="zh-CN"/>
        </w:rPr>
        <w:t>投标供应商</w:t>
      </w:r>
      <w:r>
        <w:rPr>
          <w:rFonts w:hint="eastAsia" w:ascii="楷体" w:hAnsi="楷体" w:eastAsia="楷体" w:cs="楷体"/>
          <w:color w:val="auto"/>
          <w:sz w:val="28"/>
          <w:szCs w:val="28"/>
          <w:highlight w:val="none"/>
          <w:lang w:val="en-US"/>
        </w:rPr>
        <w:t>中标后需充分了解现状和业务需求，与采购人等相关方充分沟通后，制定详细可行的项目实施方案，对项目计划与进度、项目质量、风险等进行总体管控与协调，经用户认可后方可开始实施。</w:t>
      </w:r>
      <w:r>
        <w:rPr>
          <w:rFonts w:hint="eastAsia" w:ascii="楷体" w:hAnsi="楷体" w:eastAsia="楷体" w:cs="楷体"/>
          <w:color w:val="auto"/>
          <w:sz w:val="28"/>
          <w:szCs w:val="28"/>
          <w:highlight w:val="none"/>
          <w:lang w:val="en-US" w:eastAsia="zh-CN"/>
        </w:rPr>
        <w:t>投标供应商</w:t>
      </w:r>
      <w:r>
        <w:rPr>
          <w:rFonts w:hint="eastAsia" w:ascii="楷体" w:hAnsi="楷体" w:eastAsia="楷体" w:cs="楷体"/>
          <w:color w:val="auto"/>
          <w:sz w:val="28"/>
          <w:szCs w:val="28"/>
          <w:highlight w:val="none"/>
          <w:lang w:val="en-US"/>
        </w:rPr>
        <w:t>需针对本项目成立专门的项目团队，积极主动与用户单位进行协调沟通，在规定的时间内，保质保量的完成投标所提供应用系统的研发、安装、调试及投入运行，达成项目建设目标。</w:t>
      </w:r>
    </w:p>
    <w:p w14:paraId="35B4BD23">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2、</w:t>
      </w:r>
      <w:r>
        <w:rPr>
          <w:rFonts w:hint="eastAsia" w:ascii="楷体" w:hAnsi="楷体" w:eastAsia="楷体" w:cs="楷体"/>
          <w:color w:val="auto"/>
          <w:sz w:val="28"/>
          <w:szCs w:val="28"/>
          <w:highlight w:val="none"/>
          <w:lang w:val="en-US" w:eastAsia="zh-CN"/>
        </w:rPr>
        <w:t>投标供应商</w:t>
      </w:r>
      <w:r>
        <w:rPr>
          <w:rFonts w:hint="eastAsia" w:ascii="楷体" w:hAnsi="楷体" w:eastAsia="楷体" w:cs="楷体"/>
          <w:color w:val="auto"/>
          <w:sz w:val="28"/>
          <w:szCs w:val="28"/>
          <w:highlight w:val="none"/>
          <w:lang w:val="en-US"/>
        </w:rPr>
        <w:t>应选用具有一定的项目管理能力、计算机技术技能及安全保密意识的人员担任项目经理，项目组成员也应具有相应的能力、技能及安全保密意识，通过组织协调与本项目相适应的人员对本项目系统进行联调实施，确保项目的顺利完成。系统部署安装、调试所需的工具、仪表及安装材料由</w:t>
      </w:r>
      <w:r>
        <w:rPr>
          <w:rFonts w:hint="eastAsia" w:ascii="楷体" w:hAnsi="楷体" w:eastAsia="楷体" w:cs="楷体"/>
          <w:color w:val="auto"/>
          <w:sz w:val="28"/>
          <w:szCs w:val="28"/>
          <w:highlight w:val="none"/>
          <w:lang w:val="en-US" w:eastAsia="zh-CN"/>
        </w:rPr>
        <w:t>投标供应商</w:t>
      </w:r>
      <w:r>
        <w:rPr>
          <w:rFonts w:hint="eastAsia" w:ascii="楷体" w:hAnsi="楷体" w:eastAsia="楷体" w:cs="楷体"/>
          <w:color w:val="auto"/>
          <w:sz w:val="28"/>
          <w:szCs w:val="28"/>
          <w:highlight w:val="none"/>
          <w:lang w:val="en-US"/>
        </w:rPr>
        <w:t>自行解决。</w:t>
      </w:r>
    </w:p>
    <w:p w14:paraId="70418AB5">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3、中标单位须签订保密协议，承诺在项目实施中凡涉及档案数据管理、保存、迁移等相关工作时须严格遵守档案数据安全保密相关规定。</w:t>
      </w:r>
    </w:p>
    <w:p w14:paraId="7A6CB920">
      <w:pPr>
        <w:spacing w:line="360" w:lineRule="auto"/>
        <w:rPr>
          <w:rFonts w:ascii="楷体" w:hAnsi="楷体" w:eastAsia="楷体" w:cs="楷体"/>
          <w:b/>
          <w:bCs/>
          <w:color w:val="auto"/>
          <w:sz w:val="28"/>
          <w:szCs w:val="28"/>
          <w:highlight w:val="none"/>
          <w:lang w:val="en-US"/>
        </w:rPr>
      </w:pPr>
      <w:r>
        <w:rPr>
          <w:rFonts w:hint="eastAsia" w:ascii="楷体" w:hAnsi="楷体" w:eastAsia="楷体" w:cs="楷体"/>
          <w:b/>
          <w:bCs/>
          <w:color w:val="auto"/>
          <w:sz w:val="28"/>
          <w:szCs w:val="28"/>
          <w:highlight w:val="none"/>
          <w:lang w:val="en-US"/>
        </w:rPr>
        <w:t>十一、售后服务方案要求</w:t>
      </w:r>
    </w:p>
    <w:p w14:paraId="09F8C038">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1、</w:t>
      </w:r>
      <w:r>
        <w:rPr>
          <w:rFonts w:hint="eastAsia" w:ascii="楷体" w:hAnsi="楷体" w:eastAsia="楷体" w:cs="楷体"/>
          <w:color w:val="auto"/>
          <w:sz w:val="28"/>
          <w:szCs w:val="28"/>
          <w:highlight w:val="none"/>
          <w:lang w:val="en-US" w:eastAsia="zh-CN"/>
        </w:rPr>
        <w:t>投标供应商</w:t>
      </w:r>
      <w:r>
        <w:rPr>
          <w:rFonts w:hint="eastAsia" w:ascii="楷体" w:hAnsi="楷体" w:eastAsia="楷体" w:cs="楷体"/>
          <w:color w:val="auto"/>
          <w:sz w:val="28"/>
          <w:szCs w:val="28"/>
          <w:highlight w:val="none"/>
          <w:lang w:val="en-US"/>
        </w:rPr>
        <w:t>中标后需充分了解项目培训需求，与用户等相关方充分沟通后，制定详细可行的培训方案，培训方案包括但不限于培训方式、培训人员安排、培训内容、培训计划安排等方面内容。其中培训内容需涵盖本次项目所建设的系统的操作、运维管理等方面内容，通过培训确保本项目所建设的应用系统用户方相关人员能够熟练操作使用系统，并对系统进行日常维护。</w:t>
      </w:r>
    </w:p>
    <w:p w14:paraId="610B5196">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2、服务期内，本合同项目所有技术和服务发生任何非人为故障，由成交供应商负责恢复。故障报修的响应时间为即时，到达现场的时间为8小时，小型故障恢复时间为12个小时，严重故障恢复时间为48小时内，并及时有效的提供解决方案。</w:t>
      </w:r>
    </w:p>
    <w:p w14:paraId="0DD6EE07">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3、服务期内，对采购单位提出的合理服务要求，成交供应商必须即时进行电话、邮件及远程网络支持，如以上方式无法解决问题，乙方需在8小时内到场服务。如不到场，采购单位有权自行处理，相关费用由</w:t>
      </w:r>
      <w:r>
        <w:rPr>
          <w:rFonts w:hint="eastAsia" w:ascii="楷体" w:hAnsi="楷体" w:eastAsia="楷体" w:cs="楷体"/>
          <w:color w:val="auto"/>
          <w:sz w:val="28"/>
          <w:szCs w:val="28"/>
          <w:highlight w:val="none"/>
          <w:lang w:val="en-US" w:eastAsia="zh-CN"/>
        </w:rPr>
        <w:t>投标供应商</w:t>
      </w:r>
      <w:r>
        <w:rPr>
          <w:rFonts w:hint="eastAsia" w:ascii="楷体" w:hAnsi="楷体" w:eastAsia="楷体" w:cs="楷体"/>
          <w:color w:val="auto"/>
          <w:sz w:val="28"/>
          <w:szCs w:val="28"/>
          <w:highlight w:val="none"/>
          <w:lang w:val="en-US"/>
        </w:rPr>
        <w:t>负责。</w:t>
      </w:r>
    </w:p>
    <w:p w14:paraId="549542C3">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eastAsia="zh-CN"/>
        </w:rPr>
        <w:t>投标供应商</w:t>
      </w:r>
      <w:r>
        <w:rPr>
          <w:rFonts w:hint="eastAsia" w:ascii="楷体" w:hAnsi="楷体" w:eastAsia="楷体" w:cs="楷体"/>
          <w:color w:val="auto"/>
          <w:sz w:val="28"/>
          <w:szCs w:val="28"/>
          <w:highlight w:val="none"/>
          <w:lang w:val="en-US"/>
        </w:rPr>
        <w:t>需提供定期回访服务。</w:t>
      </w:r>
    </w:p>
    <w:p w14:paraId="59B8B914">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4、本项目免费维保期3年，自验收合格之日起计。</w:t>
      </w:r>
    </w:p>
    <w:p w14:paraId="711064AA">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5、升级保障方案要求</w:t>
      </w:r>
    </w:p>
    <w:p w14:paraId="3DB62ADD">
      <w:pPr>
        <w:spacing w:line="360" w:lineRule="auto"/>
        <w:ind w:firstLine="560"/>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eastAsia="zh-CN"/>
        </w:rPr>
        <w:t>投标供应商</w:t>
      </w:r>
      <w:r>
        <w:rPr>
          <w:rFonts w:hint="eastAsia" w:ascii="楷体" w:hAnsi="楷体" w:eastAsia="楷体" w:cs="楷体"/>
          <w:color w:val="auto"/>
          <w:sz w:val="28"/>
          <w:szCs w:val="28"/>
          <w:highlight w:val="none"/>
          <w:lang w:val="en-US"/>
        </w:rPr>
        <w:t>中标后需充分了解现状和业务需求，与采购人等相关方充分沟通后，制定切实可行的升级保障方案，确保升级过程的顺利进行，并最大程度地减少对业务或系统的潜在影响，包括制定相应的升级保障管理措施，以及制定项目各阶段升级保障与控制措施等，对本项目的升级建设工作进行总体管控与保障。</w:t>
      </w:r>
    </w:p>
    <w:p w14:paraId="0FF47D7F">
      <w:pPr>
        <w:spacing w:line="360" w:lineRule="auto"/>
        <w:rPr>
          <w:rFonts w:ascii="楷体" w:hAnsi="楷体" w:eastAsia="楷体" w:cs="楷体"/>
          <w:b/>
          <w:bCs/>
          <w:color w:val="auto"/>
          <w:sz w:val="28"/>
          <w:szCs w:val="28"/>
          <w:highlight w:val="none"/>
          <w:lang w:val="en-US"/>
        </w:rPr>
      </w:pPr>
      <w:r>
        <w:rPr>
          <w:rFonts w:hint="eastAsia" w:ascii="楷体" w:hAnsi="楷体" w:eastAsia="楷体" w:cs="楷体"/>
          <w:b/>
          <w:bCs/>
          <w:color w:val="auto"/>
          <w:sz w:val="28"/>
          <w:szCs w:val="28"/>
          <w:highlight w:val="none"/>
          <w:lang w:val="en-US"/>
        </w:rPr>
        <w:t>十二、售后服务及质保</w:t>
      </w:r>
    </w:p>
    <w:p w14:paraId="479D6A1D">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1、质保期限（自交货并验收合格之日起计）：项目要求整体质保三年，根据供应商实际承诺的质保年限提供上门服务及全免费质保等售后服务。</w:t>
      </w:r>
    </w:p>
    <w:p w14:paraId="67558BEC">
      <w:pPr>
        <w:spacing w:line="360" w:lineRule="auto"/>
        <w:rPr>
          <w:rFonts w:ascii="楷体" w:hAnsi="楷体" w:eastAsia="楷体" w:cs="楷体"/>
          <w:b/>
          <w:bCs/>
          <w:color w:val="auto"/>
          <w:sz w:val="28"/>
          <w:szCs w:val="28"/>
          <w:highlight w:val="none"/>
          <w:lang w:val="en-US"/>
        </w:rPr>
      </w:pPr>
      <w:r>
        <w:rPr>
          <w:rFonts w:hint="eastAsia" w:ascii="楷体" w:hAnsi="楷体" w:eastAsia="楷体" w:cs="楷体"/>
          <w:color w:val="auto"/>
          <w:sz w:val="28"/>
          <w:szCs w:val="28"/>
          <w:highlight w:val="none"/>
          <w:lang w:val="en-US"/>
        </w:rPr>
        <w:t>2、售后服务要求：在免费保修期内，成交供应商在接到用户单位电话维修通知后，供应商在24小时内予以更换或维修完毕，确保不影响用户单位实际使用。未及时修复的，采购人有权另行安排其他队伍进行维修，所产生的维修费用从合同价款中直接扣除。成交供应商超时或未在规定的时间内及时维修，每次罚2000元扣款。在质保期内，同一商品、同一质量问题连续两次维修仍无法正常使用，成交供应商无条件给予全套更新或退货。</w:t>
      </w:r>
    </w:p>
    <w:p w14:paraId="5F5E403B">
      <w:pPr>
        <w:spacing w:line="360" w:lineRule="auto"/>
        <w:rPr>
          <w:rFonts w:ascii="楷体" w:hAnsi="楷体" w:eastAsia="楷体" w:cs="楷体"/>
          <w:b/>
          <w:bCs/>
          <w:color w:val="auto"/>
          <w:sz w:val="28"/>
          <w:szCs w:val="28"/>
          <w:highlight w:val="none"/>
        </w:rPr>
      </w:pPr>
      <w:r>
        <w:rPr>
          <w:rFonts w:hint="eastAsia" w:ascii="楷体" w:hAnsi="楷体" w:eastAsia="楷体" w:cs="楷体"/>
          <w:b/>
          <w:bCs/>
          <w:color w:val="auto"/>
          <w:sz w:val="28"/>
          <w:szCs w:val="28"/>
          <w:highlight w:val="none"/>
          <w:lang w:val="en-US"/>
        </w:rPr>
        <w:t>十三</w:t>
      </w:r>
      <w:r>
        <w:rPr>
          <w:rFonts w:hint="eastAsia" w:ascii="楷体" w:hAnsi="楷体" w:eastAsia="楷体" w:cs="楷体"/>
          <w:b/>
          <w:bCs/>
          <w:color w:val="auto"/>
          <w:sz w:val="28"/>
          <w:szCs w:val="28"/>
          <w:highlight w:val="none"/>
        </w:rPr>
        <w:t>、</w:t>
      </w:r>
      <w:r>
        <w:rPr>
          <w:rFonts w:hint="eastAsia" w:ascii="楷体" w:hAnsi="楷体" w:eastAsia="楷体" w:cs="楷体"/>
          <w:b/>
          <w:bCs/>
          <w:color w:val="auto"/>
          <w:sz w:val="28"/>
          <w:szCs w:val="28"/>
          <w:highlight w:val="none"/>
          <w:lang w:val="en-US"/>
        </w:rPr>
        <w:t>工</w:t>
      </w:r>
      <w:r>
        <w:rPr>
          <w:rFonts w:hint="eastAsia" w:ascii="楷体" w:hAnsi="楷体" w:eastAsia="楷体" w:cs="楷体"/>
          <w:b/>
          <w:bCs/>
          <w:color w:val="auto"/>
          <w:sz w:val="28"/>
          <w:szCs w:val="28"/>
          <w:highlight w:val="none"/>
        </w:rPr>
        <w:t>期及</w:t>
      </w:r>
      <w:r>
        <w:rPr>
          <w:rFonts w:hint="eastAsia" w:ascii="楷体" w:hAnsi="楷体" w:eastAsia="楷体" w:cs="楷体"/>
          <w:b/>
          <w:bCs/>
          <w:color w:val="auto"/>
          <w:sz w:val="28"/>
          <w:szCs w:val="28"/>
          <w:highlight w:val="none"/>
          <w:lang w:val="en-US"/>
        </w:rPr>
        <w:t>服务</w:t>
      </w:r>
      <w:r>
        <w:rPr>
          <w:rFonts w:hint="eastAsia" w:ascii="楷体" w:hAnsi="楷体" w:eastAsia="楷体" w:cs="楷体"/>
          <w:b/>
          <w:bCs/>
          <w:color w:val="auto"/>
          <w:sz w:val="28"/>
          <w:szCs w:val="28"/>
          <w:highlight w:val="none"/>
        </w:rPr>
        <w:t>地点</w:t>
      </w:r>
    </w:p>
    <w:p w14:paraId="4CAFE48D">
      <w:pPr>
        <w:spacing w:line="360" w:lineRule="auto"/>
        <w:rPr>
          <w:rFonts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1、</w:t>
      </w:r>
      <w:r>
        <w:rPr>
          <w:rFonts w:hint="eastAsia" w:ascii="楷体" w:hAnsi="楷体" w:eastAsia="楷体" w:cs="楷体"/>
          <w:color w:val="auto"/>
          <w:sz w:val="28"/>
          <w:szCs w:val="28"/>
          <w:highlight w:val="none"/>
        </w:rPr>
        <w:t>工期：</w:t>
      </w:r>
      <w:r>
        <w:rPr>
          <w:rFonts w:hint="eastAsia" w:ascii="楷体" w:hAnsi="楷体" w:eastAsia="楷体" w:cs="楷体"/>
          <w:color w:val="auto"/>
          <w:sz w:val="28"/>
          <w:szCs w:val="28"/>
          <w:highlight w:val="none"/>
          <w:lang w:val="en-US"/>
        </w:rPr>
        <w:t>90日历天（根据采购人最终定稿时间计算），采购人签订合同后90日历天内完成交货、安装、调试并具备验收条件。若成交供应商未按照合同约定时间交货、安装、调试的，每推迟一天罚1000元。</w:t>
      </w:r>
    </w:p>
    <w:p w14:paraId="40D732B9">
      <w:pPr>
        <w:spacing w:line="360" w:lineRule="auto"/>
        <w:rPr>
          <w:rFonts w:ascii="楷体" w:hAnsi="楷体" w:eastAsia="楷体" w:cs="楷体"/>
          <w:color w:val="auto"/>
          <w:sz w:val="28"/>
          <w:szCs w:val="28"/>
          <w:highlight w:val="none"/>
        </w:rPr>
      </w:pPr>
      <w:r>
        <w:rPr>
          <w:rFonts w:hint="eastAsia" w:ascii="楷体" w:hAnsi="楷体" w:eastAsia="楷体" w:cs="楷体"/>
          <w:color w:val="auto"/>
          <w:sz w:val="28"/>
          <w:szCs w:val="28"/>
          <w:highlight w:val="none"/>
          <w:lang w:val="en-US"/>
        </w:rPr>
        <w:t>2、</w:t>
      </w:r>
      <w:r>
        <w:rPr>
          <w:rFonts w:hint="eastAsia" w:ascii="楷体" w:hAnsi="楷体" w:eastAsia="楷体" w:cs="楷体"/>
          <w:color w:val="auto"/>
          <w:sz w:val="28"/>
          <w:szCs w:val="28"/>
          <w:highlight w:val="none"/>
        </w:rPr>
        <w:t>服务地点：镇江市丹徒区人民检察院，具体由采购人指定。</w:t>
      </w:r>
    </w:p>
    <w:p w14:paraId="0707458B">
      <w:pPr>
        <w:spacing w:line="360" w:lineRule="auto"/>
        <w:rPr>
          <w:rFonts w:ascii="楷体" w:hAnsi="楷体" w:eastAsia="楷体" w:cs="楷体"/>
          <w:b/>
          <w:bCs/>
          <w:color w:val="auto"/>
          <w:sz w:val="28"/>
          <w:szCs w:val="28"/>
          <w:highlight w:val="none"/>
          <w:lang w:val="en-US"/>
        </w:rPr>
      </w:pPr>
      <w:r>
        <w:rPr>
          <w:rFonts w:hint="eastAsia" w:ascii="楷体" w:hAnsi="楷体" w:eastAsia="楷体" w:cs="楷体"/>
          <w:b/>
          <w:bCs/>
          <w:color w:val="auto"/>
          <w:sz w:val="28"/>
          <w:szCs w:val="28"/>
          <w:highlight w:val="none"/>
          <w:lang w:val="en-US"/>
        </w:rPr>
        <w:t>十四、项目验收</w:t>
      </w:r>
    </w:p>
    <w:p w14:paraId="706EAD08">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1、采购人依法组织履约验收工作。</w:t>
      </w:r>
    </w:p>
    <w:p w14:paraId="3DB4D5DF">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2、采购人在组织履约验收前，将根据项目特点制定验收方案，明确履约验收的时间、方式、程序等内容，并可根据项目特点对服务期内的服务实施情况进行分期考核，综合考核情况和服务效果进行验收。乙方应根据验收方案内容做好相应配合工作。</w:t>
      </w:r>
    </w:p>
    <w:p w14:paraId="3F33E521">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3、对于实际使用人和采购人分离的项目，采购人邀请实际使用人参与验收。</w:t>
      </w:r>
    </w:p>
    <w:p w14:paraId="4368A3F4">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4、如有必要，采购人邀请参加本项目的其他供应商或第三方专业机构及专家参与验收，相关意见将作为验收书的参考资料。</w:t>
      </w:r>
    </w:p>
    <w:p w14:paraId="32676F08">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5、采购人成立验收小组，按照采购合同的约定对乙方的履约情况进行验收。验收时,采购人按照采购合同的约定对每一项技术、服务、安全标准的履约情况进行确认。验收结束后,验收小组出具验收书,列明各项标准的验收情况及项目总体评价,由验收双方共同签署。验收结果与采购合同约定的资金支付及履约保证金返还条件挂钩。履约验收的各项资料存档备查。</w:t>
      </w:r>
    </w:p>
    <w:p w14:paraId="28A4C68C">
      <w:pPr>
        <w:spacing w:line="360" w:lineRule="auto"/>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6、验收合格的项目,采购人根据采购合同的约定及时向乙方支付合同款项、退还履约保证金。验收不合格的项目，采购人依法及时处理。采购合同的履行、违约责任和解决争议的方式等适用《民法典》。乙方在履约过程中有政府采购法律法规规定的违法违规情形的,采购人将及时报告本级财政部门。</w:t>
      </w:r>
    </w:p>
    <w:p w14:paraId="3A738670">
      <w:pPr>
        <w:spacing w:line="360" w:lineRule="auto"/>
        <w:rPr>
          <w:rFonts w:ascii="楷体" w:hAnsi="楷体" w:eastAsia="楷体" w:cs="楷体"/>
          <w:b/>
          <w:bCs/>
          <w:color w:val="auto"/>
          <w:sz w:val="28"/>
          <w:szCs w:val="28"/>
          <w:highlight w:val="none"/>
          <w:lang w:val="en-US"/>
        </w:rPr>
      </w:pPr>
      <w:r>
        <w:rPr>
          <w:rFonts w:hint="eastAsia" w:ascii="楷体" w:hAnsi="楷体" w:eastAsia="楷体" w:cs="楷体"/>
          <w:b/>
          <w:bCs/>
          <w:color w:val="auto"/>
          <w:sz w:val="28"/>
          <w:szCs w:val="28"/>
          <w:highlight w:val="none"/>
          <w:lang w:val="en-US"/>
        </w:rPr>
        <w:t>十五、报价费用说明：</w:t>
      </w:r>
    </w:p>
    <w:p w14:paraId="653FA2C9">
      <w:pPr>
        <w:spacing w:line="360" w:lineRule="auto"/>
        <w:ind w:firstLine="560"/>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本项目固定总价报价，投标报价应包括磋商文件所确定的招标范围内的全部工作内容，供应商须充分考虑本项目的特殊性和不可预见性在内的所有为完成本项目的设计与实施及由此引起所需的各项应有费用、税金等，以及为完成上述内容所必须的附属设施、临时设施、材料、劳务及所需的全部费用。</w:t>
      </w:r>
    </w:p>
    <w:p w14:paraId="0F901100">
      <w:pPr>
        <w:spacing w:line="360" w:lineRule="auto"/>
        <w:rPr>
          <w:rFonts w:ascii="楷体" w:hAnsi="楷体" w:eastAsia="楷体" w:cs="楷体"/>
          <w:b/>
          <w:bCs/>
          <w:color w:val="auto"/>
          <w:sz w:val="28"/>
          <w:szCs w:val="28"/>
          <w:highlight w:val="none"/>
        </w:rPr>
      </w:pPr>
      <w:r>
        <w:rPr>
          <w:rFonts w:hint="eastAsia" w:ascii="楷体" w:hAnsi="楷体" w:eastAsia="楷体" w:cs="楷体"/>
          <w:b/>
          <w:bCs/>
          <w:color w:val="auto"/>
          <w:sz w:val="28"/>
          <w:szCs w:val="28"/>
          <w:highlight w:val="none"/>
          <w:lang w:val="en-US"/>
        </w:rPr>
        <w:t>十六</w:t>
      </w:r>
      <w:r>
        <w:rPr>
          <w:rFonts w:hint="eastAsia" w:ascii="楷体" w:hAnsi="楷体" w:eastAsia="楷体" w:cs="楷体"/>
          <w:b/>
          <w:bCs/>
          <w:color w:val="auto"/>
          <w:sz w:val="28"/>
          <w:szCs w:val="28"/>
          <w:highlight w:val="none"/>
        </w:rPr>
        <w:t>、付款</w:t>
      </w:r>
      <w:r>
        <w:rPr>
          <w:rFonts w:hint="eastAsia" w:ascii="楷体" w:hAnsi="楷体" w:eastAsia="楷体" w:cs="楷体"/>
          <w:b/>
          <w:bCs/>
          <w:color w:val="auto"/>
          <w:sz w:val="28"/>
          <w:szCs w:val="28"/>
          <w:highlight w:val="none"/>
          <w:lang w:val="en-US"/>
        </w:rPr>
        <w:t>方式</w:t>
      </w:r>
    </w:p>
    <w:p w14:paraId="013F99BB">
      <w:pPr>
        <w:pStyle w:val="4"/>
        <w:spacing w:before="0" w:line="360" w:lineRule="auto"/>
        <w:ind w:left="0"/>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1、合同签订后采购人自收到发票后10个工作日内预付合同价的30%</w:t>
      </w:r>
      <w:r>
        <w:rPr>
          <w:rFonts w:hint="eastAsia" w:ascii="楷体" w:hAnsi="楷体" w:eastAsia="楷体" w:cs="楷体"/>
          <w:color w:val="auto"/>
          <w:sz w:val="28"/>
          <w:szCs w:val="28"/>
          <w:highlight w:val="none"/>
          <w:lang w:val="en-US" w:bidi="ar"/>
        </w:rPr>
        <w:t>（如</w:t>
      </w:r>
      <w:r>
        <w:rPr>
          <w:rFonts w:hint="eastAsia" w:ascii="楷体" w:hAnsi="楷体" w:eastAsia="楷体" w:cs="楷体"/>
          <w:color w:val="auto"/>
          <w:sz w:val="28"/>
          <w:szCs w:val="28"/>
          <w:highlight w:val="none"/>
          <w:lang w:val="en-US" w:eastAsia="zh-CN" w:bidi="ar"/>
        </w:rPr>
        <w:t>成交供应商</w:t>
      </w:r>
      <w:r>
        <w:rPr>
          <w:rFonts w:hint="eastAsia" w:ascii="楷体" w:hAnsi="楷体" w:eastAsia="楷体" w:cs="楷体"/>
          <w:color w:val="auto"/>
          <w:sz w:val="28"/>
          <w:szCs w:val="28"/>
          <w:highlight w:val="none"/>
          <w:lang w:val="en-US" w:bidi="ar"/>
        </w:rPr>
        <w:t>不需支付此项费用的，</w:t>
      </w:r>
      <w:r>
        <w:rPr>
          <w:rFonts w:hint="eastAsia" w:ascii="楷体" w:hAnsi="楷体" w:eastAsia="楷体" w:cs="楷体"/>
          <w:color w:val="auto"/>
          <w:sz w:val="28"/>
          <w:szCs w:val="28"/>
          <w:highlight w:val="none"/>
          <w:lang w:val="en-US" w:eastAsia="zh-CN" w:bidi="ar"/>
        </w:rPr>
        <w:t>采购人</w:t>
      </w:r>
      <w:r>
        <w:rPr>
          <w:rFonts w:hint="eastAsia" w:ascii="楷体" w:hAnsi="楷体" w:eastAsia="楷体" w:cs="楷体"/>
          <w:color w:val="auto"/>
          <w:sz w:val="28"/>
          <w:szCs w:val="28"/>
          <w:highlight w:val="none"/>
          <w:lang w:val="en-US" w:bidi="ar"/>
        </w:rPr>
        <w:t>可不支付，本项费用连同后期一并支付）</w:t>
      </w:r>
      <w:r>
        <w:rPr>
          <w:rFonts w:hint="eastAsia" w:ascii="楷体" w:hAnsi="楷体" w:eastAsia="楷体" w:cs="楷体"/>
          <w:color w:val="auto"/>
          <w:sz w:val="28"/>
          <w:szCs w:val="28"/>
          <w:highlight w:val="none"/>
          <w:lang w:val="en-US"/>
        </w:rPr>
        <w:t>；</w:t>
      </w:r>
    </w:p>
    <w:p w14:paraId="5BD405CE">
      <w:pPr>
        <w:pStyle w:val="4"/>
        <w:spacing w:before="0" w:line="360" w:lineRule="auto"/>
        <w:ind w:left="0"/>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2、项目完毕并经验收合格后自收到发票后10个工作日内付至合同价的70%；</w:t>
      </w:r>
    </w:p>
    <w:p w14:paraId="57C673D9">
      <w:pPr>
        <w:pStyle w:val="4"/>
        <w:spacing w:before="0" w:line="360" w:lineRule="auto"/>
        <w:ind w:left="0"/>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3、项目完毕并经验收合格且向采购人提供完整的验收资料后收到发票后10个工作日内付至审计价的90%；</w:t>
      </w:r>
    </w:p>
    <w:p w14:paraId="18E0F9E3">
      <w:pPr>
        <w:pStyle w:val="4"/>
        <w:spacing w:before="0" w:line="360" w:lineRule="auto"/>
        <w:ind w:left="0"/>
        <w:rPr>
          <w:rFonts w:ascii="楷体" w:hAnsi="楷体" w:eastAsia="楷体" w:cs="楷体"/>
          <w:b/>
          <w:color w:val="auto"/>
          <w:sz w:val="28"/>
          <w:szCs w:val="28"/>
          <w:highlight w:val="none"/>
        </w:rPr>
      </w:pPr>
      <w:r>
        <w:rPr>
          <w:rFonts w:hint="eastAsia" w:ascii="楷体" w:hAnsi="楷体" w:eastAsia="楷体" w:cs="楷体"/>
          <w:color w:val="auto"/>
          <w:sz w:val="28"/>
          <w:szCs w:val="28"/>
          <w:highlight w:val="none"/>
          <w:lang w:val="en-US"/>
        </w:rPr>
        <w:t>4、一年后，采购人应当自收到发票后10个工作日内付清合同尾款。</w:t>
      </w:r>
    </w:p>
    <w:p w14:paraId="058BAD16">
      <w:pPr>
        <w:spacing w:line="360" w:lineRule="auto"/>
        <w:rPr>
          <w:rFonts w:ascii="楷体" w:hAnsi="楷体" w:eastAsia="楷体" w:cs="楷体"/>
          <w:b/>
          <w:bCs/>
          <w:color w:val="auto"/>
          <w:sz w:val="28"/>
          <w:szCs w:val="28"/>
          <w:highlight w:val="none"/>
          <w:lang w:val="en-US"/>
        </w:rPr>
      </w:pPr>
      <w:r>
        <w:rPr>
          <w:rFonts w:hint="eastAsia" w:ascii="楷体" w:hAnsi="楷体" w:eastAsia="楷体" w:cs="楷体"/>
          <w:b/>
          <w:bCs/>
          <w:color w:val="auto"/>
          <w:sz w:val="28"/>
          <w:szCs w:val="28"/>
          <w:highlight w:val="none"/>
          <w:lang w:val="en-US"/>
        </w:rPr>
        <w:t>十七</w:t>
      </w:r>
      <w:r>
        <w:rPr>
          <w:rFonts w:hint="eastAsia" w:ascii="楷体" w:hAnsi="楷体" w:eastAsia="楷体" w:cs="楷体"/>
          <w:b/>
          <w:bCs/>
          <w:color w:val="auto"/>
          <w:sz w:val="28"/>
          <w:szCs w:val="28"/>
          <w:highlight w:val="none"/>
        </w:rPr>
        <w:t>、</w:t>
      </w:r>
      <w:r>
        <w:rPr>
          <w:rFonts w:hint="eastAsia" w:ascii="楷体" w:hAnsi="楷体" w:eastAsia="楷体" w:cs="楷体"/>
          <w:b/>
          <w:bCs/>
          <w:color w:val="auto"/>
          <w:sz w:val="28"/>
          <w:szCs w:val="28"/>
          <w:highlight w:val="none"/>
          <w:lang w:val="en-US"/>
        </w:rPr>
        <w:t>其他要求</w:t>
      </w:r>
    </w:p>
    <w:p w14:paraId="390FB0E4">
      <w:pPr>
        <w:spacing w:line="360" w:lineRule="auto"/>
        <w:ind w:firstLine="560"/>
        <w:rPr>
          <w:rFonts w:ascii="楷体" w:hAnsi="楷体" w:eastAsia="楷体" w:cs="楷体"/>
          <w:color w:val="auto"/>
          <w:sz w:val="28"/>
          <w:szCs w:val="28"/>
          <w:highlight w:val="none"/>
          <w:lang w:val="en-US"/>
        </w:rPr>
      </w:pPr>
      <w:r>
        <w:rPr>
          <w:rFonts w:hint="eastAsia" w:ascii="楷体" w:hAnsi="楷体" w:eastAsia="楷体" w:cs="楷体"/>
          <w:color w:val="auto"/>
          <w:sz w:val="28"/>
          <w:szCs w:val="28"/>
          <w:highlight w:val="none"/>
          <w:lang w:val="en-US"/>
        </w:rPr>
        <w:t>在本项目实施过程中，成交供应商需严格遵守和执行《中华人民共和国劳动法》、镇江市劳动用工和社会保险管理规定、镇江市最低工资标准等相关法律法规，并就安全生产和职业道德加强对所有工作人员的教育，合同期中发生的一切事故、纠纷由成交供应商承担，采购人不承担任何责任。</w:t>
      </w:r>
    </w:p>
    <w:p w14:paraId="3473E8A0">
      <w:pPr>
        <w:spacing w:line="360" w:lineRule="auto"/>
        <w:rPr>
          <w:rFonts w:ascii="楷体" w:hAnsi="楷体" w:eastAsia="楷体" w:cs="楷体"/>
          <w:b/>
          <w:bCs/>
          <w:color w:val="auto"/>
          <w:sz w:val="28"/>
          <w:szCs w:val="28"/>
          <w:highlight w:val="none"/>
          <w:lang w:val="en-US"/>
        </w:rPr>
      </w:pPr>
      <w:r>
        <w:rPr>
          <w:rFonts w:hint="eastAsia" w:ascii="楷体" w:hAnsi="楷体" w:eastAsia="楷体" w:cs="楷体"/>
          <w:b/>
          <w:bCs/>
          <w:color w:val="auto"/>
          <w:sz w:val="28"/>
          <w:szCs w:val="28"/>
          <w:highlight w:val="none"/>
          <w:lang w:val="en-US"/>
        </w:rPr>
        <w:t>十八、附件：工程量清单、图纸、效果图</w:t>
      </w:r>
    </w:p>
    <w:p w14:paraId="3FA18142">
      <w:r>
        <w:rPr>
          <w:rFonts w:hint="eastAsia" w:ascii="楷体" w:hAnsi="楷体" w:eastAsia="楷体" w:cs="楷体"/>
          <w:color w:val="auto"/>
          <w:sz w:val="28"/>
          <w:szCs w:val="28"/>
          <w:highlight w:val="none"/>
        </w:rPr>
        <w:object>
          <v:shape id="_x0000_i1025" o:spt="75" type="#_x0000_t75" style="height:66pt;width:72.75pt;" o:ole="t" filled="f" o:preferrelative="t" stroked="f" coordsize="21600,21600">
            <v:path/>
            <v:fill on="f" focussize="0,0"/>
            <v:stroke on="f"/>
            <v:imagedata r:id="rId5" o:title=""/>
            <o:lock v:ext="edit" aspectratio="t"/>
            <w10:wrap type="none"/>
            <w10:anchorlock/>
          </v:shape>
          <o:OLEObject Type="Embed" ProgID="Excel.Sheet.12" ShapeID="_x0000_i1025" DrawAspect="Icon" ObjectID="_1468075725" r:id="rId4">
            <o:LockedField>false</o:LockedField>
          </o:OLEObject>
        </w:object>
      </w:r>
      <w:r>
        <w:rPr>
          <w:rFonts w:hint="eastAsia" w:ascii="楷体" w:hAnsi="楷体" w:eastAsia="楷体" w:cs="楷体"/>
          <w:color w:val="auto"/>
          <w:sz w:val="28"/>
          <w:szCs w:val="28"/>
          <w:highlight w:val="none"/>
        </w:rPr>
        <w:t xml:space="preserve"> </w:t>
      </w:r>
      <w:r>
        <w:rPr>
          <w:rFonts w:hint="eastAsia" w:ascii="楷体" w:hAnsi="楷体" w:eastAsia="楷体" w:cs="楷体"/>
          <w:color w:val="auto"/>
          <w:sz w:val="28"/>
          <w:szCs w:val="28"/>
          <w:highlight w:val="none"/>
          <w:lang w:val="en-US"/>
        </w:rPr>
        <w:t xml:space="preserve">  </w:t>
      </w:r>
      <w:r>
        <w:rPr>
          <w:rFonts w:hint="eastAsia" w:ascii="楷体" w:hAnsi="楷体" w:eastAsia="楷体" w:cs="楷体"/>
          <w:color w:val="auto"/>
          <w:sz w:val="28"/>
          <w:szCs w:val="28"/>
          <w:highlight w:val="none"/>
          <w:lang w:val="en-US"/>
        </w:rPr>
        <w:object>
          <v:shape id="_x0000_i1026" o:spt="75" type="#_x0000_t75" style="height:66pt;width:72.8pt;" o:ole="t" filled="f" o:preferrelative="t" stroked="f" coordsize="21600,21600">
            <v:path/>
            <v:fill on="f" focussize="0,0"/>
            <v:stroke on="f" joinstyle="miter"/>
            <v:imagedata r:id="rId7" o:title=""/>
            <o:lock v:ext="edit" aspectratio="t"/>
            <w10:wrap type="none"/>
            <w10:anchorlock/>
          </v:shape>
          <o:OLEObject Type="Embed" ProgID="Package" ShapeID="_x0000_i1026" DrawAspect="Icon" ObjectID="_1468075726" r:id="rId6">
            <o:LockedField>false</o:LockedField>
          </o:OLEObject>
        </w:object>
      </w:r>
      <w:r>
        <w:rPr>
          <w:rFonts w:hint="eastAsia" w:ascii="楷体" w:hAnsi="楷体" w:eastAsia="楷体" w:cs="楷体"/>
          <w:color w:val="auto"/>
          <w:sz w:val="28"/>
          <w:szCs w:val="28"/>
          <w:highlight w:val="none"/>
          <w:lang w:val="en-US"/>
        </w:rPr>
        <w:object>
          <v:shape id="_x0000_i1027" o:spt="75" type="#_x0000_t75" style="height:66pt;width:72.8pt;" o:ole="t" filled="f" o:preferrelative="t" stroked="f" coordsize="21600,21600">
            <v:path/>
            <v:fill on="f" focussize="0,0"/>
            <v:stroke on="f" joinstyle="miter"/>
            <v:imagedata r:id="rId9" o:title=""/>
            <o:lock v:ext="edit" aspectratio="t"/>
            <w10:wrap type="none"/>
            <w10:anchorlock/>
          </v:shape>
          <o:OLEObject Type="Embed" ProgID="Package" ShapeID="_x0000_i1027" DrawAspect="Icon" ObjectID="_1468075727" r:id="rId8">
            <o:LockedField>false</o:LockedField>
          </o:OLEObject>
        </w:object>
      </w:r>
      <w:r>
        <w:rPr>
          <w:rFonts w:hint="eastAsia" w:ascii="楷体" w:hAnsi="楷体" w:eastAsia="楷体" w:cs="楷体"/>
          <w:color w:val="auto"/>
          <w:sz w:val="28"/>
          <w:szCs w:val="28"/>
          <w:highlight w:val="none"/>
          <w:lang w:val="en-US"/>
        </w:rPr>
        <w:object>
          <v:shape id="_x0000_i1028" o:spt="75" type="#_x0000_t75" style="height:66pt;width:72.8pt;" o:ole="t" filled="f" o:preferrelative="t" stroked="f" coordsize="21600,21600">
            <v:path/>
            <v:fill on="f" focussize="0,0"/>
            <v:stroke on="f" joinstyle="miter"/>
            <v:imagedata r:id="rId11" o:title=""/>
            <o:lock v:ext="edit" aspectratio="t"/>
            <w10:wrap type="none"/>
            <w10:anchorlock/>
          </v:shape>
          <o:OLEObject Type="Embed" ProgID="Package" ShapeID="_x0000_i1028" DrawAspect="Icon" ObjectID="_1468075728" r:id="rId10">
            <o:LockedField>false</o:LockedField>
          </o:OLEObject>
        </w:object>
      </w:r>
      <w:r>
        <w:rPr>
          <w:rFonts w:hint="eastAsia" w:ascii="楷体" w:hAnsi="楷体" w:eastAsia="楷体" w:cs="楷体"/>
          <w:color w:val="auto"/>
          <w:sz w:val="28"/>
          <w:szCs w:val="28"/>
          <w:highlight w:val="none"/>
          <w:lang w:val="en-US"/>
        </w:rPr>
        <w:object>
          <v:shape id="_x0000_i1029" o:spt="75" type="#_x0000_t75" style="height:66pt;width:72.8pt;" o:ole="t" filled="f" o:preferrelative="t" stroked="f" coordsize="21600,21600">
            <v:path/>
            <v:fill on="f" focussize="0,0"/>
            <v:stroke on="f" joinstyle="miter"/>
            <v:imagedata r:id="rId13" o:title=""/>
            <o:lock v:ext="edit" aspectratio="t"/>
            <w10:wrap type="none"/>
            <w10:anchorlock/>
          </v:shape>
          <o:OLEObject Type="Embed" ProgID="Package" ShapeID="_x0000_i1029" DrawAspect="Icon" ObjectID="_1468075729" r:id="rId12">
            <o:LockedField>false</o:LockedField>
          </o:OLEObject>
        </w:object>
      </w:r>
      <w:r>
        <w:rPr>
          <w:rFonts w:hint="eastAsia" w:ascii="楷体" w:hAnsi="楷体" w:eastAsia="楷体" w:cs="楷体"/>
          <w:color w:val="auto"/>
          <w:sz w:val="28"/>
          <w:szCs w:val="28"/>
          <w:highlight w:val="none"/>
          <w:lang w:val="en-US"/>
        </w:rPr>
        <w:object>
          <v:shape id="_x0000_i1030" o:spt="75" type="#_x0000_t75" style="height:66pt;width:72.8pt;" o:ole="t" filled="f" o:preferrelative="t" stroked="f" coordsize="21600,21600">
            <v:path/>
            <v:fill on="f" focussize="0,0"/>
            <v:stroke on="f" joinstyle="miter"/>
            <v:imagedata r:id="rId15" o:title=""/>
            <o:lock v:ext="edit" aspectratio="t"/>
            <w10:wrap type="none"/>
            <w10:anchorlock/>
          </v:shape>
          <o:OLEObject Type="Embed" ProgID="Package" ShapeID="_x0000_i1030" DrawAspect="Icon" ObjectID="_1468075730" r:id="rId14">
            <o:LockedField>false</o:LockedField>
          </o:OLEObject>
        </w:objec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3925C5"/>
    <w:rsid w:val="470A4433"/>
    <w:rsid w:val="503925C5"/>
    <w:rsid w:val="594F5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宋体" w:hAnsi="宋体" w:eastAsia="宋体" w:cs="宋体"/>
      <w:sz w:val="22"/>
      <w:szCs w:val="22"/>
      <w:lang w:val="zh-CN"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文本11"/>
    <w:basedOn w:val="1"/>
    <w:qFormat/>
    <w:uiPriority w:val="99"/>
    <w:pPr>
      <w:spacing w:before="129"/>
      <w:ind w:left="100"/>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3.bin"/><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6.emf"/><Relationship Id="rId14" Type="http://schemas.openxmlformats.org/officeDocument/2006/relationships/oleObject" Target="embeddings/oleObject6.bin"/><Relationship Id="rId13" Type="http://schemas.openxmlformats.org/officeDocument/2006/relationships/image" Target="media/image5.emf"/><Relationship Id="rId12" Type="http://schemas.openxmlformats.org/officeDocument/2006/relationships/oleObject" Target="embeddings/oleObject5.bin"/><Relationship Id="rId11" Type="http://schemas.openxmlformats.org/officeDocument/2006/relationships/image" Target="media/image4.e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2026-07-28T02:51:00Z</dcterms:created>
  <dc:creator>▕&amp;讀</dc:creator>
  <cp:lastModifiedBy>▕&amp;讀</cp:lastModifiedBy>
  <dcterms:modified xsi:type="dcterms:W3CDTF">2026-07-28T02:52:18Z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1BDFC80C72D24F9C8DDD0930606EC84E_11</vt:lpwstr>
  </property>
  <property fmtid="{D5CDD505-2E9C-101B-9397-08002B2CF9AE}" pid="4" name="KSOTemplateDocerSaveRecord">
    <vt:lpwstr>eyJoZGlkIjoiNWY0NjEyNGUzZTk2YjBkNjE3NmFjODZlOWRkNjMxMGMiLCJ1c2VySWQiOiIxMzI5MDY0NzI5In0=</vt:lpwstr>
  </property>
</Properties>
</file>